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182" w:lineRule="exact"/>
        <w:ind w:left="0" w:right="0" w:firstLine="0"/>
        <w:jc w:val="center"/>
        <w:rPr>
          <w:sz w:val="20"/>
          <w:szCs w:val="20"/>
        </w:rPr>
      </w:pPr>
      <w:r>
        <w:rPr>
          <w:rFonts w:ascii="SimSun" w:eastAsia="SimSun" w:hAnsi="SimSun" w:cs="SimSun"/>
          <w:b/>
          <w:bCs/>
          <w:color w:val="30729F"/>
          <w:spacing w:val="0"/>
          <w:w w:val="100"/>
          <w:position w:val="0"/>
          <w:sz w:val="30"/>
          <w:szCs w:val="30"/>
        </w:rPr>
        <w:t>中祠定财</w:t>
      </w:r>
      <w:r>
        <w:rPr>
          <w:b/>
          <w:bCs/>
          <w:color w:val="30729F"/>
          <w:spacing w:val="0"/>
          <w:w w:val="100"/>
          <w:position w:val="0"/>
          <w:sz w:val="28"/>
          <w:szCs w:val="28"/>
        </w:rPr>
        <w:br/>
      </w:r>
      <w:r>
        <w:rPr>
          <w:rFonts w:ascii="Arial" w:eastAsia="Arial" w:hAnsi="Arial" w:cs="Arial"/>
          <w:color w:val="30729F"/>
          <w:spacing w:val="0"/>
          <w:w w:val="100"/>
          <w:position w:val="0"/>
          <w:sz w:val="20"/>
          <w:szCs w:val="20"/>
        </w:rPr>
        <w:t>sinodcito</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rFonts w:ascii="SimSun" w:eastAsia="SimSun" w:hAnsi="SimSun" w:cs="SimSun"/>
          <w:b/>
          <w:bCs/>
          <w:color w:val="000000"/>
          <w:spacing w:val="0"/>
          <w:w w:val="100"/>
          <w:position w:val="0"/>
          <w:sz w:val="36"/>
          <w:szCs w:val="36"/>
        </w:rPr>
        <w:t>北京中科金财科技股份有限公司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年年度报告</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3438" w:right="1109" w:bottom="3438" w:left="1104" w:header="0" w:footer="3" w:gutter="0"/>
          <w:cols w:space="720"/>
          <w:noEndnote/>
          <w:rtlGutter w:val="0"/>
          <w:docGrid w:linePitch="360"/>
        </w:sectPr>
      </w:pPr>
      <w:r>
        <w:rPr>
          <w:b/>
          <w:bCs/>
          <w:color w:val="000000"/>
          <w:spacing w:val="0"/>
          <w:w w:val="100"/>
          <w:position w:val="0"/>
          <w:sz w:val="32"/>
          <w:szCs w:val="32"/>
        </w:rPr>
        <w:t>2022</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公司负责人朱烨东、主管会计工作负责人李燕及会计机构负责人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杨文燕声明：保证本年度报告中财务报告的真实、准确、完整。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3" w:lineRule="exact"/>
        <w:ind w:left="0" w:right="0"/>
        <w:jc w:val="both"/>
      </w:pPr>
      <w:r>
        <w:rPr>
          <w:color w:val="000000"/>
          <w:spacing w:val="0"/>
          <w:w w:val="100"/>
          <w:position w:val="0"/>
        </w:rPr>
        <w:t>本年度报告涉及的未来发展规划和经营目标等前瞻性陈述，属于公司计划 性事务，不构成对投资者的实质承诺，请投资者及相关人士对此保持足够的风 险认识，理解计划、预测与承诺之间的差异，注意投资风险。公司存在的风险 因素主要有市场竞争风险、行业技术风险、人力资源风险、政策风险等，有关 主要风险因素及公司应对措施已在本报告第三节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可能 面对的风险</w:t>
      </w:r>
      <w:r>
        <w:rPr>
          <w:rFonts w:ascii="Times New Roman" w:eastAsia="Times New Roman" w:hAnsi="Times New Roman" w:cs="Times New Roman"/>
          <w:color w:val="000000"/>
          <w:spacing w:val="0"/>
          <w:w w:val="100"/>
          <w:position w:val="0"/>
        </w:rPr>
        <w:t>”</w:t>
      </w:r>
      <w:r>
        <w:rPr>
          <w:color w:val="000000"/>
          <w:spacing w:val="0"/>
          <w:w w:val="100"/>
          <w:position w:val="0"/>
        </w:rPr>
        <w:t>详细阐述。</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5"/>
        <w:keepNext w:val="0"/>
        <w:keepLines w:val="0"/>
        <w:widowControl w:val="0"/>
        <w:shd w:val="clear" w:color="auto" w:fill="auto"/>
        <w:tabs>
          <w:tab w:leader="dot" w:pos="961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57"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226"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29</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368"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49</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388"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53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36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pPr>
      <w:hyperlink w:anchor="bookmark60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15"/>
        <w:keepNext w:val="0"/>
        <w:keepLines w:val="0"/>
        <w:widowControl w:val="0"/>
        <w:shd w:val="clear" w:color="auto" w:fill="auto"/>
        <w:tabs>
          <w:tab w:leader="dot" w:pos="9615" w:val="right"/>
        </w:tabs>
        <w:bidi w:val="0"/>
        <w:spacing w:before="0" w:line="240" w:lineRule="auto"/>
        <w:ind w:left="0" w:right="0" w:firstLine="0"/>
        <w:jc w:val="left"/>
        <w:sectPr>
          <w:footnotePr>
            <w:pos w:val="pageBottom"/>
            <w:numFmt w:val="decimal"/>
            <w:numRestart w:val="continuous"/>
          </w:footnotePr>
          <w:pgSz w:w="11900" w:h="16840"/>
          <w:pgMar w:top="2862" w:right="1118" w:bottom="2862" w:left="1104" w:header="0" w:footer="3" w:gutter="0"/>
          <w:cols w:space="720"/>
          <w:noEndnote/>
          <w:rtlGutter w:val="0"/>
          <w:docGrid w:linePitch="360"/>
        </w:sectPr>
      </w:pPr>
      <w:hyperlink w:anchor="bookmark610"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81</w:t>
        </w:r>
      </w:hyperlink>
      <w:r>
        <w:fldChar w:fldCharType="end"/>
      </w:r>
    </w:p>
    <w:p>
      <w:pPr>
        <w:pStyle w:val="Style2"/>
        <w:keepNext w:val="0"/>
        <w:keepLines w:val="0"/>
        <w:widowControl w:val="0"/>
        <w:shd w:val="clear" w:color="auto" w:fill="auto"/>
        <w:bidi w:val="0"/>
        <w:spacing w:before="640" w:after="940" w:line="240" w:lineRule="auto"/>
        <w:ind w:left="0" w:right="0" w:firstLine="0"/>
        <w:jc w:val="center"/>
        <w:rPr>
          <w:sz w:val="32"/>
          <w:szCs w:val="32"/>
        </w:rPr>
      </w:pPr>
      <w:r>
        <w:rPr>
          <w:rFonts w:ascii="SimSun" w:eastAsia="SimSun" w:hAnsi="SimSun" w:cs="SimSun"/>
          <w:b/>
          <w:bCs/>
          <w:color w:val="000000"/>
          <w:spacing w:val="0"/>
          <w:w w:val="100"/>
          <w:position w:val="0"/>
          <w:sz w:val="32"/>
          <w:szCs w:val="32"/>
        </w:rPr>
        <w:t>备查文件目录</w:t>
      </w:r>
    </w:p>
    <w:p>
      <w:pPr>
        <w:pStyle w:val="Style18"/>
        <w:keepNext w:val="0"/>
        <w:keepLines w:val="0"/>
        <w:widowControl w:val="0"/>
        <w:numPr>
          <w:ilvl w:val="0"/>
          <w:numId w:val="1"/>
        </w:numPr>
        <w:shd w:val="clear" w:color="auto" w:fill="auto"/>
        <w:tabs>
          <w:tab w:pos="320" w:val="left"/>
        </w:tabs>
        <w:bidi w:val="0"/>
        <w:spacing w:before="0" w:after="220" w:line="240" w:lineRule="auto"/>
        <w:ind w:left="0" w:right="0" w:firstLine="0"/>
        <w:jc w:val="left"/>
      </w:pPr>
      <w:bookmarkStart w:id="4" w:name="bookmark4"/>
      <w:bookmarkEnd w:id="4"/>
      <w:r>
        <w:rPr>
          <w:color w:val="000000"/>
          <w:spacing w:val="0"/>
          <w:w w:val="100"/>
          <w:position w:val="0"/>
        </w:rPr>
        <w:t>载有法定代表人、主管会计工作负责人、会计机构负责人签名并盖章的财务报表。</w:t>
      </w:r>
    </w:p>
    <w:p>
      <w:pPr>
        <w:pStyle w:val="Style18"/>
        <w:keepNext w:val="0"/>
        <w:keepLines w:val="0"/>
        <w:widowControl w:val="0"/>
        <w:numPr>
          <w:ilvl w:val="0"/>
          <w:numId w:val="1"/>
        </w:numPr>
        <w:shd w:val="clear" w:color="auto" w:fill="auto"/>
        <w:tabs>
          <w:tab w:pos="334" w:val="left"/>
        </w:tabs>
        <w:bidi w:val="0"/>
        <w:spacing w:before="0" w:after="220" w:line="240" w:lineRule="auto"/>
        <w:ind w:left="0" w:right="0" w:firstLine="0"/>
        <w:jc w:val="left"/>
      </w:pPr>
      <w:bookmarkStart w:id="5" w:name="bookmark5"/>
      <w:bookmarkEnd w:id="5"/>
      <w:r>
        <w:rPr>
          <w:color w:val="000000"/>
          <w:spacing w:val="0"/>
          <w:w w:val="100"/>
          <w:position w:val="0"/>
        </w:rPr>
        <w:t>载有会计师事务所盖章、注册会计师签名并盖章的审计报告原件。</w:t>
      </w:r>
    </w:p>
    <w:p>
      <w:pPr>
        <w:pStyle w:val="Style18"/>
        <w:keepNext w:val="0"/>
        <w:keepLines w:val="0"/>
        <w:widowControl w:val="0"/>
        <w:numPr>
          <w:ilvl w:val="0"/>
          <w:numId w:val="1"/>
        </w:numPr>
        <w:shd w:val="clear" w:color="auto" w:fill="auto"/>
        <w:tabs>
          <w:tab w:pos="334" w:val="left"/>
        </w:tabs>
        <w:bidi w:val="0"/>
        <w:spacing w:before="0" w:after="220" w:line="240" w:lineRule="auto"/>
        <w:ind w:left="0" w:right="0" w:firstLine="0"/>
        <w:jc w:val="left"/>
      </w:pPr>
      <w:bookmarkStart w:id="6" w:name="bookmark6"/>
      <w:bookmarkEnd w:id="6"/>
      <w:r>
        <w:rPr>
          <w:color w:val="000000"/>
          <w:spacing w:val="0"/>
          <w:w w:val="100"/>
          <w:position w:val="0"/>
        </w:rPr>
        <w:t>报告期内公开披露过的所有公司文件的正本及公告的原稿。</w:t>
      </w:r>
    </w:p>
    <w:p>
      <w:pPr>
        <w:pStyle w:val="Style18"/>
        <w:keepNext w:val="0"/>
        <w:keepLines w:val="0"/>
        <w:widowControl w:val="0"/>
        <w:numPr>
          <w:ilvl w:val="0"/>
          <w:numId w:val="1"/>
        </w:numPr>
        <w:shd w:val="clear" w:color="auto" w:fill="auto"/>
        <w:tabs>
          <w:tab w:pos="334" w:val="left"/>
        </w:tabs>
        <w:bidi w:val="0"/>
        <w:spacing w:before="0" w:after="220" w:line="240" w:lineRule="auto"/>
        <w:ind w:left="0" w:right="0" w:firstLine="0"/>
        <w:jc w:val="left"/>
      </w:pPr>
      <w:bookmarkStart w:id="7" w:name="bookmark7"/>
      <w:bookmarkEnd w:id="7"/>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中科金财、公司、母公司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天津中科、滨河创新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天津中科金财科技有限公司（原名称为天津滨河创新科技有限公司， 已于</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月变更为现名称）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北京中科金财软件技术有限公司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北京志东方科技有限责任公司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前海中科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深圳前海中科金财金控投资有限公司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中科保险经纪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中科金财保险经纪有限公司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大金所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大连金融资产交易所有限公司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中兴财光华、会计师事务所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《股票上市规则》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《深圳证券交易所股票上市规则》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《规范运作》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《上市公司自律监管指引第</w:t>
            </w:r>
            <w:r>
              <w:rPr>
                <w:color w:val="000000"/>
                <w:spacing w:val="0"/>
                <w:w w:val="100"/>
                <w:position w:val="0"/>
                <w:sz w:val="18"/>
                <w:szCs w:val="18"/>
              </w:rPr>
              <w:t>1</w:t>
            </w:r>
            <w:r>
              <w:rPr>
                <w:rFonts w:ascii="SimSun" w:eastAsia="SimSun" w:hAnsi="SimSun" w:cs="SimSun"/>
                <w:color w:val="000000"/>
                <w:spacing w:val="0"/>
                <w:w w:val="100"/>
                <w:position w:val="0"/>
                <w:sz w:val="16"/>
                <w:szCs w:val="16"/>
              </w:rPr>
              <w:t>号一主板上市公司规范运作》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年年度报告</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日至</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公司指定信息披露媒体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《中国证券报》、《证券时报》、《证券日报》、《上海证券报》和巨潮资 讯网</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人民币元</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2"/>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18" w:val="left"/>
                <w:tab w:pos="5074" w:val="left"/>
              </w:tabs>
              <w:bidi w:val="0"/>
              <w:spacing w:before="0" w:after="0" w:line="240" w:lineRule="auto"/>
              <w:ind w:left="0" w:right="0" w:firstLine="0"/>
              <w:jc w:val="left"/>
            </w:pPr>
            <w:r>
              <w:rPr>
                <w:rFonts w:ascii="SimSun" w:eastAsia="SimSun" w:hAnsi="SimSun" w:cs="SimSun"/>
                <w:color w:val="000000"/>
                <w:spacing w:val="0"/>
                <w:w w:val="100"/>
                <w:position w:val="0"/>
                <w:sz w:val="16"/>
                <w:szCs w:val="16"/>
              </w:rPr>
              <w:t>中科金财</w:t>
              <w:tab/>
              <w:t>股票代码</w:t>
              <w:tab/>
            </w:r>
            <w:r>
              <w:rPr>
                <w:color w:val="000000"/>
                <w:spacing w:val="0"/>
                <w:w w:val="100"/>
                <w:position w:val="0"/>
              </w:rPr>
              <w:t>002657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股票上市证券交易所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SINODATA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SINODATA</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北京市海淀区学清路</w:t>
            </w:r>
            <w:r>
              <w:rPr>
                <w:color w:val="000000"/>
                <w:spacing w:val="0"/>
                <w:w w:val="100"/>
                <w:position w:val="0"/>
                <w:sz w:val="18"/>
                <w:szCs w:val="18"/>
              </w:rPr>
              <w:t>9</w:t>
            </w:r>
            <w:r>
              <w:rPr>
                <w:rFonts w:ascii="SimSun" w:eastAsia="SimSun" w:hAnsi="SimSun" w:cs="SimSun"/>
                <w:color w:val="000000"/>
                <w:spacing w:val="0"/>
                <w:w w:val="100"/>
                <w:position w:val="0"/>
                <w:sz w:val="16"/>
                <w:szCs w:val="16"/>
              </w:rPr>
              <w:t>号汇智大厦</w:t>
            </w:r>
            <w:r>
              <w:rPr>
                <w:color w:val="000000"/>
                <w:spacing w:val="0"/>
                <w:w w:val="100"/>
                <w:position w:val="0"/>
                <w:sz w:val="18"/>
                <w:szCs w:val="18"/>
              </w:rPr>
              <w:t>11</w:t>
            </w:r>
            <w:r>
              <w:rPr>
                <w:rFonts w:ascii="SimSun" w:eastAsia="SimSun" w:hAnsi="SimSun" w:cs="SimSun"/>
                <w:color w:val="000000"/>
                <w:spacing w:val="0"/>
                <w:w w:val="100"/>
                <w:position w:val="0"/>
                <w:sz w:val="16"/>
                <w:szCs w:val="16"/>
              </w:rPr>
              <w:t>层</w:t>
            </w:r>
            <w:r>
              <w:rPr>
                <w:color w:val="000000"/>
                <w:spacing w:val="0"/>
                <w:w w:val="100"/>
                <w:position w:val="0"/>
                <w:sz w:val="18"/>
                <w:szCs w:val="18"/>
              </w:rPr>
              <w:t>2</w:t>
            </w:r>
            <w:r>
              <w:rPr>
                <w:rFonts w:ascii="SimSun" w:eastAsia="SimSun" w:hAnsi="SimSun" w:cs="SimSun"/>
                <w:color w:val="000000"/>
                <w:spacing w:val="0"/>
                <w:w w:val="100"/>
                <w:position w:val="0"/>
                <w:sz w:val="16"/>
                <w:szCs w:val="16"/>
              </w:rPr>
              <w:t>单元</w:t>
            </w:r>
            <w:r>
              <w:rPr>
                <w:color w:val="000000"/>
                <w:spacing w:val="0"/>
                <w:w w:val="100"/>
                <w:position w:val="0"/>
                <w:sz w:val="18"/>
                <w:szCs w:val="18"/>
              </w:rPr>
              <w:t>1201B</w:t>
            </w:r>
            <w:r>
              <w:rPr>
                <w:rFonts w:ascii="SimSun" w:eastAsia="SimSun" w:hAnsi="SimSun" w:cs="SimSun"/>
                <w:color w:val="000000"/>
                <w:spacing w:val="0"/>
                <w:w w:val="100"/>
                <w:position w:val="0"/>
                <w:sz w:val="16"/>
                <w:szCs w:val="16"/>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月由北京市海淀区学院路</w:t>
            </w:r>
            <w:r>
              <w:rPr>
                <w:color w:val="000000"/>
                <w:spacing w:val="0"/>
                <w:w w:val="100"/>
                <w:position w:val="0"/>
                <w:sz w:val="18"/>
                <w:szCs w:val="18"/>
              </w:rPr>
              <w:t>39</w:t>
            </w:r>
            <w:r>
              <w:rPr>
                <w:rFonts w:ascii="SimSun" w:eastAsia="SimSun" w:hAnsi="SimSun" w:cs="SimSun"/>
                <w:color w:val="000000"/>
                <w:spacing w:val="0"/>
                <w:w w:val="100"/>
                <w:position w:val="0"/>
                <w:sz w:val="16"/>
                <w:szCs w:val="16"/>
              </w:rPr>
              <w:t>号唯实大厦</w:t>
            </w:r>
            <w:r>
              <w:rPr>
                <w:color w:val="000000"/>
                <w:spacing w:val="0"/>
                <w:w w:val="100"/>
                <w:position w:val="0"/>
                <w:sz w:val="18"/>
                <w:szCs w:val="18"/>
              </w:rPr>
              <w:t>1006</w:t>
            </w:r>
            <w:r>
              <w:rPr>
                <w:rFonts w:ascii="SimSun" w:eastAsia="SimSun" w:hAnsi="SimSun" w:cs="SimSun"/>
                <w:color w:val="000000"/>
                <w:spacing w:val="0"/>
                <w:w w:val="100"/>
                <w:position w:val="0"/>
                <w:sz w:val="16"/>
                <w:szCs w:val="16"/>
              </w:rPr>
              <w:t>室变更为北京市海淀区学清路</w:t>
            </w:r>
            <w:r>
              <w:rPr>
                <w:color w:val="000000"/>
                <w:spacing w:val="0"/>
                <w:w w:val="100"/>
                <w:position w:val="0"/>
                <w:sz w:val="18"/>
                <w:szCs w:val="18"/>
              </w:rPr>
              <w:t>9</w:t>
            </w:r>
            <w:r>
              <w:rPr>
                <w:rFonts w:ascii="SimSun" w:eastAsia="SimSun" w:hAnsi="SimSun" w:cs="SimSun"/>
                <w:color w:val="000000"/>
                <w:spacing w:val="0"/>
                <w:w w:val="100"/>
                <w:position w:val="0"/>
                <w:sz w:val="16"/>
                <w:szCs w:val="16"/>
              </w:rPr>
              <w:t>号汇 智大厦</w:t>
            </w:r>
            <w:r>
              <w:rPr>
                <w:color w:val="000000"/>
                <w:spacing w:val="0"/>
                <w:w w:val="100"/>
                <w:position w:val="0"/>
                <w:sz w:val="18"/>
                <w:szCs w:val="18"/>
              </w:rPr>
              <w:t>11</w:t>
            </w:r>
            <w:r>
              <w:rPr>
                <w:rFonts w:ascii="SimSun" w:eastAsia="SimSun" w:hAnsi="SimSun" w:cs="SimSun"/>
                <w:color w:val="000000"/>
                <w:spacing w:val="0"/>
                <w:w w:val="100"/>
                <w:position w:val="0"/>
                <w:sz w:val="16"/>
                <w:szCs w:val="16"/>
              </w:rPr>
              <w:t>层</w:t>
            </w:r>
            <w:r>
              <w:rPr>
                <w:color w:val="000000"/>
                <w:spacing w:val="0"/>
                <w:w w:val="100"/>
                <w:position w:val="0"/>
                <w:sz w:val="18"/>
                <w:szCs w:val="18"/>
              </w:rPr>
              <w:t>2</w:t>
            </w:r>
            <w:r>
              <w:rPr>
                <w:rFonts w:ascii="SimSun" w:eastAsia="SimSun" w:hAnsi="SimSun" w:cs="SimSun"/>
                <w:color w:val="000000"/>
                <w:spacing w:val="0"/>
                <w:w w:val="100"/>
                <w:position w:val="0"/>
                <w:sz w:val="16"/>
                <w:szCs w:val="16"/>
              </w:rPr>
              <w:t>单元</w:t>
            </w:r>
            <w:r>
              <w:rPr>
                <w:color w:val="000000"/>
                <w:spacing w:val="0"/>
                <w:w w:val="100"/>
                <w:position w:val="0"/>
                <w:sz w:val="18"/>
                <w:szCs w:val="18"/>
              </w:rPr>
              <w:t>1201B</w:t>
            </w:r>
            <w:r>
              <w:rPr>
                <w:rFonts w:ascii="SimSun" w:eastAsia="SimSun" w:hAnsi="SimSun" w:cs="SimSun"/>
                <w:color w:val="000000"/>
                <w:spacing w:val="0"/>
                <w:w w:val="100"/>
                <w:position w:val="0"/>
                <w:sz w:val="16"/>
                <w:szCs w:val="16"/>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北京市朝阳区安翔北路</w:t>
            </w:r>
            <w:r>
              <w:rPr>
                <w:color w:val="000000"/>
                <w:spacing w:val="0"/>
                <w:w w:val="100"/>
                <w:position w:val="0"/>
                <w:sz w:val="18"/>
                <w:szCs w:val="18"/>
              </w:rPr>
              <w:t>11</w:t>
            </w:r>
            <w:r>
              <w:rPr>
                <w:rFonts w:ascii="SimSun" w:eastAsia="SimSun" w:hAnsi="SimSun" w:cs="SimSun"/>
                <w:color w:val="000000"/>
                <w:spacing w:val="0"/>
                <w:w w:val="100"/>
                <w:position w:val="0"/>
                <w:sz w:val="16"/>
                <w:szCs w:val="16"/>
              </w:rPr>
              <w:t>号北京创业大厦</w:t>
            </w:r>
            <w:r>
              <w:rPr>
                <w:color w:val="000000"/>
                <w:spacing w:val="0"/>
                <w:w w:val="100"/>
                <w:position w:val="0"/>
                <w:sz w:val="18"/>
                <w:szCs w:val="18"/>
              </w:rPr>
              <w:t>B</w:t>
            </w:r>
            <w:r>
              <w:rPr>
                <w:rFonts w:ascii="SimSun" w:eastAsia="SimSun" w:hAnsi="SimSun" w:cs="SimSun"/>
                <w:color w:val="000000"/>
                <w:spacing w:val="0"/>
                <w:w w:val="100"/>
                <w:position w:val="0"/>
                <w:sz w:val="16"/>
                <w:szCs w:val="16"/>
              </w:rPr>
              <w:t>座</w:t>
            </w:r>
            <w:r>
              <w:rPr>
                <w:color w:val="000000"/>
                <w:spacing w:val="0"/>
                <w:w w:val="100"/>
                <w:position w:val="0"/>
                <w:sz w:val="18"/>
                <w:szCs w:val="18"/>
              </w:rPr>
              <w:t>9</w:t>
            </w:r>
            <w:r>
              <w:rPr>
                <w:rFonts w:ascii="SimSun" w:eastAsia="SimSun" w:hAnsi="SimSun" w:cs="SimSun"/>
                <w:color w:val="000000"/>
                <w:spacing w:val="0"/>
                <w:w w:val="100"/>
                <w:position w:val="0"/>
                <w:sz w:val="16"/>
                <w:szCs w:val="16"/>
              </w:rPr>
              <w:t>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"http://www.sinodata.net" </w:instrText>
            </w:r>
            <w:r>
              <w:fldChar w:fldCharType="separate"/>
            </w:r>
            <w:r>
              <w:rPr>
                <w:color w:val="000000"/>
                <w:spacing w:val="0"/>
                <w:w w:val="100"/>
                <w:position w:val="0"/>
              </w:rPr>
              <w:t>www.sinodata.net</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"mailto:zkjc@sinodata.net.cn" </w:instrText>
            </w:r>
            <w:r>
              <w:fldChar w:fldCharType="separate"/>
            </w:r>
            <w:r>
              <w:rPr>
                <w:color w:val="000000"/>
                <w:spacing w:val="0"/>
                <w:w w:val="100"/>
                <w:position w:val="0"/>
              </w:rPr>
              <w:t>zkjc@sinodata.net.cn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姜韶华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rFonts w:ascii="SimSun" w:eastAsia="SimSun" w:hAnsi="SimSun" w:cs="SimSun"/>
                <w:color w:val="000000"/>
                <w:spacing w:val="0"/>
                <w:w w:val="100"/>
                <w:position w:val="0"/>
                <w:sz w:val="16"/>
                <w:szCs w:val="16"/>
              </w:rPr>
              <w:t>北京市朝阳区安翔北路</w:t>
            </w:r>
            <w:r>
              <w:rPr>
                <w:color w:val="000000"/>
                <w:spacing w:val="0"/>
                <w:w w:val="100"/>
                <w:position w:val="0"/>
                <w:sz w:val="18"/>
                <w:szCs w:val="18"/>
              </w:rPr>
              <w:t>11</w:t>
            </w:r>
            <w:r>
              <w:rPr>
                <w:rFonts w:ascii="SimSun" w:eastAsia="SimSun" w:hAnsi="SimSun" w:cs="SimSun"/>
                <w:color w:val="000000"/>
                <w:spacing w:val="0"/>
                <w:w w:val="100"/>
                <w:position w:val="0"/>
                <w:sz w:val="16"/>
                <w:szCs w:val="16"/>
              </w:rPr>
              <w:t>号北京创业大 厦</w:t>
            </w:r>
            <w:r>
              <w:rPr>
                <w:color w:val="000000"/>
                <w:spacing w:val="0"/>
                <w:w w:val="100"/>
                <w:position w:val="0"/>
                <w:sz w:val="18"/>
                <w:szCs w:val="18"/>
              </w:rPr>
              <w:t>B</w:t>
            </w:r>
            <w:r>
              <w:rPr>
                <w:rFonts w:ascii="SimSun" w:eastAsia="SimSun" w:hAnsi="SimSun" w:cs="SimSun"/>
                <w:color w:val="000000"/>
                <w:spacing w:val="0"/>
                <w:w w:val="100"/>
                <w:position w:val="0"/>
                <w:sz w:val="16"/>
                <w:szCs w:val="16"/>
              </w:rPr>
              <w:t>座</w:t>
            </w:r>
            <w:r>
              <w:rPr>
                <w:color w:val="000000"/>
                <w:spacing w:val="0"/>
                <w:w w:val="100"/>
                <w:position w:val="0"/>
                <w:sz w:val="18"/>
                <w:szCs w:val="18"/>
              </w:rPr>
              <w:t>9</w:t>
            </w:r>
            <w:r>
              <w:rPr>
                <w:rFonts w:ascii="SimSun" w:eastAsia="SimSun" w:hAnsi="SimSun" w:cs="SimSun"/>
                <w:color w:val="000000"/>
                <w:spacing w:val="0"/>
                <w:w w:val="100"/>
                <w:position w:val="0"/>
                <w:sz w:val="16"/>
                <w:szCs w:val="16"/>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rPr>
                <w:sz w:val="16"/>
                <w:szCs w:val="16"/>
              </w:rPr>
            </w:pPr>
            <w:r>
              <w:rPr>
                <w:rFonts w:ascii="SimSun" w:eastAsia="SimSun" w:hAnsi="SimSun" w:cs="SimSun"/>
                <w:color w:val="000000"/>
                <w:spacing w:val="0"/>
                <w:w w:val="100"/>
                <w:position w:val="0"/>
                <w:sz w:val="16"/>
                <w:szCs w:val="16"/>
              </w:rPr>
              <w:t>北京市朝阳区安翔北路</w:t>
            </w:r>
            <w:r>
              <w:rPr>
                <w:color w:val="000000"/>
                <w:spacing w:val="0"/>
                <w:w w:val="100"/>
                <w:position w:val="0"/>
                <w:sz w:val="18"/>
                <w:szCs w:val="18"/>
              </w:rPr>
              <w:t>11</w:t>
            </w:r>
            <w:r>
              <w:rPr>
                <w:rFonts w:ascii="SimSun" w:eastAsia="SimSun" w:hAnsi="SimSun" w:cs="SimSun"/>
                <w:color w:val="000000"/>
                <w:spacing w:val="0"/>
                <w:w w:val="100"/>
                <w:position w:val="0"/>
                <w:sz w:val="16"/>
                <w:szCs w:val="16"/>
              </w:rPr>
              <w:t>号北京创业大 厦</w:t>
            </w:r>
            <w:r>
              <w:rPr>
                <w:color w:val="000000"/>
                <w:spacing w:val="0"/>
                <w:w w:val="100"/>
                <w:position w:val="0"/>
                <w:sz w:val="18"/>
                <w:szCs w:val="18"/>
              </w:rPr>
              <w:t>B</w:t>
            </w:r>
            <w:r>
              <w:rPr>
                <w:rFonts w:ascii="SimSun" w:eastAsia="SimSun" w:hAnsi="SimSun" w:cs="SimSun"/>
                <w:color w:val="000000"/>
                <w:spacing w:val="0"/>
                <w:w w:val="100"/>
                <w:position w:val="0"/>
                <w:sz w:val="16"/>
                <w:szCs w:val="16"/>
              </w:rPr>
              <w:t>座</w:t>
            </w:r>
            <w:r>
              <w:rPr>
                <w:color w:val="000000"/>
                <w:spacing w:val="0"/>
                <w:w w:val="100"/>
                <w:position w:val="0"/>
                <w:sz w:val="18"/>
                <w:szCs w:val="18"/>
              </w:rPr>
              <w:t>9</w:t>
            </w:r>
            <w:r>
              <w:rPr>
                <w:rFonts w:ascii="SimSun" w:eastAsia="SimSun" w:hAnsi="SimSun" w:cs="SimSun"/>
                <w:color w:val="000000"/>
                <w:spacing w:val="0"/>
                <w:w w:val="100"/>
                <w:position w:val="0"/>
                <w:sz w:val="16"/>
                <w:szCs w:val="16"/>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010-62309608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010-62309608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010-62309595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010-62309595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"mailto:zkjc@sinodata.net.cn" </w:instrText>
            </w:r>
            <w:r>
              <w:fldChar w:fldCharType="separate"/>
            </w:r>
            <w:r>
              <w:rPr>
                <w:color w:val="000000"/>
                <w:spacing w:val="0"/>
                <w:w w:val="100"/>
                <w:position w:val="0"/>
              </w:rPr>
              <w:t>zkjc@sinodata.net.cn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"mailto:zkjc@sinodata.net.cn" </w:instrText>
            </w:r>
            <w:r>
              <w:fldChar w:fldCharType="separate"/>
            </w:r>
            <w:r>
              <w:rPr>
                <w:color w:val="000000"/>
                <w:spacing w:val="0"/>
                <w:w w:val="100"/>
                <w:position w:val="0"/>
              </w:rPr>
              <w:t>zkjc@sinodata.net.cn</w:t>
            </w:r>
            <w:r>
              <w:fldChar w:fldCharType="end"/>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《中国证券报》、《上海证券报》、《证券日报》、《证券时报》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巨潮资讯网：</w:t>
            </w:r>
            <w:r>
              <w:rPr>
                <w:color w:val="000000"/>
                <w:spacing w:val="0"/>
                <w:w w:val="100"/>
                <w:position w:val="0"/>
              </w:rPr>
              <w:t>http://www.cninfo.com.cn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董事会办公室</w:t>
            </w:r>
          </w:p>
        </w:tc>
      </w:tr>
    </w:tbl>
    <w:p>
      <w:pPr>
        <w:spacing w:lineRule="exact" w:line="1"/>
        <w:rPr>
          <w:sz w:val="2"/>
          <w:szCs w:val="2"/>
        </w:rPr>
      </w:pPr>
      <w:r>
        <w:br w:type="page"/>
      </w:r>
    </w:p>
    <w:p>
      <w:pPr>
        <w:pStyle w:val="Style22"/>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91110000757740123M</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北京市西城区阜成门外大街</w:t>
            </w:r>
            <w:r>
              <w:rPr>
                <w:color w:val="000000"/>
                <w:spacing w:val="0"/>
                <w:w w:val="100"/>
                <w:position w:val="0"/>
                <w:sz w:val="18"/>
                <w:szCs w:val="18"/>
              </w:rPr>
              <w:t>2</w:t>
            </w:r>
            <w:r>
              <w:rPr>
                <w:rFonts w:ascii="SimSun" w:eastAsia="SimSun" w:hAnsi="SimSun" w:cs="SimSun"/>
                <w:color w:val="000000"/>
                <w:spacing w:val="0"/>
                <w:w w:val="100"/>
                <w:position w:val="0"/>
                <w:sz w:val="16"/>
                <w:szCs w:val="16"/>
              </w:rPr>
              <w:t>号万通金融中心</w:t>
            </w:r>
            <w:r>
              <w:rPr>
                <w:color w:val="000000"/>
                <w:spacing w:val="0"/>
                <w:w w:val="100"/>
                <w:position w:val="0"/>
                <w:sz w:val="18"/>
                <w:szCs w:val="18"/>
              </w:rPr>
              <w:t>A</w:t>
            </w:r>
            <w:r>
              <w:rPr>
                <w:rFonts w:ascii="SimSun" w:eastAsia="SimSun" w:hAnsi="SimSun" w:cs="SimSun"/>
                <w:color w:val="000000"/>
                <w:spacing w:val="0"/>
                <w:w w:val="100"/>
                <w:position w:val="0"/>
                <w:sz w:val="16"/>
                <w:szCs w:val="16"/>
              </w:rPr>
              <w:t>座</w:t>
            </w:r>
            <w:r>
              <w:rPr>
                <w:color w:val="000000"/>
                <w:spacing w:val="0"/>
                <w:w w:val="100"/>
                <w:position w:val="0"/>
                <w:sz w:val="18"/>
                <w:szCs w:val="18"/>
              </w:rPr>
              <w:t>24</w:t>
            </w:r>
            <w:r>
              <w:rPr>
                <w:rFonts w:ascii="SimSun" w:eastAsia="SimSun" w:hAnsi="SimSun" w:cs="SimSun"/>
                <w:color w:val="000000"/>
                <w:spacing w:val="0"/>
                <w:w w:val="100"/>
                <w:position w:val="0"/>
                <w:sz w:val="16"/>
                <w:szCs w:val="16"/>
              </w:rPr>
              <w:t>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张学福、李钰</w:t>
            </w:r>
          </w:p>
        </w:tc>
      </w:tr>
    </w:tbl>
    <w:p>
      <w:pPr>
        <w:pStyle w:val="Style18"/>
        <w:keepNext w:val="0"/>
        <w:keepLines w:val="0"/>
        <w:widowControl w:val="0"/>
        <w:shd w:val="clear" w:color="auto" w:fill="auto"/>
        <w:bidi w:val="0"/>
        <w:spacing w:before="0" w:after="80" w:line="346" w:lineRule="exact"/>
        <w:ind w:left="0" w:right="0" w:firstLine="0"/>
        <w:jc w:val="left"/>
        <w:rPr>
          <w:sz w:val="19"/>
          <w:szCs w:val="19"/>
        </w:rPr>
      </w:pPr>
      <w:r>
        <w:rPr>
          <w:color w:val="000000"/>
          <w:spacing w:val="0"/>
          <w:w w:val="100"/>
          <w:position w:val="0"/>
          <w:sz w:val="19"/>
          <w:szCs w:val="19"/>
        </w:rPr>
        <w:t>公司聘请的报告期内履行持续督导职责的保荐机构</w:t>
      </w:r>
    </w:p>
    <w:p>
      <w:pPr>
        <w:pStyle w:val="Style18"/>
        <w:keepNext w:val="0"/>
        <w:keepLines w:val="0"/>
        <w:widowControl w:val="0"/>
        <w:shd w:val="clear" w:color="auto" w:fill="auto"/>
        <w:bidi w:val="0"/>
        <w:spacing w:before="0" w:after="0" w:line="30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346" w:lineRule="exact"/>
        <w:ind w:left="0" w:right="0" w:firstLine="0"/>
        <w:jc w:val="left"/>
        <w:rPr>
          <w:sz w:val="19"/>
          <w:szCs w:val="19"/>
        </w:rPr>
      </w:pPr>
      <w:r>
        <w:rPr>
          <w:color w:val="000000"/>
          <w:spacing w:val="0"/>
          <w:w w:val="100"/>
          <w:position w:val="0"/>
          <w:sz w:val="19"/>
          <w:szCs w:val="19"/>
        </w:rPr>
        <w:t>公司聘请的报告期内履行持续督导职责的财务顾问</w:t>
      </w:r>
    </w:p>
    <w:p>
      <w:pPr>
        <w:pStyle w:val="Style18"/>
        <w:keepNext w:val="0"/>
        <w:keepLines w:val="0"/>
        <w:widowControl w:val="0"/>
        <w:shd w:val="clear" w:color="auto" w:fill="auto"/>
        <w:bidi w:val="0"/>
        <w:spacing w:before="0" w:after="240" w:line="30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2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18"/>
        <w:keepNext w:val="0"/>
        <w:keepLines w:val="0"/>
        <w:widowControl w:val="0"/>
        <w:shd w:val="clear" w:color="auto" w:fill="auto"/>
        <w:bidi w:val="0"/>
        <w:spacing w:before="0" w:after="80" w:line="346" w:lineRule="exact"/>
        <w:ind w:left="0" w:right="0" w:firstLine="0"/>
        <w:jc w:val="left"/>
        <w:rPr>
          <w:sz w:val="19"/>
          <w:szCs w:val="19"/>
        </w:rPr>
      </w:pPr>
      <w:r>
        <w:rPr>
          <w:color w:val="000000"/>
          <w:spacing w:val="0"/>
          <w:w w:val="100"/>
          <w:position w:val="0"/>
          <w:sz w:val="19"/>
          <w:szCs w:val="19"/>
        </w:rPr>
        <w:t xml:space="preserve">公司是否需追溯调整或重述以前年度会计数据 </w:t>
      </w:r>
      <w:r>
        <w:rPr>
          <w:color w:val="000000"/>
          <w:spacing w:val="0"/>
          <w:w w:val="100"/>
          <w:position w:val="0"/>
          <w:sz w:val="20"/>
          <w:szCs w:val="20"/>
        </w:rPr>
        <w:t>口</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1,606,094,997.41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1,758,402,676.54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1,672,394,416.43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-92,693,694.24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-281,841,963.94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-80,995,233.02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-40,954,647.92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-425,204,607.28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-188,140,476.25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-136,562,562.86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2,936,546,067.80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3,142,376,101.15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3,150,369,309.38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2,161,496,476.32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2,255,202,219.10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2,246,128,858.35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能力存在不确定性</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扣除非经常损益前后的净利润孰低者为负值</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1,606,094,997.41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1,758,402,676.54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52,114,985.15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1,553,980,012.26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1,728,398,786.84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r>
    </w:tbl>
    <w:p>
      <w:pPr>
        <w:widowControl w:val="0"/>
        <w:spacing w:after="339" w:line="1" w:lineRule="exact"/>
      </w:pPr>
    </w:p>
    <w:p>
      <w:pPr>
        <w:pStyle w:val="Style22"/>
        <w:keepNext/>
        <w:keepLines/>
        <w:widowControl w:val="0"/>
        <w:shd w:val="clear" w:color="auto" w:fill="auto"/>
        <w:tabs>
          <w:tab w:pos="522" w:val="left"/>
        </w:tabs>
        <w:bidi w:val="0"/>
        <w:spacing w:before="0" w:after="34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0"/>
        <w:keepNext/>
        <w:keepLines/>
        <w:widowControl w:val="0"/>
        <w:shd w:val="clear" w:color="auto" w:fill="auto"/>
        <w:tabs>
          <w:tab w:pos="394"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80" w:line="240" w:lineRule="auto"/>
        <w:ind w:left="0" w:right="0" w:firstLine="0"/>
        <w:jc w:val="both"/>
        <w:rPr>
          <w:sz w:val="19"/>
          <w:szCs w:val="19"/>
        </w:rPr>
      </w:pPr>
      <w:r>
        <w:rPr>
          <w:color w:val="000000"/>
          <w:spacing w:val="0"/>
          <w:w w:val="100"/>
          <w:position w:val="0"/>
          <w:sz w:val="19"/>
          <w:szCs w:val="19"/>
        </w:rPr>
        <w:t>公司报告期不存在按照国际会计准则与按照中国会计准则披露的财务报告中净利润和净资产差异情况。</w:t>
      </w:r>
    </w:p>
    <w:p>
      <w:pPr>
        <w:pStyle w:val="Style30"/>
        <w:keepNext/>
        <w:keepLines/>
        <w:widowControl w:val="0"/>
        <w:shd w:val="clear" w:color="auto" w:fill="auto"/>
        <w:tabs>
          <w:tab w:pos="394"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color w:val="000000"/>
          <w:spacing w:val="0"/>
          <w:w w:val="100"/>
          <w:position w:val="0"/>
          <w:sz w:val="19"/>
          <w:szCs w:val="19"/>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267,340,501.64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291,899,978.27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364,995,855.40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681,858,662.10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-17,004,622.72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-1,864,174.95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-21,530,858.99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-52,294,037.58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-21,897,340.81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-9,954,513.18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-28,232,446.95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-20,910,932.08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-282,950,623.24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-84,815,468.28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-15,510,723.05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195,136,338.32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19"/>
          <w:szCs w:val="19"/>
        </w:rPr>
        <w:t xml:space="preserve">是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否</w:t>
      </w:r>
    </w:p>
    <w:p>
      <w:pPr>
        <w:pStyle w:val="Style22"/>
        <w:keepNext/>
        <w:keepLines/>
        <w:widowControl w:val="0"/>
        <w:shd w:val="clear" w:color="auto" w:fill="auto"/>
        <w:bidi w:val="0"/>
        <w:spacing w:before="0" w:after="34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19"/>
          <w:szCs w:val="19"/>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-33,937,759.82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-2,138,434.77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1,778,466.33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4,644,870.61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1,773,397.56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7,507,093.70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25,555,739.96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56,684,180.33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59,862,815.08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-5,877,406.94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-4,704,902.50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-2,956,084.13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81,553,115.71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2,083,905.03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3,759,405.96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4,189,841.23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192,922.12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-11,698,461.22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47,854,834.66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143,362,643.34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80" w:line="312" w:lineRule="exact"/>
        <w:ind w:left="0" w:right="0" w:firstLine="0"/>
        <w:jc w:val="left"/>
        <w:rPr>
          <w:sz w:val="19"/>
          <w:szCs w:val="19"/>
        </w:rPr>
      </w:pPr>
      <w:r>
        <w:rPr>
          <w:color w:val="000000"/>
          <w:spacing w:val="0"/>
          <w:w w:val="100"/>
          <w:position w:val="0"/>
          <w:sz w:val="19"/>
          <w:szCs w:val="19"/>
        </w:rPr>
        <w:t>其他符合非经常性损益定义的损益项目的具体情况：</w:t>
      </w:r>
    </w:p>
    <w:p>
      <w:pPr>
        <w:pStyle w:val="Style18"/>
        <w:keepNext w:val="0"/>
        <w:keepLines w:val="0"/>
        <w:widowControl w:val="0"/>
        <w:shd w:val="clear" w:color="auto" w:fill="auto"/>
        <w:bidi w:val="0"/>
        <w:spacing w:before="0" w:after="0" w:line="271"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公司不存在其他符合非经常性损益定义的损益项目的具体情况。</w:t>
      </w:r>
    </w:p>
    <w:p>
      <w:pPr>
        <w:pStyle w:val="Style18"/>
        <w:keepNext w:val="0"/>
        <w:keepLines w:val="0"/>
        <w:widowControl w:val="0"/>
        <w:shd w:val="clear" w:color="auto" w:fill="auto"/>
        <w:bidi w:val="0"/>
        <w:spacing w:before="0" w:after="80" w:line="312" w:lineRule="exact"/>
        <w:ind w:left="0" w:right="0" w:firstLine="0"/>
        <w:jc w:val="left"/>
        <w:rPr>
          <w:sz w:val="19"/>
          <w:szCs w:val="19"/>
        </w:rPr>
      </w:pPr>
      <w:r>
        <w:rPr>
          <w:color w:val="000000"/>
          <w:spacing w:val="0"/>
          <w:w w:val="100"/>
          <w:position w:val="0"/>
          <w:sz w:val="19"/>
          <w:szCs w:val="19"/>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19"/>
          <w:szCs w:val="19"/>
        </w:rPr>
        <w:t>号一非经常性损益》中列举的非经常性损益项目界定为经 常性损益项目的情况说明</w:t>
      </w:r>
    </w:p>
    <w:p>
      <w:pPr>
        <w:pStyle w:val="Style18"/>
        <w:keepNext w:val="0"/>
        <w:keepLines w:val="0"/>
        <w:widowControl w:val="0"/>
        <w:shd w:val="clear" w:color="auto" w:fill="auto"/>
        <w:bidi w:val="0"/>
        <w:spacing w:before="0" w:after="0" w:line="271"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该项政府补助系与公司正常经营业务密切相关，符合国家政策规 定、按照一定标准定额和定量持续享受的政府补助。</w:t>
            </w:r>
          </w:p>
        </w:tc>
      </w:tr>
    </w:tbl>
    <w:p>
      <w:pPr>
        <w:sectPr>
          <w:footnotePr>
            <w:pos w:val="pageBottom"/>
            <w:numFmt w:val="decimal"/>
            <w:numRestart w:val="continuous"/>
          </w:footnotePr>
          <w:pgSz w:w="11900" w:h="16840"/>
          <w:pgMar w:top="1441" w:right="1142" w:bottom="1556" w:left="1082" w:header="0" w:footer="3" w:gutter="0"/>
          <w:cols w:space="720"/>
          <w:noEndnote/>
          <w:rtlGutter w:val="0"/>
          <w:docGrid w:linePitch="360"/>
        </w:sectPr>
      </w:pPr>
    </w:p>
    <w:p>
      <w:pPr>
        <w:pStyle w:val="Style10"/>
        <w:keepNext/>
        <w:keepLines/>
        <w:widowControl w:val="0"/>
        <w:shd w:val="clear" w:color="auto" w:fill="auto"/>
        <w:bidi w:val="0"/>
        <w:spacing w:before="600" w:after="56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2"/>
        <w:keepNext/>
        <w:keepLines/>
        <w:widowControl w:val="0"/>
        <w:shd w:val="clear" w:color="auto" w:fill="auto"/>
        <w:bidi w:val="0"/>
        <w:spacing w:before="0" w:after="24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、报告期内公司所处的行业情况</w:t>
      </w:r>
      <w:bookmarkEnd w:id="60"/>
      <w:bookmarkEnd w:id="61"/>
      <w:bookmarkEnd w:id="63"/>
      <w:bookmarkEnd w:id="59"/>
    </w:p>
    <w:p>
      <w:pPr>
        <w:pStyle w:val="Style18"/>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公司所处行业为软件和信息技术服务业。</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年，数字经济愈发成为国家战略的关键词。</w:t>
      </w:r>
      <w:r>
        <w:rPr>
          <w:color w:val="000000"/>
          <w:spacing w:val="0"/>
          <w:w w:val="100"/>
          <w:position w:val="0"/>
        </w:rPr>
        <w:t>2021</w:t>
      </w:r>
      <w:r>
        <w:rPr>
          <w:color w:val="000000"/>
          <w:spacing w:val="0"/>
          <w:w w:val="100"/>
          <w:position w:val="0"/>
        </w:rPr>
        <w:t>年底，国务院印发了《“十四五”数字经济发展 规划》，指出数字经济是继农业经济、工业经济之后的主要经济形态，是以数据资源为关键要素，以现代 信息网络为主要载体，以信息通信技术融合应用、全要素数字化转型为重要推动力，促进公平与效率更加 统一的新经济形态。截止到</w:t>
      </w:r>
      <w:r>
        <w:rPr>
          <w:color w:val="000000"/>
          <w:spacing w:val="0"/>
          <w:w w:val="100"/>
          <w:position w:val="0"/>
        </w:rPr>
        <w:t>2021</w:t>
      </w:r>
      <w:r>
        <w:rPr>
          <w:color w:val="000000"/>
          <w:spacing w:val="0"/>
          <w:w w:val="100"/>
          <w:position w:val="0"/>
        </w:rPr>
        <w:t>年末，中国数字经济及相关产业规模预计达到</w:t>
      </w:r>
      <w:r>
        <w:rPr>
          <w:color w:val="000000"/>
          <w:spacing w:val="0"/>
          <w:w w:val="100"/>
          <w:position w:val="0"/>
        </w:rPr>
        <w:t>42.4</w:t>
      </w:r>
      <w:r>
        <w:rPr>
          <w:color w:val="000000"/>
          <w:spacing w:val="0"/>
          <w:w w:val="100"/>
          <w:position w:val="0"/>
        </w:rPr>
        <w:t>万亿元，环比增长</w:t>
      </w:r>
      <w:r>
        <w:rPr>
          <w:color w:val="000000"/>
          <w:spacing w:val="0"/>
          <w:w w:val="100"/>
          <w:position w:val="0"/>
        </w:rPr>
        <w:t xml:space="preserve">8.2%， </w:t>
      </w:r>
      <w:r>
        <w:rPr>
          <w:color w:val="000000"/>
          <w:spacing w:val="0"/>
          <w:w w:val="100"/>
          <w:position w:val="0"/>
        </w:rPr>
        <w:t>数字经济已成为社会经济增长的重要动能，目标到</w:t>
      </w:r>
      <w:r>
        <w:rPr>
          <w:color w:val="000000"/>
          <w:spacing w:val="0"/>
          <w:w w:val="100"/>
          <w:position w:val="0"/>
        </w:rPr>
        <w:t>2025</w:t>
      </w:r>
      <w:r>
        <w:rPr>
          <w:color w:val="000000"/>
          <w:spacing w:val="0"/>
          <w:w w:val="100"/>
          <w:position w:val="0"/>
        </w:rPr>
        <w:t>年，数字经济核心产业增加值占</w:t>
      </w:r>
      <w:r>
        <w:rPr>
          <w:color w:val="000000"/>
          <w:spacing w:val="0"/>
          <w:w w:val="100"/>
          <w:position w:val="0"/>
        </w:rPr>
        <w:t>GDP</w:t>
      </w:r>
      <w:r>
        <w:rPr>
          <w:color w:val="000000"/>
          <w:spacing w:val="0"/>
          <w:w w:val="100"/>
          <w:position w:val="0"/>
        </w:rPr>
        <w:t>比重达到</w:t>
      </w:r>
      <w:r>
        <w:rPr>
          <w:color w:val="000000"/>
          <w:spacing w:val="0"/>
          <w:w w:val="100"/>
          <w:position w:val="0"/>
        </w:rPr>
        <w:t>10%</w:t>
      </w:r>
      <w:r>
        <w:rPr>
          <w:color w:val="000000"/>
          <w:spacing w:val="0"/>
          <w:w w:val="100"/>
          <w:position w:val="0"/>
        </w:rPr>
        <w:t>。</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“十四五”期间，软件和信息技术服务业将继续成为数字经济的支柱产业。根据工信部统计数据，</w:t>
      </w:r>
      <w:r>
        <w:rPr>
          <w:color w:val="000000"/>
          <w:spacing w:val="0"/>
          <w:w w:val="100"/>
          <w:position w:val="0"/>
        </w:rPr>
        <w:t xml:space="preserve">2021 </w:t>
      </w:r>
      <w:r>
        <w:rPr>
          <w:color w:val="000000"/>
          <w:spacing w:val="0"/>
          <w:w w:val="100"/>
          <w:position w:val="0"/>
        </w:rPr>
        <w:t>年，我国软件和信息技术服务业实现全行业总收入</w:t>
      </w:r>
      <w:r>
        <w:rPr>
          <w:color w:val="000000"/>
          <w:spacing w:val="0"/>
          <w:w w:val="100"/>
          <w:position w:val="0"/>
        </w:rPr>
        <w:t>9.5</w:t>
      </w:r>
      <w:r>
        <w:rPr>
          <w:color w:val="000000"/>
          <w:spacing w:val="0"/>
          <w:w w:val="100"/>
          <w:position w:val="0"/>
        </w:rPr>
        <w:t>万亿，同比增长</w:t>
      </w:r>
      <w:r>
        <w:rPr>
          <w:color w:val="000000"/>
          <w:spacing w:val="0"/>
          <w:w w:val="100"/>
          <w:position w:val="0"/>
        </w:rPr>
        <w:t>17.7%，</w:t>
      </w:r>
      <w:r>
        <w:rPr>
          <w:color w:val="000000"/>
          <w:spacing w:val="0"/>
          <w:w w:val="100"/>
          <w:position w:val="0"/>
        </w:rPr>
        <w:t>增速同比提升了</w:t>
      </w:r>
      <w:r>
        <w:rPr>
          <w:color w:val="000000"/>
          <w:spacing w:val="0"/>
          <w:w w:val="100"/>
          <w:position w:val="0"/>
        </w:rPr>
        <w:t>4.5%，</w:t>
      </w:r>
      <w:r>
        <w:rPr>
          <w:color w:val="000000"/>
          <w:spacing w:val="0"/>
          <w:w w:val="100"/>
          <w:position w:val="0"/>
        </w:rPr>
        <w:t>回暖 明显。作为“十四五”开局之年，软件和信息技术服务业将聚焦于做大做强、突破关键技术创新，为加快 推动数字产业化添砖加瓦。</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站在建设全国统一大市场的角度，数据要素建设成为当务之急。</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日，第十三届全国人民 代表大会常务委员会第二十九次会议通过《中华人民共和国数据安全法》，自</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日起施行。《中 华人民共和国数据安全法》从数据安全与发展，安全制度，安全保护义务，政务数据安全与开放四大领域 结合整体数字经济的发展提出了发展与安全并重的具体要求。从这个角度上，数据已真正成为继劳动、土 地、资本之外的新要素，相应的数据市场应运而生，软件技术、大数据、隐私计算等将获得发展机遇，政 府和企业的信息化投资、信息化转型有望获得新的增量空间。</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金融行业是我国支柱产业之一，金融行业也是我国信息化程度最高的行业之一，信息技术系统已成为 我国金融业的重要基础设施，而金融科技已成为金融行业参与者提升效率并有效降低运营成本的重要手 段。在当前内外环境下，加码金融科技是我国金融行业发展的必经之路。近期，中国人民银行印发《金融 科技发展规划</w:t>
      </w:r>
      <w:r>
        <w:rPr>
          <w:color w:val="000000"/>
          <w:spacing w:val="0"/>
          <w:w w:val="100"/>
          <w:position w:val="0"/>
        </w:rPr>
        <w:t>（</w:t>
      </w:r>
      <w:r>
        <w:rPr>
          <w:color w:val="000000"/>
          <w:spacing w:val="0"/>
          <w:w w:val="100"/>
          <w:position w:val="0"/>
        </w:rPr>
        <w:t>2022—2025</w:t>
      </w:r>
      <w:r>
        <w:rPr>
          <w:color w:val="000000"/>
          <w:spacing w:val="0"/>
          <w:w w:val="100"/>
          <w:position w:val="0"/>
        </w:rPr>
        <w:t>年）》，重在解决金融科技发展不平衡不充分等问题，推动金融科技健全治理 体系，完善数字基础设施，促进金融与科技更深度融合、更持续发展，更好地满足数字经济时代提出的新 要求、新任务，实现数据要素价值充分释放。</w:t>
      </w:r>
    </w:p>
    <w:p>
      <w:pPr>
        <w:pStyle w:val="Style1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 xml:space="preserve">政府和企业信息化投资需求保持持续增长。政府行业是国内信息化应用较为成熟的领域之一，近年来， 在国家大力加强智慧城市建设、鼓励利用信息化手段提升政务管理和政务服务水平的背景下，政府信息化 </w:t>
      </w:r>
      <w:r>
        <w:rPr>
          <w:color w:val="000000"/>
          <w:spacing w:val="0"/>
          <w:w w:val="100"/>
          <w:position w:val="0"/>
        </w:rPr>
        <w:t>市场保持较快增长态势。“十四五”期间，信创产业加速落地，将成为产业升级和数字经济发展的重要推 动力。企业信息化是推动国民经济增长、提升社会生产效率的强大动力，在企业转型升级、劳动力成本上 升的背景下，越来越多企业意识到智能化、信息化与自身业务融合的重要性，从而催生出企业持续的信息 化建设需求。</w:t>
      </w:r>
    </w:p>
    <w:p>
      <w:pPr>
        <w:pStyle w:val="Style22"/>
        <w:keepNext/>
        <w:keepLines/>
        <w:widowControl w:val="0"/>
        <w:shd w:val="clear" w:color="auto" w:fill="auto"/>
        <w:bidi w:val="0"/>
        <w:spacing w:before="0" w:after="20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、报告期内公司从事的主要业务</w:t>
      </w:r>
      <w:bookmarkEnd w:id="64"/>
      <w:bookmarkEnd w:id="65"/>
      <w:bookmarkEnd w:id="67"/>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报告期内，公司继续以数字科技为切入点，围绕金融机构、政府与公用事业、企业等客户群体，提供 金融科技和数据中心综合服务，在业务实施中融合区块链、隐私计算等科技创新业务，并积极探索央行数 字货币在各领域的应用，并通过科技赋能帮助客户实现新一轮数字化升级。主要业务模式包括系统集成、 技术服务及软件产品开发等。</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公司依托长年扎根金融、政府与公共事业、企业业务领域所积累的丰富技术成果、专业经验和优质客 户资源，深入了解挖掘现有客户需求，并加以引领、合理规划，引导客户形成及完善新的需求，以获取继 续与客户进行深入合作的机会，增强客户粘性，进一步夯实公司传统领域的优势业务。</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公司在坚持发展传统业务的同时，在业务实施中融合科技创新，积极探索布局创新业务。报告期内， 公司在创新业务方面，开展了以下工作：</w:t>
      </w:r>
    </w:p>
    <w:p>
      <w:pPr>
        <w:pStyle w:val="Style18"/>
        <w:keepNext w:val="0"/>
        <w:keepLines w:val="0"/>
        <w:widowControl w:val="0"/>
        <w:shd w:val="clear" w:color="auto" w:fill="auto"/>
        <w:tabs>
          <w:tab w:pos="746" w:val="left"/>
        </w:tabs>
        <w:bidi w:val="0"/>
        <w:spacing w:before="0" w:after="0" w:line="469" w:lineRule="exact"/>
        <w:ind w:left="0" w:right="0" w:firstLine="440"/>
        <w:jc w:val="both"/>
      </w:pPr>
      <w:bookmarkStart w:id="68" w:name="bookmark68"/>
      <w:r>
        <w:rPr>
          <w:color w:val="000000"/>
          <w:spacing w:val="0"/>
          <w:w w:val="100"/>
          <w:position w:val="0"/>
        </w:rPr>
        <w:t>1</w:t>
      </w:r>
      <w:bookmarkEnd w:id="68"/>
      <w:r>
        <w:rPr>
          <w:color w:val="000000"/>
          <w:spacing w:val="0"/>
          <w:w w:val="100"/>
          <w:position w:val="0"/>
        </w:rPr>
        <w:t>、</w:t>
        <w:tab/>
        <w:t>数字货币业务。报告期内，公司积极探索布局央行数字货币的业务发展，公司与多家银行积极沟 通交流，明确业务发展方向。首先，公司与获得央行首批运营资格的多家银行签订了数字人民币合作协议， 建立了合作伙伴关系，奠定公司数字人民币业务基础；其次，公司自行研发并已推出了中科数字钱包以及 配套的营销服务工具，以技术服务和运营服务为主要抓手，先期重点面向银行的数字人民币对公客户，与 银行共同推广。</w:t>
      </w:r>
    </w:p>
    <w:p>
      <w:pPr>
        <w:pStyle w:val="Style18"/>
        <w:keepNext w:val="0"/>
        <w:keepLines w:val="0"/>
        <w:widowControl w:val="0"/>
        <w:shd w:val="clear" w:color="auto" w:fill="auto"/>
        <w:tabs>
          <w:tab w:pos="746" w:val="left"/>
        </w:tabs>
        <w:bidi w:val="0"/>
        <w:spacing w:before="0" w:after="0" w:line="469" w:lineRule="exact"/>
        <w:ind w:left="0" w:right="0" w:firstLine="440"/>
        <w:jc w:val="both"/>
      </w:pPr>
      <w:bookmarkStart w:id="69" w:name="bookmark69"/>
      <w:r>
        <w:rPr>
          <w:color w:val="000000"/>
          <w:spacing w:val="0"/>
          <w:w w:val="100"/>
          <w:position w:val="0"/>
        </w:rPr>
        <w:t>2</w:t>
      </w:r>
      <w:bookmarkEnd w:id="69"/>
      <w:r>
        <w:rPr>
          <w:color w:val="000000"/>
          <w:spacing w:val="0"/>
          <w:w w:val="100"/>
          <w:position w:val="0"/>
        </w:rPr>
        <w:t>、</w:t>
        <w:tab/>
        <w:t>区块链业务。报告期内，公司已经取得了多项区块链技术成果，持续在金融、商业、政务监管、 民生等领域进行区块链应用的探索。公司</w:t>
      </w:r>
      <w:r>
        <w:rPr>
          <w:color w:val="000000"/>
          <w:spacing w:val="0"/>
          <w:w w:val="100"/>
          <w:position w:val="0"/>
        </w:rPr>
        <w:t>2020</w:t>
      </w:r>
      <w:r>
        <w:rPr>
          <w:color w:val="000000"/>
          <w:spacing w:val="0"/>
          <w:w w:val="100"/>
          <w:position w:val="0"/>
        </w:rPr>
        <w:t>年中标的国家工业和信息化部工业互联网创新发展工程区块 链公共服务平台项目已完成开发建设并进入推广阶段。公司自</w:t>
      </w:r>
      <w:r>
        <w:rPr>
          <w:color w:val="000000"/>
          <w:spacing w:val="0"/>
          <w:w w:val="100"/>
          <w:position w:val="0"/>
        </w:rPr>
        <w:t>2016</w:t>
      </w:r>
      <w:r>
        <w:rPr>
          <w:color w:val="000000"/>
          <w:spacing w:val="0"/>
          <w:w w:val="100"/>
          <w:position w:val="0"/>
        </w:rPr>
        <w:t>年设立区块链事业部并发布第一代产品 至今，已迭代数轮，目前已形成“中科金财</w:t>
      </w:r>
      <w:r>
        <w:rPr>
          <w:color w:val="000000"/>
          <w:spacing w:val="0"/>
          <w:w w:val="100"/>
          <w:position w:val="0"/>
        </w:rPr>
        <w:t>BaaS</w:t>
      </w:r>
      <w:r>
        <w:rPr>
          <w:color w:val="000000"/>
          <w:spacing w:val="0"/>
          <w:w w:val="100"/>
          <w:position w:val="0"/>
        </w:rPr>
        <w:t>”服务系统，作为搭建高性能、高可用和高安全的区块 链商业应用的底层平台。</w:t>
      </w:r>
    </w:p>
    <w:p>
      <w:pPr>
        <w:pStyle w:val="Style18"/>
        <w:keepNext w:val="0"/>
        <w:keepLines w:val="0"/>
        <w:widowControl w:val="0"/>
        <w:shd w:val="clear" w:color="auto" w:fill="auto"/>
        <w:tabs>
          <w:tab w:pos="746" w:val="left"/>
        </w:tabs>
        <w:bidi w:val="0"/>
        <w:spacing w:before="0" w:after="200" w:line="469" w:lineRule="exact"/>
        <w:ind w:left="0" w:right="0" w:firstLine="440"/>
        <w:jc w:val="both"/>
      </w:pPr>
      <w:bookmarkStart w:id="70" w:name="bookmark70"/>
      <w:r>
        <w:rPr>
          <w:color w:val="000000"/>
          <w:spacing w:val="0"/>
          <w:w w:val="100"/>
          <w:position w:val="0"/>
        </w:rPr>
        <w:t>3</w:t>
      </w:r>
      <w:bookmarkEnd w:id="70"/>
      <w:r>
        <w:rPr>
          <w:color w:val="000000"/>
          <w:spacing w:val="0"/>
          <w:w w:val="100"/>
          <w:position w:val="0"/>
        </w:rPr>
        <w:t>、</w:t>
        <w:tab/>
        <w:t>隐私计算业务。报告期内，公司已经取得了多项隐私计算技术成果。我国《数据安全法》的颁布， 加速让数据成为流动的生产要素，以此为契机，公司加强在多方安全计算、联邦学习算法方面的积累，目 前已形成“中科金财安全多方计算平台”，业务场景可涵盖金融、海关、运营商、政务、医疗、司法监管、 工业互联网等。</w:t>
      </w:r>
    </w:p>
    <w:p>
      <w:pPr>
        <w:pStyle w:val="Style22"/>
        <w:keepNext/>
        <w:keepLines/>
        <w:widowControl w:val="0"/>
        <w:shd w:val="clear" w:color="auto" w:fill="auto"/>
        <w:bidi w:val="0"/>
        <w:spacing w:before="0" w:after="18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18"/>
        <w:keepNext w:val="0"/>
        <w:keepLines w:val="0"/>
        <w:widowControl w:val="0"/>
        <w:shd w:val="clear" w:color="auto" w:fill="auto"/>
        <w:tabs>
          <w:tab w:pos="758" w:val="left"/>
        </w:tabs>
        <w:bidi w:val="0"/>
        <w:spacing w:before="0" w:after="0" w:line="468" w:lineRule="exact"/>
        <w:ind w:left="0" w:right="0" w:firstLine="440"/>
        <w:jc w:val="both"/>
      </w:pPr>
      <w:bookmarkStart w:id="75" w:name="bookmark75"/>
      <w:r>
        <w:rPr>
          <w:color w:val="000000"/>
          <w:spacing w:val="0"/>
          <w:w w:val="100"/>
          <w:position w:val="0"/>
        </w:rPr>
        <w:t>1</w:t>
      </w:r>
      <w:bookmarkEnd w:id="75"/>
      <w:r>
        <w:rPr>
          <w:color w:val="000000"/>
          <w:spacing w:val="0"/>
          <w:w w:val="100"/>
          <w:position w:val="0"/>
        </w:rPr>
        <w:t>、</w:t>
        <w:tab/>
        <w:t>在数字经济领域长期坚定的发展战略和广受信任的品牌形象</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公司坚持科技创新，围绕数字化的长期愿景，坚决贯彻可持续的发展战略。伴随着软件及信息技术的 不断迭代，公司在软件集成、大数据、区块链、隐私计算等领域不断拓展，得到政府部门、资本市场与社 会各界的广泛认可。公司是北京区块链技术应用协会会长单位、</w:t>
      </w:r>
      <w:r>
        <w:rPr>
          <w:color w:val="000000"/>
          <w:spacing w:val="0"/>
          <w:w w:val="100"/>
          <w:position w:val="0"/>
        </w:rPr>
        <w:t>AAA</w:t>
      </w:r>
      <w:r>
        <w:rPr>
          <w:color w:val="000000"/>
          <w:spacing w:val="0"/>
          <w:w w:val="100"/>
          <w:position w:val="0"/>
        </w:rPr>
        <w:t xml:space="preserve">级重合同守信用单位、 </w:t>
      </w:r>
      <w:r>
        <w:rPr>
          <w:color w:val="000000"/>
          <w:spacing w:val="0"/>
          <w:w w:val="100"/>
          <w:position w:val="0"/>
        </w:rPr>
        <w:t>2021/2020/2019/2018</w:t>
      </w:r>
      <w:r>
        <w:rPr>
          <w:color w:val="000000"/>
          <w:spacing w:val="0"/>
          <w:w w:val="100"/>
          <w:position w:val="0"/>
        </w:rPr>
        <w:t>年北京软件和信息服务业综合实力百强企业、</w:t>
      </w:r>
      <w:r>
        <w:rPr>
          <w:color w:val="000000"/>
          <w:spacing w:val="0"/>
          <w:w w:val="100"/>
          <w:position w:val="0"/>
        </w:rPr>
        <w:t>2021</w:t>
      </w:r>
      <w:r>
        <w:rPr>
          <w:color w:val="000000"/>
          <w:spacing w:val="0"/>
          <w:w w:val="100"/>
          <w:position w:val="0"/>
        </w:rPr>
        <w:t>中国区块链名企、</w:t>
      </w:r>
      <w:r>
        <w:rPr>
          <w:color w:val="000000"/>
          <w:spacing w:val="0"/>
          <w:w w:val="100"/>
          <w:position w:val="0"/>
        </w:rPr>
        <w:t>2021</w:t>
      </w:r>
      <w:r>
        <w:rPr>
          <w:color w:val="000000"/>
          <w:spacing w:val="0"/>
          <w:w w:val="100"/>
          <w:position w:val="0"/>
        </w:rPr>
        <w:t>中国方案 商营收百强、</w:t>
      </w:r>
      <w:r>
        <w:rPr>
          <w:color w:val="000000"/>
          <w:spacing w:val="0"/>
          <w:w w:val="100"/>
          <w:position w:val="0"/>
        </w:rPr>
        <w:t>2021</w:t>
      </w:r>
      <w:r>
        <w:rPr>
          <w:color w:val="000000"/>
          <w:spacing w:val="0"/>
          <w:w w:val="100"/>
          <w:position w:val="0"/>
        </w:rPr>
        <w:t>中国企业成长百强，获得了五星级售后服务认证，董事长朱烨东荣获“中关村科学城创 新工匠”称号。此外，公司与中国人民银行科技司、货币政策司等单位合作撰写的《中国金融科技发展报 告》、《中国区块链发展报告》、《中国监管科技发展报告》系列报告，均由公司董事长朱烨东博士担任 执行主编，获得了诸多业内专家的一致认可及行业用户的高度重视。</w:t>
      </w:r>
    </w:p>
    <w:p>
      <w:pPr>
        <w:pStyle w:val="Style18"/>
        <w:keepNext w:val="0"/>
        <w:keepLines w:val="0"/>
        <w:widowControl w:val="0"/>
        <w:shd w:val="clear" w:color="auto" w:fill="auto"/>
        <w:tabs>
          <w:tab w:pos="758" w:val="left"/>
        </w:tabs>
        <w:bidi w:val="0"/>
        <w:spacing w:before="0" w:after="0" w:line="468" w:lineRule="exact"/>
        <w:ind w:left="0" w:right="0" w:firstLine="440"/>
        <w:jc w:val="both"/>
      </w:pPr>
      <w:bookmarkStart w:id="76" w:name="bookmark76"/>
      <w:r>
        <w:rPr>
          <w:color w:val="000000"/>
          <w:spacing w:val="0"/>
          <w:w w:val="100"/>
          <w:position w:val="0"/>
        </w:rPr>
        <w:t>2</w:t>
      </w:r>
      <w:bookmarkEnd w:id="76"/>
      <w:r>
        <w:rPr>
          <w:color w:val="000000"/>
          <w:spacing w:val="0"/>
          <w:w w:val="100"/>
          <w:position w:val="0"/>
        </w:rPr>
        <w:t>、</w:t>
        <w:tab/>
        <w:t>专业为本，技术领先</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公司所处的软件信息行业，技术迭代快、综合要求高，需要专业且专注的技术能力。公司是国家规划 布局内重点软件企业、国家火炬计划重点高新技术企业、国家高新技术企业、北京市火炬计划企业、北京 市经信委“四个一批”工程企业、中关村“十百千工程”企业等系列资质。公司是</w:t>
      </w:r>
      <w:r>
        <w:rPr>
          <w:color w:val="000000"/>
          <w:spacing w:val="0"/>
          <w:w w:val="100"/>
          <w:position w:val="0"/>
        </w:rPr>
        <w:t>ITSS</w:t>
      </w:r>
      <w:r>
        <w:rPr>
          <w:color w:val="000000"/>
          <w:spacing w:val="0"/>
          <w:w w:val="100"/>
          <w:position w:val="0"/>
        </w:rPr>
        <w:t xml:space="preserve">分会副会长单位、 </w:t>
      </w:r>
      <w:r>
        <w:rPr>
          <w:color w:val="000000"/>
          <w:spacing w:val="0"/>
          <w:w w:val="100"/>
          <w:position w:val="0"/>
        </w:rPr>
        <w:t>ITSS</w:t>
      </w:r>
      <w:r>
        <w:rPr>
          <w:color w:val="000000"/>
          <w:spacing w:val="0"/>
          <w:w w:val="100"/>
          <w:position w:val="0"/>
        </w:rPr>
        <w:t>全权成员单位、信创工委会成员、中国信息协会常务理事单位和信息技术服务专业委员会副会长单位。 公司还通过了</w:t>
      </w:r>
      <w:r>
        <w:rPr>
          <w:color w:val="000000"/>
          <w:spacing w:val="0"/>
          <w:w w:val="100"/>
          <w:position w:val="0"/>
        </w:rPr>
        <w:t>ISO20000</w:t>
      </w:r>
      <w:r>
        <w:rPr>
          <w:color w:val="000000"/>
          <w:spacing w:val="0"/>
          <w:w w:val="100"/>
          <w:position w:val="0"/>
        </w:rPr>
        <w:t>服务管理体系认证、</w:t>
      </w:r>
      <w:r>
        <w:rPr>
          <w:color w:val="000000"/>
          <w:spacing w:val="0"/>
          <w:w w:val="100"/>
          <w:position w:val="0"/>
        </w:rPr>
        <w:t>ISO27001</w:t>
      </w:r>
      <w:r>
        <w:rPr>
          <w:color w:val="000000"/>
          <w:spacing w:val="0"/>
          <w:w w:val="100"/>
          <w:position w:val="0"/>
        </w:rPr>
        <w:t>信息安全管理体系认证、</w:t>
      </w:r>
      <w:r>
        <w:rPr>
          <w:color w:val="000000"/>
          <w:spacing w:val="0"/>
          <w:w w:val="100"/>
          <w:position w:val="0"/>
        </w:rPr>
        <w:t>ISO9001</w:t>
      </w:r>
      <w:r>
        <w:rPr>
          <w:color w:val="000000"/>
          <w:spacing w:val="0"/>
          <w:w w:val="100"/>
          <w:position w:val="0"/>
        </w:rPr>
        <w:t xml:space="preserve">质量管理体系认证、 </w:t>
      </w:r>
      <w:r>
        <w:rPr>
          <w:color w:val="000000"/>
          <w:spacing w:val="0"/>
          <w:w w:val="100"/>
          <w:position w:val="0"/>
        </w:rPr>
        <w:t>ISO14001</w:t>
      </w:r>
      <w:r>
        <w:rPr>
          <w:color w:val="000000"/>
          <w:spacing w:val="0"/>
          <w:w w:val="100"/>
          <w:position w:val="0"/>
        </w:rPr>
        <w:t>环境管理体系认证、</w:t>
      </w:r>
      <w:r>
        <w:rPr>
          <w:color w:val="000000"/>
          <w:spacing w:val="0"/>
          <w:w w:val="100"/>
          <w:position w:val="0"/>
        </w:rPr>
        <w:t>ISO45001</w:t>
      </w:r>
      <w:r>
        <w:rPr>
          <w:color w:val="000000"/>
          <w:spacing w:val="0"/>
          <w:w w:val="100"/>
          <w:position w:val="0"/>
        </w:rPr>
        <w:t>职业健康管理体系认证、软件能力成熟度模型</w:t>
      </w:r>
      <w:r>
        <w:rPr>
          <w:color w:val="000000"/>
          <w:spacing w:val="0"/>
          <w:w w:val="100"/>
          <w:position w:val="0"/>
        </w:rPr>
        <w:t>CMMI</w:t>
      </w:r>
      <w:r>
        <w:rPr>
          <w:color w:val="000000"/>
          <w:spacing w:val="0"/>
          <w:w w:val="100"/>
          <w:position w:val="0"/>
        </w:rPr>
        <w:t>五级认证，获得 了信息系统建设和服务能力四级资质、</w:t>
      </w:r>
      <w:r>
        <w:rPr>
          <w:color w:val="000000"/>
          <w:spacing w:val="0"/>
          <w:w w:val="100"/>
          <w:position w:val="0"/>
        </w:rPr>
        <w:t>ITSS</w:t>
      </w:r>
      <w:r>
        <w:rPr>
          <w:color w:val="000000"/>
          <w:spacing w:val="0"/>
          <w:w w:val="100"/>
          <w:position w:val="0"/>
        </w:rPr>
        <w:t>信息技术服务运行维护能力成熟度一级证书、安防工程企业一 级资质证书、音视频智能系统集成工程一级资质证书、信息安全服务资质证书（安全工程一级）、增值电 信业务经营许可证（经营性</w:t>
      </w:r>
      <w:r>
        <w:rPr>
          <w:color w:val="000000"/>
          <w:spacing w:val="0"/>
          <w:w w:val="100"/>
          <w:position w:val="0"/>
        </w:rPr>
        <w:t>ICP</w:t>
      </w:r>
      <w:r>
        <w:rPr>
          <w:color w:val="000000"/>
          <w:spacing w:val="0"/>
          <w:w w:val="100"/>
          <w:position w:val="0"/>
        </w:rPr>
        <w:t>和</w:t>
      </w:r>
      <w:r>
        <w:rPr>
          <w:color w:val="000000"/>
          <w:spacing w:val="0"/>
          <w:w w:val="100"/>
          <w:position w:val="0"/>
        </w:rPr>
        <w:t>IDC</w:t>
      </w:r>
      <w:r>
        <w:rPr>
          <w:color w:val="000000"/>
          <w:spacing w:val="0"/>
          <w:w w:val="100"/>
          <w:position w:val="0"/>
        </w:rPr>
        <w:t>证书）、电子与智能化专业承包资质等系列行业核心资质，被认定为 “北京市企业技术中心”及“北京工程实验室”。在信息技术应用创新产业推进中，取得相应业务资质。 取得了北京市新技术新产品证书、计算机软件著作权证书和专利证书</w:t>
      </w:r>
      <w:r>
        <w:rPr>
          <w:color w:val="000000"/>
          <w:spacing w:val="0"/>
          <w:w w:val="100"/>
          <w:position w:val="0"/>
        </w:rPr>
        <w:t>400</w:t>
      </w:r>
      <w:r>
        <w:rPr>
          <w:color w:val="000000"/>
          <w:spacing w:val="0"/>
          <w:w w:val="100"/>
          <w:position w:val="0"/>
        </w:rPr>
        <w:t>多项。公司软件服务业资质完整 性目前居中国软件行业前列。</w:t>
      </w:r>
    </w:p>
    <w:p>
      <w:pPr>
        <w:pStyle w:val="Style18"/>
        <w:keepNext w:val="0"/>
        <w:keepLines w:val="0"/>
        <w:widowControl w:val="0"/>
        <w:shd w:val="clear" w:color="auto" w:fill="auto"/>
        <w:tabs>
          <w:tab w:pos="758" w:val="left"/>
        </w:tabs>
        <w:bidi w:val="0"/>
        <w:spacing w:before="0" w:after="0" w:line="468" w:lineRule="exact"/>
        <w:ind w:left="0" w:right="0" w:firstLine="440"/>
        <w:jc w:val="both"/>
      </w:pPr>
      <w:bookmarkStart w:id="77" w:name="bookmark77"/>
      <w:r>
        <w:rPr>
          <w:color w:val="000000"/>
          <w:spacing w:val="0"/>
          <w:w w:val="100"/>
          <w:position w:val="0"/>
        </w:rPr>
        <w:t>3</w:t>
      </w:r>
      <w:bookmarkEnd w:id="77"/>
      <w:r>
        <w:rPr>
          <w:color w:val="000000"/>
          <w:spacing w:val="0"/>
          <w:w w:val="100"/>
          <w:position w:val="0"/>
        </w:rPr>
        <w:t>、</w:t>
        <w:tab/>
        <w:t>以客户为中心，前瞻且全面的科技服务能力</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公司长期以来为金融机构、政府与公用事业、企业客户提供金融科技和数据中心等科技服务。由于客 户需求有一定差异性、定制化特点，除提供专业技术外，更需要全面的科技服务能力以保证应用落地。基 于对行业的深刻理解，公司能够敏锐地洞察行业客户对科技的需求，前瞻性地规划发展布局，抢占市场先 机。公司还与清华大学五道口金融学院、南开大学金融学院开展战略合作，和昆山杜克大学建立了联合实 验室，以及和北京邮电大学开展深入科研合作，形成了整套“产学研用”研发培训、协同创新体系。以客 </w:t>
      </w:r>
      <w:r>
        <w:rPr>
          <w:color w:val="000000"/>
          <w:spacing w:val="0"/>
          <w:w w:val="100"/>
          <w:position w:val="0"/>
        </w:rPr>
        <w:t>户为中心的经营理念，以及实力雄厚的学术支持，保障公司持续具备的先进的科技服务能力。</w:t>
      </w:r>
    </w:p>
    <w:p>
      <w:pPr>
        <w:pStyle w:val="Style18"/>
        <w:keepNext w:val="0"/>
        <w:keepLines w:val="0"/>
        <w:widowControl w:val="0"/>
        <w:shd w:val="clear" w:color="auto" w:fill="auto"/>
        <w:bidi w:val="0"/>
        <w:spacing w:before="0" w:after="0" w:line="469" w:lineRule="exact"/>
        <w:ind w:left="0" w:right="0" w:firstLine="440"/>
        <w:jc w:val="left"/>
      </w:pPr>
      <w:bookmarkStart w:id="78" w:name="bookmark78"/>
      <w:r>
        <w:rPr>
          <w:color w:val="000000"/>
          <w:spacing w:val="0"/>
          <w:w w:val="100"/>
          <w:position w:val="0"/>
        </w:rPr>
        <w:t>4</w:t>
      </w:r>
      <w:bookmarkEnd w:id="78"/>
      <w:r>
        <w:rPr>
          <w:color w:val="000000"/>
          <w:spacing w:val="0"/>
          <w:w w:val="100"/>
          <w:position w:val="0"/>
        </w:rPr>
        <w:t>、以人为本，践行“中科金财多层级合伙人经营责任制”</w:t>
      </w:r>
    </w:p>
    <w:p>
      <w:pPr>
        <w:pStyle w:val="Style18"/>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公司扎实推行“中科金财多层级合伙人经营责任制”，调动员工参与经营管理，从而实现全员参与的 经营模式。中科金财多层级合伙人经营责任制注重发现及培养经营人才，强调以客户为中心、全局观及组 织协同性，打破了传统企业部门间的隔阂。在实际经营过程中各经营单元体现出极强的经营智慧与合作意 识，大大降低了沟通成本、交易成本、营销成本及运营成本，操作风险大幅降低，劳动生产率大幅提高。 尤其是近年来，面向未来的数字经济、元宇宙时代，面对着不断的技术创新与应用场景，公司的人才需求 越发多层次、多元化，金融科技、密码学、信息论、</w:t>
      </w:r>
      <w:r>
        <w:rPr>
          <w:color w:val="000000"/>
          <w:spacing w:val="0"/>
          <w:w w:val="100"/>
          <w:position w:val="0"/>
        </w:rPr>
        <w:t xml:space="preserve">web3. </w:t>
      </w:r>
      <w:r>
        <w:rPr>
          <w:color w:val="000000"/>
          <w:spacing w:val="0"/>
          <w:w w:val="100"/>
          <w:position w:val="0"/>
        </w:rPr>
        <w:t>0</w:t>
      </w:r>
      <w:r>
        <w:rPr>
          <w:color w:val="000000"/>
          <w:spacing w:val="0"/>
          <w:w w:val="100"/>
          <w:position w:val="0"/>
        </w:rPr>
        <w:t>等全新需求方向不断涌现，中科金财多层级合 伙人经营责任制对人才的吸引、发掘、培养能力已经成为公司重要的核心竞争力之一。</w:t>
      </w:r>
    </w:p>
    <w:p>
      <w:pPr>
        <w:pStyle w:val="Style22"/>
        <w:keepNext/>
        <w:keepLines/>
        <w:widowControl w:val="0"/>
        <w:shd w:val="clear" w:color="auto" w:fill="auto"/>
        <w:bidi w:val="0"/>
        <w:spacing w:before="0" w:after="3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四</w:t>
      </w:r>
      <w:bookmarkEnd w:id="81"/>
      <w:r>
        <w:rPr>
          <w:color w:val="000000"/>
          <w:spacing w:val="0"/>
          <w:w w:val="100"/>
          <w:position w:val="0"/>
          <w:sz w:val="24"/>
          <w:szCs w:val="24"/>
        </w:rPr>
        <w:t>、主营业务分析</w:t>
      </w:r>
      <w:bookmarkEnd w:id="79"/>
      <w:bookmarkEnd w:id="80"/>
      <w:bookmarkEnd w:id="82"/>
    </w:p>
    <w:p>
      <w:pPr>
        <w:pStyle w:val="Style30"/>
        <w:keepNext/>
        <w:keepLines/>
        <w:widowControl w:val="0"/>
        <w:shd w:val="clear" w:color="auto" w:fill="auto"/>
        <w:bidi w:val="0"/>
        <w:spacing w:before="0" w:after="0" w:line="492" w:lineRule="auto"/>
        <w:ind w:left="0" w:right="0" w:firstLine="0"/>
        <w:jc w:val="left"/>
      </w:pPr>
      <w:bookmarkStart w:id="83" w:name="bookmark83"/>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1</w:t>
      </w:r>
      <w:bookmarkEnd w:id="85"/>
      <w:r>
        <w:rPr>
          <w:color w:val="000000"/>
          <w:spacing w:val="0"/>
          <w:w w:val="100"/>
          <w:position w:val="0"/>
        </w:rPr>
        <w:t>、概述</w:t>
      </w:r>
      <w:bookmarkEnd w:id="83"/>
      <w:bookmarkEnd w:id="84"/>
      <w:bookmarkEnd w:id="86"/>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报告期内，公司继续以数字科技为切入点，围绕金融机构、政府与公用事业、企业等客户群体，提供 金融科技和数据中心综合服务，在业务实施中融合区块链、隐私计算等科技创新业务，并积极探索央行数 字货币在各领域的应用，并通过科技赋能帮助客户实现新一轮数字化升级。主要业务模式包括系统集成、 技术服务及软件产品开发等。</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2021</w:t>
      </w:r>
      <w:r>
        <w:rPr>
          <w:color w:val="000000"/>
          <w:spacing w:val="0"/>
          <w:w w:val="100"/>
          <w:position w:val="0"/>
        </w:rPr>
        <w:t>年公司实现营业总收入</w:t>
      </w:r>
      <w:r>
        <w:rPr>
          <w:color w:val="000000"/>
          <w:spacing w:val="0"/>
          <w:w w:val="100"/>
          <w:position w:val="0"/>
        </w:rPr>
        <w:t>1,606,094,997.41</w:t>
      </w:r>
      <w:r>
        <w:rPr>
          <w:color w:val="000000"/>
          <w:spacing w:val="0"/>
          <w:w w:val="100"/>
          <w:position w:val="0"/>
        </w:rPr>
        <w:t>元，较上年下降</w:t>
      </w:r>
      <w:r>
        <w:rPr>
          <w:color w:val="000000"/>
          <w:spacing w:val="0"/>
          <w:w w:val="100"/>
          <w:position w:val="0"/>
        </w:rPr>
        <w:t>8.66%，</w:t>
      </w:r>
      <w:r>
        <w:rPr>
          <w:color w:val="000000"/>
          <w:spacing w:val="0"/>
          <w:w w:val="100"/>
          <w:position w:val="0"/>
        </w:rPr>
        <w:t>营业成本</w:t>
      </w:r>
      <w:r>
        <w:rPr>
          <w:color w:val="000000"/>
          <w:spacing w:val="0"/>
          <w:w w:val="100"/>
          <w:position w:val="0"/>
        </w:rPr>
        <w:t>1,306,918,946.65</w:t>
      </w:r>
      <w:r>
        <w:rPr>
          <w:color w:val="000000"/>
          <w:spacing w:val="0"/>
          <w:w w:val="100"/>
          <w:position w:val="0"/>
        </w:rPr>
        <w:t>元， 综合毛利率为</w:t>
      </w:r>
      <w:r>
        <w:rPr>
          <w:color w:val="000000"/>
          <w:spacing w:val="0"/>
          <w:w w:val="100"/>
          <w:position w:val="0"/>
        </w:rPr>
        <w:t>18.63%</w:t>
      </w:r>
      <w:r>
        <w:rPr>
          <w:color w:val="000000"/>
          <w:spacing w:val="0"/>
          <w:w w:val="100"/>
          <w:position w:val="0"/>
        </w:rPr>
        <w:t>，较上年综合毛利率上升</w:t>
      </w:r>
      <w:r>
        <w:rPr>
          <w:color w:val="000000"/>
          <w:spacing w:val="0"/>
          <w:w w:val="100"/>
          <w:position w:val="0"/>
        </w:rPr>
        <w:t>3.30%</w:t>
      </w:r>
      <w:r>
        <w:rPr>
          <w:color w:val="000000"/>
          <w:spacing w:val="0"/>
          <w:w w:val="100"/>
          <w:position w:val="0"/>
        </w:rPr>
        <w:t>。</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2021</w:t>
      </w:r>
      <w:r>
        <w:rPr>
          <w:color w:val="000000"/>
          <w:spacing w:val="0"/>
          <w:w w:val="100"/>
          <w:position w:val="0"/>
        </w:rPr>
        <w:t>年公司实现归属于上市公司股东的净利润</w:t>
      </w:r>
      <w:r>
        <w:rPr>
          <w:color w:val="000000"/>
          <w:spacing w:val="0"/>
          <w:w w:val="100"/>
          <w:position w:val="0"/>
        </w:rPr>
        <w:t>-92, 693,694.24</w:t>
      </w:r>
      <w:r>
        <w:rPr>
          <w:color w:val="000000"/>
          <w:spacing w:val="0"/>
          <w:w w:val="100"/>
          <w:position w:val="0"/>
        </w:rPr>
        <w:t>元，较上年同期下降</w:t>
      </w:r>
      <w:r>
        <w:rPr>
          <w:color w:val="000000"/>
          <w:spacing w:val="0"/>
          <w:w w:val="100"/>
          <w:position w:val="0"/>
        </w:rPr>
        <w:t>1443.35%；</w:t>
      </w:r>
      <w:r>
        <w:rPr>
          <w:color w:val="000000"/>
          <w:spacing w:val="0"/>
          <w:w w:val="100"/>
          <w:position w:val="0"/>
        </w:rPr>
        <w:t>实现营 业利润</w:t>
      </w:r>
      <w:r>
        <w:rPr>
          <w:color w:val="000000"/>
          <w:spacing w:val="0"/>
          <w:w w:val="100"/>
          <w:position w:val="0"/>
        </w:rPr>
        <w:t>-80,084,981.85</w:t>
      </w:r>
      <w:r>
        <w:rPr>
          <w:color w:val="000000"/>
          <w:spacing w:val="0"/>
          <w:w w:val="100"/>
          <w:position w:val="0"/>
        </w:rPr>
        <w:t>元，较上年同期下降</w:t>
      </w:r>
      <w:r>
        <w:rPr>
          <w:color w:val="000000"/>
          <w:spacing w:val="0"/>
          <w:w w:val="100"/>
          <w:position w:val="0"/>
        </w:rPr>
        <w:t>473.25%；</w:t>
      </w:r>
      <w:r>
        <w:rPr>
          <w:color w:val="000000"/>
          <w:spacing w:val="0"/>
          <w:w w:val="100"/>
          <w:position w:val="0"/>
        </w:rPr>
        <w:t>利润总额</w:t>
      </w:r>
      <w:r>
        <w:rPr>
          <w:color w:val="000000"/>
          <w:spacing w:val="0"/>
          <w:w w:val="100"/>
          <w:position w:val="0"/>
        </w:rPr>
        <w:t>-86,099,722.18</w:t>
      </w:r>
      <w:r>
        <w:rPr>
          <w:color w:val="000000"/>
          <w:spacing w:val="0"/>
          <w:w w:val="100"/>
          <w:position w:val="0"/>
        </w:rPr>
        <w:t xml:space="preserve">元，较上年同期下降 </w:t>
      </w:r>
      <w:r>
        <w:rPr>
          <w:color w:val="000000"/>
          <w:spacing w:val="0"/>
          <w:w w:val="100"/>
          <w:position w:val="0"/>
        </w:rPr>
        <w:t>614.00%；</w:t>
      </w:r>
      <w:r>
        <w:rPr>
          <w:color w:val="000000"/>
          <w:spacing w:val="0"/>
          <w:w w:val="100"/>
          <w:position w:val="0"/>
        </w:rPr>
        <w:t>基本每股收益</w:t>
      </w:r>
      <w:r>
        <w:rPr>
          <w:color w:val="000000"/>
          <w:spacing w:val="0"/>
          <w:w w:val="100"/>
          <w:position w:val="0"/>
        </w:rPr>
        <w:t>-0.2</w:t>
      </w:r>
      <w:r>
        <w:rPr>
          <w:color w:val="000000"/>
          <w:spacing w:val="0"/>
          <w:w w:val="100"/>
          <w:position w:val="0"/>
        </w:rPr>
        <w:t>7</w:t>
      </w:r>
      <w:r>
        <w:rPr>
          <w:color w:val="000000"/>
          <w:spacing w:val="0"/>
          <w:w w:val="100"/>
          <w:position w:val="0"/>
        </w:rPr>
        <w:t>元，较上年同期下降</w:t>
      </w:r>
      <w:r>
        <w:rPr>
          <w:color w:val="000000"/>
          <w:spacing w:val="0"/>
          <w:w w:val="100"/>
          <w:position w:val="0"/>
        </w:rPr>
        <w:t>1,450.00%，</w:t>
      </w:r>
      <w:r>
        <w:rPr>
          <w:color w:val="000000"/>
          <w:spacing w:val="0"/>
          <w:w w:val="100"/>
          <w:position w:val="0"/>
        </w:rPr>
        <w:t>主要原因系公司本期增加研发费用投入、 无形资产报废处置、计提存货跌价准备以及联营企业大金所计提理财产品的资产减值损失，导致公司的归 属于上市公司股东的净利润减少。</w:t>
      </w:r>
    </w:p>
    <w:p>
      <w:pPr>
        <w:pStyle w:val="Style18"/>
        <w:keepNext w:val="0"/>
        <w:keepLines w:val="0"/>
        <w:widowControl w:val="0"/>
        <w:shd w:val="clear" w:color="auto" w:fill="auto"/>
        <w:bidi w:val="0"/>
        <w:spacing w:before="0" w:after="360" w:line="472" w:lineRule="exact"/>
        <w:ind w:left="0" w:right="0" w:firstLine="440"/>
        <w:jc w:val="both"/>
      </w:pPr>
      <w:r>
        <w:rPr>
          <w:color w:val="000000"/>
          <w:spacing w:val="0"/>
          <w:w w:val="100"/>
          <w:position w:val="0"/>
        </w:rPr>
        <w:t>2021</w:t>
      </w:r>
      <w:r>
        <w:rPr>
          <w:color w:val="000000"/>
          <w:spacing w:val="0"/>
          <w:w w:val="100"/>
          <w:position w:val="0"/>
        </w:rPr>
        <w:t>年，公司经营活动产生的现金流量金额为</w:t>
      </w:r>
      <w:r>
        <w:rPr>
          <w:color w:val="000000"/>
          <w:spacing w:val="0"/>
          <w:w w:val="100"/>
          <w:position w:val="0"/>
        </w:rPr>
        <w:t>-188, 140,476.25</w:t>
      </w:r>
      <w:r>
        <w:rPr>
          <w:color w:val="000000"/>
          <w:spacing w:val="0"/>
          <w:w w:val="100"/>
          <w:position w:val="0"/>
        </w:rPr>
        <w:t>元，较上年同期下降</w:t>
      </w:r>
      <w:r>
        <w:rPr>
          <w:color w:val="000000"/>
          <w:spacing w:val="0"/>
          <w:w w:val="100"/>
          <w:position w:val="0"/>
        </w:rPr>
        <w:t>692.23%，</w:t>
      </w:r>
      <w:r>
        <w:rPr>
          <w:color w:val="000000"/>
          <w:spacing w:val="0"/>
          <w:w w:val="100"/>
          <w:position w:val="0"/>
        </w:rPr>
        <w:t>主要系 本期业务收款减少所致；投资活动产生的现金流量净额为</w:t>
      </w:r>
      <w:r>
        <w:rPr>
          <w:color w:val="000000"/>
          <w:spacing w:val="0"/>
          <w:w w:val="100"/>
          <w:position w:val="0"/>
        </w:rPr>
        <w:t>298,991,125.24</w:t>
      </w:r>
      <w:r>
        <w:rPr>
          <w:color w:val="000000"/>
          <w:spacing w:val="0"/>
          <w:w w:val="100"/>
          <w:position w:val="0"/>
        </w:rPr>
        <w:t>元，较上年同期增加</w:t>
      </w:r>
      <w:r>
        <w:rPr>
          <w:color w:val="000000"/>
          <w:spacing w:val="0"/>
          <w:w w:val="100"/>
          <w:position w:val="0"/>
        </w:rPr>
        <w:t xml:space="preserve">385.02%， </w:t>
      </w:r>
      <w:r>
        <w:rPr>
          <w:color w:val="000000"/>
          <w:spacing w:val="0"/>
          <w:w w:val="100"/>
          <w:position w:val="0"/>
        </w:rPr>
        <w:t>主要系本期收回对外投资所致；筹资活动产生的现金流量净额为</w:t>
      </w:r>
      <w:r>
        <w:rPr>
          <w:color w:val="000000"/>
          <w:spacing w:val="0"/>
          <w:w w:val="100"/>
          <w:position w:val="0"/>
        </w:rPr>
        <w:t>-45,348,753.69</w:t>
      </w:r>
      <w:r>
        <w:rPr>
          <w:color w:val="000000"/>
          <w:spacing w:val="0"/>
          <w:w w:val="100"/>
          <w:position w:val="0"/>
        </w:rPr>
        <w:t xml:space="preserve">元，较上年同期增加 </w:t>
      </w:r>
      <w:r>
        <w:rPr>
          <w:color w:val="000000"/>
          <w:spacing w:val="0"/>
          <w:w w:val="100"/>
          <w:position w:val="0"/>
        </w:rPr>
        <w:t>69.84%</w:t>
      </w:r>
      <w:r>
        <w:rPr>
          <w:color w:val="000000"/>
          <w:spacing w:val="0"/>
          <w:w w:val="100"/>
          <w:position w:val="0"/>
        </w:rPr>
        <w:t>，主要系本期偿还借款的金额较上期减少所致。</w:t>
      </w:r>
      <w:r>
        <w:br w:type="page"/>
      </w:r>
    </w:p>
    <w:p>
      <w:pPr>
        <w:pStyle w:val="Style30"/>
        <w:keepNext/>
        <w:keepLines/>
        <w:widowControl w:val="0"/>
        <w:shd w:val="clear" w:color="auto" w:fill="auto"/>
        <w:bidi w:val="0"/>
        <w:spacing w:before="0" w:after="3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2</w:t>
      </w:r>
      <w:bookmarkEnd w:id="89"/>
      <w:r>
        <w:rPr>
          <w:color w:val="000000"/>
          <w:spacing w:val="0"/>
          <w:w w:val="100"/>
          <w:position w:val="0"/>
        </w:rPr>
        <w:t>、收入与成本</w:t>
      </w:r>
      <w:bookmarkEnd w:id="87"/>
      <w:bookmarkEnd w:id="88"/>
      <w:bookmarkEnd w:id="90"/>
    </w:p>
    <w:p>
      <w:pPr>
        <w:pStyle w:val="Style35"/>
        <w:keepNext/>
        <w:keepLines/>
        <w:widowControl w:val="0"/>
        <w:numPr>
          <w:ilvl w:val="0"/>
          <w:numId w:val="3"/>
        </w:numPr>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bookmarkEnd w:id="93"/>
      <w:r>
        <w:rPr>
          <w:color w:val="000000"/>
          <w:spacing w:val="0"/>
          <w:w w:val="100"/>
          <w:position w:val="0"/>
        </w:rPr>
        <w:t>营业收入构成</w:t>
      </w:r>
      <w:bookmarkEnd w:id="91"/>
      <w:bookmarkEnd w:id="92"/>
      <w:bookmarkEnd w:id="94"/>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1,606,094,997.41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1,758,402,676.54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722,190,166.37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873,094,368.01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政府与公共事业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343,831,055.00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308,832,575.93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540,073,776.04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576,475,732.60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金融科技综合服务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760,643,658.56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886,179,296.23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数据中心综合服务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793,336,353.70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842,219,490.61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52,114,985.15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1,257,231,409.91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1,371,850,797.80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348,863,587.50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386,551,878.74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1,606,094,997.41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1,758,402,676.54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w:t>
            </w:r>
          </w:p>
        </w:tc>
      </w:tr>
    </w:tbl>
    <w:p>
      <w:pPr>
        <w:pStyle w:val="Style18"/>
        <w:keepNext w:val="0"/>
        <w:keepLines w:val="0"/>
        <w:widowControl w:val="0"/>
        <w:shd w:val="clear" w:color="auto" w:fill="auto"/>
        <w:bidi w:val="0"/>
        <w:spacing w:before="0" w:after="8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267,340,501.</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291,899,978.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364,995,855.</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681,858,662.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158,128,017.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266,804,445.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366,833,153.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966,637,060.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归属于上市公司股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-17,004,622.</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-1,864,174.9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-21,530,858.</w:t>
            </w:r>
          </w:p>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-52,294,037.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-20,412,813.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-5,741,365.6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-8,553,906.1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41,608,260.1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说明经营季节性(或周期性)发生的原因及波动风险</w:t>
      </w:r>
    </w:p>
    <w:p>
      <w:pPr>
        <w:pStyle w:val="Style18"/>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公司主营业务经营具有一定的季节性特征。公司的金融科技综合服务和数据中心综合服务业务主要面 向金融机构、政府与公共事业和企业客户，该类客户大多执行预算决算体制，其预算、立项、招标、采购 和实施都有明显的季节性特征，尤其是第四季度业务收入高于前三季度。总体上看，公司经营具有一定的 季节性特征，主营业务收入第四季度相对集中，全年收入分布不均衡，存在业绩季节性波动的风险。</w:t>
      </w:r>
      <w:r>
        <w:br w:type="page"/>
      </w:r>
    </w:p>
    <w:p>
      <w:pPr>
        <w:pStyle w:val="Style35"/>
        <w:keepNext/>
        <w:keepLines/>
        <w:widowControl w:val="0"/>
        <w:shd w:val="clear" w:color="auto" w:fill="auto"/>
        <w:bidi w:val="0"/>
        <w:spacing w:before="0" w:after="300" w:line="322" w:lineRule="exact"/>
        <w:ind w:left="0" w:right="0" w:firstLine="0"/>
        <w:jc w:val="both"/>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5"/>
      <w:bookmarkEnd w:id="96"/>
      <w:bookmarkEnd w:id="98"/>
    </w:p>
    <w:p>
      <w:pPr>
        <w:pStyle w:val="Style18"/>
        <w:keepNext w:val="0"/>
        <w:keepLines w:val="0"/>
        <w:widowControl w:val="0"/>
        <w:shd w:val="clear" w:color="auto" w:fill="auto"/>
        <w:bidi w:val="0"/>
        <w:spacing w:before="0" w:after="0" w:line="322" w:lineRule="exact"/>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120" w:line="322" w:lineRule="exact"/>
        <w:ind w:left="0" w:right="0" w:firstLine="0"/>
        <w:jc w:val="both"/>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722,190,166.37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594,144,721.20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政府与公共事业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343,831,055.00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288,110,355.61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540,073,776.04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424,663,869.84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11.99%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金融科技综合服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760,643,658.56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610,727,689.19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数据中心综合服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793,336,353.70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648,776,392.91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1,257,231,409.91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1,022,720,293.74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348,863,587.50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284,198,652.91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bl>
    <w:p>
      <w:pPr>
        <w:widowControl w:val="0"/>
        <w:spacing w:after="59" w:line="1" w:lineRule="exact"/>
      </w:pPr>
    </w:p>
    <w:p>
      <w:pPr>
        <w:pStyle w:val="Style18"/>
        <w:keepNext w:val="0"/>
        <w:keepLines w:val="0"/>
        <w:widowControl w:val="0"/>
        <w:shd w:val="clear" w:color="auto" w:fill="auto"/>
        <w:bidi w:val="0"/>
        <w:spacing w:before="0" w:after="60" w:line="240" w:lineRule="auto"/>
        <w:ind w:left="0" w:right="0" w:firstLine="0"/>
        <w:jc w:val="both"/>
        <w:rPr>
          <w:sz w:val="19"/>
          <w:szCs w:val="19"/>
        </w:rPr>
      </w:pPr>
      <w:r>
        <w:rPr>
          <w:color w:val="000000"/>
          <w:spacing w:val="0"/>
          <w:w w:val="100"/>
          <w:position w:val="0"/>
          <w:sz w:val="19"/>
          <w:szCs w:val="19"/>
        </w:rPr>
        <w:t>公司主营业务数据统计口径在报告期发生调整的情况下，公司最近</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19"/>
          <w:szCs w:val="19"/>
        </w:rPr>
        <w:t>年按报告期末口径调整后的主营业务数据</w:t>
      </w:r>
    </w:p>
    <w:p>
      <w:pPr>
        <w:pStyle w:val="Style18"/>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5"/>
        <w:keepNext/>
        <w:keepLines/>
        <w:widowControl w:val="0"/>
        <w:shd w:val="clear" w:color="auto" w:fill="auto"/>
        <w:tabs>
          <w:tab w:pos="493" w:val="left"/>
        </w:tabs>
        <w:bidi w:val="0"/>
        <w:spacing w:before="0" w:after="360" w:line="240" w:lineRule="auto"/>
        <w:ind w:left="0" w:right="0" w:firstLine="0"/>
        <w:jc w:val="both"/>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0"/>
      <w:bookmarkEnd w:id="102"/>
      <w:bookmarkEnd w:id="99"/>
    </w:p>
    <w:p>
      <w:pPr>
        <w:pStyle w:val="Style18"/>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20"/>
          <w:szCs w:val="20"/>
        </w:rPr>
        <w:t>口</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否</w:t>
      </w:r>
    </w:p>
    <w:p>
      <w:pPr>
        <w:pStyle w:val="Style35"/>
        <w:keepNext/>
        <w:keepLines/>
        <w:widowControl w:val="0"/>
        <w:shd w:val="clear" w:color="auto" w:fill="auto"/>
        <w:tabs>
          <w:tab w:pos="493" w:val="left"/>
        </w:tabs>
        <w:bidi w:val="0"/>
        <w:spacing w:before="0" w:after="36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03"/>
      <w:bookmarkEnd w:id="104"/>
      <w:bookmarkEnd w:id="106"/>
    </w:p>
    <w:p>
      <w:pPr>
        <w:pStyle w:val="Style18"/>
        <w:keepNext w:val="0"/>
        <w:keepLines w:val="0"/>
        <w:widowControl w:val="0"/>
        <w:shd w:val="clear" w:color="auto" w:fill="auto"/>
        <w:bidi w:val="0"/>
        <w:spacing w:before="0" w:after="36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35"/>
        <w:keepNext/>
        <w:keepLines/>
        <w:widowControl w:val="0"/>
        <w:shd w:val="clear" w:color="auto" w:fill="auto"/>
        <w:tabs>
          <w:tab w:pos="493" w:val="left"/>
        </w:tabs>
        <w:bidi w:val="0"/>
        <w:spacing w:before="0" w:after="360" w:line="240" w:lineRule="auto"/>
        <w:ind w:left="0" w:right="0" w:firstLine="0"/>
        <w:jc w:val="both"/>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7"/>
      <w:bookmarkEnd w:id="108"/>
      <w:bookmarkEnd w:id="110"/>
    </w:p>
    <w:p>
      <w:pPr>
        <w:pStyle w:val="Style18"/>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行业和产品分类</w:t>
      </w:r>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594,144,721.20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711,889,748.88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政府与公共事业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288,110,355.61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254,578,705.97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43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424,663,869.84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522,406,633.75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-18.71%</w:t>
            </w:r>
          </w:p>
        </w:tc>
      </w:tr>
      <w:tr>
        <w:trPr>
          <w:trHeight w:val="398"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金融科技综合服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610,727,689.19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722,766,085.20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数据中心综合服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648,776,392.91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738,645,306.84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47,414,864.55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27,463,696.53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r>
    </w:tbl>
    <w:p>
      <w:pPr>
        <w:widowControl w:val="0"/>
        <w:spacing w:after="59" w:line="1" w:lineRule="exact"/>
      </w:pPr>
    </w:p>
    <w:p>
      <w:pPr>
        <w:pStyle w:val="Style18"/>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w:t>
      </w:r>
    </w:p>
    <w:p>
      <w:pPr>
        <w:pStyle w:val="Style18"/>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露要求</w:t>
      </w:r>
    </w:p>
    <w:p>
      <w:pPr>
        <w:pStyle w:val="Style18"/>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主营业务成本构成</w:t>
      </w:r>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商品及服务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1,259,517,626.28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1,461,411,392.07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-13.81%</w:t>
            </w:r>
          </w:p>
        </w:tc>
      </w:tr>
    </w:tbl>
    <w:p>
      <w:pPr>
        <w:widowControl w:val="0"/>
        <w:spacing w:after="339" w:line="1" w:lineRule="exact"/>
      </w:pPr>
    </w:p>
    <w:p>
      <w:pPr>
        <w:pStyle w:val="Style35"/>
        <w:keepNext/>
        <w:keepLines/>
        <w:widowControl w:val="0"/>
        <w:shd w:val="clear" w:color="auto" w:fill="auto"/>
        <w:tabs>
          <w:tab w:pos="493" w:val="left"/>
        </w:tabs>
        <w:bidi w:val="0"/>
        <w:spacing w:before="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1"/>
      <w:bookmarkEnd w:id="112"/>
      <w:bookmarkEnd w:id="114"/>
    </w:p>
    <w:p>
      <w:pPr>
        <w:pStyle w:val="Style18"/>
        <w:keepNext w:val="0"/>
        <w:keepLines w:val="0"/>
        <w:widowControl w:val="0"/>
        <w:shd w:val="clear" w:color="auto" w:fill="auto"/>
        <w:bidi w:val="0"/>
        <w:spacing w:before="0" w:after="1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否</w:t>
      </w:r>
    </w:p>
    <w:p>
      <w:pPr>
        <w:pStyle w:val="Style18"/>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本年与上年减少合并单位</w:t>
      </w:r>
      <w:r>
        <w:rPr>
          <w:color w:val="000000"/>
          <w:spacing w:val="0"/>
          <w:w w:val="100"/>
          <w:position w:val="0"/>
        </w:rPr>
        <w:t>1</w:t>
      </w:r>
      <w:r>
        <w:rPr>
          <w:color w:val="000000"/>
          <w:spacing w:val="0"/>
          <w:w w:val="100"/>
          <w:position w:val="0"/>
        </w:rPr>
        <w:t>家。报告期内因注销减少香港中科金财科技有限公司。</w:t>
      </w:r>
    </w:p>
    <w:p>
      <w:pPr>
        <w:pStyle w:val="Style35"/>
        <w:keepNext/>
        <w:keepLines/>
        <w:widowControl w:val="0"/>
        <w:shd w:val="clear" w:color="auto" w:fill="auto"/>
        <w:tabs>
          <w:tab w:pos="493" w:val="left"/>
        </w:tabs>
        <w:bidi w:val="0"/>
        <w:spacing w:before="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5"/>
      <w:bookmarkEnd w:id="116"/>
      <w:bookmarkEnd w:id="118"/>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9"/>
      <w:bookmarkEnd w:id="120"/>
      <w:bookmarkEnd w:id="122"/>
    </w:p>
    <w:p>
      <w:pPr>
        <w:pStyle w:val="Style18"/>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328,350,533.67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152,810,776.77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54,803,197.85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45,729,380.44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39,591,684.79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35,415,493.82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328,350,533.67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主要客户其他情况说明</w:t>
      </w:r>
    </w:p>
    <w:p>
      <w:pPr>
        <w:pStyle w:val="Style18"/>
        <w:keepNext w:val="0"/>
        <w:keepLines w:val="0"/>
        <w:widowControl w:val="0"/>
        <w:shd w:val="clear" w:color="auto" w:fill="auto"/>
        <w:bidi w:val="0"/>
        <w:spacing w:before="0" w:after="8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393,826,583.86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143,946,902.46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75,661,126.91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65,132,088.72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55,120,973.49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53,965,492.28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393,826,583.86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主要供应商其他情况说明</w:t>
      </w:r>
    </w:p>
    <w:p>
      <w:pPr>
        <w:pStyle w:val="Style18"/>
        <w:keepNext w:val="0"/>
        <w:keepLines w:val="0"/>
        <w:widowControl w:val="0"/>
        <w:shd w:val="clear" w:color="auto" w:fill="auto"/>
        <w:bidi w:val="0"/>
        <w:spacing w:before="0" w:after="38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after="38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3</w:t>
      </w:r>
      <w:bookmarkEnd w:id="125"/>
      <w:r>
        <w:rPr>
          <w:color w:val="000000"/>
          <w:spacing w:val="0"/>
          <w:w w:val="100"/>
          <w:position w:val="0"/>
        </w:rPr>
        <w:t>、费用</w:t>
      </w:r>
      <w:bookmarkEnd w:id="123"/>
      <w:bookmarkEnd w:id="124"/>
      <w:bookmarkEnd w:id="12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49,555,441.76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51,954,010.75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126,148,116.24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105,665,455.28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11,077.10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9,213,401.74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主要系本期利息费用较上期减少所 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190,216,711.47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134,206,201.49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主要系本期研发投入增加所致</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4</w:t>
      </w:r>
      <w:bookmarkEnd w:id="129"/>
      <w:r>
        <w:rPr>
          <w:color w:val="000000"/>
          <w:spacing w:val="0"/>
          <w:w w:val="100"/>
          <w:position w:val="0"/>
        </w:rPr>
        <w:t>、研发投入</w:t>
      </w:r>
      <w:bookmarkEnd w:id="127"/>
      <w:bookmarkEnd w:id="128"/>
      <w:bookmarkEnd w:id="130"/>
    </w:p>
    <w:p>
      <w:pPr>
        <w:pStyle w:val="Style18"/>
        <w:keepNext w:val="0"/>
        <w:keepLines w:val="0"/>
        <w:widowControl w:val="0"/>
        <w:shd w:val="clear" w:color="auto" w:fill="auto"/>
        <w:bidi w:val="0"/>
        <w:spacing w:before="0" w:after="8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预计对公司未来发展的影响</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年工业互联网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为</w:t>
            </w:r>
            <w:r>
              <w:rPr>
                <w:color w:val="000000"/>
                <w:spacing w:val="0"/>
                <w:w w:val="100"/>
                <w:position w:val="0"/>
                <w:sz w:val="18"/>
                <w:szCs w:val="18"/>
              </w:rPr>
              <w:t>2020</w:t>
            </w:r>
            <w:r>
              <w:rPr>
                <w:rFonts w:ascii="SimSun" w:eastAsia="SimSun" w:hAnsi="SimSun" w:cs="SimSun"/>
                <w:color w:val="000000"/>
                <w:spacing w:val="0"/>
                <w:w w:val="100"/>
                <w:position w:val="0"/>
                <w:sz w:val="16"/>
                <w:szCs w:val="16"/>
              </w:rPr>
              <w:t>年工业互联网创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该项目已完成平台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建立一套面向区块链创新应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该项目为公司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年区块</w:t>
            </w:r>
          </w:p>
        </w:tc>
      </w:tr>
      <w:tr>
        <w:trPr>
          <w:trHeight w:val="32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创新发展工程一</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新发展工程</w:t>
            </w:r>
            <w:r>
              <w:rPr>
                <w:rFonts w:ascii="SimSun" w:eastAsia="SimSun" w:hAnsi="SimSun" w:cs="SimSun"/>
                <w:color w:val="000000"/>
                <w:spacing w:val="0"/>
                <w:w w:val="100"/>
                <w:position w:val="0"/>
                <w:sz w:val="18"/>
                <w:szCs w:val="18"/>
              </w:rPr>
              <w:t>一一</w:t>
            </w:r>
            <w:r>
              <w:rPr>
                <w:rFonts w:ascii="SimSun" w:eastAsia="SimSun" w:hAnsi="SimSun" w:cs="SimSun"/>
                <w:color w:val="000000"/>
                <w:spacing w:val="0"/>
                <w:w w:val="100"/>
                <w:position w:val="0"/>
                <w:sz w:val="16"/>
                <w:szCs w:val="16"/>
              </w:rPr>
              <w:t>区块链</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建设，目前已进入推</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用的工业互联网综合服务平</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链业务的标杆性项目，该项</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62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区块链公共服务平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台项目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公共服务平台项目的实 施，根据项目合同开展。</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台，汇聚一批咨询服务商、 解决方案提供商、专业人才 以及一批应用价值高的标 准、</w:t>
            </w:r>
            <w:r>
              <w:rPr>
                <w:color w:val="000000"/>
                <w:spacing w:val="0"/>
                <w:w w:val="100"/>
                <w:position w:val="0"/>
                <w:sz w:val="18"/>
                <w:szCs w:val="18"/>
              </w:rPr>
              <w:t>APP</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工具和解决方案 等。</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目的实施以及未来的推广， 将为公司积累在技术、品牌、 影响力等方面的优势和经 验。</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研发人员学历结构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博士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中高职及以下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研发人员年龄构成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30</w:t>
            </w:r>
            <w:r>
              <w:rPr>
                <w:rFonts w:ascii="SimSun" w:eastAsia="SimSun" w:hAnsi="SimSun" w:cs="SimSun"/>
                <w:color w:val="000000"/>
                <w:spacing w:val="0"/>
                <w:w w:val="100"/>
                <w:position w:val="0"/>
                <w:sz w:val="16"/>
                <w:szCs w:val="16"/>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30~40 </w:t>
            </w:r>
            <w:r>
              <w:rPr>
                <w:rFonts w:ascii="SimSun" w:eastAsia="SimSun" w:hAnsi="SimSun" w:cs="SimSun"/>
                <w:color w:val="000000"/>
                <w:spacing w:val="0"/>
                <w:w w:val="100"/>
                <w:position w:val="0"/>
                <w:sz w:val="16"/>
                <w:szCs w:val="16"/>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40-50 </w:t>
            </w:r>
            <w:r>
              <w:rPr>
                <w:rFonts w:ascii="SimSun" w:eastAsia="SimSun" w:hAnsi="SimSun" w:cs="SimSun"/>
                <w:color w:val="000000"/>
                <w:spacing w:val="0"/>
                <w:w w:val="100"/>
                <w:position w:val="0"/>
                <w:sz w:val="16"/>
                <w:szCs w:val="16"/>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50-60 </w:t>
            </w:r>
            <w:r>
              <w:rPr>
                <w:rFonts w:ascii="SimSun" w:eastAsia="SimSun" w:hAnsi="SimSun" w:cs="SimSun"/>
                <w:color w:val="000000"/>
                <w:spacing w:val="0"/>
                <w:w w:val="100"/>
                <w:position w:val="0"/>
                <w:sz w:val="16"/>
                <w:szCs w:val="16"/>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190,216,711.47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134,206,201.49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80" w:line="322" w:lineRule="exact"/>
        <w:ind w:left="0" w:right="0" w:firstLine="0"/>
        <w:jc w:val="left"/>
        <w:rPr>
          <w:sz w:val="19"/>
          <w:szCs w:val="19"/>
        </w:rPr>
      </w:pPr>
      <w:r>
        <w:rPr>
          <w:color w:val="000000"/>
          <w:spacing w:val="0"/>
          <w:w w:val="100"/>
          <w:position w:val="0"/>
          <w:sz w:val="19"/>
          <w:szCs w:val="19"/>
        </w:rPr>
        <w:t>公司研发人员构成发生重大变化的原因及影响</w:t>
      </w:r>
    </w:p>
    <w:p>
      <w:pPr>
        <w:pStyle w:val="Style18"/>
        <w:keepNext w:val="0"/>
        <w:keepLines w:val="0"/>
        <w:widowControl w:val="0"/>
        <w:shd w:val="clear" w:color="auto" w:fill="auto"/>
        <w:bidi w:val="0"/>
        <w:spacing w:before="0" w:after="0" w:line="276"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322" w:lineRule="exact"/>
        <w:ind w:left="0" w:right="0" w:firstLine="0"/>
        <w:jc w:val="left"/>
        <w:rPr>
          <w:sz w:val="19"/>
          <w:szCs w:val="19"/>
        </w:rPr>
      </w:pPr>
      <w:r>
        <w:rPr>
          <w:color w:val="000000"/>
          <w:spacing w:val="0"/>
          <w:w w:val="100"/>
          <w:position w:val="0"/>
          <w:sz w:val="19"/>
          <w:szCs w:val="19"/>
        </w:rPr>
        <w:t>研发投入总额占营业收入的比重较上年发生显著变化的原因</w:t>
      </w:r>
    </w:p>
    <w:p>
      <w:pPr>
        <w:pStyle w:val="Style18"/>
        <w:keepNext w:val="0"/>
        <w:keepLines w:val="0"/>
        <w:widowControl w:val="0"/>
        <w:shd w:val="clear" w:color="auto" w:fill="auto"/>
        <w:bidi w:val="0"/>
        <w:spacing w:before="0" w:after="80" w:line="276"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322" w:lineRule="exact"/>
        <w:ind w:left="0" w:right="0" w:firstLine="440"/>
        <w:jc w:val="left"/>
      </w:pPr>
      <w:r>
        <w:rPr>
          <w:color w:val="000000"/>
          <w:spacing w:val="0"/>
          <w:w w:val="100"/>
          <w:position w:val="0"/>
        </w:rPr>
        <w:t>研发投入总额占营业收入的比重较上年增长</w:t>
      </w:r>
      <w:r>
        <w:rPr>
          <w:color w:val="000000"/>
          <w:spacing w:val="0"/>
          <w:w w:val="100"/>
          <w:position w:val="0"/>
        </w:rPr>
        <w:t>41.73%</w:t>
      </w:r>
      <w:r>
        <w:rPr>
          <w:color w:val="000000"/>
          <w:spacing w:val="0"/>
          <w:w w:val="100"/>
          <w:position w:val="0"/>
        </w:rPr>
        <w:t>，主要系本期研发投入较去年同期增长。</w:t>
      </w:r>
    </w:p>
    <w:p>
      <w:pPr>
        <w:pStyle w:val="Style18"/>
        <w:keepNext w:val="0"/>
        <w:keepLines w:val="0"/>
        <w:widowControl w:val="0"/>
        <w:shd w:val="clear" w:color="auto" w:fill="auto"/>
        <w:bidi w:val="0"/>
        <w:spacing w:before="0" w:after="80" w:line="322" w:lineRule="exact"/>
        <w:ind w:left="0" w:right="0" w:firstLine="0"/>
        <w:jc w:val="left"/>
        <w:rPr>
          <w:sz w:val="19"/>
          <w:szCs w:val="19"/>
        </w:rPr>
      </w:pPr>
      <w:r>
        <w:rPr>
          <w:color w:val="000000"/>
          <w:spacing w:val="0"/>
          <w:w w:val="100"/>
          <w:position w:val="0"/>
          <w:sz w:val="19"/>
          <w:szCs w:val="19"/>
        </w:rPr>
        <w:t>研发投入资本化率大幅变动的原因及其合理性说明</w:t>
      </w:r>
    </w:p>
    <w:p>
      <w:pPr>
        <w:pStyle w:val="Style18"/>
        <w:keepNext w:val="0"/>
        <w:keepLines w:val="0"/>
        <w:widowControl w:val="0"/>
        <w:shd w:val="clear" w:color="auto" w:fill="auto"/>
        <w:bidi w:val="0"/>
        <w:spacing w:before="0" w:after="0" w:line="276"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r>
        <w:br w:type="page"/>
      </w:r>
    </w:p>
    <w:p>
      <w:pPr>
        <w:pStyle w:val="Style30"/>
        <w:keepNext/>
        <w:keepLines/>
        <w:widowControl w:val="0"/>
        <w:shd w:val="clear" w:color="auto" w:fill="auto"/>
        <w:bidi w:val="0"/>
        <w:spacing w:before="0" w:after="40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5</w:t>
      </w:r>
      <w:bookmarkEnd w:id="133"/>
      <w:r>
        <w:rPr>
          <w:color w:val="000000"/>
          <w:spacing w:val="0"/>
          <w:w w:val="100"/>
          <w:position w:val="0"/>
        </w:rPr>
        <w:t>、现金流</w:t>
      </w:r>
      <w:bookmarkEnd w:id="131"/>
      <w:bookmarkEnd w:id="132"/>
      <w:bookmarkEnd w:id="134"/>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1,931,470,628.70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2,104,300,626.48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2,119,611,104.95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2,072,532,320.99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-188,140,476.25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31,768,305.49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3,855,685,490.82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3,753,814,384.27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3,556,694,365.58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3,858,717,851.13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298,991,125.24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-104,903,466.86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45,348,753.69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207,455,773.08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-45,348,753.69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-150,365,773.08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65,501,782.52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-223,502,391.49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129.31%</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相关数据同比发生重大变动的主要影响因素说明</w:t>
      </w:r>
    </w:p>
    <w:p>
      <w:pPr>
        <w:pStyle w:val="Style18"/>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经营活动产生的现金流量净额较去年同期减少</w:t>
      </w:r>
      <w:r>
        <w:rPr>
          <w:rFonts w:ascii="Times New Roman" w:eastAsia="Times New Roman" w:hAnsi="Times New Roman" w:cs="Times New Roman"/>
          <w:color w:val="000000"/>
          <w:spacing w:val="0"/>
          <w:w w:val="100"/>
          <w:position w:val="0"/>
        </w:rPr>
        <w:t>692.23%</w:t>
      </w:r>
      <w:r>
        <w:rPr>
          <w:color w:val="000000"/>
          <w:spacing w:val="0"/>
          <w:w w:val="100"/>
          <w:position w:val="0"/>
        </w:rPr>
        <w:t>，主要系本期业务收款减少所致。</w:t>
      </w:r>
    </w:p>
    <w:p>
      <w:pPr>
        <w:pStyle w:val="Style1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投资活动产生的现金流量净额较去年同期增加</w:t>
      </w:r>
      <w:r>
        <w:rPr>
          <w:rFonts w:ascii="Times New Roman" w:eastAsia="Times New Roman" w:hAnsi="Times New Roman" w:cs="Times New Roman"/>
          <w:color w:val="000000"/>
          <w:spacing w:val="0"/>
          <w:w w:val="100"/>
          <w:position w:val="0"/>
        </w:rPr>
        <w:t>385.02%</w:t>
      </w:r>
      <w:r>
        <w:rPr>
          <w:color w:val="000000"/>
          <w:spacing w:val="0"/>
          <w:w w:val="100"/>
          <w:position w:val="0"/>
        </w:rPr>
        <w:t>，主要系本期收回对深圳市金源兴信息技术有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深圳金源兴</w:t>
      </w:r>
      <w:r>
        <w:rPr>
          <w:rFonts w:ascii="Times New Roman" w:eastAsia="Times New Roman" w:hAnsi="Times New Roman" w:cs="Times New Roman"/>
          <w:color w:val="000000"/>
          <w:spacing w:val="0"/>
          <w:w w:val="100"/>
          <w:position w:val="0"/>
        </w:rPr>
        <w:t>”</w:t>
      </w:r>
      <w:r>
        <w:rPr>
          <w:color w:val="000000"/>
          <w:spacing w:val="0"/>
          <w:w w:val="100"/>
          <w:position w:val="0"/>
        </w:rPr>
        <w:t>）及上海惬昶信息科技有限责任公司（以下简称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上海惬昶</w:t>
      </w:r>
      <w:r>
        <w:rPr>
          <w:rFonts w:ascii="Times New Roman" w:eastAsia="Times New Roman" w:hAnsi="Times New Roman" w:cs="Times New Roman"/>
          <w:color w:val="000000"/>
          <w:spacing w:val="0"/>
          <w:w w:val="100"/>
          <w:position w:val="0"/>
        </w:rPr>
        <w:t>”</w:t>
      </w:r>
      <w:r>
        <w:rPr>
          <w:color w:val="000000"/>
          <w:spacing w:val="0"/>
          <w:w w:val="100"/>
          <w:position w:val="0"/>
        </w:rPr>
        <w:t>）的投资所致。</w:t>
      </w:r>
    </w:p>
    <w:p>
      <w:pPr>
        <w:pStyle w:val="Style1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筹资活动现金流入小计较去年同期减少</w:t>
      </w:r>
      <w:r>
        <w:rPr>
          <w:rFonts w:ascii="Times New Roman" w:eastAsia="Times New Roman" w:hAnsi="Times New Roman" w:cs="Times New Roman"/>
          <w:color w:val="000000"/>
          <w:spacing w:val="0"/>
          <w:w w:val="100"/>
          <w:position w:val="0"/>
        </w:rPr>
        <w:t>100.00%</w:t>
      </w:r>
      <w:r>
        <w:rPr>
          <w:color w:val="000000"/>
          <w:spacing w:val="0"/>
          <w:w w:val="100"/>
          <w:position w:val="0"/>
        </w:rPr>
        <w:t>，主要系本期取得的银行借款较上期减少所致。</w:t>
      </w:r>
    </w:p>
    <w:p>
      <w:pPr>
        <w:pStyle w:val="Style1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筹资活动现金流出小计较去年同期减少</w:t>
      </w:r>
      <w:r>
        <w:rPr>
          <w:rFonts w:ascii="Times New Roman" w:eastAsia="Times New Roman" w:hAnsi="Times New Roman" w:cs="Times New Roman"/>
          <w:color w:val="000000"/>
          <w:spacing w:val="0"/>
          <w:w w:val="100"/>
          <w:position w:val="0"/>
        </w:rPr>
        <w:t>78.14%</w:t>
      </w:r>
      <w:r>
        <w:rPr>
          <w:color w:val="000000"/>
          <w:spacing w:val="0"/>
          <w:w w:val="100"/>
          <w:position w:val="0"/>
        </w:rPr>
        <w:t>，主要系本期偿还借款的金额较上期减少所致。</w:t>
      </w:r>
    </w:p>
    <w:p>
      <w:pPr>
        <w:pStyle w:val="Style18"/>
        <w:keepNext w:val="0"/>
        <w:keepLines w:val="0"/>
        <w:widowControl w:val="0"/>
        <w:shd w:val="clear" w:color="auto" w:fill="auto"/>
        <w:bidi w:val="0"/>
        <w:spacing w:before="0" w:after="80" w:line="427" w:lineRule="exact"/>
        <w:ind w:left="0" w:right="0" w:firstLine="440"/>
        <w:jc w:val="left"/>
        <w:rPr>
          <w:sz w:val="19"/>
          <w:szCs w:val="19"/>
        </w:rPr>
      </w:pPr>
      <w:r>
        <w:rPr>
          <w:color w:val="000000"/>
          <w:spacing w:val="0"/>
          <w:w w:val="100"/>
          <w:position w:val="0"/>
          <w:sz w:val="20"/>
          <w:szCs w:val="20"/>
        </w:rPr>
        <w:t>筹资活动产生的现金流量净额较去年同期增加</w:t>
      </w:r>
      <w:r>
        <w:rPr>
          <w:rFonts w:ascii="Times New Roman" w:eastAsia="Times New Roman" w:hAnsi="Times New Roman" w:cs="Times New Roman"/>
          <w:color w:val="000000"/>
          <w:spacing w:val="0"/>
          <w:w w:val="100"/>
          <w:position w:val="0"/>
          <w:sz w:val="20"/>
          <w:szCs w:val="20"/>
        </w:rPr>
        <w:t>69.84%</w:t>
      </w:r>
      <w:r>
        <w:rPr>
          <w:color w:val="000000"/>
          <w:spacing w:val="0"/>
          <w:w w:val="100"/>
          <w:position w:val="0"/>
          <w:sz w:val="20"/>
          <w:szCs w:val="20"/>
        </w:rPr>
        <w:t xml:space="preserve">，主要系本期偿还借款的金额较上期减少所致。 </w:t>
      </w:r>
      <w:r>
        <w:rPr>
          <w:color w:val="000000"/>
          <w:spacing w:val="0"/>
          <w:w w:val="100"/>
          <w:position w:val="0"/>
          <w:sz w:val="19"/>
          <w:szCs w:val="19"/>
        </w:rPr>
        <w:t>报告期内公司经营活动产生的现金净流量与本年度净利润存在重大差异的原因说明</w:t>
      </w:r>
    </w:p>
    <w:p>
      <w:pPr>
        <w:pStyle w:val="Style18"/>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sz w:val="24"/>
          <w:szCs w:val="24"/>
        </w:rPr>
        <w:t>五</w:t>
      </w:r>
      <w:bookmarkEnd w:id="137"/>
      <w:r>
        <w:rPr>
          <w:color w:val="000000"/>
          <w:spacing w:val="0"/>
          <w:w w:val="100"/>
          <w:position w:val="0"/>
          <w:sz w:val="24"/>
          <w:szCs w:val="24"/>
        </w:rPr>
        <w:t>、非主营业务分析</w:t>
      </w:r>
      <w:bookmarkEnd w:id="135"/>
      <w:bookmarkEnd w:id="136"/>
      <w:bookmarkEnd w:id="138"/>
    </w:p>
    <w:p>
      <w:pPr>
        <w:pStyle w:val="Style18"/>
        <w:keepNext w:val="0"/>
        <w:keepLines w:val="0"/>
        <w:widowControl w:val="0"/>
        <w:shd w:val="clear" w:color="auto" w:fill="auto"/>
        <w:bidi w:val="0"/>
        <w:spacing w:before="0" w:after="0" w:line="406"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是否具有可持续性</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43,822,262.04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银行、信托、券商等理财产 品收益、权益法核算的长期 股权投资收益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银行、信托、券商等理财产品 收益不具有可持续性、权益法 核算的长期股权投资收益具 有可持续性</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-23,749,236.18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存货的可变现净值低于成 本的部分，计提存货跌价准 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-35,539,269.88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无形资产处置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sz w:val="24"/>
          <w:szCs w:val="24"/>
        </w:rPr>
        <w:t>六</w:t>
      </w:r>
      <w:bookmarkEnd w:id="141"/>
      <w:r>
        <w:rPr>
          <w:color w:val="000000"/>
          <w:spacing w:val="0"/>
          <w:w w:val="100"/>
          <w:position w:val="0"/>
          <w:sz w:val="24"/>
          <w:szCs w:val="24"/>
        </w:rPr>
        <w:t>、资产及负债状况分析</w:t>
      </w:r>
      <w:bookmarkEnd w:id="139"/>
      <w:bookmarkEnd w:id="140"/>
      <w:bookmarkEnd w:id="142"/>
    </w:p>
    <w:p>
      <w:pPr>
        <w:pStyle w:val="Style30"/>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1</w:t>
      </w:r>
      <w:bookmarkEnd w:id="145"/>
      <w:r>
        <w:rPr>
          <w:color w:val="000000"/>
          <w:spacing w:val="0"/>
          <w:w w:val="100"/>
          <w:position w:val="0"/>
        </w:rPr>
        <w:t>、资产构成重大变动情况</w:t>
      </w:r>
      <w:bookmarkEnd w:id="143"/>
      <w:bookmarkEnd w:id="144"/>
      <w:bookmarkEnd w:id="14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472,260,715.8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402,805,176.91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110,058,572.3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124,869,859.37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17,758,645.04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59,629,843.40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605,068,785.5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505,158,894.33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9,602,634.87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379,356,022.9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782,336,061.12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59,397,486.79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17,035,213.60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8,301,700.08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11,151,058.25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360,072,931.5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389,183,581.91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5,711,402.24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8,377,383.46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无重大变化</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境外资产占比较高</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2</w:t>
      </w:r>
      <w:bookmarkEnd w:id="149"/>
      <w:r>
        <w:rPr>
          <w:color w:val="000000"/>
          <w:spacing w:val="0"/>
          <w:w w:val="100"/>
          <w:position w:val="0"/>
        </w:rPr>
        <w:t>、以公允价值计量的资产和负债</w:t>
      </w:r>
      <w:bookmarkEnd w:id="147"/>
      <w:bookmarkEnd w:id="148"/>
      <w:bookmarkEnd w:id="150"/>
    </w:p>
    <w:p>
      <w:pPr>
        <w:pStyle w:val="Style18"/>
        <w:keepNext w:val="0"/>
        <w:keepLines w:val="0"/>
        <w:widowControl w:val="0"/>
        <w:shd w:val="clear" w:color="auto" w:fill="auto"/>
        <w:bidi w:val="0"/>
        <w:spacing w:before="0" w:after="8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965"/>
        <w:gridCol w:w="974"/>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本期公允价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6"/>
                <w:szCs w:val="16"/>
              </w:rPr>
            </w:pPr>
            <w:r>
              <w:rPr>
                <w:rFonts w:ascii="SimSun" w:eastAsia="SimSun" w:hAnsi="SimSun" w:cs="SimSun"/>
                <w:color w:val="000000"/>
                <w:spacing w:val="0"/>
                <w:w w:val="100"/>
                <w:position w:val="0"/>
                <w:sz w:val="16"/>
                <w:szCs w:val="16"/>
              </w:rPr>
              <w:t>计入权益的 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本期购买金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本期出售金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期末数</w:t>
            </w:r>
          </w:p>
        </w:tc>
      </w:tr>
    </w:tbl>
    <w:tbl>
      <w:tblPr>
        <w:tblOverlap w:val="never"/>
        <w:jc w:val="center"/>
        <w:tblLayout w:type="fixed"/>
      </w:tblPr>
      <w:tblGrid>
        <w:gridCol w:w="1104"/>
        <w:gridCol w:w="1094"/>
        <w:gridCol w:w="1090"/>
        <w:gridCol w:w="1090"/>
        <w:gridCol w:w="1090"/>
        <w:gridCol w:w="1090"/>
        <w:gridCol w:w="1090"/>
        <w:gridCol w:w="965"/>
        <w:gridCol w:w="9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交易性金融 资产（不含衍 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253,760,054.5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2,537,748.30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3,287,000,00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3,170,000,00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373,297,802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其他权益工 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13,448,400.00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13,448,400.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应收款项融 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14,849,053.60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17,378,882.9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30,869,712.7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1,358,223.8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282,057,508.1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2,537,748.30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3,304,378,88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3,200,869,71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388,104,426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18"/>
        <w:keepNext w:val="0"/>
        <w:keepLines w:val="0"/>
        <w:widowControl w:val="0"/>
        <w:shd w:val="clear" w:color="auto" w:fill="auto"/>
        <w:bidi w:val="0"/>
        <w:spacing w:before="0" w:after="380" w:line="355" w:lineRule="exact"/>
        <w:ind w:left="0" w:right="0" w:firstLine="0"/>
        <w:jc w:val="left"/>
        <w:rPr>
          <w:sz w:val="19"/>
          <w:szCs w:val="19"/>
        </w:rPr>
      </w:pPr>
      <w:r>
        <w:rPr>
          <w:color w:val="000000"/>
          <w:spacing w:val="0"/>
          <w:w w:val="100"/>
          <w:position w:val="0"/>
          <w:sz w:val="19"/>
          <w:szCs w:val="19"/>
        </w:rPr>
        <w:t xml:space="preserve">报告期内公司主要资产计量属性是否发生重大变化 </w:t>
      </w: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30"/>
        <w:keepNext/>
        <w:keepLines/>
        <w:widowControl w:val="0"/>
        <w:shd w:val="clear" w:color="auto" w:fill="auto"/>
        <w:bidi w:val="0"/>
        <w:spacing w:before="0" w:after="200" w:line="372"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、截至报告期末的资产权利受限情况</w:t>
      </w:r>
      <w:bookmarkEnd w:id="151"/>
      <w:bookmarkEnd w:id="152"/>
      <w:bookmarkEnd w:id="154"/>
    </w:p>
    <w:tbl>
      <w:tblPr>
        <w:tblOverlap w:val="never"/>
        <w:jc w:val="center"/>
        <w:tblLayout w:type="fixed"/>
      </w:tblPr>
      <w:tblGrid>
        <w:gridCol w:w="2534"/>
        <w:gridCol w:w="2045"/>
        <w:gridCol w:w="213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36,421,249.90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保证金、代管资金</w:t>
            </w:r>
          </w:p>
        </w:tc>
      </w:tr>
    </w:tbl>
    <w:p>
      <w:pPr>
        <w:pStyle w:val="Style18"/>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报告期末受限资金主要系向银行申请开具无条件不可撤销的担保函所存入的保证金存款、以及纳入合 并范围的信托计划而存放于信托公司的资金账户余额。</w:t>
      </w:r>
    </w:p>
    <w:p>
      <w:pPr>
        <w:pStyle w:val="Style22"/>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七</w:t>
      </w:r>
      <w:bookmarkEnd w:id="157"/>
      <w:r>
        <w:rPr>
          <w:color w:val="000000"/>
          <w:spacing w:val="0"/>
          <w:w w:val="100"/>
          <w:position w:val="0"/>
          <w:sz w:val="24"/>
          <w:szCs w:val="24"/>
        </w:rPr>
        <w:t>、投资状况分析</w:t>
      </w:r>
      <w:bookmarkEnd w:id="155"/>
      <w:bookmarkEnd w:id="156"/>
      <w:bookmarkEnd w:id="158"/>
    </w:p>
    <w:p>
      <w:pPr>
        <w:pStyle w:val="Style30"/>
        <w:keepNext/>
        <w:keepLines/>
        <w:widowControl w:val="0"/>
        <w:shd w:val="clear" w:color="auto" w:fill="auto"/>
        <w:bidi w:val="0"/>
        <w:spacing w:before="0" w:after="100" w:line="48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1</w:t>
      </w:r>
      <w:bookmarkEnd w:id="161"/>
      <w:r>
        <w:rPr>
          <w:color w:val="000000"/>
          <w:spacing w:val="0"/>
          <w:w w:val="100"/>
          <w:position w:val="0"/>
        </w:rPr>
        <w:t>、总体情况</w:t>
      </w:r>
      <w:bookmarkEnd w:id="159"/>
      <w:bookmarkEnd w:id="160"/>
      <w:bookmarkEnd w:id="162"/>
    </w:p>
    <w:p>
      <w:pPr>
        <w:pStyle w:val="Style18"/>
        <w:keepNext w:val="0"/>
        <w:keepLines w:val="0"/>
        <w:widowControl w:val="0"/>
        <w:shd w:val="clear" w:color="auto" w:fill="auto"/>
        <w:bidi w:val="0"/>
        <w:spacing w:before="0" w:after="0" w:line="406"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3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w:t>
        <w:tab/>
        <w:t>报告期内获取的重大的股权投资情况</w:t>
      </w:r>
      <w:bookmarkEnd w:id="163"/>
      <w:bookmarkEnd w:id="164"/>
      <w:bookmarkEnd w:id="166"/>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w:t>
        <w:tab/>
        <w:t>报告期内正在进行的重大的非股权投资情况</w:t>
      </w:r>
      <w:bookmarkEnd w:id="167"/>
      <w:bookmarkEnd w:id="168"/>
      <w:bookmarkEnd w:id="170"/>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r>
        <w:br w:type="page"/>
      </w:r>
    </w:p>
    <w:p>
      <w:pPr>
        <w:pStyle w:val="Style30"/>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、金融资产投资</w:t>
      </w:r>
      <w:bookmarkEnd w:id="171"/>
      <w:bookmarkEnd w:id="172"/>
      <w:bookmarkEnd w:id="174"/>
    </w:p>
    <w:p>
      <w:pPr>
        <w:pStyle w:val="Style35"/>
        <w:keepNext/>
        <w:keepLines/>
        <w:widowControl w:val="0"/>
        <w:shd w:val="clear" w:color="auto" w:fill="auto"/>
        <w:bidi w:val="0"/>
        <w:spacing w:before="0" w:after="32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75"/>
      <w:bookmarkEnd w:id="176"/>
      <w:bookmarkEnd w:id="178"/>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证券品 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证券代 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证券简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最初投</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会计计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量模式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本期公 允价值 变动损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计入权</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益的累</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计公允</w:t>
            </w:r>
          </w:p>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本期购</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本期出</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报告期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期末账</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会计核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算科目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资金来 源</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西藏信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乐家 </w:t>
            </w:r>
            <w:r>
              <w:rPr>
                <w:color w:val="000000"/>
                <w:spacing w:val="0"/>
                <w:w w:val="100"/>
                <w:position w:val="0"/>
                <w:sz w:val="18"/>
                <w:szCs w:val="18"/>
              </w:rPr>
              <w:t>1</w:t>
            </w:r>
            <w:r>
              <w:rPr>
                <w:rFonts w:ascii="SimSun" w:eastAsia="SimSun" w:hAnsi="SimSun" w:cs="SimSun"/>
                <w:color w:val="000000"/>
                <w:spacing w:val="0"/>
                <w:w w:val="100"/>
                <w:position w:val="0"/>
                <w:sz w:val="16"/>
                <w:szCs w:val="16"/>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477,850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16,934,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10,856, </w:t>
            </w: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746,721</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8,418,6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西藏信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乐家 </w:t>
            </w:r>
            <w:r>
              <w:rPr>
                <w:color w:val="000000"/>
                <w:spacing w:val="0"/>
                <w:w w:val="100"/>
                <w:position w:val="0"/>
                <w:sz w:val="18"/>
                <w:szCs w:val="18"/>
              </w:rPr>
              <w:t>2</w:t>
            </w:r>
            <w:r>
              <w:rPr>
                <w:rFonts w:ascii="SimSun" w:eastAsia="SimSun" w:hAnsi="SimSun" w:cs="SimSun"/>
                <w:color w:val="000000"/>
                <w:spacing w:val="0"/>
                <w:w w:val="100"/>
                <w:position w:val="0"/>
                <w:sz w:val="16"/>
                <w:szCs w:val="16"/>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296,060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2,261,1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2,497,5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西藏信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宜家 </w:t>
            </w:r>
            <w:r>
              <w:rPr>
                <w:color w:val="000000"/>
                <w:spacing w:val="0"/>
                <w:w w:val="100"/>
                <w:position w:val="0"/>
                <w:sz w:val="18"/>
                <w:szCs w:val="18"/>
              </w:rPr>
              <w:t>1</w:t>
            </w:r>
            <w:r>
              <w:rPr>
                <w:rFonts w:ascii="SimSun" w:eastAsia="SimSun" w:hAnsi="SimSun" w:cs="SimSun"/>
                <w:color w:val="000000"/>
                <w:spacing w:val="0"/>
                <w:w w:val="100"/>
                <w:position w:val="0"/>
                <w:sz w:val="16"/>
                <w:szCs w:val="16"/>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287,370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547,379</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6"/>
                <w:szCs w:val="16"/>
              </w:rPr>
            </w:pPr>
            <w:r>
              <w:rPr>
                <w:rFonts w:ascii="SimSun" w:eastAsia="SimSun" w:hAnsi="SimSun" w:cs="SimSun"/>
                <w:color w:val="000000"/>
                <w:spacing w:val="0"/>
                <w:w w:val="100"/>
                <w:position w:val="0"/>
                <w:sz w:val="16"/>
                <w:szCs w:val="16"/>
              </w:rPr>
              <w:t>西藏信 托</w:t>
            </w:r>
            <w:r>
              <w:rPr>
                <w:color w:val="000000"/>
                <w:spacing w:val="0"/>
                <w:w w:val="100"/>
                <w:position w:val="0"/>
                <w:sz w:val="18"/>
                <w:szCs w:val="18"/>
              </w:rPr>
              <w:t>-</w:t>
            </w:r>
            <w:r>
              <w:rPr>
                <w:rFonts w:ascii="SimSun" w:eastAsia="SimSun" w:hAnsi="SimSun" w:cs="SimSun"/>
                <w:color w:val="000000"/>
                <w:spacing w:val="0"/>
                <w:w w:val="100"/>
                <w:position w:val="0"/>
                <w:sz w:val="16"/>
                <w:szCs w:val="16"/>
              </w:rPr>
              <w:t>开放 式单一 资金信 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131,060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3,350,0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690,326</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华鑫信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睿科 </w:t>
            </w:r>
            <w:r>
              <w:rPr>
                <w:color w:val="000000"/>
                <w:spacing w:val="0"/>
                <w:w w:val="100"/>
                <w:position w:val="0"/>
                <w:sz w:val="18"/>
                <w:szCs w:val="18"/>
              </w:rPr>
              <w:t>46</w:t>
            </w:r>
            <w:r>
              <w:rPr>
                <w:rFonts w:ascii="SimSun" w:eastAsia="SimSun" w:hAnsi="SimSun" w:cs="SimSun"/>
                <w:color w:val="000000"/>
                <w:spacing w:val="0"/>
                <w:w w:val="100"/>
                <w:position w:val="0"/>
                <w:sz w:val="16"/>
                <w:szCs w:val="16"/>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198,000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华鑫信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睿科 </w:t>
            </w:r>
            <w:r>
              <w:rPr>
                <w:color w:val="000000"/>
                <w:spacing w:val="0"/>
                <w:w w:val="100"/>
                <w:position w:val="0"/>
                <w:sz w:val="18"/>
                <w:szCs w:val="18"/>
              </w:rPr>
              <w:t>64</w:t>
            </w:r>
            <w:r>
              <w:rPr>
                <w:rFonts w:ascii="SimSun" w:eastAsia="SimSun" w:hAnsi="SimSun" w:cs="SimSun"/>
                <w:color w:val="000000"/>
                <w:spacing w:val="0"/>
                <w:w w:val="100"/>
                <w:position w:val="0"/>
                <w:sz w:val="16"/>
                <w:szCs w:val="16"/>
              </w:rPr>
              <w:t>号单 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69,240,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69,940, </w:t>
            </w: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6"/>
                <w:szCs w:val="16"/>
              </w:rPr>
            </w:pPr>
            <w:r>
              <w:rPr>
                <w:rFonts w:ascii="SimSun" w:eastAsia="SimSun" w:hAnsi="SimSun" w:cs="SimSun"/>
                <w:color w:val="000000"/>
                <w:spacing w:val="0"/>
                <w:w w:val="100"/>
                <w:position w:val="0"/>
                <w:sz w:val="16"/>
                <w:szCs w:val="16"/>
              </w:rPr>
              <w:t>自有资 金</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华鑫信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15,254,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自有资</w:t>
            </w:r>
          </w:p>
        </w:tc>
      </w:tr>
    </w:tbl>
    <w:p>
      <w:pPr>
        <w:spacing w:lineRule="exact" w:line="1"/>
        <w:rPr>
          <w:sz w:val="2"/>
          <w:szCs w:val="2"/>
        </w:rPr>
      </w:pPr>
      <w:r>
        <w:br w:type="page"/>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30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123</w:t>
            </w:r>
            <w:r>
              <w:rPr>
                <w:rFonts w:ascii="SimSun" w:eastAsia="SimSun" w:hAnsi="SimSun" w:cs="SimSun"/>
                <w:color w:val="000000"/>
                <w:spacing w:val="0"/>
                <w:w w:val="100"/>
                <w:position w:val="0"/>
                <w:sz w:val="16"/>
                <w:szCs w:val="16"/>
              </w:rPr>
              <w:t>号</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单一资</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254.07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信托产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华鑫信 托</w:t>
            </w:r>
            <w:r>
              <w:rPr>
                <w:color w:val="000000"/>
                <w:spacing w:val="0"/>
                <w:w w:val="100"/>
                <w:position w:val="0"/>
                <w:sz w:val="18"/>
                <w:szCs w:val="18"/>
              </w:rPr>
              <w:t>•</w:t>
            </w:r>
            <w:r>
              <w:rPr>
                <w:rFonts w:ascii="SimSun" w:eastAsia="SimSun" w:hAnsi="SimSun" w:cs="SimSun"/>
                <w:color w:val="000000"/>
                <w:spacing w:val="0"/>
                <w:w w:val="100"/>
                <w:position w:val="0"/>
                <w:sz w:val="16"/>
                <w:szCs w:val="16"/>
              </w:rPr>
              <w:t xml:space="preserve">睿科 </w:t>
            </w:r>
            <w:r>
              <w:rPr>
                <w:color w:val="000000"/>
                <w:spacing w:val="0"/>
                <w:w w:val="100"/>
                <w:position w:val="0"/>
                <w:sz w:val="18"/>
                <w:szCs w:val="18"/>
              </w:rPr>
              <w:t>192</w:t>
            </w:r>
            <w:r>
              <w:rPr>
                <w:rFonts w:ascii="SimSun" w:eastAsia="SimSun" w:hAnsi="SimSun" w:cs="SimSun"/>
                <w:color w:val="000000"/>
                <w:spacing w:val="0"/>
                <w:w w:val="100"/>
                <w:position w:val="0"/>
                <w:sz w:val="16"/>
                <w:szCs w:val="16"/>
              </w:rPr>
              <w:t>号</w:t>
            </w:r>
          </w:p>
          <w:p>
            <w:pPr>
              <w:pStyle w:val="Style2"/>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（事务 管理类） 集合资 金信托 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成本法</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债权投 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自有资 金</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2,162,3 </w:t>
            </w:r>
            <w:r>
              <w:rPr>
                <w:color w:val="000000"/>
                <w:spacing w:val="0"/>
                <w:w w:val="100"/>
                <w:position w:val="0"/>
              </w:rPr>
              <w:t>40,000.</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561,086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288,216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28,551,</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880.80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575,166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,841.36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r>
        <w:trPr>
          <w:trHeight w:val="71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证券投资审批董事会公告 披露日期</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6"/>
                <w:szCs w:val="16"/>
              </w:rPr>
              <w:t>证券投资审批股东会公告 披露日期（如有</w:t>
            </w:r>
            <w:r>
              <w:rPr>
                <w:rFonts w:ascii="SimSun" w:eastAsia="SimSun" w:hAnsi="SimSun" w:cs="SimSun"/>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79"/>
      <w:bookmarkEnd w:id="180"/>
      <w:bookmarkEnd w:id="182"/>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公司报告期不存在衍生品投资。</w:t>
      </w:r>
    </w:p>
    <w:p>
      <w:pPr>
        <w:pStyle w:val="Style30"/>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、募集资金使用情况</w:t>
      </w:r>
      <w:bookmarkEnd w:id="183"/>
      <w:bookmarkEnd w:id="184"/>
      <w:bookmarkEnd w:id="186"/>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公司报告期无募集资金使用情况。</w:t>
      </w:r>
    </w:p>
    <w:p>
      <w:pPr>
        <w:pStyle w:val="Style22"/>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sz w:val="24"/>
          <w:szCs w:val="24"/>
        </w:rPr>
        <w:t>八</w:t>
      </w:r>
      <w:bookmarkEnd w:id="189"/>
      <w:r>
        <w:rPr>
          <w:color w:val="000000"/>
          <w:spacing w:val="0"/>
          <w:w w:val="100"/>
          <w:position w:val="0"/>
          <w:sz w:val="24"/>
          <w:szCs w:val="24"/>
        </w:rPr>
        <w:t>、重大资产和股权出售</w:t>
      </w:r>
      <w:bookmarkEnd w:id="187"/>
      <w:bookmarkEnd w:id="188"/>
      <w:bookmarkEnd w:id="190"/>
    </w:p>
    <w:p>
      <w:pPr>
        <w:pStyle w:val="Style30"/>
        <w:keepNext/>
        <w:keepLines/>
        <w:widowControl w:val="0"/>
        <w:shd w:val="clear" w:color="auto" w:fill="auto"/>
        <w:tabs>
          <w:tab w:pos="36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出售重大资产情况</w:t>
      </w:r>
      <w:bookmarkEnd w:id="191"/>
      <w:bookmarkEnd w:id="192"/>
      <w:bookmarkEnd w:id="194"/>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公司报告期未出售重大资产。</w:t>
      </w:r>
    </w:p>
    <w:p>
      <w:pPr>
        <w:pStyle w:val="Style30"/>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出售重大股权情况</w:t>
      </w:r>
      <w:bookmarkEnd w:id="195"/>
      <w:bookmarkEnd w:id="196"/>
      <w:bookmarkEnd w:id="198"/>
    </w:p>
    <w:p>
      <w:pPr>
        <w:pStyle w:val="Style18"/>
        <w:keepNext w:val="0"/>
        <w:keepLines w:val="0"/>
        <w:widowControl w:val="0"/>
        <w:shd w:val="clear" w:color="auto" w:fill="auto"/>
        <w:bidi w:val="0"/>
        <w:spacing w:before="0" w:after="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0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被出售 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交易价 格（万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本期初</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起至出</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售日该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出售对</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股权出 售为上 市公司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股权出</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售定价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是否为</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关联交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与交易 对方的 关联关</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所涉及 的股权 是否已</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是否按</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计划如</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期实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披露索 引</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贡献的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全部过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施，如</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未按计</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划实</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施，应</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润（万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当说明</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原因及</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公司已</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采取的</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措施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27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金源兴</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信息技</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无重大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净资产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巨潮资 讯网</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航嘉源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控股</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rPr>
              <w:t>24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24,910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409.71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sz w:val="16"/>
                <w:szCs w:val="16"/>
              </w:rPr>
              <w:t xml:space="preserve">月 </w:t>
            </w:r>
            <w:r>
              <w:rPr>
                <w:color w:val="000000"/>
                <w:spacing w:val="0"/>
                <w:w w:val="100"/>
                <w:position w:val="0"/>
              </w:rPr>
              <w:t>25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w:t>
            </w:r>
            <w:r>
              <w:rPr>
                <w:color w:val="000000"/>
                <w:spacing w:val="0"/>
                <w:w w:val="100"/>
                <w:position w:val="0"/>
              </w:rPr>
              <w:t>www.</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（集</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术有限</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cninfo.c</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团）有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om.cn</w:t>
            </w:r>
            <w:r>
              <w:rPr>
                <w:rFonts w:ascii="SimSun" w:eastAsia="SimSun" w:hAnsi="SimSun" w:cs="SimSun"/>
                <w:color w:val="000000"/>
                <w:spacing w:val="0"/>
                <w:w w:val="100"/>
                <w:position w:val="0"/>
                <w:sz w:val="16"/>
                <w:szCs w:val="16"/>
              </w:rPr>
              <w:t>)</w:t>
            </w:r>
          </w:p>
        </w:tc>
      </w:tr>
      <w:tr>
        <w:trPr>
          <w:trHeight w:val="29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九</w:t>
      </w:r>
      <w:bookmarkEnd w:id="201"/>
      <w:r>
        <w:rPr>
          <w:color w:val="000000"/>
          <w:spacing w:val="0"/>
          <w:w w:val="100"/>
          <w:position w:val="0"/>
          <w:sz w:val="24"/>
          <w:szCs w:val="24"/>
        </w:rPr>
        <w:t>、主要控股参股公司分析</w:t>
      </w:r>
      <w:bookmarkEnd w:id="199"/>
      <w:bookmarkEnd w:id="200"/>
      <w:bookmarkEnd w:id="202"/>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主要子公司及对公司净利润影响达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19"/>
          <w:szCs w:val="19"/>
        </w:rPr>
        <w:t>以上的参股公司情况</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6"/>
                <w:szCs w:val="16"/>
              </w:rPr>
            </w:pPr>
            <w:r>
              <w:rPr>
                <w:rFonts w:ascii="SimSun" w:eastAsia="SimSun" w:hAnsi="SimSun" w:cs="SimSun"/>
                <w:color w:val="000000"/>
                <w:spacing w:val="0"/>
                <w:w w:val="100"/>
                <w:position w:val="0"/>
                <w:sz w:val="16"/>
                <w:szCs w:val="16"/>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科技有限责</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技术开发、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技术推广、</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技术转让等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121,048,753.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100,484,729.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214,368,554.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32,970,239.9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28,011,369.7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商品、金融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期货经纪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4,245,633,03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700,032,076.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2,031,599,83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67,341,325.9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44,352,481.8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大连金融资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产交易所有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各类金融资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产交易及相</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330,770,000.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584,570,841.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523,041,557.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68,763,848.1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-104,851,266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-114,206,989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香港中科金财科技有限公司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对公司整体生产经营和业绩无不利影响</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r>
        <w:rPr>
          <w:color w:val="000000"/>
          <w:spacing w:val="0"/>
          <w:w w:val="100"/>
          <w:position w:val="0"/>
          <w:sz w:val="24"/>
          <w:szCs w:val="24"/>
        </w:rPr>
        <w:t>十、公司控制的结构化主体情况</w:t>
      </w:r>
      <w:bookmarkEnd w:id="203"/>
      <w:bookmarkEnd w:id="204"/>
      <w:bookmarkEnd w:id="20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477"/>
        <w:gridCol w:w="2126"/>
        <w:gridCol w:w="1843"/>
        <w:gridCol w:w="1277"/>
        <w:gridCol w:w="1771"/>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持有信托产品子公司名称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信托产品名称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信托产品存续</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截止</w:t>
            </w:r>
            <w:r>
              <w:rPr>
                <w:color w:val="000000"/>
                <w:spacing w:val="0"/>
                <w:w w:val="100"/>
                <w:position w:val="0"/>
                <w:sz w:val="18"/>
                <w:szCs w:val="18"/>
              </w:rPr>
              <w:t>20211231</w:t>
            </w:r>
            <w:r>
              <w:rPr>
                <w:rFonts w:ascii="SimSun" w:eastAsia="SimSun" w:hAnsi="SimSun" w:cs="SimSun"/>
                <w:color w:val="000000"/>
                <w:spacing w:val="0"/>
                <w:w w:val="100"/>
                <w:position w:val="0"/>
                <w:sz w:val="16"/>
                <w:szCs w:val="16"/>
              </w:rPr>
              <w:t>信托产</w:t>
            </w:r>
          </w:p>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品余额（元）</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西藏信托</w:t>
            </w:r>
            <w:r>
              <w:rPr>
                <w:color w:val="000000"/>
                <w:spacing w:val="0"/>
                <w:w w:val="100"/>
                <w:position w:val="0"/>
                <w:sz w:val="18"/>
                <w:szCs w:val="18"/>
              </w:rPr>
              <w:t>-</w:t>
            </w:r>
            <w:r>
              <w:rPr>
                <w:rFonts w:ascii="SimSun" w:eastAsia="SimSun" w:hAnsi="SimSun" w:cs="SimSun"/>
                <w:color w:val="000000"/>
                <w:spacing w:val="0"/>
                <w:w w:val="100"/>
                <w:position w:val="0"/>
                <w:sz w:val="16"/>
                <w:szCs w:val="16"/>
              </w:rPr>
              <w:t>乐家</w:t>
            </w:r>
            <w:r>
              <w:rPr>
                <w:color w:val="000000"/>
                <w:spacing w:val="0"/>
                <w:w w:val="100"/>
                <w:position w:val="0"/>
                <w:sz w:val="18"/>
                <w:szCs w:val="18"/>
              </w:rPr>
              <w:t>1</w:t>
            </w:r>
            <w:r>
              <w:rPr>
                <w:rFonts w:ascii="SimSun" w:eastAsia="SimSun" w:hAnsi="SimSun" w:cs="SimSun"/>
                <w:color w:val="000000"/>
                <w:spacing w:val="0"/>
                <w:w w:val="100"/>
                <w:position w:val="0"/>
                <w:sz w:val="16"/>
                <w:szCs w:val="16"/>
              </w:rPr>
              <w:t>号单一资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西藏信托有限公司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28,037,366.47</w:t>
            </w:r>
          </w:p>
        </w:tc>
      </w:tr>
    </w:tbl>
    <w:tbl>
      <w:tblPr>
        <w:tblOverlap w:val="never"/>
        <w:jc w:val="center"/>
        <w:tblLayout w:type="fixed"/>
      </w:tblPr>
      <w:tblGrid>
        <w:gridCol w:w="2477"/>
        <w:gridCol w:w="2126"/>
        <w:gridCol w:w="1843"/>
        <w:gridCol w:w="1277"/>
        <w:gridCol w:w="1771"/>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西藏信托</w:t>
            </w:r>
            <w:r>
              <w:rPr>
                <w:color w:val="000000"/>
                <w:spacing w:val="0"/>
                <w:w w:val="100"/>
                <w:position w:val="0"/>
                <w:sz w:val="18"/>
                <w:szCs w:val="18"/>
              </w:rPr>
              <w:t>-</w:t>
            </w:r>
            <w:r>
              <w:rPr>
                <w:rFonts w:ascii="SimSun" w:eastAsia="SimSun" w:hAnsi="SimSun" w:cs="SimSun"/>
                <w:color w:val="000000"/>
                <w:spacing w:val="0"/>
                <w:w w:val="100"/>
                <w:position w:val="0"/>
                <w:sz w:val="16"/>
                <w:szCs w:val="16"/>
              </w:rPr>
              <w:t>乐家</w:t>
            </w:r>
            <w:r>
              <w:rPr>
                <w:color w:val="000000"/>
                <w:spacing w:val="0"/>
                <w:w w:val="100"/>
                <w:position w:val="0"/>
                <w:sz w:val="18"/>
                <w:szCs w:val="18"/>
              </w:rPr>
              <w:t>2</w:t>
            </w:r>
            <w:r>
              <w:rPr>
                <w:rFonts w:ascii="SimSun" w:eastAsia="SimSun" w:hAnsi="SimSun" w:cs="SimSun"/>
                <w:color w:val="000000"/>
                <w:spacing w:val="0"/>
                <w:w w:val="100"/>
                <w:position w:val="0"/>
                <w:sz w:val="16"/>
                <w:szCs w:val="16"/>
              </w:rPr>
              <w:t>号单一资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123</w:t>
            </w:r>
            <w:r>
              <w:rPr>
                <w:rFonts w:ascii="SimSun" w:eastAsia="SimSun" w:hAnsi="SimSun" w:cs="SimSun"/>
                <w:color w:val="000000"/>
                <w:spacing w:val="0"/>
                <w:w w:val="100"/>
                <w:position w:val="0"/>
                <w:sz w:val="16"/>
                <w:szCs w:val="16"/>
              </w:rPr>
              <w:t>号单一 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华鑫国际信托有限公司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269,930,000.00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192</w:t>
            </w:r>
            <w:r>
              <w:rPr>
                <w:rFonts w:ascii="SimSun" w:eastAsia="SimSun" w:hAnsi="SimSun" w:cs="SimSun"/>
                <w:color w:val="000000"/>
                <w:spacing w:val="0"/>
                <w:w w:val="100"/>
                <w:position w:val="0"/>
                <w:sz w:val="16"/>
                <w:szCs w:val="16"/>
              </w:rPr>
              <w:t>号（事务 管理类）集合资金信托计划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华鑫国际信托有限公司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300,000,000.00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602,407,366.47</w:t>
            </w:r>
          </w:p>
        </w:tc>
      </w:tr>
    </w:tbl>
    <w:p>
      <w:pPr>
        <w:pStyle w:val="Style1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对于纳入合并范围的重要的结构化主体，控制的依据：拥有对被投资方的权利，通过参与被投资方的 相关活动而享有可变回报，并且有能力运用对被投资方的权利影响其回报金额。本公司未向纳入合并范围 的结构化主体提供财务或其他支持。</w:t>
      </w:r>
    </w:p>
    <w:p>
      <w:pPr>
        <w:pStyle w:val="Style22"/>
        <w:keepNext/>
        <w:keepLines/>
        <w:widowControl w:val="0"/>
        <w:shd w:val="clear" w:color="auto" w:fill="auto"/>
        <w:bidi w:val="0"/>
        <w:spacing w:before="0" w:after="200" w:line="240" w:lineRule="auto"/>
        <w:ind w:left="0" w:right="0" w:firstLine="0"/>
        <w:jc w:val="left"/>
      </w:pPr>
      <w:bookmarkStart w:id="206" w:name="bookmark206"/>
      <w:bookmarkStart w:id="207" w:name="bookmark207"/>
      <w:bookmarkStart w:id="208" w:name="bookmark208"/>
      <w:r>
        <w:rPr>
          <w:color w:val="000000"/>
          <w:spacing w:val="0"/>
          <w:w w:val="100"/>
          <w:position w:val="0"/>
          <w:sz w:val="24"/>
          <w:szCs w:val="24"/>
        </w:rPr>
        <w:t>十一、公司未来发展的展望</w:t>
      </w:r>
      <w:bookmarkEnd w:id="206"/>
      <w:bookmarkEnd w:id="207"/>
      <w:bookmarkEnd w:id="208"/>
    </w:p>
    <w:p>
      <w:pPr>
        <w:pStyle w:val="Style18"/>
        <w:keepNext w:val="0"/>
        <w:keepLines w:val="0"/>
        <w:widowControl w:val="0"/>
        <w:shd w:val="clear" w:color="auto" w:fill="auto"/>
        <w:bidi w:val="0"/>
        <w:spacing w:before="0" w:after="0" w:line="468" w:lineRule="exact"/>
        <w:ind w:left="0" w:right="0" w:firstLine="440"/>
        <w:jc w:val="both"/>
      </w:pPr>
      <w:bookmarkStart w:id="209" w:name="bookmark209"/>
      <w:r>
        <w:rPr>
          <w:color w:val="000000"/>
          <w:spacing w:val="0"/>
          <w:w w:val="100"/>
          <w:position w:val="0"/>
        </w:rPr>
        <w:t>（</w:t>
      </w:r>
      <w:bookmarkEnd w:id="209"/>
      <w:r>
        <w:rPr>
          <w:color w:val="000000"/>
          <w:spacing w:val="0"/>
          <w:w w:val="100"/>
          <w:position w:val="0"/>
        </w:rPr>
        <w:t>一）公司发展战略</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公司所处的金融科技赛道呈现日新月异的发展态势。站在全球视角，快速支付、信用卡服务、账单管 理等领域涌现出</w:t>
      </w:r>
      <w:r>
        <w:rPr>
          <w:color w:val="000000"/>
          <w:spacing w:val="0"/>
          <w:w w:val="100"/>
          <w:position w:val="0"/>
        </w:rPr>
        <w:t>Chime</w:t>
      </w:r>
      <w:r>
        <w:rPr>
          <w:color w:val="000000"/>
          <w:spacing w:val="0"/>
          <w:w w:val="100"/>
          <w:position w:val="0"/>
        </w:rPr>
        <w:t>、</w:t>
      </w:r>
      <w:r>
        <w:rPr>
          <w:color w:val="000000"/>
          <w:spacing w:val="0"/>
          <w:w w:val="100"/>
          <w:position w:val="0"/>
        </w:rPr>
        <w:t>Nu Holdings, Brex</w:t>
      </w:r>
      <w:r>
        <w:rPr>
          <w:color w:val="000000"/>
          <w:spacing w:val="0"/>
          <w:w w:val="100"/>
          <w:position w:val="0"/>
        </w:rPr>
        <w:t>等独角兽公司，仍是全球科技领域的热门赛道。国内，中国人 民银行印发《金融科技发展规划</w:t>
      </w:r>
      <w:r>
        <w:rPr>
          <w:color w:val="000000"/>
          <w:spacing w:val="0"/>
          <w:w w:val="100"/>
          <w:position w:val="0"/>
        </w:rPr>
        <w:t>（</w:t>
      </w:r>
      <w:r>
        <w:rPr>
          <w:color w:val="000000"/>
          <w:spacing w:val="0"/>
          <w:w w:val="100"/>
          <w:position w:val="0"/>
        </w:rPr>
        <w:t>2022—2025</w:t>
      </w:r>
      <w:r>
        <w:rPr>
          <w:color w:val="000000"/>
          <w:spacing w:val="0"/>
          <w:w w:val="100"/>
          <w:position w:val="0"/>
        </w:rPr>
        <w:t>年）》，提出新时期金融科技发展指导意见，明确金融数字 化转型的总体思路、发展目标、重点任务和实施保障。其中尤其强调“数据”要素的作用，为使其切切 实实成为继劳动、土地、资本之后新的生产要素，需强化数据能力建设、释放数据要素潜能，探索建立跨 主体数据安全共享隐私计算平台，推动金融与公共服务领域互联互通，不断拓展金融业数据要素广度和深 度。</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在保证传统主业稳定发展的前提下，公司近年逐步探索布局央行数字货币、区块链、隐私计算等创新 方向，</w:t>
      </w:r>
      <w:r>
        <w:rPr>
          <w:color w:val="000000"/>
          <w:spacing w:val="0"/>
          <w:w w:val="100"/>
          <w:position w:val="0"/>
        </w:rPr>
        <w:t>2022</w:t>
      </w:r>
      <w:r>
        <w:rPr>
          <w:color w:val="000000"/>
          <w:spacing w:val="0"/>
          <w:w w:val="100"/>
          <w:position w:val="0"/>
        </w:rPr>
        <w:t>年，公司将按“底层技术平台+应用场景+运营服务”</w:t>
      </w:r>
      <w:r>
        <w:rPr>
          <w:color w:val="000000"/>
          <w:spacing w:val="0"/>
          <w:w w:val="100"/>
          <w:position w:val="0"/>
        </w:rPr>
        <w:t>，</w:t>
      </w:r>
      <w:r>
        <w:rPr>
          <w:color w:val="000000"/>
          <w:spacing w:val="0"/>
          <w:w w:val="100"/>
          <w:position w:val="0"/>
        </w:rPr>
        <w:t>加速新业务、新方向的探索。</w:t>
      </w:r>
    </w:p>
    <w:p>
      <w:pPr>
        <w:pStyle w:val="Style18"/>
        <w:keepNext w:val="0"/>
        <w:keepLines w:val="0"/>
        <w:widowControl w:val="0"/>
        <w:shd w:val="clear" w:color="auto" w:fill="auto"/>
        <w:bidi w:val="0"/>
        <w:spacing w:before="0" w:after="300" w:line="468" w:lineRule="exact"/>
        <w:ind w:left="0" w:right="0" w:firstLine="440"/>
        <w:jc w:val="both"/>
      </w:pPr>
      <w:r>
        <w:rPr>
          <w:color w:val="000000"/>
          <w:spacing w:val="0"/>
          <w:w w:val="100"/>
          <w:position w:val="0"/>
        </w:rPr>
        <w:t>2022</w:t>
      </w:r>
      <w:r>
        <w:rPr>
          <w:color w:val="000000"/>
          <w:spacing w:val="0"/>
          <w:w w:val="100"/>
          <w:position w:val="0"/>
        </w:rPr>
        <w:t>年，公司将继续加强在联盟链、隐私计算等方向的底层技术积累。区块链位列“十四五”规划纲 要七大数字经济重点产业，同时也是金融科技发展规划中列明的重要数字技术。公司自</w:t>
      </w:r>
      <w:r>
        <w:rPr>
          <w:color w:val="000000"/>
          <w:spacing w:val="0"/>
          <w:w w:val="100"/>
          <w:position w:val="0"/>
        </w:rPr>
        <w:t>2016</w:t>
      </w:r>
      <w:r>
        <w:rPr>
          <w:color w:val="000000"/>
          <w:spacing w:val="0"/>
          <w:w w:val="100"/>
          <w:position w:val="0"/>
        </w:rPr>
        <w:t>年设立区块链 事业部并发布第一代产品至今，已迭代数轮，目前已形成“中科金财</w:t>
      </w:r>
      <w:r>
        <w:rPr>
          <w:color w:val="000000"/>
          <w:spacing w:val="0"/>
          <w:w w:val="100"/>
          <w:position w:val="0"/>
        </w:rPr>
        <w:t>BaaS</w:t>
      </w:r>
      <w:r>
        <w:rPr>
          <w:color w:val="000000"/>
          <w:spacing w:val="0"/>
          <w:w w:val="100"/>
          <w:position w:val="0"/>
        </w:rPr>
        <w:t>”服务系统，具备灵活部署、 安全自主、算法可插拔、多底层支持等性能优势。未来，基于数字经济落地的考虑，联盟链将与</w:t>
      </w:r>
      <w:r>
        <w:rPr>
          <w:color w:val="000000"/>
          <w:spacing w:val="0"/>
          <w:w w:val="100"/>
          <w:position w:val="0"/>
        </w:rPr>
        <w:t>5G</w:t>
      </w:r>
      <w:r>
        <w:rPr>
          <w:color w:val="000000"/>
          <w:spacing w:val="0"/>
          <w:w w:val="100"/>
          <w:position w:val="0"/>
        </w:rPr>
        <w:t>、</w:t>
      </w:r>
      <w:r>
        <w:rPr>
          <w:color w:val="000000"/>
          <w:spacing w:val="0"/>
          <w:w w:val="100"/>
          <w:position w:val="0"/>
        </w:rPr>
        <w:t>物联 网、云计算等技术逐渐融合，成为构建可信网络的重要基石。隐私计算方面，我国《数据安全法》的落地， 加速让数据成为流动的生产要素，以此为契机，公司加强在多方安全计算、联邦学习算法方面的积累，形 成“中科金财安全多方计算平台”，隐私计算业务场景涵盖金融、海关、运营商、政务、医疗、司法监管、 工业互联网等。下一步，隐私计算将与联盟链技术融合，有望形成数据确权、存储、交互、流转的一体化 解决方案。</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公司将继续加快布局数字人民币的业务发展。一、进一步拓展与银行的合作；二、不断迭代中科数字 钱包，结合元宇宙、数字藏品等新技术、新业态的快速发展，增加中科数字钱包相关的新功能；三、继续 借助银行的网点和客户优势扩大中科数字钱包的应用和服务范围，同时，也进一步拓展在公共交通、餐饮、 零售、酒旅等场景开展综合服务。</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公司正密切关注并跟进元宇宙最新发展趋势。</w:t>
      </w:r>
      <w:r>
        <w:rPr>
          <w:color w:val="000000"/>
          <w:spacing w:val="0"/>
          <w:w w:val="100"/>
          <w:position w:val="0"/>
        </w:rPr>
        <w:t>2021</w:t>
      </w:r>
      <w:r>
        <w:rPr>
          <w:color w:val="000000"/>
          <w:spacing w:val="0"/>
          <w:w w:val="100"/>
          <w:position w:val="0"/>
        </w:rPr>
        <w:t>年，全球科技巨头开始聚焦元宇宙这一新方向，作 为下一代信息科技的集合体，元宇宙对</w:t>
      </w:r>
      <w:r>
        <w:rPr>
          <w:color w:val="000000"/>
          <w:spacing w:val="0"/>
          <w:w w:val="100"/>
          <w:position w:val="0"/>
        </w:rPr>
        <w:t>web3.0</w:t>
      </w:r>
      <w:r>
        <w:rPr>
          <w:color w:val="000000"/>
          <w:spacing w:val="0"/>
          <w:w w:val="100"/>
          <w:position w:val="0"/>
        </w:rPr>
        <w:t>、</w:t>
      </w:r>
      <w:r>
        <w:rPr>
          <w:color w:val="000000"/>
          <w:spacing w:val="0"/>
          <w:w w:val="100"/>
          <w:position w:val="0"/>
        </w:rPr>
        <w:t>算力、</w:t>
      </w:r>
      <w:r>
        <w:rPr>
          <w:color w:val="000000"/>
          <w:spacing w:val="0"/>
          <w:w w:val="100"/>
          <w:position w:val="0"/>
        </w:rPr>
        <w:t>5G</w:t>
      </w:r>
      <w:r>
        <w:rPr>
          <w:color w:val="000000"/>
          <w:spacing w:val="0"/>
          <w:w w:val="100"/>
          <w:position w:val="0"/>
        </w:rPr>
        <w:t>网络、显示技术、半导体等提出了更高的要求， 同时也提供了更具想象力的场景。虽然元宇宙打造“平行数字世界”的愿景尚显遥远，但对</w:t>
      </w:r>
      <w:r>
        <w:rPr>
          <w:color w:val="000000"/>
          <w:spacing w:val="0"/>
          <w:w w:val="100"/>
          <w:position w:val="0"/>
        </w:rPr>
        <w:t>web3.0</w:t>
      </w:r>
      <w:r>
        <w:rPr>
          <w:color w:val="000000"/>
          <w:spacing w:val="0"/>
          <w:w w:val="100"/>
          <w:position w:val="0"/>
        </w:rPr>
        <w:t>、</w:t>
      </w:r>
      <w:r>
        <w:rPr>
          <w:color w:val="000000"/>
          <w:spacing w:val="0"/>
          <w:w w:val="100"/>
          <w:position w:val="0"/>
        </w:rPr>
        <w:t>区块 链、虚拟人、</w:t>
      </w:r>
      <w:r>
        <w:rPr>
          <w:color w:val="000000"/>
          <w:spacing w:val="0"/>
          <w:w w:val="100"/>
          <w:position w:val="0"/>
        </w:rPr>
        <w:t>VR/AR</w:t>
      </w:r>
      <w:r>
        <w:rPr>
          <w:color w:val="000000"/>
          <w:spacing w:val="0"/>
          <w:w w:val="100"/>
          <w:position w:val="0"/>
        </w:rPr>
        <w:t>等技术融合应用的尝试却颇具颠覆性。结合公司在金融领域的多年耕耘，以及证券、 银行、保险等行业对个性化展示、</w:t>
      </w:r>
      <w:r>
        <w:rPr>
          <w:color w:val="000000"/>
          <w:spacing w:val="0"/>
          <w:w w:val="100"/>
          <w:position w:val="0"/>
        </w:rPr>
        <w:t>AI</w:t>
      </w:r>
      <w:r>
        <w:rPr>
          <w:color w:val="000000"/>
          <w:spacing w:val="0"/>
          <w:w w:val="100"/>
          <w:position w:val="0"/>
        </w:rPr>
        <w:t>交互、</w:t>
      </w:r>
      <w:r>
        <w:rPr>
          <w:color w:val="000000"/>
          <w:spacing w:val="0"/>
          <w:w w:val="100"/>
          <w:position w:val="0"/>
        </w:rPr>
        <w:t>IP</w:t>
      </w:r>
      <w:r>
        <w:rPr>
          <w:color w:val="000000"/>
          <w:spacing w:val="0"/>
          <w:w w:val="100"/>
          <w:position w:val="0"/>
        </w:rPr>
        <w:t>创新的需求，元宇宙的众多底层技术实际上以及逐步被应用， 比如金融机构的智能助理、</w:t>
      </w:r>
      <w:r>
        <w:rPr>
          <w:color w:val="000000"/>
          <w:spacing w:val="0"/>
          <w:w w:val="100"/>
          <w:position w:val="0"/>
        </w:rPr>
        <w:t>VTM</w:t>
      </w:r>
      <w:r>
        <w:rPr>
          <w:color w:val="000000"/>
          <w:spacing w:val="0"/>
          <w:w w:val="100"/>
          <w:position w:val="0"/>
        </w:rPr>
        <w:t>交互等，这些有望在元宇宙时代进一步升级。</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月，公司签署增资协议，拟以</w:t>
      </w:r>
      <w:r>
        <w:rPr>
          <w:color w:val="000000"/>
          <w:spacing w:val="0"/>
          <w:w w:val="100"/>
          <w:position w:val="0"/>
        </w:rPr>
        <w:t>800</w:t>
      </w:r>
      <w:r>
        <w:rPr>
          <w:color w:val="000000"/>
          <w:spacing w:val="0"/>
          <w:w w:val="100"/>
          <w:position w:val="0"/>
        </w:rPr>
        <w:t>万元增资爱化身科技（北京）有限公司（以下简称“爱化身 科技”），增资完成后公司将持有爱化身科技</w:t>
      </w:r>
      <w:r>
        <w:rPr>
          <w:color w:val="000000"/>
          <w:spacing w:val="0"/>
          <w:w w:val="100"/>
          <w:position w:val="0"/>
        </w:rPr>
        <w:t>10%</w:t>
      </w:r>
      <w:r>
        <w:rPr>
          <w:color w:val="000000"/>
          <w:spacing w:val="0"/>
          <w:w w:val="100"/>
          <w:position w:val="0"/>
        </w:rPr>
        <w:t>的股权。爱化身科技定位于元宇宙内容科技服务商，致 力于虚拟数字人、虚拟场景技术开发和运营，已在银行、文旅、体育、汽车等行业推出元宇宙相关业务的 技术服务方案，公司本次增资后，爱化身科技将进一步重点自主研发元宇宙技术引擎和虚拟数字人技术引 擎提高核心竞争力。</w:t>
      </w:r>
    </w:p>
    <w:p>
      <w:pPr>
        <w:pStyle w:val="Style18"/>
        <w:keepNext w:val="0"/>
        <w:keepLines w:val="0"/>
        <w:widowControl w:val="0"/>
        <w:shd w:val="clear" w:color="auto" w:fill="auto"/>
        <w:bidi w:val="0"/>
        <w:spacing w:before="0" w:after="0" w:line="471" w:lineRule="exact"/>
        <w:ind w:left="0" w:right="0" w:firstLine="440"/>
        <w:jc w:val="both"/>
      </w:pPr>
      <w:bookmarkStart w:id="210" w:name="bookmark210"/>
      <w:r>
        <w:rPr>
          <w:color w:val="000000"/>
          <w:spacing w:val="0"/>
          <w:w w:val="100"/>
          <w:position w:val="0"/>
        </w:rPr>
        <w:t>（</w:t>
      </w:r>
      <w:bookmarkEnd w:id="210"/>
      <w:r>
        <w:rPr>
          <w:color w:val="000000"/>
          <w:spacing w:val="0"/>
          <w:w w:val="100"/>
          <w:position w:val="0"/>
        </w:rPr>
        <w:t>二）经营计划</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为确保实现公司发展战略目标，公司</w:t>
      </w:r>
      <w:r>
        <w:rPr>
          <w:color w:val="000000"/>
          <w:spacing w:val="0"/>
          <w:w w:val="100"/>
          <w:position w:val="0"/>
        </w:rPr>
        <w:t>2022</w:t>
      </w:r>
      <w:r>
        <w:rPr>
          <w:color w:val="000000"/>
          <w:spacing w:val="0"/>
          <w:w w:val="100"/>
          <w:position w:val="0"/>
        </w:rPr>
        <w:t>年度经营计划主要包括以下内容：</w:t>
      </w:r>
    </w:p>
    <w:p>
      <w:pPr>
        <w:pStyle w:val="Style18"/>
        <w:keepNext w:val="0"/>
        <w:keepLines w:val="0"/>
        <w:widowControl w:val="0"/>
        <w:shd w:val="clear" w:color="auto" w:fill="auto"/>
        <w:tabs>
          <w:tab w:pos="742" w:val="left"/>
        </w:tabs>
        <w:bidi w:val="0"/>
        <w:spacing w:before="0" w:after="0" w:line="471" w:lineRule="exact"/>
        <w:ind w:left="0" w:right="0" w:firstLine="440"/>
        <w:jc w:val="both"/>
      </w:pPr>
      <w:bookmarkStart w:id="211" w:name="bookmark211"/>
      <w:r>
        <w:rPr>
          <w:color w:val="000000"/>
          <w:spacing w:val="0"/>
          <w:w w:val="100"/>
          <w:position w:val="0"/>
        </w:rPr>
        <w:t>1</w:t>
      </w:r>
      <w:bookmarkEnd w:id="211"/>
      <w:r>
        <w:rPr>
          <w:color w:val="000000"/>
          <w:spacing w:val="0"/>
          <w:w w:val="100"/>
          <w:position w:val="0"/>
        </w:rPr>
        <w:t>、</w:t>
        <w:tab/>
        <w:t>加快推进新业务的研发和外部市场开拓，提高技术服务水平和外部市场份额。公司继续以数字科 技为切入点，围绕金融机构、政府与公用事业、企业等客户群体，提供金融科技和数据中心综合服务，同 时，对数字经济、数字货币、区块链、隐私计算、元宇宙等新技术、新趋势密切的关注和跟进以及探索尝 试。</w:t>
      </w:r>
    </w:p>
    <w:p>
      <w:pPr>
        <w:pStyle w:val="Style18"/>
        <w:keepNext w:val="0"/>
        <w:keepLines w:val="0"/>
        <w:widowControl w:val="0"/>
        <w:shd w:val="clear" w:color="auto" w:fill="auto"/>
        <w:tabs>
          <w:tab w:pos="742" w:val="left"/>
        </w:tabs>
        <w:bidi w:val="0"/>
        <w:spacing w:before="0" w:after="0" w:line="471" w:lineRule="exact"/>
        <w:ind w:left="0" w:right="0" w:firstLine="440"/>
        <w:jc w:val="both"/>
      </w:pPr>
      <w:bookmarkStart w:id="212" w:name="bookmark212"/>
      <w:r>
        <w:rPr>
          <w:color w:val="000000"/>
          <w:spacing w:val="0"/>
          <w:w w:val="100"/>
          <w:position w:val="0"/>
        </w:rPr>
        <w:t>2</w:t>
      </w:r>
      <w:bookmarkEnd w:id="212"/>
      <w:r>
        <w:rPr>
          <w:color w:val="000000"/>
          <w:spacing w:val="0"/>
          <w:w w:val="100"/>
          <w:position w:val="0"/>
        </w:rPr>
        <w:t>、</w:t>
        <w:tab/>
        <w:t>公司将在执行合同过程中深入了解挖掘现有客户需求，努力在完成当前合同的内容的前提下，利 用公司长年的技术和经验的积累对客户的需求加以引领、合理规划，引导客户形成及完善新的需求，以获 取继续与客户进行深入合作的机会，以此增加客户的粘性。同时公司拥有众多长期稳定的高粘性客户，通 过客户对公司认可，横向或纵向获得更多客户的认可，从而赢得发展新客户。</w:t>
      </w:r>
    </w:p>
    <w:p>
      <w:pPr>
        <w:pStyle w:val="Style18"/>
        <w:keepNext w:val="0"/>
        <w:keepLines w:val="0"/>
        <w:widowControl w:val="0"/>
        <w:shd w:val="clear" w:color="auto" w:fill="auto"/>
        <w:tabs>
          <w:tab w:pos="742" w:val="left"/>
        </w:tabs>
        <w:bidi w:val="0"/>
        <w:spacing w:before="0" w:after="0" w:line="471" w:lineRule="exact"/>
        <w:ind w:left="0" w:right="0" w:firstLine="440"/>
        <w:jc w:val="both"/>
      </w:pPr>
      <w:bookmarkStart w:id="213" w:name="bookmark213"/>
      <w:r>
        <w:rPr>
          <w:color w:val="000000"/>
          <w:spacing w:val="0"/>
          <w:w w:val="100"/>
          <w:position w:val="0"/>
        </w:rPr>
        <w:t>3</w:t>
      </w:r>
      <w:bookmarkEnd w:id="213"/>
      <w:r>
        <w:rPr>
          <w:color w:val="000000"/>
          <w:spacing w:val="0"/>
          <w:w w:val="100"/>
          <w:position w:val="0"/>
        </w:rPr>
        <w:t>、</w:t>
        <w:tab/>
        <w:t>进一步加大技术投入。在技术创新方面，公司将继续加大产品和技术研发及产业化投入，不断增 强创新技术实力，提高研发效益，加快研发成果转化，保持行业技术领先水平，提高企业的核心竞争能力， 为公司的成长提供产品和技术优势。</w:t>
      </w:r>
    </w:p>
    <w:p>
      <w:pPr>
        <w:pStyle w:val="Style18"/>
        <w:keepNext w:val="0"/>
        <w:keepLines w:val="0"/>
        <w:widowControl w:val="0"/>
        <w:shd w:val="clear" w:color="auto" w:fill="auto"/>
        <w:tabs>
          <w:tab w:pos="742" w:val="left"/>
        </w:tabs>
        <w:bidi w:val="0"/>
        <w:spacing w:before="0" w:after="0" w:line="471" w:lineRule="exact"/>
        <w:ind w:left="0" w:right="0" w:firstLine="440"/>
        <w:jc w:val="both"/>
      </w:pPr>
      <w:bookmarkStart w:id="214" w:name="bookmark214"/>
      <w:r>
        <w:rPr>
          <w:color w:val="000000"/>
          <w:spacing w:val="0"/>
          <w:w w:val="100"/>
          <w:position w:val="0"/>
        </w:rPr>
        <w:t>4</w:t>
      </w:r>
      <w:bookmarkEnd w:id="214"/>
      <w:r>
        <w:rPr>
          <w:color w:val="000000"/>
          <w:spacing w:val="0"/>
          <w:w w:val="100"/>
          <w:position w:val="0"/>
        </w:rPr>
        <w:t>、</w:t>
        <w:tab/>
        <w:t xml:space="preserve">公司将根据战略规划情况和经营发展需要，开展股权投资，并通过升级多层级合伙人经营责任制 度，实现内部创业、培育孵化和成熟收购有机结合的投资并购策略。通过将资本、人才、产品和技术有效 </w:t>
      </w:r>
      <w:r>
        <w:rPr>
          <w:color w:val="000000"/>
          <w:spacing w:val="0"/>
          <w:w w:val="100"/>
          <w:position w:val="0"/>
        </w:rPr>
        <w:t>整合，帮助公司实现协同式发展，提升综合竞争优势和业绩。</w:t>
      </w:r>
    </w:p>
    <w:p>
      <w:pPr>
        <w:pStyle w:val="Style18"/>
        <w:keepNext w:val="0"/>
        <w:keepLines w:val="0"/>
        <w:widowControl w:val="0"/>
        <w:shd w:val="clear" w:color="auto" w:fill="auto"/>
        <w:tabs>
          <w:tab w:pos="783" w:val="left"/>
        </w:tabs>
        <w:bidi w:val="0"/>
        <w:spacing w:before="0" w:after="0" w:line="471" w:lineRule="exact"/>
        <w:ind w:left="0" w:right="0" w:firstLine="440"/>
        <w:jc w:val="both"/>
      </w:pPr>
      <w:bookmarkStart w:id="215" w:name="bookmark215"/>
      <w:r>
        <w:rPr>
          <w:color w:val="000000"/>
          <w:spacing w:val="0"/>
          <w:w w:val="100"/>
          <w:position w:val="0"/>
        </w:rPr>
        <w:t>5</w:t>
      </w:r>
      <w:bookmarkEnd w:id="215"/>
      <w:r>
        <w:rPr>
          <w:color w:val="000000"/>
          <w:spacing w:val="0"/>
          <w:w w:val="100"/>
          <w:position w:val="0"/>
        </w:rPr>
        <w:t>、</w:t>
        <w:tab/>
        <w:t>进一步注重发现和培养经营人才。通过推行和升级中科金财多层级合伙人经营责任制，将公司划 分为独立经营单元，通过建立与市场直接联系的独立核算制进行运营，调动员工参与经营管理，注重发现 及培养经营人才，强调以客户为中心、全局观及组织协同性。此外，为了激励员工，公司将积极研究择机 适时推出股权激励或员工持股计划。</w:t>
      </w:r>
    </w:p>
    <w:p>
      <w:pPr>
        <w:pStyle w:val="Style18"/>
        <w:keepNext w:val="0"/>
        <w:keepLines w:val="0"/>
        <w:widowControl w:val="0"/>
        <w:shd w:val="clear" w:color="auto" w:fill="auto"/>
        <w:tabs>
          <w:tab w:pos="783" w:val="left"/>
        </w:tabs>
        <w:bidi w:val="0"/>
        <w:spacing w:before="0" w:after="0" w:line="471" w:lineRule="exact"/>
        <w:ind w:left="0" w:right="0" w:firstLine="440"/>
        <w:jc w:val="both"/>
      </w:pPr>
      <w:bookmarkStart w:id="216" w:name="bookmark216"/>
      <w:r>
        <w:rPr>
          <w:color w:val="000000"/>
          <w:spacing w:val="0"/>
          <w:w w:val="100"/>
          <w:position w:val="0"/>
        </w:rPr>
        <w:t>6</w:t>
      </w:r>
      <w:bookmarkEnd w:id="216"/>
      <w:r>
        <w:rPr>
          <w:color w:val="000000"/>
          <w:spacing w:val="0"/>
          <w:w w:val="100"/>
          <w:position w:val="0"/>
        </w:rPr>
        <w:t>、</w:t>
        <w:tab/>
        <w:t>加强中后台部门管理，转变中后台工作思路，推行中后台工作考核与公司整体业绩挂钩的机制， 积极落实中后台部门对业务部门的主动支持和协助，实现全员对业绩负责，提升公司内部效率，进一步提 升向客户提供高效、优质、有竞争力服务的能力。</w:t>
      </w:r>
    </w:p>
    <w:p>
      <w:pPr>
        <w:pStyle w:val="Style18"/>
        <w:keepNext w:val="0"/>
        <w:keepLines w:val="0"/>
        <w:widowControl w:val="0"/>
        <w:shd w:val="clear" w:color="auto" w:fill="auto"/>
        <w:bidi w:val="0"/>
        <w:spacing w:before="0" w:after="0" w:line="471" w:lineRule="exact"/>
        <w:ind w:left="0" w:right="0" w:firstLine="440"/>
        <w:jc w:val="both"/>
      </w:pPr>
      <w:bookmarkStart w:id="217" w:name="bookmark217"/>
      <w:r>
        <w:rPr>
          <w:color w:val="000000"/>
          <w:spacing w:val="0"/>
          <w:w w:val="100"/>
          <w:position w:val="0"/>
        </w:rPr>
        <w:t>（</w:t>
      </w:r>
      <w:bookmarkEnd w:id="217"/>
      <w:r>
        <w:rPr>
          <w:color w:val="000000"/>
          <w:spacing w:val="0"/>
          <w:w w:val="100"/>
          <w:position w:val="0"/>
        </w:rPr>
        <w:t>三）可能面对的风险</w:t>
      </w:r>
    </w:p>
    <w:p>
      <w:pPr>
        <w:pStyle w:val="Style18"/>
        <w:keepNext w:val="0"/>
        <w:keepLines w:val="0"/>
        <w:widowControl w:val="0"/>
        <w:shd w:val="clear" w:color="auto" w:fill="auto"/>
        <w:tabs>
          <w:tab w:pos="786" w:val="left"/>
        </w:tabs>
        <w:bidi w:val="0"/>
        <w:spacing w:before="0" w:after="0" w:line="471" w:lineRule="exact"/>
        <w:ind w:left="0" w:right="0" w:firstLine="440"/>
        <w:jc w:val="both"/>
      </w:pPr>
      <w:bookmarkStart w:id="218" w:name="bookmark218"/>
      <w:r>
        <w:rPr>
          <w:color w:val="000000"/>
          <w:spacing w:val="0"/>
          <w:w w:val="100"/>
          <w:position w:val="0"/>
        </w:rPr>
        <w:t>1</w:t>
      </w:r>
      <w:bookmarkEnd w:id="218"/>
      <w:r>
        <w:rPr>
          <w:color w:val="000000"/>
          <w:spacing w:val="0"/>
          <w:w w:val="100"/>
          <w:position w:val="0"/>
        </w:rPr>
        <w:t>、</w:t>
        <w:tab/>
        <w:t>市场竞争风险</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公司正在积极布局的行业具有广阔的市场空间，但同时也面临激烈的市场竞争。如果公司不能充分利 用现有优势和资源，持续升级产品和服务，快速扩大市场份额，可能导致公司未来持续高速发展存在一定 的不确定因素。</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针对上述风险，公司将积极顺应行业发展趋势，加快业务布局，快速推进各项业务；同时充分发挥公 司的核心竞争优势，加大市场拓展力度，以规避市场竞争加剧对公司造成的风险。</w:t>
      </w:r>
    </w:p>
    <w:p>
      <w:pPr>
        <w:pStyle w:val="Style18"/>
        <w:keepNext w:val="0"/>
        <w:keepLines w:val="0"/>
        <w:widowControl w:val="0"/>
        <w:shd w:val="clear" w:color="auto" w:fill="auto"/>
        <w:tabs>
          <w:tab w:pos="801" w:val="left"/>
        </w:tabs>
        <w:bidi w:val="0"/>
        <w:spacing w:before="0" w:after="0" w:line="471" w:lineRule="exact"/>
        <w:ind w:left="0" w:right="0" w:firstLine="440"/>
        <w:jc w:val="both"/>
      </w:pPr>
      <w:bookmarkStart w:id="219" w:name="bookmark219"/>
      <w:r>
        <w:rPr>
          <w:color w:val="000000"/>
          <w:spacing w:val="0"/>
          <w:w w:val="100"/>
          <w:position w:val="0"/>
        </w:rPr>
        <w:t>2</w:t>
      </w:r>
      <w:bookmarkEnd w:id="219"/>
      <w:r>
        <w:rPr>
          <w:color w:val="000000"/>
          <w:spacing w:val="0"/>
          <w:w w:val="100"/>
          <w:position w:val="0"/>
        </w:rPr>
        <w:t>、</w:t>
        <w:tab/>
        <w:t>行业技术风险</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公司所处行业存在对产品的技术要求高，技术更新换代快，市场需求变化快的特点，如果不能及时准 确地把握新技术及市场需求的发展和变化，将会影响公司的快速发展。</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针对上述风险，公司将进一步加大技术研发投入，完善公司技术研发体系，加强研发技术人才的引进， 并在公司内部形成良好的知识共享、传递机制，不断提升创新能力。</w:t>
      </w:r>
    </w:p>
    <w:p>
      <w:pPr>
        <w:pStyle w:val="Style18"/>
        <w:keepNext w:val="0"/>
        <w:keepLines w:val="0"/>
        <w:widowControl w:val="0"/>
        <w:shd w:val="clear" w:color="auto" w:fill="auto"/>
        <w:tabs>
          <w:tab w:pos="801" w:val="left"/>
        </w:tabs>
        <w:bidi w:val="0"/>
        <w:spacing w:before="0" w:after="0" w:line="471" w:lineRule="exact"/>
        <w:ind w:left="0" w:right="0" w:firstLine="440"/>
        <w:jc w:val="both"/>
      </w:pPr>
      <w:bookmarkStart w:id="220" w:name="bookmark220"/>
      <w:r>
        <w:rPr>
          <w:color w:val="000000"/>
          <w:spacing w:val="0"/>
          <w:w w:val="100"/>
          <w:position w:val="0"/>
        </w:rPr>
        <w:t>3</w:t>
      </w:r>
      <w:bookmarkEnd w:id="220"/>
      <w:r>
        <w:rPr>
          <w:color w:val="000000"/>
          <w:spacing w:val="0"/>
          <w:w w:val="100"/>
          <w:position w:val="0"/>
        </w:rPr>
        <w:t>、</w:t>
        <w:tab/>
        <w:t>人力资源风险</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人才资源是公司生存和发展的关键，随着公司业务发展，对经营人才、业务人才、技术人才、运营人 才及有丰富经验的产品研发、项目管理人才的需求日益增强，同时员工行为管理也更加复杂。公司人才队 伍的数量及质量，是公司能否健康快速发展的重要保障因素。</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针对上述风险，公司将进一步完善人才保障的常态化机制，通过升级多层级合伙人经营责任制等方式 加大人才培养和引进力度，提供畅通的晋升渠道、推行有效的绩效考核与激励机制等措施，来满足公司业 务跨越式发展对人才的需求。</w:t>
      </w:r>
    </w:p>
    <w:p>
      <w:pPr>
        <w:pStyle w:val="Style18"/>
        <w:keepNext w:val="0"/>
        <w:keepLines w:val="0"/>
        <w:widowControl w:val="0"/>
        <w:shd w:val="clear" w:color="auto" w:fill="auto"/>
        <w:tabs>
          <w:tab w:pos="801" w:val="left"/>
        </w:tabs>
        <w:bidi w:val="0"/>
        <w:spacing w:before="0" w:after="0" w:line="471" w:lineRule="exact"/>
        <w:ind w:left="0" w:right="0" w:firstLine="440"/>
        <w:jc w:val="both"/>
      </w:pPr>
      <w:bookmarkStart w:id="221" w:name="bookmark221"/>
      <w:r>
        <w:rPr>
          <w:color w:val="000000"/>
          <w:spacing w:val="0"/>
          <w:w w:val="100"/>
          <w:position w:val="0"/>
        </w:rPr>
        <w:t>4</w:t>
      </w:r>
      <w:bookmarkEnd w:id="221"/>
      <w:r>
        <w:rPr>
          <w:color w:val="000000"/>
          <w:spacing w:val="0"/>
          <w:w w:val="100"/>
          <w:position w:val="0"/>
        </w:rPr>
        <w:t>、</w:t>
        <w:tab/>
        <w:t>政策风险</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行业政策是影响公司及行业发展的重要因素。若未来国家对相关行业政策进行调整或完善，将对行业 发展方向和竞争格局产生深刻影响，从而可能对公司业务发展的方向和速度产生一定影响。</w:t>
      </w:r>
    </w:p>
    <w:p>
      <w:pPr>
        <w:pStyle w:val="Style18"/>
        <w:keepNext w:val="0"/>
        <w:keepLines w:val="0"/>
        <w:widowControl w:val="0"/>
        <w:shd w:val="clear" w:color="auto" w:fill="auto"/>
        <w:bidi w:val="0"/>
        <w:spacing w:before="0" w:after="420" w:line="475" w:lineRule="exact"/>
        <w:ind w:left="0" w:right="0" w:firstLine="440"/>
        <w:jc w:val="left"/>
      </w:pPr>
      <w:r>
        <w:rPr>
          <w:color w:val="000000"/>
          <w:spacing w:val="0"/>
          <w:w w:val="100"/>
          <w:position w:val="0"/>
        </w:rPr>
        <w:t>针对上述风险，公司在发展业务的过程中，将进一步严格按照可参考、可依据的相关法律法规及政策 开展业务，持续跟踪和研究相关政策及变化，防范风险。</w:t>
      </w:r>
    </w:p>
    <w:p>
      <w:pPr>
        <w:pStyle w:val="Style22"/>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十二、报告期内接待调研、沟通、采访等活动</w:t>
      </w:r>
      <w:bookmarkEnd w:id="222"/>
      <w:bookmarkEnd w:id="223"/>
      <w:bookmarkEnd w:id="224"/>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sectPr>
          <w:footnotePr>
            <w:pos w:val="pageBottom"/>
            <w:numFmt w:val="decimal"/>
            <w:numRestart w:val="continuous"/>
          </w:footnotePr>
          <w:pgSz w:w="11900" w:h="16840"/>
          <w:pgMar w:top="1311" w:right="1046" w:bottom="1441" w:left="1067" w:header="0" w:footer="3" w:gutter="0"/>
          <w:cols w:space="720"/>
          <w:noEndnote/>
          <w:rtlGutter w:val="0"/>
          <w:docGrid w:linePitch="360"/>
        </w:sectPr>
      </w:pPr>
      <w:r>
        <w:rPr>
          <w:color w:val="000000"/>
          <w:spacing w:val="0"/>
          <w:w w:val="100"/>
          <w:position w:val="0"/>
          <w:sz w:val="19"/>
          <w:szCs w:val="19"/>
        </w:rPr>
        <w:t>公司报告期内未发生接待调研、沟通、采访等活动。</w:t>
      </w:r>
    </w:p>
    <w:p>
      <w:pPr>
        <w:pStyle w:val="Style10"/>
        <w:keepNext/>
        <w:keepLines/>
        <w:widowControl w:val="0"/>
        <w:shd w:val="clear" w:color="auto" w:fill="auto"/>
        <w:bidi w:val="0"/>
        <w:spacing w:before="660" w:after="560" w:line="240" w:lineRule="auto"/>
        <w:ind w:left="0" w:right="0" w:firstLine="0"/>
        <w:jc w:val="center"/>
      </w:pPr>
      <w:bookmarkStart w:id="225" w:name="bookmark225"/>
      <w:bookmarkStart w:id="226" w:name="bookmark226"/>
      <w:bookmarkStart w:id="227" w:name="bookmark227"/>
      <w:r>
        <w:rPr>
          <w:color w:val="000000"/>
          <w:spacing w:val="0"/>
          <w:w w:val="100"/>
          <w:position w:val="0"/>
        </w:rPr>
        <w:t>第四节公司治理</w:t>
      </w:r>
      <w:bookmarkEnd w:id="225"/>
      <w:bookmarkEnd w:id="226"/>
      <w:bookmarkEnd w:id="227"/>
    </w:p>
    <w:p>
      <w:pPr>
        <w:pStyle w:val="Style22"/>
        <w:keepNext/>
        <w:keepLines/>
        <w:widowControl w:val="0"/>
        <w:shd w:val="clear" w:color="auto" w:fill="auto"/>
        <w:bidi w:val="0"/>
        <w:spacing w:before="0" w:after="180" w:line="240" w:lineRule="auto"/>
        <w:ind w:left="0" w:right="0" w:firstLine="0"/>
        <w:jc w:val="left"/>
      </w:pPr>
      <w:bookmarkStart w:id="228" w:name="bookmark228"/>
      <w:bookmarkStart w:id="229" w:name="bookmark229"/>
      <w:bookmarkStart w:id="230" w:name="bookmark230"/>
      <w:bookmarkStart w:id="231" w:name="bookmark231"/>
      <w:bookmarkStart w:id="232" w:name="bookmark232"/>
      <w:r>
        <w:rPr>
          <w:color w:val="000000"/>
          <w:spacing w:val="0"/>
          <w:w w:val="100"/>
          <w:position w:val="0"/>
          <w:sz w:val="24"/>
          <w:szCs w:val="24"/>
        </w:rPr>
        <w:t>一</w:t>
      </w:r>
      <w:bookmarkEnd w:id="231"/>
      <w:r>
        <w:rPr>
          <w:color w:val="000000"/>
          <w:spacing w:val="0"/>
          <w:w w:val="100"/>
          <w:position w:val="0"/>
          <w:sz w:val="24"/>
          <w:szCs w:val="24"/>
        </w:rPr>
        <w:t>、公司治理的基本状况</w:t>
      </w:r>
      <w:bookmarkEnd w:id="229"/>
      <w:bookmarkEnd w:id="230"/>
      <w:bookmarkEnd w:id="232"/>
      <w:bookmarkEnd w:id="228"/>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公司严格按照《公司法》、《证券法》、《上市公司治理准则》、《股票上市规则》等法律、法规的 要求，不断完善公司治理结构，建立健全内部管理和控制制度，规范公司运作，提高公司治理水平。截至 报告期末，公司已经形成了较为完善的法人治理结构，形成了完善的决策机制、监督机制和执行机制，公 司治理的实际情况与《公司法》和中国证监会相关规定的要求不存在差异。具体情况如下：</w:t>
      </w:r>
    </w:p>
    <w:p>
      <w:pPr>
        <w:pStyle w:val="Style18"/>
        <w:keepNext w:val="0"/>
        <w:keepLines w:val="0"/>
        <w:widowControl w:val="0"/>
        <w:shd w:val="clear" w:color="auto" w:fill="auto"/>
        <w:tabs>
          <w:tab w:pos="1001" w:val="left"/>
        </w:tabs>
        <w:bidi w:val="0"/>
        <w:spacing w:before="0" w:after="0" w:line="469" w:lineRule="exact"/>
        <w:ind w:left="0" w:right="0" w:firstLine="440"/>
        <w:jc w:val="both"/>
      </w:pPr>
      <w:bookmarkStart w:id="233" w:name="bookmark233"/>
      <w:r>
        <w:rPr>
          <w:color w:val="000000"/>
          <w:spacing w:val="0"/>
          <w:w w:val="100"/>
          <w:position w:val="0"/>
        </w:rPr>
        <w:t>（</w:t>
      </w:r>
      <w:bookmarkEnd w:id="233"/>
      <w:r>
        <w:rPr>
          <w:color w:val="000000"/>
          <w:spacing w:val="0"/>
          <w:w w:val="100"/>
          <w:position w:val="0"/>
        </w:rPr>
        <w:t>一）</w:t>
        <w:tab/>
        <w:t>关于股东与股东大会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股东大会是公司的最高权力机构，公司依据《公司法》、《上市公司治理准则》、《公司章程》等文 件制定了《股东大会议事规则》，规范了股东大会召集、召开、表决程序，平等对待所有股东，积极采用 网络投票等形式，保障中小股东参与度，保证股东对公司重大事项的知情权和参与权，确保全体股东尤其 是中小股东享有平等地位，充分行使自己的权利。</w:t>
      </w:r>
    </w:p>
    <w:p>
      <w:pPr>
        <w:pStyle w:val="Style18"/>
        <w:keepNext w:val="0"/>
        <w:keepLines w:val="0"/>
        <w:widowControl w:val="0"/>
        <w:shd w:val="clear" w:color="auto" w:fill="auto"/>
        <w:tabs>
          <w:tab w:pos="1001" w:val="left"/>
        </w:tabs>
        <w:bidi w:val="0"/>
        <w:spacing w:before="0" w:after="0" w:line="469" w:lineRule="exact"/>
        <w:ind w:left="0" w:right="0" w:firstLine="440"/>
        <w:jc w:val="both"/>
      </w:pPr>
      <w:bookmarkStart w:id="234" w:name="bookmark234"/>
      <w:r>
        <w:rPr>
          <w:color w:val="000000"/>
          <w:spacing w:val="0"/>
          <w:w w:val="100"/>
          <w:position w:val="0"/>
        </w:rPr>
        <w:t>（</w:t>
      </w:r>
      <w:bookmarkEnd w:id="234"/>
      <w:r>
        <w:rPr>
          <w:color w:val="000000"/>
          <w:spacing w:val="0"/>
          <w:w w:val="100"/>
          <w:position w:val="0"/>
        </w:rPr>
        <w:t>二）</w:t>
        <w:tab/>
        <w:t>关于公司与控股股东</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公司拥有独立的业务和自主经营能力，在业务、人员、资产、机构、财务上独立于控股股东，公司董 事会、监事会和内部机构独立运作。公司控股股东严格根据《上市公司治理准则》、《股票上市规则》、 《公司章程》规范股东行为，通过股东大会行使股东权利，未发生超越股东大会及董事会而直接或间接干 预公司经营与决策的行为。</w:t>
      </w:r>
    </w:p>
    <w:p>
      <w:pPr>
        <w:pStyle w:val="Style18"/>
        <w:keepNext w:val="0"/>
        <w:keepLines w:val="0"/>
        <w:widowControl w:val="0"/>
        <w:shd w:val="clear" w:color="auto" w:fill="auto"/>
        <w:tabs>
          <w:tab w:pos="1001" w:val="left"/>
        </w:tabs>
        <w:bidi w:val="0"/>
        <w:spacing w:before="0" w:after="0" w:line="469" w:lineRule="exact"/>
        <w:ind w:left="0" w:right="0" w:firstLine="440"/>
        <w:jc w:val="both"/>
      </w:pPr>
      <w:bookmarkStart w:id="235" w:name="bookmark235"/>
      <w:r>
        <w:rPr>
          <w:color w:val="000000"/>
          <w:spacing w:val="0"/>
          <w:w w:val="100"/>
          <w:position w:val="0"/>
        </w:rPr>
        <w:t>（</w:t>
      </w:r>
      <w:bookmarkEnd w:id="235"/>
      <w:r>
        <w:rPr>
          <w:color w:val="000000"/>
          <w:spacing w:val="0"/>
          <w:w w:val="100"/>
          <w:position w:val="0"/>
        </w:rPr>
        <w:t>三）</w:t>
        <w:tab/>
        <w:t>关于董事与董事会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公司严格按照《公司法》、《公司章程》等相关法律法规选举产生董事人选，公司目前有独立董事三 名，占全体董事的三分之一，董事会人数及人员构成符合法律法规和《公司章程》的要求。公司董事会严 格按照《公司章程》、《独立董事工作制度》及《董事会议事规则》、《规范运作》等相关规定召集召开 董事会，各董事按要求出席董事会，认真审议各项议案，勤勉尽责。独立董事独立履行职责，维护公司整 体利益，尤其关注中小股东的合法权益不受损害，对重要及重大事项发表独立意见。</w:t>
      </w:r>
    </w:p>
    <w:p>
      <w:pPr>
        <w:pStyle w:val="Style18"/>
        <w:keepNext w:val="0"/>
        <w:keepLines w:val="0"/>
        <w:widowControl w:val="0"/>
        <w:shd w:val="clear" w:color="auto" w:fill="auto"/>
        <w:tabs>
          <w:tab w:pos="1001" w:val="left"/>
        </w:tabs>
        <w:bidi w:val="0"/>
        <w:spacing w:before="0" w:after="0" w:line="469" w:lineRule="exact"/>
        <w:ind w:left="0" w:right="0" w:firstLine="440"/>
        <w:jc w:val="both"/>
      </w:pPr>
      <w:bookmarkStart w:id="236" w:name="bookmark236"/>
      <w:r>
        <w:rPr>
          <w:color w:val="000000"/>
          <w:spacing w:val="0"/>
          <w:w w:val="100"/>
          <w:position w:val="0"/>
        </w:rPr>
        <w:t>（</w:t>
      </w:r>
      <w:bookmarkEnd w:id="236"/>
      <w:r>
        <w:rPr>
          <w:color w:val="000000"/>
          <w:spacing w:val="0"/>
          <w:w w:val="100"/>
          <w:position w:val="0"/>
        </w:rPr>
        <w:t>四）</w:t>
        <w:tab/>
        <w:t>关于监事与监事会</w:t>
      </w:r>
    </w:p>
    <w:p>
      <w:pPr>
        <w:pStyle w:val="Style18"/>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公司严格按照《公司法》、《公司章程》等相关法律法规选举产生监事人选，公司监事会由</w:t>
      </w:r>
      <w:r>
        <w:rPr>
          <w:color w:val="000000"/>
          <w:spacing w:val="0"/>
          <w:w w:val="100"/>
          <w:position w:val="0"/>
        </w:rPr>
        <w:t>3</w:t>
      </w:r>
      <w:r>
        <w:rPr>
          <w:color w:val="000000"/>
          <w:spacing w:val="0"/>
          <w:w w:val="100"/>
          <w:position w:val="0"/>
        </w:rPr>
        <w:t>名监事 组成，监事会人数及人员构成符合法律法规的要求。公司监事会严格按照《公司章程》及《监事会议事规 则》等相关规定召集召开监事会，各监事按要求出席监事会，认真履行职责，对公司重大事项、关联交易、 财务状况等进行监督并发表意见，维护了公司及股东的合法权益。</w:t>
      </w:r>
    </w:p>
    <w:p>
      <w:pPr>
        <w:pStyle w:val="Style18"/>
        <w:keepNext w:val="0"/>
        <w:keepLines w:val="0"/>
        <w:widowControl w:val="0"/>
        <w:shd w:val="clear" w:color="auto" w:fill="auto"/>
        <w:tabs>
          <w:tab w:pos="1017" w:val="left"/>
        </w:tabs>
        <w:bidi w:val="0"/>
        <w:spacing w:before="0" w:after="0" w:line="469" w:lineRule="exact"/>
        <w:ind w:left="0" w:right="0" w:firstLine="440"/>
        <w:jc w:val="both"/>
      </w:pPr>
      <w:bookmarkStart w:id="237" w:name="bookmark237"/>
      <w:r>
        <w:rPr>
          <w:color w:val="000000"/>
          <w:spacing w:val="0"/>
          <w:w w:val="100"/>
          <w:position w:val="0"/>
        </w:rPr>
        <w:t>（</w:t>
      </w:r>
      <w:bookmarkEnd w:id="237"/>
      <w:r>
        <w:rPr>
          <w:color w:val="000000"/>
          <w:spacing w:val="0"/>
          <w:w w:val="100"/>
          <w:position w:val="0"/>
        </w:rPr>
        <w:t>五）</w:t>
        <w:tab/>
        <w:t>关于信息披露与透明度</w:t>
      </w:r>
    </w:p>
    <w:p>
      <w:pPr>
        <w:pStyle w:val="Style1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公司严格执行《信息披露管理制度》、《董事会秘书工作制度》、《内幕信息知情人管理制度》等， 由董事会秘书负责信息披露工作，建立投资者专线电话、电子邮箱，提高公司运作的透明度。公司指定《证 券时报》、《证券日报》、《中国证券报》、《上海证券报》及巨潮资讯网作为公司信息披露的法定媒体， 严格按照有关规定真实、准确、完整、及时地披露有关信息，确保所有投资者能够以平等的机会获取信息。</w:t>
      </w:r>
    </w:p>
    <w:p>
      <w:pPr>
        <w:pStyle w:val="Style18"/>
        <w:keepNext w:val="0"/>
        <w:keepLines w:val="0"/>
        <w:widowControl w:val="0"/>
        <w:shd w:val="clear" w:color="auto" w:fill="auto"/>
        <w:tabs>
          <w:tab w:pos="1017" w:val="left"/>
        </w:tabs>
        <w:bidi w:val="0"/>
        <w:spacing w:before="0" w:after="0" w:line="469" w:lineRule="exact"/>
        <w:ind w:left="0" w:right="0" w:firstLine="440"/>
        <w:jc w:val="both"/>
      </w:pPr>
      <w:bookmarkStart w:id="238" w:name="bookmark238"/>
      <w:r>
        <w:rPr>
          <w:color w:val="000000"/>
          <w:spacing w:val="0"/>
          <w:w w:val="100"/>
          <w:position w:val="0"/>
        </w:rPr>
        <w:t>（</w:t>
      </w:r>
      <w:bookmarkEnd w:id="238"/>
      <w:r>
        <w:rPr>
          <w:color w:val="000000"/>
          <w:spacing w:val="0"/>
          <w:w w:val="100"/>
          <w:position w:val="0"/>
        </w:rPr>
        <w:t>六）</w:t>
        <w:tab/>
        <w:t>关于相关利益者</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公司充分尊重和维护相关利益者的合法权益，积极加强与相关利益者的沟通和交流，推动公司持续、 稳定、健康地发展。公司的治理情况符合中国证监会有关上市公司治理的规范性文件要求。</w:t>
      </w:r>
    </w:p>
    <w:p>
      <w:pPr>
        <w:pStyle w:val="Style18"/>
        <w:keepNext w:val="0"/>
        <w:keepLines w:val="0"/>
        <w:widowControl w:val="0"/>
        <w:shd w:val="clear" w:color="auto" w:fill="auto"/>
        <w:tabs>
          <w:tab w:pos="1017" w:val="left"/>
        </w:tabs>
        <w:bidi w:val="0"/>
        <w:spacing w:before="0" w:after="0" w:line="469" w:lineRule="exact"/>
        <w:ind w:left="0" w:right="0" w:firstLine="440"/>
        <w:jc w:val="both"/>
      </w:pPr>
      <w:bookmarkStart w:id="239" w:name="bookmark239"/>
      <w:r>
        <w:rPr>
          <w:color w:val="000000"/>
          <w:spacing w:val="0"/>
          <w:w w:val="100"/>
          <w:position w:val="0"/>
        </w:rPr>
        <w:t>（</w:t>
      </w:r>
      <w:bookmarkEnd w:id="239"/>
      <w:r>
        <w:rPr>
          <w:color w:val="000000"/>
          <w:spacing w:val="0"/>
          <w:w w:val="100"/>
          <w:position w:val="0"/>
        </w:rPr>
        <w:t>七）</w:t>
        <w:tab/>
        <w:t>关于公司与投资者</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公司严格执行《投资者关系管理制度》、《机构投资者接待管理办法》，公司董事会秘书为投资者关 系管理负责人，组织实施投资者关系的日常管理工作。报告期内，公司通过电话、接待投资者、深交所投 资者关系互动平台等方式，加强与投资者的沟通。</w:t>
      </w:r>
    </w:p>
    <w:p>
      <w:pPr>
        <w:pStyle w:val="Style18"/>
        <w:keepNext w:val="0"/>
        <w:keepLines w:val="0"/>
        <w:widowControl w:val="0"/>
        <w:shd w:val="clear" w:color="auto" w:fill="auto"/>
        <w:tabs>
          <w:tab w:pos="1017" w:val="left"/>
        </w:tabs>
        <w:bidi w:val="0"/>
        <w:spacing w:before="0" w:after="0" w:line="469" w:lineRule="exact"/>
        <w:ind w:left="0" w:right="0" w:firstLine="440"/>
        <w:jc w:val="both"/>
      </w:pPr>
      <w:bookmarkStart w:id="240" w:name="bookmark240"/>
      <w:r>
        <w:rPr>
          <w:color w:val="000000"/>
          <w:spacing w:val="0"/>
          <w:w w:val="100"/>
          <w:position w:val="0"/>
        </w:rPr>
        <w:t>（</w:t>
      </w:r>
      <w:bookmarkEnd w:id="240"/>
      <w:r>
        <w:rPr>
          <w:color w:val="000000"/>
          <w:spacing w:val="0"/>
          <w:w w:val="100"/>
          <w:position w:val="0"/>
        </w:rPr>
        <w:t>八）</w:t>
        <w:tab/>
        <w:t>关于绩效评价与激励约束机制</w:t>
      </w:r>
    </w:p>
    <w:p>
      <w:pPr>
        <w:pStyle w:val="Style18"/>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公司逐步完善和建立公正、透明的董事、监事及高级管理人员绩效评价体系和激励约束机制，高级管 理人员的聘任公开、透明，符合有关法律法规和公司内部规章制度的要求。公司根据《公司章程》中对高 级管理人员履职行为、权限和职责的规定进行综合考评，本公司高级管理人员实行年薪制，根据高级管理 人员的年度履职情况、绩效考核结果和公司经营业绩的情况决定其年度薪酬。</w:t>
      </w:r>
    </w:p>
    <w:p>
      <w:pPr>
        <w:pStyle w:val="Style18"/>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 xml:space="preserve">公司治理的实际状况与法律、行政法规和中国证监会发布的关于上市公司治理的规定是否存在重大差异 </w:t>
      </w:r>
      <w:r>
        <w:rPr>
          <w:color w:val="000000"/>
          <w:spacing w:val="0"/>
          <w:w w:val="100"/>
          <w:position w:val="0"/>
          <w:sz w:val="20"/>
          <w:szCs w:val="20"/>
        </w:rPr>
        <w:t>口</w:t>
      </w:r>
      <w:r>
        <w:rPr>
          <w:color w:val="000000"/>
          <w:spacing w:val="0"/>
          <w:w w:val="100"/>
          <w:position w:val="0"/>
          <w:sz w:val="19"/>
          <w:szCs w:val="19"/>
        </w:rPr>
        <w:t>是</w:t>
      </w:r>
      <w:r>
        <w:rPr>
          <w:color w:val="000000"/>
          <w:spacing w:val="0"/>
          <w:w w:val="100"/>
          <w:position w:val="0"/>
          <w:sz w:val="20"/>
          <w:szCs w:val="20"/>
        </w:rPr>
        <w:t>寸</w:t>
      </w:r>
      <w:r>
        <w:rPr>
          <w:color w:val="000000"/>
          <w:spacing w:val="0"/>
          <w:w w:val="100"/>
          <w:position w:val="0"/>
          <w:sz w:val="19"/>
          <w:szCs w:val="19"/>
        </w:rPr>
        <w:t>否</w:t>
      </w:r>
    </w:p>
    <w:p>
      <w:pPr>
        <w:pStyle w:val="Style18"/>
        <w:keepNext w:val="0"/>
        <w:keepLines w:val="0"/>
        <w:widowControl w:val="0"/>
        <w:shd w:val="clear" w:color="auto" w:fill="auto"/>
        <w:bidi w:val="0"/>
        <w:spacing w:before="0" w:after="300" w:line="350" w:lineRule="exact"/>
        <w:ind w:left="0" w:right="0" w:firstLine="0"/>
        <w:jc w:val="left"/>
        <w:rPr>
          <w:sz w:val="19"/>
          <w:szCs w:val="19"/>
        </w:rPr>
      </w:pPr>
      <w:r>
        <w:rPr>
          <w:color w:val="000000"/>
          <w:spacing w:val="0"/>
          <w:w w:val="100"/>
          <w:position w:val="0"/>
          <w:sz w:val="19"/>
          <w:szCs w:val="19"/>
        </w:rPr>
        <w:t>公司治理的实际状况与法律、行政法规和中国证监会发布的关于上市公司治理的规定不存在重大差异。</w:t>
      </w:r>
    </w:p>
    <w:p>
      <w:pPr>
        <w:pStyle w:val="Style22"/>
        <w:keepNext/>
        <w:keepLines/>
        <w:widowControl w:val="0"/>
        <w:shd w:val="clear" w:color="auto" w:fill="auto"/>
        <w:bidi w:val="0"/>
        <w:spacing w:before="0" w:after="200" w:line="322" w:lineRule="exact"/>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二</w:t>
      </w:r>
      <w:bookmarkEnd w:id="243"/>
      <w:r>
        <w:rPr>
          <w:color w:val="000000"/>
          <w:spacing w:val="0"/>
          <w:w w:val="100"/>
          <w:position w:val="0"/>
          <w:sz w:val="24"/>
          <w:szCs w:val="24"/>
        </w:rPr>
        <w:t>、公司相对于控股股东、实际控制人在保证公司资产、人员、财务、机构、业务等方面的 独立情况</w:t>
      </w:r>
      <w:bookmarkEnd w:id="241"/>
      <w:bookmarkEnd w:id="242"/>
      <w:bookmarkEnd w:id="244"/>
    </w:p>
    <w:p>
      <w:pPr>
        <w:pStyle w:val="Style18"/>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公司与控股股东在资产、人员、财务、机构、业务等方面完全分开，具有独立完整的业务及自主经营 能力。</w:t>
      </w:r>
    </w:p>
    <w:p>
      <w:pPr>
        <w:pStyle w:val="Style18"/>
        <w:keepNext w:val="0"/>
        <w:keepLines w:val="0"/>
        <w:widowControl w:val="0"/>
        <w:shd w:val="clear" w:color="auto" w:fill="auto"/>
        <w:tabs>
          <w:tab w:pos="1110" w:val="left"/>
        </w:tabs>
        <w:bidi w:val="0"/>
        <w:spacing w:before="0" w:after="0" w:line="471" w:lineRule="exact"/>
        <w:ind w:left="0" w:right="0" w:firstLine="440"/>
        <w:jc w:val="left"/>
      </w:pPr>
      <w:bookmarkStart w:id="245" w:name="bookmark245"/>
      <w:r>
        <w:rPr>
          <w:color w:val="000000"/>
          <w:spacing w:val="0"/>
          <w:w w:val="100"/>
          <w:position w:val="0"/>
        </w:rPr>
        <w:t>（</w:t>
      </w:r>
      <w:bookmarkEnd w:id="245"/>
      <w:r>
        <w:rPr>
          <w:color w:val="000000"/>
          <w:spacing w:val="0"/>
          <w:w w:val="100"/>
          <w:position w:val="0"/>
        </w:rPr>
        <w:t>一）</w:t>
        <w:tab/>
        <w:t>资产独立：公司的资产完整，拥有与生产经营范围相适应的各项资质、设备、知识产权等资产。 公司的各项资产均拥有完整的所有权。公司资产独立于公司控股股东，对所有资产有完全的控制支配权， 不存在资产、资金被控股股东占用而损害公司利益的情况，亦不存在为股东和其他个人提供担保的情形。</w:t>
      </w:r>
    </w:p>
    <w:p>
      <w:pPr>
        <w:pStyle w:val="Style18"/>
        <w:keepNext w:val="0"/>
        <w:keepLines w:val="0"/>
        <w:widowControl w:val="0"/>
        <w:shd w:val="clear" w:color="auto" w:fill="auto"/>
        <w:tabs>
          <w:tab w:pos="1100" w:val="left"/>
        </w:tabs>
        <w:bidi w:val="0"/>
        <w:spacing w:before="0" w:after="0" w:line="471" w:lineRule="exact"/>
        <w:ind w:left="0" w:right="0" w:firstLine="440"/>
        <w:jc w:val="left"/>
      </w:pPr>
      <w:bookmarkStart w:id="246" w:name="bookmark246"/>
      <w:r>
        <w:rPr>
          <w:color w:val="000000"/>
          <w:spacing w:val="0"/>
          <w:w w:val="100"/>
          <w:position w:val="0"/>
        </w:rPr>
        <w:t>（</w:t>
      </w:r>
      <w:bookmarkEnd w:id="246"/>
      <w:r>
        <w:rPr>
          <w:color w:val="000000"/>
          <w:spacing w:val="0"/>
          <w:w w:val="100"/>
          <w:position w:val="0"/>
        </w:rPr>
        <w:t>二）</w:t>
        <w:tab/>
        <w:t xml:space="preserve">人员独立：公司董事（含独立董事）、监事及高级管理人员严格按照《公司法》、《公司章程》 的有关规定产生，公司的总经理、副总经理、财务负责人、董事会秘书等高级管理人员均在公司专职工作 并领取薪酬，不存在在关联企业兼职领薪的情况；公司高级管理人员的任免均由公司董事会通过合法程序 </w:t>
      </w:r>
      <w:r>
        <w:rPr>
          <w:color w:val="000000"/>
          <w:spacing w:val="0"/>
          <w:w w:val="100"/>
          <w:position w:val="0"/>
        </w:rPr>
        <w:t>决定，不存在控股股东干涉人事任免决定的现象；公司拥有独立的员工队伍，并已建立较为完善的劳动用 工和人事管理制度。公司依据国家的法律法规与员工签定了劳动合同并缴纳社会保险费用，公司拥有独立 的劳动用工权利，不存在受控股股东控制的情形。</w:t>
      </w:r>
    </w:p>
    <w:p>
      <w:pPr>
        <w:pStyle w:val="Style18"/>
        <w:keepNext w:val="0"/>
        <w:keepLines w:val="0"/>
        <w:widowControl w:val="0"/>
        <w:shd w:val="clear" w:color="auto" w:fill="auto"/>
        <w:tabs>
          <w:tab w:pos="1122" w:val="left"/>
        </w:tabs>
        <w:bidi w:val="0"/>
        <w:spacing w:before="0" w:after="0" w:line="471" w:lineRule="exact"/>
        <w:ind w:left="0" w:right="0" w:firstLine="440"/>
        <w:jc w:val="left"/>
      </w:pPr>
      <w:bookmarkStart w:id="247" w:name="bookmark247"/>
      <w:r>
        <w:rPr>
          <w:color w:val="000000"/>
          <w:spacing w:val="0"/>
          <w:w w:val="100"/>
          <w:position w:val="0"/>
        </w:rPr>
        <w:t>（</w:t>
      </w:r>
      <w:bookmarkEnd w:id="247"/>
      <w:r>
        <w:rPr>
          <w:color w:val="000000"/>
          <w:spacing w:val="0"/>
          <w:w w:val="100"/>
          <w:position w:val="0"/>
        </w:rPr>
        <w:t>三）</w:t>
        <w:tab/>
        <w:t>财务独立：公司设立了独立的财务部门，配备了专职财务人员，建立了独立的会计核算体系和 财务管理制度。公司在银行独立开户，依法独立纳税，具有独立作出财务决策的能力。</w:t>
      </w:r>
    </w:p>
    <w:p>
      <w:pPr>
        <w:pStyle w:val="Style18"/>
        <w:keepNext w:val="0"/>
        <w:keepLines w:val="0"/>
        <w:widowControl w:val="0"/>
        <w:shd w:val="clear" w:color="auto" w:fill="auto"/>
        <w:tabs>
          <w:tab w:pos="1126" w:val="left"/>
        </w:tabs>
        <w:bidi w:val="0"/>
        <w:spacing w:before="0" w:after="0" w:line="471" w:lineRule="exact"/>
        <w:ind w:left="0" w:right="0" w:firstLine="440"/>
        <w:jc w:val="left"/>
      </w:pPr>
      <w:bookmarkStart w:id="248" w:name="bookmark248"/>
      <w:r>
        <w:rPr>
          <w:color w:val="000000"/>
          <w:spacing w:val="0"/>
          <w:w w:val="100"/>
          <w:position w:val="0"/>
        </w:rPr>
        <w:t>（</w:t>
      </w:r>
      <w:bookmarkEnd w:id="248"/>
      <w:r>
        <w:rPr>
          <w:color w:val="000000"/>
          <w:spacing w:val="0"/>
          <w:w w:val="100"/>
          <w:position w:val="0"/>
        </w:rPr>
        <w:t>四）</w:t>
        <w:tab/>
        <w:t>机构独立：公司依照《公司法》和《公司章程》的规定，设置了股东大会、董事会、监事会， 制定了议事规则，公司独立行使经营管理职权，独立于公司的控股股东、实际控制人及其控制的其他企业， 不存在机构混同的情形。公司的办公场所独立于股东单位，不存在混合经营、合署办公的情形。</w:t>
      </w:r>
    </w:p>
    <w:p>
      <w:pPr>
        <w:pStyle w:val="Style18"/>
        <w:keepNext w:val="0"/>
        <w:keepLines w:val="0"/>
        <w:widowControl w:val="0"/>
        <w:shd w:val="clear" w:color="auto" w:fill="auto"/>
        <w:tabs>
          <w:tab w:pos="1126" w:val="left"/>
        </w:tabs>
        <w:bidi w:val="0"/>
        <w:spacing w:before="0" w:after="420" w:line="471" w:lineRule="exact"/>
        <w:ind w:left="0" w:right="0" w:firstLine="440"/>
        <w:jc w:val="left"/>
      </w:pPr>
      <w:bookmarkStart w:id="249" w:name="bookmark249"/>
      <w:r>
        <w:rPr>
          <w:color w:val="000000"/>
          <w:spacing w:val="0"/>
          <w:w w:val="100"/>
          <w:position w:val="0"/>
        </w:rPr>
        <w:t>（</w:t>
      </w:r>
      <w:bookmarkEnd w:id="249"/>
      <w:r>
        <w:rPr>
          <w:color w:val="000000"/>
          <w:spacing w:val="0"/>
          <w:w w:val="100"/>
          <w:position w:val="0"/>
        </w:rPr>
        <w:t>五）</w:t>
        <w:tab/>
        <w:t>业务独立：公司拥有独立完整的业务体系及自主经营能力，能够面向市场独立经营、核算和决 策，独立承担责任与风险。公司的业务开展完全独立于控股股东，不存在受制于公司股东及其它关联方的 情况。</w:t>
      </w:r>
    </w:p>
    <w:p>
      <w:pPr>
        <w:pStyle w:val="Style22"/>
        <w:keepNext/>
        <w:keepLines/>
        <w:widowControl w:val="0"/>
        <w:shd w:val="clear" w:color="auto" w:fill="auto"/>
        <w:tabs>
          <w:tab w:pos="522" w:val="left"/>
        </w:tabs>
        <w:bidi w:val="0"/>
        <w:spacing w:before="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三</w:t>
      </w:r>
      <w:bookmarkEnd w:id="252"/>
      <w:r>
        <w:rPr>
          <w:color w:val="000000"/>
          <w:spacing w:val="0"/>
          <w:w w:val="100"/>
          <w:position w:val="0"/>
          <w:sz w:val="24"/>
          <w:szCs w:val="24"/>
        </w:rPr>
        <w:t>、</w:t>
        <w:tab/>
        <w:t>同业竞争情况</w:t>
      </w:r>
      <w:bookmarkEnd w:id="250"/>
      <w:bookmarkEnd w:id="251"/>
      <w:bookmarkEnd w:id="253"/>
    </w:p>
    <w:p>
      <w:pPr>
        <w:pStyle w:val="Style18"/>
        <w:keepNext w:val="0"/>
        <w:keepLines w:val="0"/>
        <w:widowControl w:val="0"/>
        <w:shd w:val="clear" w:color="auto" w:fill="auto"/>
        <w:bidi w:val="0"/>
        <w:spacing w:before="0" w:after="120" w:line="41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tabs>
          <w:tab w:pos="522" w:val="left"/>
        </w:tabs>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四</w:t>
      </w:r>
      <w:bookmarkEnd w:id="256"/>
      <w:r>
        <w:rPr>
          <w:color w:val="000000"/>
          <w:spacing w:val="0"/>
          <w:w w:val="100"/>
          <w:position w:val="0"/>
          <w:sz w:val="24"/>
          <w:szCs w:val="24"/>
        </w:rPr>
        <w:t>、</w:t>
        <w:tab/>
        <w:t>报告期内召开的年度股东大会和临时股东大会的有关情况</w:t>
      </w:r>
      <w:bookmarkEnd w:id="254"/>
      <w:bookmarkEnd w:id="255"/>
      <w:bookmarkEnd w:id="257"/>
    </w:p>
    <w:p>
      <w:pPr>
        <w:pStyle w:val="Style30"/>
        <w:keepNext/>
        <w:keepLines/>
        <w:widowControl w:val="0"/>
        <w:shd w:val="clear" w:color="auto" w:fill="auto"/>
        <w:bidi w:val="0"/>
        <w:spacing w:before="0" w:after="80" w:line="492"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、本报告期股东大会情况</w:t>
      </w:r>
      <w:bookmarkEnd w:id="258"/>
      <w:bookmarkEnd w:id="259"/>
      <w:bookmarkEnd w:id="26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会议决议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《北京中科金财科 技股份有限公司 </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 股东大会决议公告》 刊登于《证券时报》、</w:t>
            </w:r>
          </w:p>
          <w:p>
            <w:pPr>
              <w:pStyle w:val="Style2"/>
              <w:keepNext w:val="0"/>
              <w:keepLines w:val="0"/>
              <w:widowControl w:val="0"/>
              <w:shd w:val="clear" w:color="auto" w:fill="auto"/>
              <w:bidi w:val="0"/>
              <w:spacing w:before="0" w:after="100" w:line="310" w:lineRule="exact"/>
              <w:ind w:left="0" w:right="0" w:firstLine="0"/>
              <w:jc w:val="left"/>
            </w:pPr>
            <w:r>
              <w:rPr>
                <w:rFonts w:ascii="SimSun" w:eastAsia="SimSun" w:hAnsi="SimSun" w:cs="SimSun"/>
                <w:color w:val="000000"/>
                <w:spacing w:val="0"/>
                <w:w w:val="100"/>
                <w:position w:val="0"/>
                <w:sz w:val="16"/>
                <w:szCs w:val="16"/>
              </w:rPr>
              <w:t xml:space="preserve">《证券日报》、《中国 证券报》、《上海证券 报》及巨潮资讯网 </w:t>
            </w:r>
            <w:r>
              <w:fldChar w:fldCharType="begin"/>
            </w:r>
            <w:r>
              <w:rPr/>
              <w:instrText> HYPERLINK "http://www.cninfo.co" </w:instrText>
            </w:r>
            <w:r>
              <w:fldChar w:fldCharType="separate"/>
            </w:r>
            <w:r>
              <w:rPr>
                <w:color w:val="000000"/>
                <w:spacing w:val="0"/>
                <w:w w:val="100"/>
                <w:position w:val="0"/>
              </w:rPr>
              <w:t>http://www.cninfo.co</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m.cn</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年年度股东大 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14</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rPr>
                <w:sz w:val="16"/>
                <w:szCs w:val="16"/>
              </w:rPr>
            </w:pPr>
            <w:r>
              <w:rPr>
                <w:rFonts w:ascii="SimSun" w:eastAsia="SimSun" w:hAnsi="SimSun" w:cs="SimSun"/>
                <w:color w:val="000000"/>
                <w:spacing w:val="0"/>
                <w:w w:val="100"/>
                <w:position w:val="0"/>
                <w:sz w:val="16"/>
                <w:szCs w:val="16"/>
              </w:rPr>
              <w:t xml:space="preserve">《北京中科金财科 技股份有限公司 </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年年度股东大 会决议公告》刊登于</w:t>
            </w:r>
          </w:p>
          <w:p>
            <w:pPr>
              <w:pStyle w:val="Style2"/>
              <w:keepNext w:val="0"/>
              <w:keepLines w:val="0"/>
              <w:widowControl w:val="0"/>
              <w:shd w:val="clear" w:color="auto" w:fill="auto"/>
              <w:bidi w:val="0"/>
              <w:spacing w:before="0" w:after="0" w:line="308" w:lineRule="exact"/>
              <w:ind w:left="0" w:right="0" w:firstLine="0"/>
              <w:jc w:val="left"/>
              <w:rPr>
                <w:sz w:val="16"/>
                <w:szCs w:val="16"/>
              </w:rPr>
            </w:pPr>
            <w:r>
              <w:rPr>
                <w:rFonts w:ascii="SimSun" w:eastAsia="SimSun" w:hAnsi="SimSun" w:cs="SimSun"/>
                <w:color w:val="000000"/>
                <w:spacing w:val="0"/>
                <w:w w:val="100"/>
                <w:position w:val="0"/>
                <w:sz w:val="16"/>
                <w:szCs w:val="16"/>
              </w:rPr>
              <w:t>《证券时报》、《证券 日报》、《中国证券 报》、《上海证券报》</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及巨潮资讯网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 //www. cninfo. c 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m.cn</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06</w:t>
            </w:r>
            <w:r>
              <w:rPr>
                <w:rFonts w:ascii="SimSun" w:eastAsia="SimSun" w:hAnsi="SimSun" w:cs="SimSun"/>
                <w:color w:val="000000"/>
                <w:spacing w:val="0"/>
                <w:w w:val="100"/>
                <w:position w:val="0"/>
                <w:sz w:val="16"/>
                <w:szCs w:val="16"/>
              </w:rPr>
              <w:t>月</w:t>
            </w:r>
            <w:r>
              <w:rPr>
                <w:color w:val="000000"/>
                <w:spacing w:val="0"/>
                <w:w w:val="100"/>
                <w:position w:val="0"/>
                <w:sz w:val="18"/>
                <w:szCs w:val="18"/>
              </w:rPr>
              <w:t>11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《北京中科金财科 技股份有限公司 </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 股东大会决议公告》 刊登于《证券时报》、</w:t>
            </w:r>
          </w:p>
          <w:p>
            <w:pPr>
              <w:pStyle w:val="Style2"/>
              <w:keepNext w:val="0"/>
              <w:keepLines w:val="0"/>
              <w:widowControl w:val="0"/>
              <w:shd w:val="clear" w:color="auto" w:fill="auto"/>
              <w:bidi w:val="0"/>
              <w:spacing w:before="0" w:after="100" w:line="310" w:lineRule="exact"/>
              <w:ind w:left="0" w:right="0" w:firstLine="0"/>
              <w:jc w:val="left"/>
            </w:pPr>
            <w:r>
              <w:rPr>
                <w:rFonts w:ascii="SimSun" w:eastAsia="SimSun" w:hAnsi="SimSun" w:cs="SimSun"/>
                <w:color w:val="000000"/>
                <w:spacing w:val="0"/>
                <w:w w:val="100"/>
                <w:position w:val="0"/>
                <w:sz w:val="16"/>
                <w:szCs w:val="16"/>
              </w:rPr>
              <w:t xml:space="preserve">《证券日报》、《中国 证券报》、《上海证券 报》及巨潮资讯网 </w:t>
            </w:r>
            <w:r>
              <w:fldChar w:fldCharType="begin"/>
            </w:r>
            <w:r>
              <w:rPr/>
              <w:instrText> HYPERLINK "http://www.cninfo.co" </w:instrText>
            </w:r>
            <w:r>
              <w:fldChar w:fldCharType="separate"/>
            </w:r>
            <w:r>
              <w:rPr>
                <w:color w:val="000000"/>
                <w:spacing w:val="0"/>
                <w:w w:val="100"/>
                <w:position w:val="0"/>
              </w:rPr>
              <w:t>http://www.cninfo.co</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m.cn</w:t>
            </w:r>
          </w:p>
        </w:tc>
      </w:tr>
      <w:tr>
        <w:trPr>
          <w:trHeight w:val="32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07</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 xml:space="preserve">《北京中科金财科 技股份有限公司 </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年第三次临时 股东大会决议公告》 刊登于《证券时报》、</w:t>
            </w:r>
          </w:p>
          <w:p>
            <w:pPr>
              <w:pStyle w:val="Style2"/>
              <w:keepNext w:val="0"/>
              <w:keepLines w:val="0"/>
              <w:widowControl w:val="0"/>
              <w:shd w:val="clear" w:color="auto" w:fill="auto"/>
              <w:bidi w:val="0"/>
              <w:spacing w:before="0" w:after="100" w:line="310" w:lineRule="exact"/>
              <w:ind w:left="0" w:right="0" w:firstLine="0"/>
              <w:jc w:val="left"/>
            </w:pPr>
            <w:r>
              <w:rPr>
                <w:rFonts w:ascii="SimSun" w:eastAsia="SimSun" w:hAnsi="SimSun" w:cs="SimSun"/>
                <w:color w:val="000000"/>
                <w:spacing w:val="0"/>
                <w:w w:val="100"/>
                <w:position w:val="0"/>
                <w:sz w:val="16"/>
                <w:szCs w:val="16"/>
              </w:rPr>
              <w:t xml:space="preserve">《证券日报》、《中国 证券报》、《上海证券 报》及巨潮资讯网 </w:t>
            </w:r>
            <w:r>
              <w:fldChar w:fldCharType="begin"/>
            </w:r>
            <w:r>
              <w:rPr/>
              <w:instrText> HYPERLINK "http://www.cninfo.co" </w:instrText>
            </w:r>
            <w:r>
              <w:fldChar w:fldCharType="separate"/>
            </w:r>
            <w:r>
              <w:rPr>
                <w:color w:val="000000"/>
                <w:spacing w:val="0"/>
                <w:w w:val="100"/>
                <w:position w:val="0"/>
              </w:rPr>
              <w:t>http://www.cninfo.co</w:t>
            </w:r>
            <w:r>
              <w:fldChar w:fldCharType="end"/>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m.cn</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、表决权恢复的优先股股东请求召开临时股东大会</w:t>
      </w:r>
      <w:bookmarkEnd w:id="262"/>
      <w:bookmarkEnd w:id="263"/>
      <w:bookmarkEnd w:id="265"/>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sz w:val="24"/>
          <w:szCs w:val="24"/>
        </w:rPr>
        <w:t>五</w:t>
      </w:r>
      <w:bookmarkEnd w:id="268"/>
      <w:r>
        <w:rPr>
          <w:color w:val="000000"/>
          <w:spacing w:val="0"/>
          <w:w w:val="100"/>
          <w:position w:val="0"/>
          <w:sz w:val="24"/>
          <w:szCs w:val="24"/>
        </w:rPr>
        <w:t>、董事、监事和高级管理人员情况</w:t>
      </w:r>
      <w:bookmarkEnd w:id="266"/>
      <w:bookmarkEnd w:id="267"/>
      <w:bookmarkEnd w:id="269"/>
    </w:p>
    <w:p>
      <w:pPr>
        <w:pStyle w:val="Style30"/>
        <w:keepNext/>
        <w:keepLines/>
        <w:widowControl w:val="0"/>
        <w:shd w:val="clear" w:color="auto" w:fill="auto"/>
        <w:bidi w:val="0"/>
        <w:spacing w:before="0" w:line="240" w:lineRule="auto"/>
        <w:ind w:left="0" w:right="0" w:firstLine="0"/>
        <w:jc w:val="left"/>
      </w:pPr>
      <w:bookmarkStart w:id="270" w:name="bookmark270"/>
      <w:bookmarkStart w:id="271" w:name="bookmark271"/>
      <w:bookmarkStart w:id="272" w:name="bookmark272"/>
      <w:bookmarkStart w:id="273" w:name="bookmark273"/>
      <w:r>
        <w:rPr>
          <w:rFonts w:ascii="Times New Roman" w:eastAsia="Times New Roman" w:hAnsi="Times New Roman" w:cs="Times New Roman"/>
          <w:color w:val="000000"/>
          <w:spacing w:val="0"/>
          <w:w w:val="100"/>
          <w:position w:val="0"/>
        </w:rPr>
        <w:t>1</w:t>
      </w:r>
      <w:bookmarkEnd w:id="272"/>
      <w:r>
        <w:rPr>
          <w:color w:val="000000"/>
          <w:spacing w:val="0"/>
          <w:w w:val="100"/>
          <w:position w:val="0"/>
        </w:rPr>
        <w:t>、基本情况</w:t>
      </w:r>
      <w:bookmarkEnd w:id="270"/>
      <w:bookmarkEnd w:id="271"/>
      <w:bookmarkEnd w:id="273"/>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任期起</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任期终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本期减</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持股份</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数量</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其他增</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减变动</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期末持 股数 （股）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股份增</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减变动</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董事长 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2007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3,264,53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汪亮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副董事 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2007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董事、副 总经理、 董事会 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李司萌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董事、副 总经理、 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副董事 长兼总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2007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50,392,9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50,392,9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6"/>
                <w:szCs w:val="16"/>
              </w:rPr>
            </w:pPr>
            <w:r>
              <w:rPr>
                <w:rFonts w:ascii="SimSun" w:eastAsia="SimSun" w:hAnsi="SimSun" w:cs="SimSun"/>
                <w:color w:val="000000"/>
                <w:spacing w:val="0"/>
                <w:w w:val="100"/>
                <w:position w:val="0"/>
                <w:sz w:val="16"/>
                <w:szCs w:val="16"/>
              </w:rPr>
              <w:t>董事、副 总经理、 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季成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监事会</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郭通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2019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王之瑜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路一名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53,670,8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报告期是否存在任期内董事、监事离任和高级管理人员解聘的情况</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否</w:t>
      </w:r>
    </w:p>
    <w:p>
      <w:pPr>
        <w:pStyle w:val="Style18"/>
        <w:keepNext w:val="0"/>
        <w:keepLines w:val="0"/>
        <w:widowControl w:val="0"/>
        <w:shd w:val="clear" w:color="auto" w:fill="auto"/>
        <w:bidi w:val="0"/>
        <w:spacing w:before="0" w:after="200" w:line="475" w:lineRule="exact"/>
        <w:ind w:left="0" w:right="0" w:firstLine="440"/>
        <w:jc w:val="both"/>
      </w:pPr>
      <w:r>
        <w:rPr>
          <w:color w:val="000000"/>
          <w:spacing w:val="0"/>
          <w:w w:val="100"/>
          <w:position w:val="0"/>
        </w:rPr>
        <w:t>沈飒女士于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日因个人原因辞去公司副董事长和总经理职务，洪珊女士于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日因 个人原因辞去公司董事、副总经理、财务总监职务，顾凌云先生于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日因个人原因辞去公司独 立董事职务。</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副董事长兼总经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公司第五届董事会第十六次会议聘任董事长朱烨东先 生担任公司总经理。</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李司萌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年第一次临时股东大会选举李司萌先生担任 公司董事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公司第五届董事会第十九次会议聘任李燕女士担任公 司副总经理兼财务总监，公司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年第二次临时股东 大会选举李燕女士担任公司董事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28 </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公司</w:t>
            </w:r>
            <w:r>
              <w:rPr>
                <w:color w:val="000000"/>
                <w:spacing w:val="0"/>
                <w:w w:val="100"/>
                <w:position w:val="0"/>
                <w:sz w:val="18"/>
                <w:szCs w:val="18"/>
              </w:rPr>
              <w:t>2022</w:t>
            </w:r>
            <w:r>
              <w:rPr>
                <w:rFonts w:ascii="SimSun" w:eastAsia="SimSun" w:hAnsi="SimSun" w:cs="SimSun"/>
                <w:color w:val="000000"/>
                <w:spacing w:val="0"/>
                <w:w w:val="100"/>
                <w:position w:val="0"/>
                <w:sz w:val="16"/>
                <w:szCs w:val="16"/>
              </w:rPr>
              <w:t>年第一次临时股东大会选举赵燕女士担任公 司独立董事</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rFonts w:ascii="Times New Roman" w:eastAsia="Times New Roman" w:hAnsi="Times New Roman" w:cs="Times New Roman"/>
          <w:color w:val="000000"/>
          <w:spacing w:val="0"/>
          <w:w w:val="100"/>
          <w:position w:val="0"/>
        </w:rPr>
        <w:t>2</w:t>
      </w:r>
      <w:bookmarkEnd w:id="276"/>
      <w:r>
        <w:rPr>
          <w:color w:val="000000"/>
          <w:spacing w:val="0"/>
          <w:w w:val="100"/>
          <w:position w:val="0"/>
        </w:rPr>
        <w:t>、任职情况</w:t>
      </w:r>
      <w:bookmarkEnd w:id="274"/>
      <w:bookmarkEnd w:id="275"/>
      <w:bookmarkEnd w:id="277"/>
    </w:p>
    <w:p>
      <w:pPr>
        <w:pStyle w:val="Style33"/>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朱烨东，男，中国国籍，无境外永久居留权</w:t>
      </w:r>
      <w:r>
        <w:rPr>
          <w:color w:val="000000"/>
          <w:spacing w:val="0"/>
          <w:w w:val="100"/>
          <w:position w:val="0"/>
        </w:rPr>
        <w:t>，1968</w:t>
      </w:r>
      <w:r>
        <w:rPr>
          <w:color w:val="000000"/>
          <w:spacing w:val="0"/>
          <w:w w:val="100"/>
          <w:position w:val="0"/>
        </w:rPr>
        <w:t xml:space="preserve">年出生。南京理工大学计算机系软件专业学士、北 </w:t>
      </w:r>
      <w:r>
        <w:rPr>
          <w:color w:val="000000"/>
          <w:spacing w:val="0"/>
          <w:w w:val="100"/>
          <w:position w:val="0"/>
        </w:rPr>
        <w:t>京大学经济学院金融学硕士、北京大学经济学院政治经济学博士、高级工程师，</w:t>
      </w:r>
      <w:r>
        <w:rPr>
          <w:color w:val="000000"/>
          <w:spacing w:val="0"/>
          <w:w w:val="100"/>
          <w:position w:val="0"/>
        </w:rPr>
        <w:t>2007</w:t>
      </w:r>
      <w:r>
        <w:rPr>
          <w:color w:val="000000"/>
          <w:spacing w:val="0"/>
          <w:w w:val="100"/>
          <w:position w:val="0"/>
        </w:rPr>
        <w:t>年获得信息产业部计 算机信息系统集成高级项目经理证书。曾任北京大学北佳公司软件工程师，香港伟仕集团金融事业部总经 理，北京奥德映真计算机技术有限公司董事、总经理，北京北大青鸟计算机智能技术有限公司董事、总经 理等职，现任公司董事长兼总经理。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汪亮，男，中国国籍，无境外永久居留权</w:t>
      </w:r>
      <w:r>
        <w:rPr>
          <w:color w:val="000000"/>
          <w:spacing w:val="0"/>
          <w:w w:val="100"/>
          <w:position w:val="0"/>
        </w:rPr>
        <w:t>，1982</w:t>
      </w:r>
      <w:r>
        <w:rPr>
          <w:color w:val="000000"/>
          <w:spacing w:val="0"/>
          <w:w w:val="100"/>
          <w:position w:val="0"/>
        </w:rPr>
        <w:t>年出生。清华大学</w:t>
      </w:r>
      <w:r>
        <w:rPr>
          <w:color w:val="000000"/>
          <w:spacing w:val="0"/>
          <w:w w:val="100"/>
          <w:position w:val="0"/>
        </w:rPr>
        <w:t>EMBA</w:t>
      </w:r>
      <w:r>
        <w:rPr>
          <w:color w:val="000000"/>
          <w:spacing w:val="0"/>
          <w:w w:val="100"/>
          <w:position w:val="0"/>
        </w:rPr>
        <w:t>。</w:t>
      </w:r>
      <w:r>
        <w:rPr>
          <w:color w:val="000000"/>
          <w:spacing w:val="0"/>
          <w:w w:val="100"/>
          <w:position w:val="0"/>
        </w:rPr>
        <w:t>现任公司副董事长兼政府行 业总监。</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赵学荣，女，中国国籍，无境外永久居留权</w:t>
      </w:r>
      <w:r>
        <w:rPr>
          <w:color w:val="000000"/>
          <w:spacing w:val="0"/>
          <w:w w:val="100"/>
          <w:position w:val="0"/>
        </w:rPr>
        <w:t>，1973</w:t>
      </w:r>
      <w:r>
        <w:rPr>
          <w:color w:val="000000"/>
          <w:spacing w:val="0"/>
          <w:w w:val="100"/>
          <w:position w:val="0"/>
        </w:rPr>
        <w:t>年出生，上海交通大学上海高级金融学院</w:t>
      </w:r>
      <w:r>
        <w:rPr>
          <w:color w:val="000000"/>
          <w:spacing w:val="0"/>
          <w:w w:val="100"/>
          <w:position w:val="0"/>
        </w:rPr>
        <w:t>EMBA</w:t>
      </w:r>
      <w:r>
        <w:rPr>
          <w:color w:val="000000"/>
          <w:spacing w:val="0"/>
          <w:w w:val="100"/>
          <w:position w:val="0"/>
        </w:rPr>
        <w:t>，高 级会计师。曾任北京伟仕科技发展公司会计、北京奥德映真计算机技术有限公司财务主管、财务部经理、 北京北大青鸟计算机智能技术有限公司财务经理。从事财务管理工作</w:t>
      </w:r>
      <w:r>
        <w:rPr>
          <w:color w:val="000000"/>
          <w:spacing w:val="0"/>
          <w:w w:val="100"/>
          <w:position w:val="0"/>
        </w:rPr>
        <w:t>20</w:t>
      </w:r>
      <w:r>
        <w:rPr>
          <w:color w:val="000000"/>
          <w:spacing w:val="0"/>
          <w:w w:val="100"/>
          <w:position w:val="0"/>
        </w:rPr>
        <w:t>余年，具有丰富的</w:t>
      </w:r>
      <w:r>
        <w:rPr>
          <w:color w:val="000000"/>
          <w:spacing w:val="0"/>
          <w:w w:val="100"/>
          <w:position w:val="0"/>
        </w:rPr>
        <w:t>IT</w:t>
      </w:r>
      <w:r>
        <w:rPr>
          <w:color w:val="000000"/>
          <w:spacing w:val="0"/>
          <w:w w:val="100"/>
          <w:position w:val="0"/>
        </w:rPr>
        <w:t>类企业财务 核算与管理经验。现任公司董事。</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赵剑，男，中国国籍，无境外永久居留权</w:t>
      </w:r>
      <w:r>
        <w:rPr>
          <w:color w:val="000000"/>
          <w:spacing w:val="0"/>
          <w:w w:val="100"/>
          <w:position w:val="0"/>
        </w:rPr>
        <w:t>，1983</w:t>
      </w:r>
      <w:r>
        <w:rPr>
          <w:color w:val="000000"/>
          <w:spacing w:val="0"/>
          <w:w w:val="100"/>
          <w:position w:val="0"/>
        </w:rPr>
        <w:t>年出生，中共党员。中国政法大学法学学士，本科学 历。</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月取得深圳证券交易所颁发的董事会秘书资格证书。曾任北京市金杜律师事务所律师，现任 公司董事、副总经理兼董事会秘书。</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李司萌，男，中国国籍，无境外永久居留权，</w:t>
      </w:r>
      <w:r>
        <w:rPr>
          <w:color w:val="000000"/>
          <w:spacing w:val="0"/>
          <w:w w:val="100"/>
          <w:position w:val="0"/>
        </w:rPr>
        <w:t>1984</w:t>
      </w:r>
      <w:r>
        <w:rPr>
          <w:color w:val="000000"/>
          <w:spacing w:val="0"/>
          <w:w w:val="100"/>
          <w:position w:val="0"/>
        </w:rPr>
        <w:t>年出生。毕业于南开大学，本科学历。</w:t>
      </w:r>
      <w:r>
        <w:rPr>
          <w:color w:val="000000"/>
          <w:spacing w:val="0"/>
          <w:w w:val="100"/>
          <w:position w:val="0"/>
        </w:rPr>
        <w:t>2007</w:t>
      </w:r>
      <w:r>
        <w:rPr>
          <w:color w:val="000000"/>
          <w:spacing w:val="0"/>
          <w:w w:val="100"/>
          <w:position w:val="0"/>
        </w:rPr>
        <w:t>年入 职公司，现任公司董事、大客户第一业务群总经理。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李燕，女，中国国籍，无境外永久居留权，</w:t>
      </w:r>
      <w:r>
        <w:rPr>
          <w:color w:val="000000"/>
          <w:spacing w:val="0"/>
          <w:w w:val="100"/>
          <w:position w:val="0"/>
        </w:rPr>
        <w:t>1972</w:t>
      </w:r>
      <w:r>
        <w:rPr>
          <w:color w:val="000000"/>
          <w:spacing w:val="0"/>
          <w:w w:val="100"/>
          <w:position w:val="0"/>
        </w:rPr>
        <w:t>年出生，毕业于中国人民大学财务会计专业，大学 本科学历，中级会计师。自</w:t>
      </w:r>
      <w:r>
        <w:rPr>
          <w:color w:val="000000"/>
          <w:spacing w:val="0"/>
          <w:w w:val="100"/>
          <w:position w:val="0"/>
        </w:rPr>
        <w:t>2005</w:t>
      </w:r>
      <w:r>
        <w:rPr>
          <w:color w:val="000000"/>
          <w:spacing w:val="0"/>
          <w:w w:val="100"/>
          <w:position w:val="0"/>
        </w:rPr>
        <w:t>年起任职于北京中科金财科技股份有限公司，现任公司董事、副总经理 兼财务总监。</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赵燕，女，中国国籍，无境外永久居留权，</w:t>
      </w:r>
      <w:r>
        <w:rPr>
          <w:color w:val="000000"/>
          <w:spacing w:val="0"/>
          <w:w w:val="100"/>
          <w:position w:val="0"/>
        </w:rPr>
        <w:t>1972</w:t>
      </w:r>
      <w:r>
        <w:rPr>
          <w:color w:val="000000"/>
          <w:spacing w:val="0"/>
          <w:w w:val="100"/>
          <w:position w:val="0"/>
        </w:rPr>
        <w:t>年出生。会计学学士，高级会计师，中国注册会计师。 历任五联联合会计师事务所有限公司部门经理、北京五联方圆会计师事务所有限公司所长助理、国富浩华 会计师事务所有限公司副主任会计师、瑞华会计师事务所（特殊普通合伙）合伙人、中审众环会计师事务 所（特殊普通合伙）合伙人等职，现任北京国富会计师事务所（特殊普通合伙）合伙人，兼任公司独立董 事。</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刘书锦，男，中国国籍，无境外永久居留权，</w:t>
      </w:r>
      <w:r>
        <w:rPr>
          <w:color w:val="000000"/>
          <w:spacing w:val="0"/>
          <w:w w:val="100"/>
          <w:position w:val="0"/>
        </w:rPr>
        <w:t>1969</w:t>
      </w:r>
      <w:r>
        <w:rPr>
          <w:color w:val="000000"/>
          <w:spacing w:val="0"/>
          <w:w w:val="100"/>
          <w:position w:val="0"/>
        </w:rPr>
        <w:t>年出生。厦门大学会计学硕士，注册会计师，注册 资产评估师。历任甘肃会计师事务所项目经理；甘肃证券公司投资银行部高级经理；海通证券有限公司投 资银行总部融资八部部门经理；长城证券有限责任公司投资银行事业部总经理助理，杭州营业部总经理； 联合证券有限责任公司销售交易部副总经理；第一创业证券有限责任公司质量控制部执行董事，副总经理; 太平洋证券股份有限公司投资银行总部（深圳）执行总经理；新时代证券股份有限公司投资银行总部董事总 经理。现任华林证券股份有限公司投资银行事业部董事总经理，兼任公司独立董事。</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季成，男，中国国籍，无境外永久居留权，</w:t>
      </w:r>
      <w:r>
        <w:rPr>
          <w:color w:val="000000"/>
          <w:spacing w:val="0"/>
          <w:w w:val="100"/>
          <w:position w:val="0"/>
        </w:rPr>
        <w:t>1975</w:t>
      </w:r>
      <w:r>
        <w:rPr>
          <w:color w:val="000000"/>
          <w:spacing w:val="0"/>
          <w:w w:val="100"/>
          <w:position w:val="0"/>
        </w:rPr>
        <w:t xml:space="preserve">年出生，致公党员。毕业于中国政法大学，本科学 </w:t>
      </w:r>
      <w:r>
        <w:rPr>
          <w:color w:val="000000"/>
          <w:spacing w:val="0"/>
          <w:w w:val="100"/>
          <w:position w:val="0"/>
        </w:rPr>
        <w:t>历。曾任平安保险股份有限公司陕西分公司法务经理；北京电风文化发展有限公司业务经理；德衡律师集 团（北京）律师事务所律师，现任北京德和衡律师事务所高级合伙人，全球精品律所联盟</w:t>
      </w:r>
      <w:r>
        <w:rPr>
          <w:color w:val="000000"/>
          <w:spacing w:val="0"/>
          <w:w w:val="100"/>
          <w:position w:val="0"/>
        </w:rPr>
        <w:t>（EGLA）</w:t>
      </w:r>
      <w:r>
        <w:rPr>
          <w:color w:val="000000"/>
          <w:spacing w:val="0"/>
          <w:w w:val="100"/>
          <w:position w:val="0"/>
        </w:rPr>
        <w:t>执行主 席，兼任公司独立董事。</w:t>
      </w:r>
    </w:p>
    <w:p>
      <w:pPr>
        <w:pStyle w:val="Style18"/>
        <w:keepNext w:val="0"/>
        <w:keepLines w:val="0"/>
        <w:widowControl w:val="0"/>
        <w:shd w:val="clear" w:color="auto" w:fill="auto"/>
        <w:bidi w:val="0"/>
        <w:spacing w:before="0" w:after="0" w:line="465" w:lineRule="exact"/>
        <w:ind w:left="0" w:right="0" w:firstLine="0"/>
        <w:jc w:val="both"/>
      </w:pPr>
      <w:r>
        <w:rPr>
          <w:color w:val="000000"/>
          <w:spacing w:val="0"/>
          <w:w w:val="100"/>
          <w:position w:val="0"/>
        </w:rPr>
        <w:t>监事：</w:t>
      </w:r>
    </w:p>
    <w:p>
      <w:pPr>
        <w:pStyle w:val="Style18"/>
        <w:keepNext w:val="0"/>
        <w:keepLines w:val="0"/>
        <w:widowControl w:val="0"/>
        <w:shd w:val="clear" w:color="auto" w:fill="auto"/>
        <w:bidi w:val="0"/>
        <w:spacing w:before="0" w:after="0" w:line="465" w:lineRule="exact"/>
        <w:ind w:left="0" w:right="0" w:firstLine="440"/>
        <w:jc w:val="left"/>
      </w:pPr>
      <w:r>
        <w:rPr>
          <w:color w:val="000000"/>
          <w:spacing w:val="0"/>
          <w:w w:val="100"/>
          <w:position w:val="0"/>
        </w:rPr>
        <w:t>孙昕，男，中国国籍，无境外永久居留权，</w:t>
      </w:r>
      <w:r>
        <w:rPr>
          <w:color w:val="000000"/>
          <w:spacing w:val="0"/>
          <w:w w:val="100"/>
          <w:position w:val="0"/>
        </w:rPr>
        <w:t>1975</w:t>
      </w:r>
      <w:r>
        <w:rPr>
          <w:color w:val="000000"/>
          <w:spacing w:val="0"/>
          <w:w w:val="100"/>
          <w:position w:val="0"/>
        </w:rPr>
        <w:t>年出生。毕业于北京航空航天大学网络信息安全专 业，硕士学位。现任公司</w:t>
      </w:r>
      <w:r>
        <w:rPr>
          <w:color w:val="000000"/>
          <w:spacing w:val="0"/>
          <w:w w:val="100"/>
          <w:position w:val="0"/>
        </w:rPr>
        <w:t>RPA</w:t>
      </w:r>
      <w:r>
        <w:rPr>
          <w:color w:val="000000"/>
          <w:spacing w:val="0"/>
          <w:w w:val="100"/>
          <w:position w:val="0"/>
        </w:rPr>
        <w:t>事业部总经理、监事。</w:t>
      </w:r>
    </w:p>
    <w:p>
      <w:pPr>
        <w:pStyle w:val="Style18"/>
        <w:keepNext w:val="0"/>
        <w:keepLines w:val="0"/>
        <w:widowControl w:val="0"/>
        <w:shd w:val="clear" w:color="auto" w:fill="auto"/>
        <w:bidi w:val="0"/>
        <w:spacing w:before="0" w:after="0" w:line="465" w:lineRule="exact"/>
        <w:ind w:left="0" w:right="0" w:firstLine="440"/>
        <w:jc w:val="left"/>
      </w:pPr>
      <w:r>
        <w:rPr>
          <w:color w:val="000000"/>
          <w:spacing w:val="0"/>
          <w:w w:val="100"/>
          <w:position w:val="0"/>
        </w:rPr>
        <w:t>郭通，男，中国国籍，无境外永久居留权</w:t>
      </w:r>
      <w:r>
        <w:rPr>
          <w:color w:val="000000"/>
          <w:spacing w:val="0"/>
          <w:w w:val="100"/>
          <w:position w:val="0"/>
        </w:rPr>
        <w:t>，1979</w:t>
      </w:r>
      <w:r>
        <w:rPr>
          <w:color w:val="000000"/>
          <w:spacing w:val="0"/>
          <w:w w:val="100"/>
          <w:position w:val="0"/>
        </w:rPr>
        <w:t>年出生。哈尔滨工业大学计算机及应用专业学士、高 级工程师，</w:t>
      </w:r>
      <w:r>
        <w:rPr>
          <w:color w:val="000000"/>
          <w:spacing w:val="0"/>
          <w:w w:val="100"/>
          <w:position w:val="0"/>
        </w:rPr>
        <w:t>2006</w:t>
      </w:r>
      <w:r>
        <w:rPr>
          <w:color w:val="000000"/>
          <w:spacing w:val="0"/>
          <w:w w:val="100"/>
          <w:position w:val="0"/>
        </w:rPr>
        <w:t>年获得信息产业部计算机信息系统集成项目经理证书。曾任北京联想集团有限公司高性能 服务器事业部技术支持工程师，现任公司</w:t>
      </w:r>
      <w:r>
        <w:rPr>
          <w:color w:val="000000"/>
          <w:spacing w:val="0"/>
          <w:w w:val="100"/>
          <w:position w:val="0"/>
        </w:rPr>
        <w:t>IT</w:t>
      </w:r>
      <w:r>
        <w:rPr>
          <w:color w:val="000000"/>
          <w:spacing w:val="0"/>
          <w:w w:val="100"/>
          <w:position w:val="0"/>
        </w:rPr>
        <w:t>服务实施部经理、监事。</w:t>
      </w:r>
    </w:p>
    <w:p>
      <w:pPr>
        <w:pStyle w:val="Style18"/>
        <w:keepNext w:val="0"/>
        <w:keepLines w:val="0"/>
        <w:widowControl w:val="0"/>
        <w:shd w:val="clear" w:color="auto" w:fill="auto"/>
        <w:bidi w:val="0"/>
        <w:spacing w:before="0" w:after="0" w:line="465" w:lineRule="exact"/>
        <w:ind w:left="0" w:right="0" w:firstLine="440"/>
        <w:jc w:val="left"/>
      </w:pPr>
      <w:r>
        <w:rPr>
          <w:color w:val="000000"/>
          <w:spacing w:val="0"/>
          <w:w w:val="100"/>
          <w:position w:val="0"/>
        </w:rPr>
        <w:t>张旭，男，中国国籍，无境外永久居留权，</w:t>
      </w:r>
      <w:r>
        <w:rPr>
          <w:color w:val="000000"/>
          <w:spacing w:val="0"/>
          <w:w w:val="100"/>
          <w:position w:val="0"/>
        </w:rPr>
        <w:t>1976</w:t>
      </w:r>
      <w:r>
        <w:rPr>
          <w:color w:val="000000"/>
          <w:spacing w:val="0"/>
          <w:w w:val="100"/>
          <w:position w:val="0"/>
        </w:rPr>
        <w:t>年出生。西安电子科技大学学士学位，大学本科学 历。曾任西安未来国际信息股份有限公司软件工程师、项目经理，北京弘远新世纪科技有限公司售前经理、 项目经理、部门经理等职务，现任公司</w:t>
      </w:r>
      <w:r>
        <w:rPr>
          <w:color w:val="000000"/>
          <w:spacing w:val="0"/>
          <w:w w:val="100"/>
          <w:position w:val="0"/>
        </w:rPr>
        <w:t>IT</w:t>
      </w:r>
      <w:r>
        <w:rPr>
          <w:color w:val="000000"/>
          <w:spacing w:val="0"/>
          <w:w w:val="100"/>
          <w:position w:val="0"/>
        </w:rPr>
        <w:t>服务实施事业部经理、监事。</w:t>
      </w:r>
    </w:p>
    <w:p>
      <w:pPr>
        <w:pStyle w:val="Style18"/>
        <w:keepNext w:val="0"/>
        <w:keepLines w:val="0"/>
        <w:widowControl w:val="0"/>
        <w:shd w:val="clear" w:color="auto" w:fill="auto"/>
        <w:bidi w:val="0"/>
        <w:spacing w:before="0" w:after="0" w:line="473" w:lineRule="exact"/>
        <w:ind w:left="0" w:right="0" w:firstLine="0"/>
        <w:jc w:val="left"/>
      </w:pPr>
      <w:r>
        <w:rPr>
          <w:color w:val="000000"/>
          <w:spacing w:val="0"/>
          <w:w w:val="100"/>
          <w:position w:val="0"/>
        </w:rPr>
        <w:t>高级管理人员：</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朱烨东，现任公司董事长、总经理，简历同上。</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李燕，现任公司董事、副总经理兼财务总监，简历同上。</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赵剑，现任公司董事、副总经理兼董事会秘书，简历同上。</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王之瑜，男，中国国籍，无境外永久居留权，</w:t>
      </w:r>
      <w:r>
        <w:rPr>
          <w:color w:val="000000"/>
          <w:spacing w:val="0"/>
          <w:w w:val="100"/>
          <w:position w:val="0"/>
        </w:rPr>
        <w:t>1976</w:t>
      </w:r>
      <w:r>
        <w:rPr>
          <w:color w:val="000000"/>
          <w:spacing w:val="0"/>
          <w:w w:val="100"/>
          <w:position w:val="0"/>
        </w:rPr>
        <w:t>年出生。沈阳大学，本科学历。曾任北京网新易尚 科技有限公司沈阳办事处经理，现任公司副总经理。</w:t>
      </w:r>
    </w:p>
    <w:p>
      <w:pPr>
        <w:pStyle w:val="Style18"/>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路一名，男，中国国籍，无境外永久居留权，</w:t>
      </w:r>
      <w:r>
        <w:rPr>
          <w:color w:val="000000"/>
          <w:spacing w:val="0"/>
          <w:w w:val="100"/>
          <w:position w:val="0"/>
        </w:rPr>
        <w:t>1983</w:t>
      </w:r>
      <w:r>
        <w:rPr>
          <w:color w:val="000000"/>
          <w:spacing w:val="0"/>
          <w:w w:val="100"/>
          <w:position w:val="0"/>
        </w:rPr>
        <w:t>年出生。黑龙江工程学院，本科学历。曾任同方知 网（北京）技术有限公司销售总监，现任公司副总经理。</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在其他单位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北京中科金财软件技术有限公司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天津中科金财科技有限公司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深圳前海中科金财金控投资有限公司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北京中科金财信息科技有限公司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执行董事、经</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深圳中金财富科技有限公司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杭州中科金财科技有限公司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中科环嘉电子商务有限公司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北京中关村科技金融信息服务中心有限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大连鼎运企业管理有限公司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大连鼎金企业管理中心（有限合伙）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天津壬辰软件开发有限公司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北京盛贸智博投资有限公司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北京坤洲投资管理有限公司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北京金财联合投资中心（有限合伙）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委派代表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北京合伙时代咨询有限公司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广州众鑫智达科技有限公司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执行董事、经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深圳前海中科金财金控投资有限公司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北京中科金财智能技术有限公司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深圳中金财富科技有限公司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中科金财保险经纪有限公司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金财数金（上海）智能科技有限公司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北京国富会计师事务所（特殊普通合伙）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华林证券股份有限公司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投资银行事</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业部董事总</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深圳安奈儿股份有限公司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季成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北京德和衡律师事务所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高级合伙人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公司现任及报告期内离任董事、监事和高级管理人员近三年证券监管机构处罚的情况</w:t>
      </w:r>
    </w:p>
    <w:p>
      <w:pPr>
        <w:pStyle w:val="Style18"/>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after="0" w:line="480" w:lineRule="auto"/>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3</w:t>
      </w:r>
      <w:bookmarkEnd w:id="280"/>
      <w:r>
        <w:rPr>
          <w:color w:val="000000"/>
          <w:spacing w:val="0"/>
          <w:w w:val="100"/>
          <w:position w:val="0"/>
        </w:rPr>
        <w:t>、董事、监事、高级管理人员报酬情况</w:t>
      </w:r>
      <w:bookmarkEnd w:id="278"/>
      <w:bookmarkEnd w:id="279"/>
      <w:bookmarkEnd w:id="281"/>
    </w:p>
    <w:p>
      <w:pPr>
        <w:pStyle w:val="Style18"/>
        <w:keepNext w:val="0"/>
        <w:keepLines w:val="0"/>
        <w:widowControl w:val="0"/>
        <w:shd w:val="clear" w:color="auto" w:fill="auto"/>
        <w:bidi w:val="0"/>
        <w:spacing w:before="0" w:after="0" w:line="469" w:lineRule="exact"/>
        <w:ind w:left="0" w:right="0" w:firstLine="0"/>
        <w:jc w:val="left"/>
        <w:rPr>
          <w:sz w:val="19"/>
          <w:szCs w:val="19"/>
        </w:rPr>
      </w:pPr>
      <w:r>
        <w:rPr>
          <w:color w:val="000000"/>
          <w:spacing w:val="0"/>
          <w:w w:val="100"/>
          <w:position w:val="0"/>
          <w:sz w:val="19"/>
          <w:szCs w:val="19"/>
        </w:rPr>
        <w:t>董事、监事、高级管理人员报酬的决策程序、确定依据、实际支付情况</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董事的报酬由董事会薪酬与考核委员会提出方案，经董事会审议通过后，报送股东大会审议通过，兼 任管理职务的董事，仅领取管理职务薪酬，无董事职务薪酬；监事的报酬由监事会提出方案，经股东大会 通过，职工代表监事和兼任管理职务的监事，仅领取管理职务薪酬，无监事职务薪酬；高级管理人员报酬 由董事会薪酬与考核委员会提出方案，经董事会审议通过。</w:t>
      </w:r>
    </w:p>
    <w:p>
      <w:pPr>
        <w:pStyle w:val="Style18"/>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确定依据：董事、监事及高级管理人员的报酬根据岗位的主要范围、职责、重要性、其它相关企业相 关岗位的薪酬水平、履职情况、绩效考核结果和公司经营业绩的情况确定。</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副董事长、总经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董事、副总经理、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董事、副总经理、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李司萌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董事、副总经理、 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刘书锦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季成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郭通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王之瑜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路一名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六</w:t>
      </w:r>
      <w:bookmarkEnd w:id="284"/>
      <w:r>
        <w:rPr>
          <w:color w:val="000000"/>
          <w:spacing w:val="0"/>
          <w:w w:val="100"/>
          <w:position w:val="0"/>
          <w:sz w:val="24"/>
          <w:szCs w:val="24"/>
        </w:rPr>
        <w:t>、报告期内董事履行职责的情况</w:t>
      </w:r>
      <w:bookmarkEnd w:id="282"/>
      <w:bookmarkEnd w:id="283"/>
      <w:bookmarkEnd w:id="285"/>
    </w:p>
    <w:p>
      <w:pPr>
        <w:pStyle w:val="Style30"/>
        <w:keepNext/>
        <w:keepLines/>
        <w:widowControl w:val="0"/>
        <w:shd w:val="clear" w:color="auto" w:fill="auto"/>
        <w:bidi w:val="0"/>
        <w:spacing w:before="0" w:after="320" w:line="240" w:lineRule="auto"/>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1</w:t>
      </w:r>
      <w:bookmarkEnd w:id="288"/>
      <w:r>
        <w:rPr>
          <w:color w:val="000000"/>
          <w:spacing w:val="0"/>
          <w:w w:val="100"/>
          <w:position w:val="0"/>
        </w:rPr>
        <w:t>、本报告期董事会情况</w:t>
      </w:r>
      <w:bookmarkEnd w:id="286"/>
      <w:bookmarkEnd w:id="287"/>
      <w:bookmarkEnd w:id="289"/>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会议决议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第五届董事会第十六次会议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77"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五届董事会第十六次会议决 议公告》(公告编号： </w:t>
            </w:r>
            <w:r>
              <w:rPr>
                <w:color w:val="000000"/>
                <w:spacing w:val="0"/>
                <w:w w:val="100"/>
                <w:position w:val="0"/>
                <w:sz w:val="18"/>
                <w:szCs w:val="18"/>
              </w:rPr>
              <w:t>2021-004</w:t>
            </w:r>
            <w:r>
              <w:rPr>
                <w:rFonts w:ascii="SimSun" w:eastAsia="SimSun" w:hAnsi="SimSun" w:cs="SimSun"/>
                <w:color w:val="000000"/>
                <w:spacing w:val="0"/>
                <w:w w:val="100"/>
                <w:position w:val="0"/>
                <w:sz w:val="16"/>
                <w:szCs w:val="16"/>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第五届董事会第十七次会议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77"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五届董事会第十七次会议决 议公告》(公告编号： </w:t>
            </w:r>
            <w:r>
              <w:rPr>
                <w:color w:val="000000"/>
                <w:spacing w:val="0"/>
                <w:w w:val="100"/>
                <w:position w:val="0"/>
                <w:sz w:val="18"/>
                <w:szCs w:val="18"/>
              </w:rPr>
              <w:t>2021-008</w:t>
            </w:r>
            <w:r>
              <w:rPr>
                <w:rFonts w:ascii="SimSun" w:eastAsia="SimSun" w:hAnsi="SimSun" w:cs="SimSun"/>
                <w:color w:val="000000"/>
                <w:spacing w:val="0"/>
                <w:w w:val="100"/>
                <w:position w:val="0"/>
                <w:sz w:val="16"/>
                <w:szCs w:val="16"/>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第五届董事会第十八次会议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96"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五届董事会第十八次会议决 议公告》(公告编号： </w:t>
            </w:r>
            <w:r>
              <w:rPr>
                <w:color w:val="000000"/>
                <w:spacing w:val="0"/>
                <w:w w:val="100"/>
                <w:position w:val="0"/>
                <w:sz w:val="18"/>
                <w:szCs w:val="18"/>
              </w:rPr>
              <w:t>2021-010</w:t>
            </w:r>
            <w:r>
              <w:rPr>
                <w:rFonts w:ascii="SimSun" w:eastAsia="SimSun" w:hAnsi="SimSun" w:cs="SimSun"/>
                <w:color w:val="000000"/>
                <w:spacing w:val="0"/>
                <w:w w:val="100"/>
                <w:position w:val="0"/>
                <w:sz w:val="16"/>
                <w:szCs w:val="16"/>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第五届董事会第十九次会议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96"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五届董事会第十九次会议决 议公告》(公告编号： </w:t>
            </w:r>
            <w:r>
              <w:rPr>
                <w:color w:val="000000"/>
                <w:spacing w:val="0"/>
                <w:w w:val="100"/>
                <w:position w:val="0"/>
                <w:sz w:val="18"/>
                <w:szCs w:val="18"/>
              </w:rPr>
              <w:t>2021-024</w:t>
            </w:r>
            <w:r>
              <w:rPr>
                <w:rFonts w:ascii="SimSun" w:eastAsia="SimSun" w:hAnsi="SimSun" w:cs="SimSun"/>
                <w:color w:val="000000"/>
                <w:spacing w:val="0"/>
                <w:w w:val="100"/>
                <w:position w:val="0"/>
                <w:sz w:val="16"/>
                <w:szCs w:val="16"/>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第五届董事会第二十次会议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96"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五届董事会第二十次会议决 议公告》(公告编号： </w:t>
            </w:r>
            <w:r>
              <w:rPr>
                <w:color w:val="000000"/>
                <w:spacing w:val="0"/>
                <w:w w:val="100"/>
                <w:position w:val="0"/>
                <w:sz w:val="18"/>
                <w:szCs w:val="18"/>
              </w:rPr>
              <w:t>2021-034</w:t>
            </w:r>
            <w:r>
              <w:rPr>
                <w:rFonts w:ascii="SimSun" w:eastAsia="SimSun" w:hAnsi="SimSun" w:cs="SimSun"/>
                <w:color w:val="000000"/>
                <w:spacing w:val="0"/>
                <w:w w:val="100"/>
                <w:position w:val="0"/>
                <w:sz w:val="16"/>
                <w:szCs w:val="16"/>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第五届董事会第二十一次会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w:t>
            </w:r>
            <w:r>
              <w:fldChar w:fldCharType="begin"/>
            </w:r>
            <w:r>
              <w:rPr/>
              <w:instrText> HYPERLINK "http://www.cninfo.com" </w:instrText>
            </w:r>
            <w:r>
              <w:fldChar w:fldCharType="separate"/>
            </w:r>
            <w:r>
              <w:rPr>
                <w:color w:val="000000"/>
                <w:spacing w:val="0"/>
                <w:w w:val="100"/>
                <w:position w:val="0"/>
              </w:rPr>
              <w:t>www.cninfo.com</w:t>
            </w:r>
            <w:r>
              <w:fldChar w:fldCharType="end"/>
            </w:r>
            <w:r>
              <w:rPr>
                <w:color w:val="000000"/>
                <w:spacing w:val="0"/>
                <w:w w:val="100"/>
                <w:position w:val="0"/>
              </w:rPr>
              <w:t>. cn</w:t>
            </w:r>
            <w:r>
              <w:rPr>
                <w:rFonts w:ascii="SimSun" w:eastAsia="SimSun" w:hAnsi="SimSun" w:cs="SimSun"/>
                <w:color w:val="000000"/>
                <w:spacing w:val="0"/>
                <w:w w:val="100"/>
                <w:position w:val="0"/>
                <w:sz w:val="16"/>
                <w:szCs w:val="16"/>
              </w:rPr>
              <w:t>)《</w:t>
            </w:r>
            <w:r>
              <w:rPr>
                <w:color w:val="000000"/>
                <w:spacing w:val="0"/>
                <w:w w:val="100"/>
                <w:position w:val="0"/>
              </w:rPr>
              <w:t>2021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年第三季度报告》（公告编</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号：</w:t>
            </w:r>
            <w:r>
              <w:rPr>
                <w:color w:val="000000"/>
                <w:spacing w:val="0"/>
                <w:w w:val="100"/>
                <w:position w:val="0"/>
                <w:sz w:val="18"/>
                <w:szCs w:val="18"/>
              </w:rPr>
              <w:t>2021-042</w:t>
            </w:r>
            <w:r>
              <w:rPr>
                <w:rFonts w:ascii="SimSun" w:eastAsia="SimSun" w:hAnsi="SimSun" w:cs="SimSun"/>
                <w:color w:val="000000"/>
                <w:spacing w:val="0"/>
                <w:w w:val="100"/>
                <w:position w:val="0"/>
                <w:sz w:val="16"/>
                <w:szCs w:val="16"/>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第五届董事会第二十二次会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77"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五届董事会第二十二次会议 决议公告》（公告编号： </w:t>
            </w:r>
            <w:r>
              <w:rPr>
                <w:color w:val="000000"/>
                <w:spacing w:val="0"/>
                <w:w w:val="100"/>
                <w:position w:val="0"/>
                <w:sz w:val="18"/>
                <w:szCs w:val="18"/>
              </w:rPr>
              <w:t>2021-045</w:t>
            </w:r>
            <w:r>
              <w:rPr>
                <w:rFonts w:ascii="SimSun" w:eastAsia="SimSun" w:hAnsi="SimSun" w:cs="SimSun"/>
                <w:color w:val="000000"/>
                <w:spacing w:val="0"/>
                <w:w w:val="100"/>
                <w:position w:val="0"/>
                <w:sz w:val="16"/>
                <w:szCs w:val="16"/>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第五届董事会第二十三次会 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left"/>
              <w:rPr>
                <w:sz w:val="16"/>
                <w:szCs w:val="16"/>
              </w:rPr>
            </w:pPr>
            <w:r>
              <w:rPr>
                <w:rFonts w:ascii="SimSun" w:eastAsia="SimSun" w:hAnsi="SimSun" w:cs="SimSun"/>
                <w:color w:val="000000"/>
                <w:spacing w:val="0"/>
                <w:w w:val="100"/>
                <w:position w:val="0"/>
                <w:sz w:val="16"/>
                <w:szCs w:val="16"/>
              </w:rPr>
              <w:t>请参见巨潮资讯网</w:t>
            </w:r>
          </w:p>
          <w:p>
            <w:pPr>
              <w:pStyle w:val="Style2"/>
              <w:keepNext w:val="0"/>
              <w:keepLines w:val="0"/>
              <w:widowControl w:val="0"/>
              <w:shd w:val="clear" w:color="auto" w:fill="auto"/>
              <w:tabs>
                <w:tab w:pos="1877"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www. cninfo .com.cn</w:t>
            </w:r>
            <w:r>
              <w:rPr>
                <w:rFonts w:ascii="SimSun" w:eastAsia="SimSun" w:hAnsi="SimSun" w:cs="SimSun"/>
                <w:color w:val="000000"/>
                <w:spacing w:val="0"/>
                <w:w w:val="100"/>
                <w:position w:val="0"/>
                <w:sz w:val="16"/>
                <w:szCs w:val="16"/>
              </w:rPr>
              <w:t>）</w:t>
              <w:tab/>
            </w:r>
            <w:r>
              <w:rPr>
                <w:rFonts w:ascii="SimSun" w:eastAsia="SimSun" w:hAnsi="SimSun" w:cs="SimSun"/>
                <w:color w:val="000000"/>
                <w:spacing w:val="0"/>
                <w:w w:val="100"/>
                <w:position w:val="0"/>
                <w:sz w:val="16"/>
                <w:szCs w:val="16"/>
              </w:rPr>
              <w:t>《第</w:t>
            </w:r>
          </w:p>
          <w:p>
            <w:pPr>
              <w:pStyle w:val="Style2"/>
              <w:keepNext w:val="0"/>
              <w:keepLines w:val="0"/>
              <w:widowControl w:val="0"/>
              <w:shd w:val="clear" w:color="auto" w:fill="auto"/>
              <w:bidi w:val="0"/>
              <w:spacing w:before="0" w:after="40" w:line="305" w:lineRule="exact"/>
              <w:ind w:left="0" w:right="0" w:firstLine="0"/>
              <w:jc w:val="left"/>
              <w:rPr>
                <w:sz w:val="16"/>
                <w:szCs w:val="16"/>
              </w:rPr>
            </w:pPr>
            <w:r>
              <w:rPr>
                <w:rFonts w:ascii="SimSun" w:eastAsia="SimSun" w:hAnsi="SimSun" w:cs="SimSun"/>
                <w:color w:val="000000"/>
                <w:spacing w:val="0"/>
                <w:w w:val="100"/>
                <w:position w:val="0"/>
                <w:sz w:val="16"/>
                <w:szCs w:val="16"/>
              </w:rPr>
              <w:t xml:space="preserve">五届董事会第二十三次会议 决议公告》（公告编号： </w:t>
            </w:r>
            <w:r>
              <w:rPr>
                <w:color w:val="000000"/>
                <w:spacing w:val="0"/>
                <w:w w:val="100"/>
                <w:position w:val="0"/>
                <w:sz w:val="18"/>
                <w:szCs w:val="18"/>
              </w:rPr>
              <w:t>2021-049</w:t>
            </w:r>
            <w:r>
              <w:rPr>
                <w:rFonts w:ascii="SimSun" w:eastAsia="SimSun" w:hAnsi="SimSun" w:cs="SimSun"/>
                <w:color w:val="000000"/>
                <w:spacing w:val="0"/>
                <w:w w:val="100"/>
                <w:position w:val="0"/>
                <w:sz w:val="16"/>
                <w:szCs w:val="16"/>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2</w:t>
      </w:r>
      <w:bookmarkEnd w:id="292"/>
      <w:r>
        <w:rPr>
          <w:color w:val="000000"/>
          <w:spacing w:val="0"/>
          <w:w w:val="100"/>
          <w:position w:val="0"/>
        </w:rPr>
        <w:t>、董事出席董事会及股东大会的情况</w:t>
      </w:r>
      <w:bookmarkEnd w:id="290"/>
      <w:bookmarkEnd w:id="291"/>
      <w:bookmarkEnd w:id="293"/>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本报告期应参</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以通讯方式参</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是否连续两次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未亲自参加董</w:t>
            </w:r>
          </w:p>
          <w:p>
            <w:pPr>
              <w:pStyle w:val="Style2"/>
              <w:keepNext w:val="0"/>
              <w:keepLines w:val="0"/>
              <w:widowControl w:val="0"/>
              <w:shd w:val="clear" w:color="auto" w:fill="auto"/>
              <w:bidi w:val="0"/>
              <w:spacing w:before="0" w:after="120" w:line="240" w:lineRule="auto"/>
              <w:ind w:left="0" w:right="0" w:firstLine="220"/>
              <w:jc w:val="left"/>
              <w:rPr>
                <w:sz w:val="16"/>
                <w:szCs w:val="16"/>
              </w:rPr>
            </w:pPr>
            <w:r>
              <w:rPr>
                <w:rFonts w:ascii="SimSun" w:eastAsia="SimSun" w:hAnsi="SimSun" w:cs="SimSun"/>
                <w:color w:val="000000"/>
                <w:spacing w:val="0"/>
                <w:w w:val="100"/>
                <w:position w:val="0"/>
                <w:sz w:val="16"/>
                <w:szCs w:val="16"/>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出席股东大会 次数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赵学荣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李司萌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洪珊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顾凌云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刘书锦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季成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连续两次未亲自出席董事会的说明</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无</w:t>
      </w:r>
    </w:p>
    <w:p>
      <w:pPr>
        <w:pStyle w:val="Style30"/>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3</w:t>
      </w:r>
      <w:bookmarkEnd w:id="296"/>
      <w:r>
        <w:rPr>
          <w:color w:val="000000"/>
          <w:spacing w:val="0"/>
          <w:w w:val="100"/>
          <w:position w:val="0"/>
        </w:rPr>
        <w:t>、董事对公司有关事项提出异议的情况</w:t>
      </w:r>
      <w:bookmarkEnd w:id="294"/>
      <w:bookmarkEnd w:id="295"/>
      <w:bookmarkEnd w:id="297"/>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董事对公司有关事项是否提出异议</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18"/>
        <w:keepNext w:val="0"/>
        <w:keepLines w:val="0"/>
        <w:widowControl w:val="0"/>
        <w:shd w:val="clear" w:color="auto" w:fill="auto"/>
        <w:bidi w:val="0"/>
        <w:spacing w:before="0" w:after="220" w:line="240" w:lineRule="auto"/>
        <w:ind w:left="0" w:right="0" w:firstLine="0"/>
        <w:jc w:val="left"/>
        <w:rPr>
          <w:sz w:val="19"/>
          <w:szCs w:val="19"/>
        </w:rPr>
      </w:pPr>
      <w:r>
        <w:rPr>
          <w:color w:val="000000"/>
          <w:spacing w:val="0"/>
          <w:w w:val="100"/>
          <w:position w:val="0"/>
          <w:sz w:val="19"/>
          <w:szCs w:val="19"/>
        </w:rPr>
        <w:t>报告期内董事对公司有关事项未提出异议。</w:t>
      </w:r>
    </w:p>
    <w:p>
      <w:pPr>
        <w:pStyle w:val="Style30"/>
        <w:keepNext/>
        <w:keepLines/>
        <w:widowControl w:val="0"/>
        <w:shd w:val="clear" w:color="auto" w:fill="auto"/>
        <w:bidi w:val="0"/>
        <w:spacing w:before="0" w:after="360" w:line="458" w:lineRule="exact"/>
        <w:ind w:left="0" w:right="0" w:firstLine="0"/>
        <w:jc w:val="both"/>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4</w:t>
      </w:r>
      <w:bookmarkEnd w:id="300"/>
      <w:r>
        <w:rPr>
          <w:color w:val="000000"/>
          <w:spacing w:val="0"/>
          <w:w w:val="100"/>
          <w:position w:val="0"/>
        </w:rPr>
        <w:t>、董事履行职责的其他说明</w:t>
      </w:r>
      <w:bookmarkEnd w:id="298"/>
      <w:bookmarkEnd w:id="299"/>
      <w:bookmarkEnd w:id="301"/>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董事对公司有关建议是否被采纳</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否</w:t>
      </w:r>
    </w:p>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董事对公司有关建议被采纳或未被采纳的说明</w:t>
      </w:r>
    </w:p>
    <w:p>
      <w:pPr>
        <w:pStyle w:val="Style18"/>
        <w:keepNext w:val="0"/>
        <w:keepLines w:val="0"/>
        <w:widowControl w:val="0"/>
        <w:shd w:val="clear" w:color="auto" w:fill="auto"/>
        <w:bidi w:val="0"/>
        <w:spacing w:before="0" w:after="440" w:line="458" w:lineRule="exact"/>
        <w:ind w:left="0" w:right="0" w:firstLine="440"/>
        <w:jc w:val="both"/>
      </w:pPr>
      <w:r>
        <w:rPr>
          <w:color w:val="000000"/>
          <w:spacing w:val="0"/>
          <w:w w:val="100"/>
          <w:position w:val="0"/>
        </w:rPr>
        <w:t>公司董事在</w:t>
      </w:r>
      <w:r>
        <w:rPr>
          <w:color w:val="000000"/>
          <w:spacing w:val="0"/>
          <w:w w:val="100"/>
          <w:position w:val="0"/>
        </w:rPr>
        <w:t>2021</w:t>
      </w:r>
      <w:r>
        <w:rPr>
          <w:color w:val="000000"/>
          <w:spacing w:val="0"/>
          <w:w w:val="100"/>
          <w:position w:val="0"/>
        </w:rPr>
        <w:t>年度勤勉尽责，积极了解公司的生产经营情况和财务状况；及时关注经济形势以及市 场变化对公司经营状况的影响；关注传媒、网络有关公司的相关报道；及时获悉公司重大事项的进展情况， 认真审阅公司提供的定期报告、临时报告，有效地履行了董事的职责，维护了公司和中小股东的合法权益。</w:t>
      </w:r>
    </w:p>
    <w:p>
      <w:pPr>
        <w:pStyle w:val="Style22"/>
        <w:keepNext/>
        <w:keepLines/>
        <w:widowControl w:val="0"/>
        <w:shd w:val="clear" w:color="auto" w:fill="auto"/>
        <w:bidi w:val="0"/>
        <w:spacing w:before="0" w:after="30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、董事会下设专门委员会在报告期内的情况</w:t>
      </w:r>
      <w:bookmarkEnd w:id="302"/>
      <w:bookmarkEnd w:id="303"/>
      <w:bookmarkEnd w:id="305"/>
    </w:p>
    <w:tbl>
      <w:tblPr>
        <w:tblOverlap w:val="never"/>
        <w:jc w:val="center"/>
        <w:tblLayout w:type="fixed"/>
      </w:tblPr>
      <w:tblGrid>
        <w:gridCol w:w="1205"/>
        <w:gridCol w:w="1195"/>
        <w:gridCol w:w="869"/>
        <w:gridCol w:w="1133"/>
        <w:gridCol w:w="1589"/>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召开会议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异议事项具体 情况（如有）</w:t>
            </w:r>
          </w:p>
        </w:tc>
      </w:tr>
      <w:tr>
        <w:trPr>
          <w:trHeight w:val="414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刘书锦、顾凌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云、赵学荣</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审计部</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季 度工作汇报、</w:t>
            </w: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w:t>
            </w:r>
            <w:r>
              <w:rPr>
                <w:color w:val="000000"/>
                <w:spacing w:val="0"/>
                <w:w w:val="100"/>
                <w:position w:val="0"/>
                <w:sz w:val="18"/>
                <w:szCs w:val="18"/>
              </w:rPr>
              <w:t>1-3</w:t>
            </w:r>
            <w:r>
              <w:rPr>
                <w:rFonts w:ascii="SimSun" w:eastAsia="SimSun" w:hAnsi="SimSun" w:cs="SimSun"/>
                <w:color w:val="000000"/>
                <w:spacing w:val="0"/>
                <w:w w:val="100"/>
                <w:position w:val="0"/>
                <w:sz w:val="16"/>
                <w:szCs w:val="16"/>
              </w:rPr>
              <w:t>季度两会重 大事项执行情况审 计报告、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3 </w:t>
            </w:r>
            <w:r>
              <w:rPr>
                <w:rFonts w:ascii="SimSun" w:eastAsia="SimSun" w:hAnsi="SimSun" w:cs="SimSun"/>
                <w:color w:val="000000"/>
                <w:spacing w:val="0"/>
                <w:w w:val="100"/>
                <w:position w:val="0"/>
                <w:sz w:val="16"/>
                <w:szCs w:val="16"/>
              </w:rPr>
              <w:t>季度财务例行审计 报告、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年度信 息披露审计报告、 财务尽职调查报 告、</w:t>
            </w:r>
            <w:r>
              <w:rPr>
                <w:color w:val="000000"/>
                <w:spacing w:val="0"/>
                <w:w w:val="100"/>
                <w:position w:val="0"/>
                <w:sz w:val="18"/>
                <w:szCs w:val="18"/>
              </w:rPr>
              <w:t>2020</w:t>
            </w:r>
            <w:r>
              <w:rPr>
                <w:rFonts w:ascii="SimSun" w:eastAsia="SimSun" w:hAnsi="SimSun" w:cs="SimSun"/>
                <w:color w:val="000000"/>
                <w:spacing w:val="0"/>
                <w:w w:val="100"/>
                <w:position w:val="0"/>
                <w:sz w:val="16"/>
                <w:szCs w:val="16"/>
              </w:rPr>
              <w:t xml:space="preserve">年度内部 审计工作总结、 </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年度内部审计 工作计划。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年度审计报 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年度内部 控制自我评价报 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年度审计 委员会对会计师事 务所审计工作的总 结报告、关于续聘 会计师事务所的议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19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审计部</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季 度工作汇报、</w:t>
            </w: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年四季度两会重大 事项执行情况审计 报告、</w:t>
            </w:r>
            <w:r>
              <w:rPr>
                <w:color w:val="000000"/>
                <w:spacing w:val="0"/>
                <w:w w:val="100"/>
                <w:position w:val="0"/>
                <w:sz w:val="18"/>
                <w:szCs w:val="18"/>
              </w:rPr>
              <w:t>2020</w:t>
            </w:r>
            <w:r>
              <w:rPr>
                <w:rFonts w:ascii="SimSun" w:eastAsia="SimSun" w:hAnsi="SimSun" w:cs="SimSun"/>
                <w:color w:val="000000"/>
                <w:spacing w:val="0"/>
                <w:w w:val="100"/>
                <w:position w:val="0"/>
                <w:sz w:val="16"/>
                <w:szCs w:val="16"/>
              </w:rPr>
              <w:t>年财务 管理部绩效实现审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tbl>
      <w:tblPr>
        <w:tblOverlap w:val="never"/>
        <w:jc w:val="center"/>
        <w:tblLayout w:type="fixed"/>
      </w:tblPr>
      <w:tblGrid>
        <w:gridCol w:w="1205"/>
        <w:gridCol w:w="1195"/>
        <w:gridCol w:w="869"/>
        <w:gridCol w:w="1133"/>
        <w:gridCol w:w="1589"/>
        <w:gridCol w:w="1195"/>
        <w:gridCol w:w="1195"/>
        <w:gridCol w:w="1205"/>
      </w:tblGrid>
      <w:tr>
        <w:trPr>
          <w:trHeight w:val="130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计报告、对外投资</w:t>
            </w:r>
          </w:p>
          <w:p>
            <w:pPr>
              <w:pStyle w:val="Style2"/>
              <w:keepNext w:val="0"/>
              <w:keepLines w:val="0"/>
              <w:widowControl w:val="0"/>
              <w:shd w:val="clear" w:color="auto" w:fill="auto"/>
              <w:tabs>
                <w:tab w:leader="hyphen" w:pos="360" w:val="left"/>
              </w:tabs>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ab/>
              <w:t>（上海惬昶、</w:t>
            </w:r>
          </w:p>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深圳金源兴）审计 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07</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审计部</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2</w:t>
            </w:r>
            <w:r>
              <w:rPr>
                <w:rFonts w:ascii="SimSun" w:eastAsia="SimSun" w:hAnsi="SimSun" w:cs="SimSun"/>
                <w:color w:val="000000"/>
                <w:spacing w:val="0"/>
                <w:w w:val="100"/>
                <w:position w:val="0"/>
                <w:sz w:val="16"/>
                <w:szCs w:val="16"/>
              </w:rPr>
              <w:t>季 度工作汇报、</w:t>
            </w: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年度财务决算审计 报告、</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季 度财务例行审计报 告、对外投资后续 整改审计报告</w:t>
            </w:r>
            <w:r>
              <w:rPr>
                <w:color w:val="000000"/>
                <w:spacing w:val="0"/>
                <w:w w:val="100"/>
                <w:position w:val="0"/>
                <w:sz w:val="18"/>
                <w:szCs w:val="18"/>
              </w:rPr>
              <w:t>-</w:t>
            </w:r>
            <w:r>
              <w:rPr>
                <w:rFonts w:ascii="SimSun" w:eastAsia="SimSun" w:hAnsi="SimSun" w:cs="SimSun"/>
                <w:color w:val="000000"/>
                <w:spacing w:val="0"/>
                <w:w w:val="100"/>
                <w:position w:val="0"/>
                <w:sz w:val="16"/>
                <w:szCs w:val="16"/>
              </w:rPr>
              <w:t>（上 海惬昶、深圳金源 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10</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sz w:val="16"/>
                <w:szCs w:val="16"/>
              </w:rPr>
              <w:t>审计部</w:t>
            </w:r>
            <w:r>
              <w:rPr>
                <w:color w:val="000000"/>
                <w:spacing w:val="0"/>
                <w:w w:val="100"/>
                <w:position w:val="0"/>
              </w:rPr>
              <w:t>2021</w:t>
            </w:r>
            <w:r>
              <w:rPr>
                <w:rFonts w:ascii="SimSun" w:eastAsia="SimSun" w:hAnsi="SimSun" w:cs="SimSun"/>
                <w:color w:val="000000"/>
                <w:spacing w:val="0"/>
                <w:w w:val="100"/>
                <w:position w:val="0"/>
                <w:sz w:val="16"/>
                <w:szCs w:val="16"/>
              </w:rPr>
              <w:t>年</w:t>
            </w:r>
            <w:r>
              <w:rPr>
                <w:color w:val="000000"/>
                <w:spacing w:val="0"/>
                <w:w w:val="100"/>
                <w:position w:val="0"/>
              </w:rPr>
              <w:t>3</w:t>
            </w:r>
            <w:r>
              <w:rPr>
                <w:rFonts w:ascii="SimSun" w:eastAsia="SimSun" w:hAnsi="SimSun" w:cs="SimSun"/>
                <w:color w:val="000000"/>
                <w:spacing w:val="0"/>
                <w:w w:val="100"/>
                <w:position w:val="0"/>
                <w:sz w:val="16"/>
                <w:szCs w:val="16"/>
              </w:rPr>
              <w:t>季 度工作汇报、</w:t>
            </w:r>
            <w:r>
              <w:rPr>
                <w:color w:val="000000"/>
                <w:spacing w:val="0"/>
                <w:w w:val="100"/>
                <w:position w:val="0"/>
              </w:rPr>
              <w:t xml:space="preserve">2021 </w:t>
            </w:r>
            <w:r>
              <w:rPr>
                <w:rFonts w:ascii="SimSun" w:eastAsia="SimSun" w:hAnsi="SimSun" w:cs="SimSun"/>
                <w:color w:val="000000"/>
                <w:spacing w:val="0"/>
                <w:w w:val="100"/>
                <w:position w:val="0"/>
                <w:sz w:val="16"/>
                <w:szCs w:val="16"/>
              </w:rPr>
              <w:t>年</w:t>
            </w:r>
            <w:r>
              <w:rPr>
                <w:color w:val="000000"/>
                <w:spacing w:val="0"/>
                <w:w w:val="100"/>
                <w:position w:val="0"/>
              </w:rPr>
              <w:t>2</w:t>
            </w:r>
            <w:r>
              <w:rPr>
                <w:rFonts w:ascii="SimSun" w:eastAsia="SimSun" w:hAnsi="SimSun" w:cs="SimSun"/>
                <w:color w:val="000000"/>
                <w:spacing w:val="0"/>
                <w:w w:val="100"/>
                <w:position w:val="0"/>
                <w:sz w:val="16"/>
                <w:szCs w:val="16"/>
              </w:rPr>
              <w:t>季度财务例行 审计报告、北京志 东方</w:t>
            </w:r>
            <w:r>
              <w:rPr>
                <w:color w:val="000000"/>
                <w:spacing w:val="0"/>
                <w:w w:val="100"/>
                <w:position w:val="0"/>
              </w:rPr>
              <w:t>2021</w:t>
            </w:r>
            <w:r>
              <w:rPr>
                <w:rFonts w:ascii="SimSun" w:eastAsia="SimSun" w:hAnsi="SimSun" w:cs="SimSun"/>
                <w:color w:val="000000"/>
                <w:spacing w:val="0"/>
                <w:w w:val="100"/>
                <w:position w:val="0"/>
                <w:sz w:val="16"/>
                <w:szCs w:val="16"/>
              </w:rPr>
              <w:t>年</w:t>
            </w:r>
            <w:r>
              <w:rPr>
                <w:color w:val="000000"/>
                <w:spacing w:val="0"/>
                <w:w w:val="100"/>
                <w:position w:val="0"/>
              </w:rPr>
              <w:t>1-8</w:t>
            </w:r>
            <w:r>
              <w:rPr>
                <w:rFonts w:ascii="SimSun" w:eastAsia="SimSun" w:hAnsi="SimSun" w:cs="SimSun"/>
                <w:color w:val="000000"/>
                <w:spacing w:val="0"/>
                <w:w w:val="100"/>
                <w:position w:val="0"/>
                <w:sz w:val="16"/>
                <w:szCs w:val="16"/>
              </w:rPr>
              <w:t>月 经营管理状况审计 报告、对外投资后 续整改审计报告</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（上海惬昶、深圳 金源兴）。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22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关于改聘会计师事 务所的议案、审计 委员会对中兴财光 华会计师事务所</w:t>
            </w:r>
          </w:p>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（特殊普通合伙） 相关情况审查的报 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7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战略委员会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朱烨东、李燕、 汪亮、季成、 顾凌云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关于审议公司</w:t>
            </w: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年经营计划的议案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关于参与投资股权 投资基金的议案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季成、刘书锦、 赵剑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关于提名公司总经</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理的议案、关于提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名公司董事的议案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13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05</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关于提名公司董事 的议案、关于提名 公司副总经理兼财 务总监的议案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08</w:t>
            </w:r>
            <w:r>
              <w:rPr>
                <w:rFonts w:ascii="SimSun" w:eastAsia="SimSun" w:hAnsi="SimSun" w:cs="SimSun"/>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关于提名公司副董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一致同意审议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bl>
    <w:p>
      <w:pPr>
        <w:spacing w:lineRule="exact" w:line="1"/>
        <w:rPr>
          <w:sz w:val="2"/>
          <w:szCs w:val="2"/>
        </w:rPr>
      </w:pPr>
      <w:r>
        <w:br w:type="page"/>
      </w:r>
    </w:p>
    <w:tbl>
      <w:tblPr>
        <w:tblOverlap w:val="never"/>
        <w:jc w:val="center"/>
        <w:tblLayout w:type="fixed"/>
      </w:tblPr>
      <w:tblGrid>
        <w:gridCol w:w="1205"/>
        <w:gridCol w:w="1195"/>
        <w:gridCol w:w="869"/>
        <w:gridCol w:w="1133"/>
        <w:gridCol w:w="1589"/>
        <w:gridCol w:w="1195"/>
        <w:gridCol w:w="1195"/>
        <w:gridCol w:w="120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事长的议案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顾凌云、季成、 刘书锦、朱哗 东、李司萌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03</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关于审议董事、高 级管理人员</w:t>
            </w:r>
            <w:r>
              <w:rPr>
                <w:color w:val="000000"/>
                <w:spacing w:val="0"/>
                <w:w w:val="100"/>
                <w:position w:val="0"/>
                <w:sz w:val="18"/>
                <w:szCs w:val="18"/>
              </w:rPr>
              <w:t>2021</w:t>
            </w:r>
            <w:r>
              <w:rPr>
                <w:rFonts w:ascii="SimSun" w:eastAsia="SimSun" w:hAnsi="SimSun" w:cs="SimSun"/>
                <w:color w:val="000000"/>
                <w:spacing w:val="0"/>
                <w:w w:val="100"/>
                <w:position w:val="0"/>
                <w:sz w:val="16"/>
                <w:szCs w:val="16"/>
              </w:rPr>
              <w:t>年 薪酬的议案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一致同意审议</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319" w:line="1" w:lineRule="exact"/>
      </w:pPr>
    </w:p>
    <w:p>
      <w:pPr>
        <w:pStyle w:val="Style22"/>
        <w:keepNext/>
        <w:keepLines/>
        <w:widowControl w:val="0"/>
        <w:shd w:val="clear" w:color="auto" w:fill="auto"/>
        <w:tabs>
          <w:tab w:pos="517" w:val="left"/>
        </w:tabs>
        <w:bidi w:val="0"/>
        <w:spacing w:before="0" w:after="2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w:t>
        <w:tab/>
        <w:t>监事会工作情况</w:t>
      </w:r>
      <w:bookmarkEnd w:id="306"/>
      <w:bookmarkEnd w:id="307"/>
      <w:bookmarkEnd w:id="309"/>
    </w:p>
    <w:p>
      <w:pPr>
        <w:pStyle w:val="Style18"/>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 xml:space="preserve">监事会在报告期内的监督活动中发现公司是否存在风险 </w:t>
      </w: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18"/>
        <w:keepNext w:val="0"/>
        <w:keepLines w:val="0"/>
        <w:widowControl w:val="0"/>
        <w:shd w:val="clear" w:color="auto" w:fill="auto"/>
        <w:bidi w:val="0"/>
        <w:spacing w:before="0" w:after="320" w:line="350" w:lineRule="exact"/>
        <w:ind w:left="0" w:right="0" w:firstLine="0"/>
        <w:jc w:val="left"/>
        <w:rPr>
          <w:sz w:val="19"/>
          <w:szCs w:val="19"/>
        </w:rPr>
      </w:pPr>
      <w:r>
        <w:rPr>
          <w:color w:val="000000"/>
          <w:spacing w:val="0"/>
          <w:w w:val="100"/>
          <w:position w:val="0"/>
          <w:sz w:val="19"/>
          <w:szCs w:val="19"/>
        </w:rPr>
        <w:t>监事会对报告期内的监督事项无异议。</w:t>
      </w:r>
    </w:p>
    <w:p>
      <w:pPr>
        <w:pStyle w:val="Style22"/>
        <w:keepNext/>
        <w:keepLines/>
        <w:widowControl w:val="0"/>
        <w:shd w:val="clear" w:color="auto" w:fill="auto"/>
        <w:tabs>
          <w:tab w:pos="517" w:val="left"/>
        </w:tabs>
        <w:bidi w:val="0"/>
        <w:spacing w:before="0" w:after="2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w:t>
        <w:tab/>
        <w:t>公司员工情况</w:t>
      </w:r>
      <w:bookmarkEnd w:id="310"/>
      <w:bookmarkEnd w:id="311"/>
      <w:bookmarkEnd w:id="313"/>
    </w:p>
    <w:p>
      <w:pPr>
        <w:pStyle w:val="Style30"/>
        <w:keepNext/>
        <w:keepLines/>
        <w:widowControl w:val="0"/>
        <w:shd w:val="clear" w:color="auto" w:fill="auto"/>
        <w:bidi w:val="0"/>
        <w:spacing w:before="0" w:after="320" w:line="350"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、员工数量、专业构成及教育程度</w:t>
      </w:r>
      <w:bookmarkEnd w:id="314"/>
      <w:bookmarkEnd w:id="315"/>
      <w:bookmarkEnd w:id="31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1,134</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pPr>
            <w:r>
              <w:rPr>
                <w:color w:val="000000"/>
                <w:spacing w:val="0"/>
                <w:w w:val="100"/>
                <w:position w:val="0"/>
              </w:rPr>
              <w:t>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中高职及以下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color w:val="000000"/>
                <w:spacing w:val="0"/>
                <w:w w:val="100"/>
                <w:position w:val="0"/>
              </w:rPr>
              <w:t>1,134</w:t>
            </w:r>
          </w:p>
        </w:tc>
      </w:tr>
    </w:tbl>
    <w:p>
      <w:pPr>
        <w:pStyle w:val="Style30"/>
        <w:keepNext/>
        <w:keepLines/>
        <w:widowControl w:val="0"/>
        <w:shd w:val="clear" w:color="auto" w:fill="auto"/>
        <w:tabs>
          <w:tab w:pos="370" w:val="left"/>
        </w:tabs>
        <w:bidi w:val="0"/>
        <w:spacing w:before="0" w:after="220" w:line="469" w:lineRule="exact"/>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2</w:t>
      </w:r>
      <w:bookmarkEnd w:id="320"/>
      <w:r>
        <w:rPr>
          <w:color w:val="000000"/>
          <w:spacing w:val="0"/>
          <w:w w:val="100"/>
          <w:position w:val="0"/>
        </w:rPr>
        <w:t>、</w:t>
        <w:tab/>
        <w:t>薪酬政策</w:t>
      </w:r>
      <w:bookmarkEnd w:id="318"/>
      <w:bookmarkEnd w:id="319"/>
      <w:bookmarkEnd w:id="321"/>
    </w:p>
    <w:p>
      <w:pPr>
        <w:pStyle w:val="Style18"/>
        <w:keepNext w:val="0"/>
        <w:keepLines w:val="0"/>
        <w:widowControl w:val="0"/>
        <w:shd w:val="clear" w:color="auto" w:fill="auto"/>
        <w:bidi w:val="0"/>
        <w:spacing w:before="0" w:after="120" w:line="466" w:lineRule="exact"/>
        <w:ind w:left="0" w:right="0" w:firstLine="440"/>
        <w:jc w:val="both"/>
      </w:pPr>
      <w:r>
        <w:rPr>
          <w:color w:val="000000"/>
          <w:spacing w:val="0"/>
          <w:w w:val="100"/>
          <w:position w:val="0"/>
        </w:rPr>
        <w:t>公司实行中科金财多层级合伙人经营责任制，让全体员工参与经营管理，实现“全员参与”的经营理 念。公司向员工提供稳定且有竞争力的薪酬，通过业绩核算，将薪酬与绩效挂钩。公司积极加强对员工的 激励，以充分调动员工的积极性和主动性，充分发挥薪酬吸引、保留、激励人才的战略作用。</w:t>
      </w:r>
    </w:p>
    <w:p>
      <w:pPr>
        <w:pStyle w:val="Style18"/>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报告期内，公司职工薪酬总额</w:t>
      </w:r>
      <w:r>
        <w:rPr>
          <w:color w:val="000000"/>
          <w:spacing w:val="0"/>
          <w:w w:val="100"/>
          <w:position w:val="0"/>
        </w:rPr>
        <w:t>21,414.3</w:t>
      </w:r>
      <w:r>
        <w:rPr>
          <w:color w:val="000000"/>
          <w:spacing w:val="0"/>
          <w:w w:val="100"/>
          <w:position w:val="0"/>
        </w:rPr>
        <w:t>0</w:t>
      </w:r>
      <w:r>
        <w:rPr>
          <w:color w:val="000000"/>
          <w:spacing w:val="0"/>
          <w:w w:val="100"/>
          <w:position w:val="0"/>
        </w:rPr>
        <w:t>万元，占公司成本总额的</w:t>
      </w:r>
      <w:r>
        <w:rPr>
          <w:color w:val="000000"/>
          <w:spacing w:val="0"/>
          <w:w w:val="100"/>
          <w:position w:val="0"/>
        </w:rPr>
        <w:t>12.78%</w:t>
      </w:r>
      <w:r>
        <w:rPr>
          <w:color w:val="000000"/>
          <w:spacing w:val="0"/>
          <w:w w:val="100"/>
          <w:position w:val="0"/>
        </w:rPr>
        <w:t>，公司利润对职工薪酬变化 较为敏感。公司核心技术人员共计</w:t>
      </w:r>
      <w:r>
        <w:rPr>
          <w:color w:val="000000"/>
          <w:spacing w:val="0"/>
          <w:w w:val="100"/>
          <w:position w:val="0"/>
        </w:rPr>
        <w:t>258</w:t>
      </w:r>
      <w:r>
        <w:rPr>
          <w:color w:val="000000"/>
          <w:spacing w:val="0"/>
          <w:w w:val="100"/>
          <w:position w:val="0"/>
        </w:rPr>
        <w:t>人，占公司员工总数的</w:t>
      </w:r>
      <w:r>
        <w:rPr>
          <w:color w:val="000000"/>
          <w:spacing w:val="0"/>
          <w:w w:val="100"/>
          <w:position w:val="0"/>
        </w:rPr>
        <w:t>22.75%</w:t>
      </w:r>
      <w:r>
        <w:rPr>
          <w:color w:val="000000"/>
          <w:spacing w:val="0"/>
          <w:w w:val="100"/>
          <w:position w:val="0"/>
        </w:rPr>
        <w:t xml:space="preserve">，核心技术人员薪酬占公司薪酬总额 的 </w:t>
      </w:r>
      <w:r>
        <w:rPr>
          <w:color w:val="000000"/>
          <w:spacing w:val="0"/>
          <w:w w:val="100"/>
          <w:position w:val="0"/>
        </w:rPr>
        <w:t>25.11%</w:t>
      </w:r>
      <w:r>
        <w:rPr>
          <w:color w:val="000000"/>
          <w:spacing w:val="0"/>
          <w:w w:val="100"/>
          <w:position w:val="0"/>
        </w:rPr>
        <w:t>。</w:t>
      </w:r>
    </w:p>
    <w:p>
      <w:pPr>
        <w:pStyle w:val="Style30"/>
        <w:keepNext/>
        <w:keepLines/>
        <w:widowControl w:val="0"/>
        <w:shd w:val="clear" w:color="auto" w:fill="auto"/>
        <w:tabs>
          <w:tab w:pos="370" w:val="left"/>
        </w:tabs>
        <w:bidi w:val="0"/>
        <w:spacing w:before="0" w:after="220" w:line="469" w:lineRule="exact"/>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3</w:t>
      </w:r>
      <w:bookmarkEnd w:id="324"/>
      <w:r>
        <w:rPr>
          <w:color w:val="000000"/>
          <w:spacing w:val="0"/>
          <w:w w:val="100"/>
          <w:position w:val="0"/>
        </w:rPr>
        <w:t>、</w:t>
        <w:tab/>
        <w:t>培训计划</w:t>
      </w:r>
      <w:bookmarkEnd w:id="322"/>
      <w:bookmarkEnd w:id="323"/>
      <w:bookmarkEnd w:id="325"/>
    </w:p>
    <w:p>
      <w:pPr>
        <w:pStyle w:val="Style18"/>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公司建立核心人才数据库，有层次有重点地推进人才培养，设计了从基础能力到战略落地的多层次人 才培养体系，通过线上、线下、内训、外训结合的方式，进行人才的发掘和培养，有效扩大了人才建设的 广度和深度。同时，公司高度重视组织学习能力提升，将公司的战略模式、经营指导、业务培训全部上线， 并将培训与绩效、员工转正挂钩，提高员工培训覆盖率，体现公司“全员参与”的经营理念。</w:t>
      </w:r>
    </w:p>
    <w:p>
      <w:pPr>
        <w:pStyle w:val="Style30"/>
        <w:keepNext/>
        <w:keepLines/>
        <w:widowControl w:val="0"/>
        <w:shd w:val="clear" w:color="auto" w:fill="auto"/>
        <w:tabs>
          <w:tab w:pos="370" w:val="left"/>
        </w:tabs>
        <w:bidi w:val="0"/>
        <w:spacing w:before="0" w:after="120" w:line="469" w:lineRule="exact"/>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4</w:t>
      </w:r>
      <w:bookmarkEnd w:id="328"/>
      <w:r>
        <w:rPr>
          <w:color w:val="000000"/>
          <w:spacing w:val="0"/>
          <w:w w:val="100"/>
          <w:position w:val="0"/>
        </w:rPr>
        <w:t>、</w:t>
        <w:tab/>
        <w:t>劳务外包情况</w:t>
      </w:r>
      <w:bookmarkEnd w:id="326"/>
      <w:bookmarkEnd w:id="327"/>
      <w:bookmarkEnd w:id="329"/>
    </w:p>
    <w:p>
      <w:pPr>
        <w:pStyle w:val="Style18"/>
        <w:keepNext w:val="0"/>
        <w:keepLines w:val="0"/>
        <w:widowControl w:val="0"/>
        <w:shd w:val="clear" w:color="auto" w:fill="auto"/>
        <w:bidi w:val="0"/>
        <w:spacing w:before="0" w:after="340" w:line="469"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2"/>
        <w:keepNext/>
        <w:keepLines/>
        <w:widowControl w:val="0"/>
        <w:shd w:val="clear" w:color="auto" w:fill="auto"/>
        <w:bidi w:val="0"/>
        <w:spacing w:before="0" w:after="34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十、公司利润分配及资本公积金转增股本情况</w:t>
      </w:r>
      <w:bookmarkEnd w:id="330"/>
      <w:bookmarkEnd w:id="331"/>
      <w:bookmarkEnd w:id="332"/>
    </w:p>
    <w:p>
      <w:pPr>
        <w:pStyle w:val="Style18"/>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报告期内利润分配政策，特别是现金分红政策的制定、执行或调整情况</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寸</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 xml:space="preserve">日第五届董事会第十八次会议审议通过了 </w:t>
      </w:r>
      <w:r>
        <w:rPr>
          <w:color w:val="000000"/>
          <w:spacing w:val="0"/>
          <w:w w:val="100"/>
          <w:position w:val="0"/>
        </w:rPr>
        <w:t>2020</w:t>
      </w:r>
      <w:r>
        <w:rPr>
          <w:color w:val="000000"/>
          <w:spacing w:val="0"/>
          <w:w w:val="100"/>
          <w:position w:val="0"/>
        </w:rPr>
        <w:t>年度利润分配方案，公司</w:t>
      </w:r>
      <w:r>
        <w:rPr>
          <w:color w:val="000000"/>
          <w:spacing w:val="0"/>
          <w:w w:val="100"/>
          <w:position w:val="0"/>
        </w:rPr>
        <w:t>2020</w:t>
      </w:r>
      <w:r>
        <w:rPr>
          <w:color w:val="000000"/>
          <w:spacing w:val="0"/>
          <w:w w:val="100"/>
          <w:position w:val="0"/>
        </w:rPr>
        <w:t>年度利 润分配方案为以公司</w:t>
      </w:r>
      <w:r>
        <w:rPr>
          <w:color w:val="000000"/>
          <w:spacing w:val="0"/>
          <w:w w:val="100"/>
          <w:position w:val="0"/>
        </w:rPr>
        <w:t>2020</w:t>
      </w:r>
      <w:r>
        <w:rPr>
          <w:color w:val="000000"/>
          <w:spacing w:val="0"/>
          <w:w w:val="100"/>
          <w:position w:val="0"/>
        </w:rPr>
        <w:t>年末总股本</w:t>
      </w:r>
      <w:r>
        <w:rPr>
          <w:color w:val="000000"/>
          <w:spacing w:val="0"/>
          <w:w w:val="100"/>
          <w:position w:val="0"/>
        </w:rPr>
        <w:t>337,576,686</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0.032 </w:t>
      </w:r>
      <w:r>
        <w:rPr>
          <w:color w:val="000000"/>
          <w:spacing w:val="0"/>
          <w:w w:val="100"/>
          <w:position w:val="0"/>
        </w:rPr>
        <w:t>元（含税），不送红股，不以公积金转增股本。</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日召开的</w:t>
      </w:r>
      <w:r>
        <w:rPr>
          <w:color w:val="000000"/>
          <w:spacing w:val="0"/>
          <w:w w:val="100"/>
          <w:position w:val="0"/>
        </w:rPr>
        <w:t>2020</w:t>
      </w:r>
      <w:r>
        <w:rPr>
          <w:color w:val="000000"/>
          <w:spacing w:val="0"/>
          <w:w w:val="100"/>
          <w:position w:val="0"/>
        </w:rPr>
        <w:t>年年度股东大会审议通过了上 述利润分配方案。</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日公司完成了权益分派实施。</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公司在《公司章程》中规定了明确的利润分配政策，公司的利润分配政策保持连续性和稳定性，同时 兼顾公司的长远利益、全体股东的整体利益及公司的可持续发展。</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报告期内，公司结合经营发展情况，严格按照《公司章程》的规定制定了利润分配方案，充分考虑和 听取股东（特别是中小股东）、独立董事、监事会的意见，坚持优先采用现金分红的原则。决策过程中独 立董事尽职尽责履行了相关职责，审议程序合法合规，利润分配政策的执行符合《公司章程》规定。</w:t>
      </w:r>
    </w:p>
    <w:p>
      <w:pPr>
        <w:pStyle w:val="Style18"/>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报告期内，公司严格执行利润分配政策，利润分配政策未作调整或变更，公司利润分配政策的制定及 执行情况，符合《公司章程》的规定和股东大会决议的要求。公司的利润分配方案均由独立董事发表独立 意见，监事会审核，股东大会审议，并提供了网络投票的方式，对中小股东的投票情况进行单独统计，中 小投资者的合法权益得到了充分保护。</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本报告期利润分配及资本公积金转增股本情况</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公司计划年度不派发现金红利，不送红股，不以公积金转增股本。</w:t>
      </w:r>
    </w:p>
    <w:p>
      <w:pPr>
        <w:widowControl w:val="0"/>
        <w:spacing w:after="359" w:line="1" w:lineRule="exact"/>
      </w:pPr>
    </w:p>
    <w:p>
      <w:pPr>
        <w:pStyle w:val="Style22"/>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十一、公司股权激励计划、员工持股计划或其他员工激励措施的实施情况</w:t>
      </w:r>
      <w:bookmarkEnd w:id="333"/>
      <w:bookmarkEnd w:id="334"/>
      <w:bookmarkEnd w:id="335"/>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公司报告期无股权激励计划、员工持股计划或其他员工激励措施及其实施情况。</w:t>
      </w:r>
    </w:p>
    <w:p>
      <w:pPr>
        <w:pStyle w:val="Style22"/>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十二、报告期内的内部控制制度建设及实施情况</w:t>
      </w:r>
      <w:bookmarkEnd w:id="336"/>
      <w:bookmarkEnd w:id="337"/>
      <w:bookmarkEnd w:id="338"/>
    </w:p>
    <w:p>
      <w:pPr>
        <w:pStyle w:val="Style30"/>
        <w:keepNext/>
        <w:keepLines/>
        <w:widowControl w:val="0"/>
        <w:shd w:val="clear" w:color="auto" w:fill="auto"/>
        <w:bidi w:val="0"/>
        <w:spacing w:before="0" w:after="0" w:line="48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1</w:t>
      </w:r>
      <w:bookmarkEnd w:id="341"/>
      <w:r>
        <w:rPr>
          <w:color w:val="000000"/>
          <w:spacing w:val="0"/>
          <w:w w:val="100"/>
          <w:position w:val="0"/>
        </w:rPr>
        <w:t>、内部控制建设及实施情况</w:t>
      </w:r>
      <w:bookmarkEnd w:id="339"/>
      <w:bookmarkEnd w:id="340"/>
      <w:bookmarkEnd w:id="342"/>
    </w:p>
    <w:p>
      <w:pPr>
        <w:pStyle w:val="Style18"/>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报告期内，公司严格按照各项法律法规以及公司内部控制制度规范经营、优化治理、管控风险，强调 内部控制的力度与效率，重视相关责任的权责及落实，保证了公司内控体系的完整合规、有效可行，实现 了公司健康科学的运营目标，保障了全体股东的利益。公司建立了股东大会、董事会、监事会、总经理及 高级管理人员的法人治理结构，明确决策、执行、监督等方面的职责权限，形成科学有效的职责分工和制 衡机制。股东大会是公司最高权力机构，董事会负责公司内部控制的建立健全和有效实施。监事会对董事 会的工作进行监督。公司董事会审计委员会、内部审计部共同组成公司的风险内控管理组织体系，对公司 内部控制管理进行监督和评价。公司通过内部控制体系的运行、分析与评价，有效防范了经营管理中的风 险，促进了内部控制目标的实现。公司将继续完善内部控制制度，规范内部控制制度执行，强化内部控制</w:t>
        <w:br w:type="page"/>
      </w:r>
      <w:r>
        <w:rPr>
          <w:color w:val="000000"/>
          <w:spacing w:val="0"/>
          <w:w w:val="100"/>
          <w:position w:val="0"/>
        </w:rPr>
        <w:t>监督检查，促进公司健康、可持续发展。</w:t>
      </w:r>
    </w:p>
    <w:p>
      <w:pPr>
        <w:pStyle w:val="Style30"/>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、报告期内发现的内部控制重大缺陷的具体情况</w:t>
      </w:r>
      <w:bookmarkEnd w:id="343"/>
      <w:bookmarkEnd w:id="344"/>
      <w:bookmarkEnd w:id="346"/>
    </w:p>
    <w:p>
      <w:pPr>
        <w:pStyle w:val="Style18"/>
        <w:keepNext w:val="0"/>
        <w:keepLines w:val="0"/>
        <w:widowControl w:val="0"/>
        <w:shd w:val="clear" w:color="auto" w:fill="auto"/>
        <w:bidi w:val="0"/>
        <w:spacing w:before="0" w:after="32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寸否</w:t>
      </w:r>
    </w:p>
    <w:p>
      <w:pPr>
        <w:pStyle w:val="Style22"/>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十三、公司报告期内对子公司的管理控制情况</w:t>
      </w:r>
      <w:bookmarkEnd w:id="347"/>
      <w:bookmarkEnd w:id="348"/>
      <w:bookmarkEnd w:id="349"/>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后续解决计划</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报告期内无因购 买新增子公司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r>
        <w:rPr>
          <w:color w:val="000000"/>
          <w:spacing w:val="0"/>
          <w:w w:val="100"/>
          <w:position w:val="0"/>
          <w:sz w:val="24"/>
          <w:szCs w:val="24"/>
        </w:rPr>
        <w:t>十四、内部控制自我评价报告或内部控制审计报告</w:t>
      </w:r>
      <w:bookmarkEnd w:id="350"/>
      <w:bookmarkEnd w:id="351"/>
      <w:bookmarkEnd w:id="352"/>
    </w:p>
    <w:p>
      <w:pPr>
        <w:pStyle w:val="Style30"/>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、内控自我评价报告</w:t>
      </w:r>
      <w:bookmarkEnd w:id="353"/>
      <w:bookmarkEnd w:id="354"/>
      <w:bookmarkEnd w:id="356"/>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 xml:space="preserve">巨潮资讯网 </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非财务报告</w:t>
            </w:r>
          </w:p>
        </w:tc>
      </w:tr>
      <w:tr>
        <w:trPr>
          <w:trHeight w:val="50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left"/>
              <w:rPr>
                <w:sz w:val="16"/>
                <w:szCs w:val="16"/>
              </w:rPr>
            </w:pPr>
            <w:r>
              <w:rPr>
                <w:rFonts w:ascii="SimSun" w:eastAsia="SimSun" w:hAnsi="SimSun" w:cs="SimSun"/>
                <w:color w:val="000000"/>
                <w:spacing w:val="0"/>
                <w:w w:val="100"/>
                <w:position w:val="0"/>
                <w:sz w:val="16"/>
                <w:szCs w:val="16"/>
              </w:rPr>
              <w:t>公司确定的财务报告内部控制缺陷评价的 定性标准如下：</w:t>
            </w:r>
          </w:p>
          <w:p>
            <w:pPr>
              <w:pStyle w:val="Style2"/>
              <w:keepNext w:val="0"/>
              <w:keepLines w:val="0"/>
              <w:widowControl w:val="0"/>
              <w:shd w:val="clear" w:color="auto" w:fill="auto"/>
              <w:tabs>
                <w:tab w:pos="355" w:val="left"/>
              </w:tabs>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w:t>
              <w:tab/>
              <w:t>财务报告重大缺陷的迹象包括：</w:t>
            </w:r>
          </w:p>
          <w:p>
            <w:pPr>
              <w:pStyle w:val="Style2"/>
              <w:keepNext w:val="0"/>
              <w:keepLines w:val="0"/>
              <w:widowControl w:val="0"/>
              <w:numPr>
                <w:ilvl w:val="0"/>
                <w:numId w:val="5"/>
              </w:numPr>
              <w:shd w:val="clear" w:color="auto" w:fill="auto"/>
              <w:tabs>
                <w:tab w:pos="187" w:val="left"/>
              </w:tabs>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公司董事、监事和高级管理人员的舞弊</w:t>
            </w:r>
          </w:p>
          <w:p>
            <w:pPr>
              <w:pStyle w:val="Style2"/>
              <w:keepNext w:val="0"/>
              <w:keepLines w:val="0"/>
              <w:widowControl w:val="0"/>
              <w:shd w:val="clear" w:color="auto" w:fill="auto"/>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行为；</w:t>
            </w:r>
          </w:p>
          <w:p>
            <w:pPr>
              <w:pStyle w:val="Style2"/>
              <w:keepNext w:val="0"/>
              <w:keepLines w:val="0"/>
              <w:widowControl w:val="0"/>
              <w:numPr>
                <w:ilvl w:val="0"/>
                <w:numId w:val="5"/>
              </w:numPr>
              <w:shd w:val="clear" w:color="auto" w:fill="auto"/>
              <w:tabs>
                <w:tab w:pos="187" w:val="left"/>
              </w:tabs>
              <w:bidi w:val="0"/>
              <w:spacing w:before="0" w:after="120" w:line="307" w:lineRule="exact"/>
              <w:ind w:left="0" w:right="0" w:firstLine="0"/>
              <w:jc w:val="left"/>
              <w:rPr>
                <w:sz w:val="16"/>
                <w:szCs w:val="16"/>
              </w:rPr>
            </w:pPr>
            <w:r>
              <w:rPr>
                <w:rFonts w:ascii="SimSun" w:eastAsia="SimSun" w:hAnsi="SimSun" w:cs="SimSun"/>
                <w:color w:val="000000"/>
                <w:spacing w:val="0"/>
                <w:w w:val="100"/>
                <w:position w:val="0"/>
                <w:sz w:val="16"/>
                <w:szCs w:val="16"/>
              </w:rPr>
              <w:t>公司因责任事故更正已公布的财务报</w:t>
            </w:r>
          </w:p>
          <w:p>
            <w:pPr>
              <w:pStyle w:val="Style2"/>
              <w:keepNext w:val="0"/>
              <w:keepLines w:val="0"/>
              <w:widowControl w:val="0"/>
              <w:shd w:val="clear" w:color="auto" w:fill="auto"/>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告；</w:t>
            </w:r>
          </w:p>
          <w:p>
            <w:pPr>
              <w:pStyle w:val="Style2"/>
              <w:keepNext w:val="0"/>
              <w:keepLines w:val="0"/>
              <w:widowControl w:val="0"/>
              <w:numPr>
                <w:ilvl w:val="0"/>
                <w:numId w:val="5"/>
              </w:numPr>
              <w:shd w:val="clear" w:color="auto" w:fill="auto"/>
              <w:tabs>
                <w:tab w:pos="182" w:val="left"/>
              </w:tabs>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注册会计师发现的却未被公司内部控制</w:t>
            </w:r>
          </w:p>
          <w:p>
            <w:pPr>
              <w:pStyle w:val="Style2"/>
              <w:keepNext w:val="0"/>
              <w:keepLines w:val="0"/>
              <w:widowControl w:val="0"/>
              <w:shd w:val="clear" w:color="auto" w:fill="auto"/>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识别的当期财务报告中的重大错报；</w:t>
            </w:r>
          </w:p>
          <w:p>
            <w:pPr>
              <w:pStyle w:val="Style2"/>
              <w:keepNext w:val="0"/>
              <w:keepLines w:val="0"/>
              <w:widowControl w:val="0"/>
              <w:numPr>
                <w:ilvl w:val="0"/>
                <w:numId w:val="5"/>
              </w:numPr>
              <w:shd w:val="clear" w:color="auto" w:fill="auto"/>
              <w:tabs>
                <w:tab w:pos="187" w:val="left"/>
              </w:tabs>
              <w:bidi w:val="0"/>
              <w:spacing w:before="0" w:after="40" w:line="312" w:lineRule="exact"/>
              <w:ind w:left="0" w:right="0" w:firstLine="0"/>
              <w:jc w:val="left"/>
              <w:rPr>
                <w:sz w:val="16"/>
                <w:szCs w:val="16"/>
              </w:rPr>
            </w:pPr>
            <w:r>
              <w:rPr>
                <w:rFonts w:ascii="SimSun" w:eastAsia="SimSun" w:hAnsi="SimSun" w:cs="SimSun"/>
                <w:color w:val="000000"/>
                <w:spacing w:val="0"/>
                <w:w w:val="100"/>
                <w:position w:val="0"/>
                <w:sz w:val="16"/>
                <w:szCs w:val="16"/>
              </w:rPr>
              <w:t>审计委员会和审计部对公司的对外财务 报告和财务报告内部控制监督无效。</w:t>
            </w:r>
          </w:p>
          <w:p>
            <w:pPr>
              <w:pStyle w:val="Style2"/>
              <w:keepNext w:val="0"/>
              <w:keepLines w:val="0"/>
              <w:widowControl w:val="0"/>
              <w:shd w:val="clear" w:color="auto" w:fill="auto"/>
              <w:tabs>
                <w:tab w:pos="355" w:val="left"/>
              </w:tabs>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w:t>
              <w:tab/>
              <w:t>财务报告重要缺陷的迹象包括：</w:t>
            </w:r>
          </w:p>
          <w:p>
            <w:pPr>
              <w:pStyle w:val="Style2"/>
              <w:keepNext w:val="0"/>
              <w:keepLines w:val="0"/>
              <w:widowControl w:val="0"/>
              <w:numPr>
                <w:ilvl w:val="0"/>
                <w:numId w:val="7"/>
              </w:numPr>
              <w:shd w:val="clear" w:color="auto" w:fill="auto"/>
              <w:tabs>
                <w:tab w:pos="187" w:val="left"/>
              </w:tabs>
              <w:bidi w:val="0"/>
              <w:spacing w:before="0" w:after="120" w:line="307" w:lineRule="exact"/>
              <w:ind w:left="0" w:right="0" w:firstLine="0"/>
              <w:jc w:val="left"/>
              <w:rPr>
                <w:sz w:val="16"/>
                <w:szCs w:val="16"/>
              </w:rPr>
            </w:pPr>
            <w:r>
              <w:rPr>
                <w:rFonts w:ascii="SimSun" w:eastAsia="SimSun" w:hAnsi="SimSun" w:cs="SimSun"/>
                <w:color w:val="000000"/>
                <w:spacing w:val="0"/>
                <w:w w:val="100"/>
                <w:position w:val="0"/>
                <w:sz w:val="16"/>
                <w:szCs w:val="16"/>
              </w:rPr>
              <w:t>未依照公认会计准则选择和应用会计政</w:t>
            </w:r>
          </w:p>
          <w:p>
            <w:pPr>
              <w:pStyle w:val="Style2"/>
              <w:keepNext w:val="0"/>
              <w:keepLines w:val="0"/>
              <w:widowControl w:val="0"/>
              <w:shd w:val="clear" w:color="auto" w:fill="auto"/>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策；</w:t>
            </w:r>
          </w:p>
          <w:p>
            <w:pPr>
              <w:pStyle w:val="Style2"/>
              <w:keepNext w:val="0"/>
              <w:keepLines w:val="0"/>
              <w:widowControl w:val="0"/>
              <w:numPr>
                <w:ilvl w:val="0"/>
                <w:numId w:val="7"/>
              </w:numPr>
              <w:shd w:val="clear" w:color="auto" w:fill="auto"/>
              <w:tabs>
                <w:tab w:pos="182" w:val="left"/>
              </w:tabs>
              <w:bidi w:val="0"/>
              <w:spacing w:before="0" w:after="40" w:line="307" w:lineRule="exact"/>
              <w:ind w:left="0" w:right="0" w:firstLine="0"/>
              <w:jc w:val="left"/>
              <w:rPr>
                <w:sz w:val="16"/>
                <w:szCs w:val="16"/>
              </w:rPr>
            </w:pPr>
            <w:r>
              <w:rPr>
                <w:rFonts w:ascii="SimSun" w:eastAsia="SimSun" w:hAnsi="SimSun" w:cs="SimSun"/>
                <w:color w:val="000000"/>
                <w:spacing w:val="0"/>
                <w:w w:val="100"/>
                <w:position w:val="0"/>
                <w:sz w:val="16"/>
                <w:szCs w:val="16"/>
              </w:rPr>
              <w:t>关键岗位人员舞弊；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公司确定的非财务报告内部控制缺陷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评价的定性标准如下：</w:t>
            </w:r>
          </w:p>
          <w:p>
            <w:pPr>
              <w:pStyle w:val="Style2"/>
              <w:keepNext w:val="0"/>
              <w:keepLines w:val="0"/>
              <w:widowControl w:val="0"/>
              <w:shd w:val="clear" w:color="auto" w:fill="auto"/>
              <w:tabs>
                <w:tab w:pos="293"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w:t>
              <w:tab/>
              <w:t>非财务报告重大缺陷的迹象包括：</w:t>
            </w:r>
          </w:p>
          <w:p>
            <w:pPr>
              <w:pStyle w:val="Style2"/>
              <w:keepNext w:val="0"/>
              <w:keepLines w:val="0"/>
              <w:widowControl w:val="0"/>
              <w:numPr>
                <w:ilvl w:val="0"/>
                <w:numId w:val="9"/>
              </w:numPr>
              <w:shd w:val="clear" w:color="auto" w:fill="auto"/>
              <w:tabs>
                <w:tab w:pos="192"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公司经营活动严重违反国家法律法</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规，受到重大处罚；</w:t>
            </w:r>
          </w:p>
          <w:p>
            <w:pPr>
              <w:pStyle w:val="Style2"/>
              <w:keepNext w:val="0"/>
              <w:keepLines w:val="0"/>
              <w:widowControl w:val="0"/>
              <w:numPr>
                <w:ilvl w:val="0"/>
                <w:numId w:val="9"/>
              </w:numPr>
              <w:shd w:val="clear" w:color="auto" w:fill="auto"/>
              <w:tabs>
                <w:tab w:pos="187"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媒体负面新闻频频曝光，对公司声誉</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造成重大损害；</w:t>
            </w:r>
          </w:p>
          <w:p>
            <w:pPr>
              <w:pStyle w:val="Style2"/>
              <w:keepNext w:val="0"/>
              <w:keepLines w:val="0"/>
              <w:widowControl w:val="0"/>
              <w:numPr>
                <w:ilvl w:val="0"/>
                <w:numId w:val="9"/>
              </w:numPr>
              <w:shd w:val="clear" w:color="auto" w:fill="auto"/>
              <w:tabs>
                <w:tab w:pos="187"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重要业务缺乏制度控制或制度系统</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性失效；</w:t>
            </w:r>
          </w:p>
          <w:p>
            <w:pPr>
              <w:pStyle w:val="Style2"/>
              <w:keepNext w:val="0"/>
              <w:keepLines w:val="0"/>
              <w:widowControl w:val="0"/>
              <w:numPr>
                <w:ilvl w:val="0"/>
                <w:numId w:val="9"/>
              </w:numPr>
              <w:shd w:val="clear" w:color="auto" w:fill="auto"/>
              <w:tabs>
                <w:tab w:pos="206"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内部控制评价的结果特别是重大缺 陷未得到整改。</w:t>
            </w:r>
          </w:p>
          <w:p>
            <w:pPr>
              <w:pStyle w:val="Style2"/>
              <w:keepNext w:val="0"/>
              <w:keepLines w:val="0"/>
              <w:widowControl w:val="0"/>
              <w:shd w:val="clear" w:color="auto" w:fill="auto"/>
              <w:tabs>
                <w:tab w:pos="293"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w:t>
              <w:tab/>
              <w:t>非财务报告重要缺陷的迹象包括：</w:t>
            </w:r>
          </w:p>
          <w:p>
            <w:pPr>
              <w:pStyle w:val="Style2"/>
              <w:keepNext w:val="0"/>
              <w:keepLines w:val="0"/>
              <w:widowControl w:val="0"/>
              <w:numPr>
                <w:ilvl w:val="0"/>
                <w:numId w:val="11"/>
              </w:numPr>
              <w:shd w:val="clear" w:color="auto" w:fill="auto"/>
              <w:tabs>
                <w:tab w:pos="192" w:val="left"/>
              </w:tabs>
              <w:bidi w:val="0"/>
              <w:spacing w:before="0" w:after="120" w:line="312" w:lineRule="exact"/>
              <w:ind w:left="0" w:right="0" w:firstLine="0"/>
              <w:jc w:val="left"/>
              <w:rPr>
                <w:sz w:val="16"/>
                <w:szCs w:val="16"/>
              </w:rPr>
            </w:pPr>
            <w:r>
              <w:rPr>
                <w:rFonts w:ascii="SimSun" w:eastAsia="SimSun" w:hAnsi="SimSun" w:cs="SimSun"/>
                <w:color w:val="000000"/>
                <w:spacing w:val="0"/>
                <w:w w:val="100"/>
                <w:position w:val="0"/>
                <w:sz w:val="16"/>
                <w:szCs w:val="16"/>
              </w:rPr>
              <w:t>公司违反国家法律法规受到轻微处</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罚；</w:t>
            </w:r>
          </w:p>
          <w:p>
            <w:pPr>
              <w:pStyle w:val="Style2"/>
              <w:keepNext w:val="0"/>
              <w:keepLines w:val="0"/>
              <w:widowControl w:val="0"/>
              <w:numPr>
                <w:ilvl w:val="0"/>
                <w:numId w:val="11"/>
              </w:numPr>
              <w:shd w:val="clear" w:color="auto" w:fill="auto"/>
              <w:tabs>
                <w:tab w:pos="187"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重要业务制度控制或系统存在缺陷；</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182" w:val="left"/>
              </w:tabs>
              <w:bidi w:val="0"/>
              <w:spacing w:before="0" w:after="40" w:line="312" w:lineRule="exact"/>
              <w:ind w:left="0" w:right="0" w:firstLine="0"/>
              <w:jc w:val="both"/>
              <w:rPr>
                <w:sz w:val="16"/>
                <w:szCs w:val="16"/>
              </w:rPr>
            </w:pPr>
            <w:r>
              <w:rPr>
                <w:rFonts w:ascii="SimSun" w:eastAsia="SimSun" w:hAnsi="SimSun" w:cs="SimSun"/>
                <w:color w:val="000000"/>
                <w:spacing w:val="0"/>
                <w:w w:val="100"/>
                <w:position w:val="0"/>
                <w:sz w:val="16"/>
                <w:szCs w:val="16"/>
              </w:rPr>
              <w:t>合规性监管职能失效，存在违反法规的 行为，该行为对财务报告的可靠性产生重 大影响；</w:t>
            </w:r>
          </w:p>
          <w:p>
            <w:pPr>
              <w:pStyle w:val="Style2"/>
              <w:keepNext w:val="0"/>
              <w:keepLines w:val="0"/>
              <w:widowControl w:val="0"/>
              <w:numPr>
                <w:ilvl w:val="0"/>
                <w:numId w:val="13"/>
              </w:numPr>
              <w:shd w:val="clear" w:color="auto" w:fill="auto"/>
              <w:tabs>
                <w:tab w:pos="182" w:val="left"/>
              </w:tabs>
              <w:bidi w:val="0"/>
              <w:spacing w:before="0" w:after="40" w:line="312" w:lineRule="exact"/>
              <w:ind w:left="0" w:right="0" w:firstLine="0"/>
              <w:jc w:val="both"/>
              <w:rPr>
                <w:sz w:val="16"/>
                <w:szCs w:val="16"/>
              </w:rPr>
            </w:pPr>
            <w:r>
              <w:rPr>
                <w:rFonts w:ascii="SimSun" w:eastAsia="SimSun" w:hAnsi="SimSun" w:cs="SimSun"/>
                <w:color w:val="000000"/>
                <w:spacing w:val="0"/>
                <w:w w:val="100"/>
                <w:position w:val="0"/>
                <w:sz w:val="16"/>
                <w:szCs w:val="16"/>
              </w:rPr>
              <w:t>业务过程控制存在一项或多项缺陷，不 能合理保证编制的财务报表达到真实、完 整的目标。</w:t>
            </w:r>
          </w:p>
          <w:p>
            <w:pPr>
              <w:pStyle w:val="Style2"/>
              <w:keepNext w:val="0"/>
              <w:keepLines w:val="0"/>
              <w:widowControl w:val="0"/>
              <w:shd w:val="clear" w:color="auto" w:fill="auto"/>
              <w:bidi w:val="0"/>
              <w:spacing w:before="0" w:after="40" w:line="326" w:lineRule="exact"/>
              <w:ind w:left="0" w:right="0" w:firstLine="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）一般缺陷是指除上述重大缺陷、重要 缺陷之外的其他控制缺陷。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60" w:line="322" w:lineRule="exact"/>
              <w:ind w:left="0" w:right="0" w:firstLine="0"/>
              <w:jc w:val="left"/>
              <w:rPr>
                <w:sz w:val="16"/>
                <w:szCs w:val="16"/>
              </w:rPr>
            </w:pPr>
            <w:r>
              <w:rPr>
                <w:rFonts w:ascii="SimSun" w:eastAsia="SimSun" w:hAnsi="SimSun" w:cs="SimSun"/>
                <w:color w:val="000000"/>
                <w:spacing w:val="0"/>
                <w:w w:val="100"/>
                <w:position w:val="0"/>
                <w:sz w:val="16"/>
                <w:szCs w:val="16"/>
              </w:rPr>
              <w:t>③内部控制重要缺陷未得到整改。</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）一般缺陷是指除上述重大缺陷、 重要缺陷之外的其他控制缺陷。</w:t>
            </w:r>
          </w:p>
        </w:tc>
      </w:tr>
      <w:tr>
        <w:trPr>
          <w:trHeight w:val="649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7" w:lineRule="exact"/>
              <w:ind w:left="0" w:right="0" w:firstLine="0"/>
              <w:jc w:val="both"/>
              <w:rPr>
                <w:sz w:val="16"/>
                <w:szCs w:val="16"/>
              </w:rPr>
            </w:pPr>
            <w:r>
              <w:rPr>
                <w:rFonts w:ascii="SimSun" w:eastAsia="SimSun" w:hAnsi="SimSun" w:cs="SimSun"/>
                <w:color w:val="000000"/>
                <w:spacing w:val="0"/>
                <w:w w:val="100"/>
                <w:position w:val="0"/>
                <w:sz w:val="16"/>
                <w:szCs w:val="16"/>
              </w:rPr>
              <w:t>公司确定的财务报告内部控制缺陷评价的 定量标准如下：</w:t>
            </w:r>
          </w:p>
          <w:p>
            <w:pPr>
              <w:pStyle w:val="Style2"/>
              <w:keepNext w:val="0"/>
              <w:keepLines w:val="0"/>
              <w:widowControl w:val="0"/>
              <w:shd w:val="clear" w:color="auto" w:fill="auto"/>
              <w:bidi w:val="0"/>
              <w:spacing w:before="0" w:after="40" w:line="312" w:lineRule="exact"/>
              <w:ind w:left="0" w:right="0" w:firstLine="0"/>
              <w:jc w:val="both"/>
              <w:rPr>
                <w:sz w:val="16"/>
                <w:szCs w:val="16"/>
              </w:rPr>
            </w:pPr>
            <w:r>
              <w:rPr>
                <w:rFonts w:ascii="SimSun" w:eastAsia="SimSun" w:hAnsi="SimSun" w:cs="SimSun"/>
                <w:color w:val="000000"/>
                <w:spacing w:val="0"/>
                <w:w w:val="100"/>
                <w:position w:val="0"/>
                <w:sz w:val="16"/>
                <w:szCs w:val="16"/>
              </w:rPr>
              <w:t>定量标准以合并税前利润、资产总额作为 衡量指标。</w:t>
            </w:r>
          </w:p>
          <w:p>
            <w:pPr>
              <w:pStyle w:val="Style2"/>
              <w:keepNext w:val="0"/>
              <w:keepLines w:val="0"/>
              <w:widowControl w:val="0"/>
              <w:shd w:val="clear" w:color="auto" w:fill="auto"/>
              <w:bidi w:val="0"/>
              <w:spacing w:before="0" w:after="80" w:line="312" w:lineRule="exact"/>
              <w:ind w:left="0" w:right="0" w:firstLine="0"/>
              <w:jc w:val="both"/>
              <w:rPr>
                <w:sz w:val="16"/>
                <w:szCs w:val="16"/>
              </w:rPr>
            </w:pPr>
            <w:r>
              <w:rPr>
                <w:rFonts w:ascii="SimSun" w:eastAsia="SimSun" w:hAnsi="SimSun" w:cs="SimSun"/>
                <w:color w:val="000000"/>
                <w:spacing w:val="0"/>
                <w:w w:val="100"/>
                <w:position w:val="0"/>
                <w:sz w:val="16"/>
                <w:szCs w:val="16"/>
              </w:rPr>
              <w:t>内部控制缺陷可能导致或导致的损失与利 润表相关的，以当期合并税前利润指标衡 量。如果该缺陷单独或连同其他缺陷可能 导致的财务报告错报金额小于合并税前利 润的</w:t>
            </w:r>
            <w:r>
              <w:rPr>
                <w:color w:val="000000"/>
                <w:spacing w:val="0"/>
                <w:w w:val="100"/>
                <w:position w:val="0"/>
                <w:sz w:val="18"/>
                <w:szCs w:val="18"/>
              </w:rPr>
              <w:t>1%</w:t>
            </w:r>
            <w:r>
              <w:rPr>
                <w:rFonts w:ascii="SimSun" w:eastAsia="SimSun" w:hAnsi="SimSun" w:cs="SimSun"/>
                <w:color w:val="000000"/>
                <w:spacing w:val="0"/>
                <w:w w:val="100"/>
                <w:position w:val="0"/>
                <w:sz w:val="16"/>
                <w:szCs w:val="16"/>
              </w:rPr>
              <w:t>，则认定为一般缺陷；如果超过合 并税前利润的</w:t>
            </w:r>
            <w:r>
              <w:rPr>
                <w:color w:val="000000"/>
                <w:spacing w:val="0"/>
                <w:w w:val="100"/>
                <w:position w:val="0"/>
                <w:sz w:val="18"/>
                <w:szCs w:val="18"/>
              </w:rPr>
              <w:t>1%</w:t>
            </w:r>
            <w:r>
              <w:rPr>
                <w:rFonts w:ascii="SimSun" w:eastAsia="SimSun" w:hAnsi="SimSun" w:cs="SimSun"/>
                <w:color w:val="000000"/>
                <w:spacing w:val="0"/>
                <w:w w:val="100"/>
                <w:position w:val="0"/>
                <w:sz w:val="16"/>
                <w:szCs w:val="16"/>
              </w:rPr>
              <w:t>但小于</w:t>
            </w:r>
            <w:r>
              <w:rPr>
                <w:color w:val="000000"/>
                <w:spacing w:val="0"/>
                <w:w w:val="100"/>
                <w:position w:val="0"/>
                <w:sz w:val="18"/>
                <w:szCs w:val="18"/>
              </w:rPr>
              <w:t>5%</w:t>
            </w:r>
            <w:r>
              <w:rPr>
                <w:rFonts w:ascii="SimSun" w:eastAsia="SimSun" w:hAnsi="SimSun" w:cs="SimSun"/>
                <w:color w:val="000000"/>
                <w:spacing w:val="0"/>
                <w:w w:val="100"/>
                <w:position w:val="0"/>
                <w:sz w:val="16"/>
                <w:szCs w:val="16"/>
              </w:rPr>
              <w:t>，则为重要缺 陷；如果超过合并税前利润的</w:t>
            </w:r>
            <w:r>
              <w:rPr>
                <w:color w:val="000000"/>
                <w:spacing w:val="0"/>
                <w:w w:val="100"/>
                <w:position w:val="0"/>
                <w:sz w:val="18"/>
                <w:szCs w:val="18"/>
              </w:rPr>
              <w:t>5%</w:t>
            </w:r>
            <w:r>
              <w:rPr>
                <w:rFonts w:ascii="SimSun" w:eastAsia="SimSun" w:hAnsi="SimSun" w:cs="SimSun"/>
                <w:color w:val="000000"/>
                <w:spacing w:val="0"/>
                <w:w w:val="100"/>
                <w:position w:val="0"/>
                <w:sz w:val="16"/>
                <w:szCs w:val="16"/>
              </w:rPr>
              <w:t>，则认定 为重大缺陷。</w:t>
            </w:r>
          </w:p>
          <w:p>
            <w:pPr>
              <w:pStyle w:val="Style2"/>
              <w:keepNext w:val="0"/>
              <w:keepLines w:val="0"/>
              <w:widowControl w:val="0"/>
              <w:shd w:val="clear" w:color="auto" w:fill="auto"/>
              <w:bidi w:val="0"/>
              <w:spacing w:before="0" w:after="60" w:line="312" w:lineRule="exact"/>
              <w:ind w:left="0" w:right="0" w:firstLine="0"/>
              <w:jc w:val="both"/>
              <w:rPr>
                <w:sz w:val="16"/>
                <w:szCs w:val="16"/>
              </w:rPr>
            </w:pPr>
            <w:r>
              <w:rPr>
                <w:rFonts w:ascii="SimSun" w:eastAsia="SimSun" w:hAnsi="SimSun" w:cs="SimSun"/>
                <w:color w:val="000000"/>
                <w:spacing w:val="0"/>
                <w:w w:val="100"/>
                <w:position w:val="0"/>
                <w:sz w:val="16"/>
                <w:szCs w:val="16"/>
              </w:rPr>
              <w:t>内部控制缺陷可能导致或导致的损失与资 产管理相关的，以当期合并资产总额指标 衡量。如果该缺陷单独或连同其他缺陷可 能导致的财务报告错报金额小于合并资产 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，则认定为一般缺陷；如果超 过合并资产总额的</w:t>
            </w:r>
            <w:r>
              <w:rPr>
                <w:color w:val="000000"/>
                <w:spacing w:val="0"/>
                <w:w w:val="100"/>
                <w:position w:val="0"/>
                <w:sz w:val="18"/>
                <w:szCs w:val="18"/>
              </w:rPr>
              <w:t>0.5%</w:t>
            </w:r>
            <w:r>
              <w:rPr>
                <w:rFonts w:ascii="SimSun" w:eastAsia="SimSun" w:hAnsi="SimSun" w:cs="SimSun"/>
                <w:color w:val="000000"/>
                <w:spacing w:val="0"/>
                <w:w w:val="100"/>
                <w:position w:val="0"/>
                <w:sz w:val="16"/>
                <w:szCs w:val="16"/>
              </w:rPr>
              <w:t>但小于</w:t>
            </w:r>
            <w:r>
              <w:rPr>
                <w:color w:val="000000"/>
                <w:spacing w:val="0"/>
                <w:w w:val="100"/>
                <w:position w:val="0"/>
                <w:sz w:val="18"/>
                <w:szCs w:val="18"/>
              </w:rPr>
              <w:t>1%</w:t>
            </w:r>
            <w:r>
              <w:rPr>
                <w:rFonts w:ascii="SimSun" w:eastAsia="SimSun" w:hAnsi="SimSun" w:cs="SimSun"/>
                <w:color w:val="000000"/>
                <w:spacing w:val="0"/>
                <w:w w:val="100"/>
                <w:position w:val="0"/>
                <w:sz w:val="16"/>
                <w:szCs w:val="16"/>
              </w:rPr>
              <w:t>认定为 重要缺陷；如果超过合并资产总额</w:t>
            </w:r>
            <w:r>
              <w:rPr>
                <w:color w:val="000000"/>
                <w:spacing w:val="0"/>
                <w:w w:val="100"/>
                <w:position w:val="0"/>
                <w:sz w:val="18"/>
                <w:szCs w:val="18"/>
              </w:rPr>
              <w:t>1%</w:t>
            </w:r>
            <w:r>
              <w:rPr>
                <w:rFonts w:ascii="SimSun" w:eastAsia="SimSun" w:hAnsi="SimSun" w:cs="SimSun"/>
                <w:color w:val="000000"/>
                <w:spacing w:val="0"/>
                <w:w w:val="100"/>
                <w:position w:val="0"/>
                <w:sz w:val="16"/>
                <w:szCs w:val="16"/>
              </w:rPr>
              <w:t>，则 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07" w:lineRule="exact"/>
              <w:ind w:left="0" w:right="0" w:firstLine="0"/>
              <w:jc w:val="left"/>
              <w:rPr>
                <w:sz w:val="16"/>
                <w:szCs w:val="16"/>
              </w:rPr>
            </w:pPr>
            <w:r>
              <w:rPr>
                <w:rFonts w:ascii="SimSun" w:eastAsia="SimSun" w:hAnsi="SimSun" w:cs="SimSun"/>
                <w:color w:val="000000"/>
                <w:spacing w:val="0"/>
                <w:w w:val="100"/>
                <w:position w:val="0"/>
                <w:sz w:val="16"/>
                <w:szCs w:val="16"/>
              </w:rPr>
              <w:t>公司确定的非财务报告内部控制缺陷 评价的定量标准如下：</w:t>
            </w:r>
          </w:p>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、内部控制审计报告</w:t>
      </w:r>
      <w:bookmarkEnd w:id="357"/>
      <w:bookmarkEnd w:id="358"/>
      <w:bookmarkEnd w:id="360"/>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内部控制审计报告中的审议意见段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我们认为，中科金财于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日在所有重大方面保持了与财务报表相关的有效的内部控制。</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披露</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内部控制审计报告全文披露日期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r>
    </w:tbl>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内部控制审计报告全文披露索引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6"/>
                <w:szCs w:val="16"/>
              </w:rPr>
              <w:t xml:space="preserve">巨潮资讯网 </w:t>
            </w:r>
            <w:r>
              <w:fldChar w:fldCharType="begin"/>
            </w:r>
            <w:r>
              <w:rPr/>
              <w:instrText> HYPERLINK "http://www.cninfo.com.cn"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会计师事务所是否出具非标准意见的内部控制审计报告</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会计师事务所出具的内部控制审计报告与董事会的自我评价报告意见是否一致</w:t>
      </w:r>
    </w:p>
    <w:p>
      <w:pPr>
        <w:pStyle w:val="Style18"/>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color w:val="000000"/>
          <w:spacing w:val="0"/>
          <w:w w:val="100"/>
          <w:position w:val="0"/>
          <w:sz w:val="20"/>
          <w:szCs w:val="20"/>
        </w:rPr>
        <w:t>口</w:t>
      </w:r>
      <w:r>
        <w:rPr>
          <w:color w:val="000000"/>
          <w:spacing w:val="0"/>
          <w:w w:val="100"/>
          <w:position w:val="0"/>
          <w:sz w:val="19"/>
          <w:szCs w:val="19"/>
        </w:rPr>
        <w:t>否</w:t>
      </w:r>
    </w:p>
    <w:p>
      <w:pPr>
        <w:pStyle w:val="Style22"/>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十五、上市公司治理专项行动自查问题整改情况</w:t>
      </w:r>
      <w:bookmarkEnd w:id="361"/>
      <w:bookmarkEnd w:id="362"/>
      <w:bookmarkEnd w:id="363"/>
    </w:p>
    <w:p>
      <w:pPr>
        <w:pStyle w:val="Style18"/>
        <w:keepNext w:val="0"/>
        <w:keepLines w:val="0"/>
        <w:widowControl w:val="0"/>
        <w:shd w:val="clear" w:color="auto" w:fill="auto"/>
        <w:bidi w:val="0"/>
        <w:spacing w:before="0" w:after="100" w:line="240" w:lineRule="auto"/>
        <w:ind w:left="0" w:right="0" w:firstLine="0"/>
        <w:jc w:val="left"/>
        <w:rPr>
          <w:sz w:val="19"/>
          <w:szCs w:val="19"/>
        </w:rPr>
        <w:sectPr>
          <w:footnotePr>
            <w:pos w:val="pageBottom"/>
            <w:numFmt w:val="decimal"/>
            <w:numRestart w:val="continuous"/>
          </w:footnotePr>
          <w:pgSz w:w="11900" w:h="16840"/>
          <w:pgMar w:top="1254" w:right="1057" w:bottom="1460" w:left="1051" w:header="0" w:footer="3" w:gutter="0"/>
          <w:cols w:space="720"/>
          <w:noEndnote/>
          <w:rtlGutter w:val="0"/>
          <w:docGrid w:linePitch="360"/>
        </w:sectPr>
      </w:pPr>
      <w:r>
        <w:rPr>
          <w:color w:val="000000"/>
          <w:spacing w:val="0"/>
          <w:w w:val="100"/>
          <w:position w:val="0"/>
          <w:sz w:val="19"/>
          <w:szCs w:val="19"/>
        </w:rPr>
        <w:t>不适用。</w:t>
      </w:r>
    </w:p>
    <w:p>
      <w:pPr>
        <w:pStyle w:val="Style10"/>
        <w:keepNext/>
        <w:keepLines/>
        <w:widowControl w:val="0"/>
        <w:shd w:val="clear" w:color="auto" w:fill="auto"/>
        <w:bidi w:val="0"/>
        <w:spacing w:before="800" w:after="540" w:line="240" w:lineRule="auto"/>
        <w:ind w:left="0" w:right="0" w:firstLine="0"/>
        <w:jc w:val="center"/>
      </w:pPr>
      <w:bookmarkStart w:id="367" w:name="bookmark367"/>
      <w:bookmarkStart w:id="368" w:name="bookmark368"/>
      <w:bookmarkStart w:id="369" w:name="bookmark369"/>
      <w:r>
        <w:rPr>
          <w:color w:val="000000"/>
          <w:spacing w:val="0"/>
          <w:w w:val="100"/>
          <w:position w:val="0"/>
        </w:rPr>
        <w:t>第五节环境和社会责任</w:t>
      </w:r>
      <w:bookmarkEnd w:id="367"/>
      <w:bookmarkEnd w:id="368"/>
      <w:bookmarkEnd w:id="369"/>
    </w:p>
    <w:p>
      <w:pPr>
        <w:pStyle w:val="Style22"/>
        <w:keepNext/>
        <w:keepLines/>
        <w:widowControl w:val="0"/>
        <w:shd w:val="clear" w:color="auto" w:fill="auto"/>
        <w:bidi w:val="0"/>
        <w:spacing w:before="0" w:after="380" w:line="240" w:lineRule="auto"/>
        <w:ind w:left="0" w:right="0" w:firstLine="0"/>
        <w:jc w:val="both"/>
      </w:pPr>
      <w:bookmarkStart w:id="370" w:name="bookmark370"/>
      <w:bookmarkStart w:id="371" w:name="bookmark371"/>
      <w:bookmarkStart w:id="372" w:name="bookmark372"/>
      <w:bookmarkStart w:id="373" w:name="bookmark373"/>
      <w:bookmarkStart w:id="374" w:name="bookmark374"/>
      <w:r>
        <w:rPr>
          <w:color w:val="000000"/>
          <w:spacing w:val="0"/>
          <w:w w:val="100"/>
          <w:position w:val="0"/>
          <w:sz w:val="24"/>
          <w:szCs w:val="24"/>
        </w:rPr>
        <w:t>一</w:t>
      </w:r>
      <w:bookmarkEnd w:id="373"/>
      <w:r>
        <w:rPr>
          <w:color w:val="000000"/>
          <w:spacing w:val="0"/>
          <w:w w:val="100"/>
          <w:position w:val="0"/>
          <w:sz w:val="24"/>
          <w:szCs w:val="24"/>
        </w:rPr>
        <w:t>、重大环保问题</w:t>
      </w:r>
      <w:bookmarkEnd w:id="371"/>
      <w:bookmarkEnd w:id="372"/>
      <w:bookmarkEnd w:id="374"/>
      <w:bookmarkEnd w:id="370"/>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0"/>
          <w:szCs w:val="20"/>
        </w:rPr>
        <w:t>口</w:t>
      </w:r>
      <w:r>
        <w:rPr>
          <w:color w:val="000000"/>
          <w:spacing w:val="0"/>
          <w:w w:val="100"/>
          <w:position w:val="0"/>
        </w:rPr>
        <w:t>是</w:t>
      </w:r>
      <w:r>
        <w:rPr>
          <w:i/>
          <w:iCs/>
          <w:color w:val="000000"/>
          <w:spacing w:val="0"/>
          <w:w w:val="100"/>
          <w:position w:val="0"/>
        </w:rPr>
        <w:t>。否</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在报告期内为减少其碳排放所采取的措施及效果</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未披露其他环境信息的原因</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widowControl w:val="0"/>
        <w:spacing w:after="379" w:line="1" w:lineRule="exact"/>
      </w:pPr>
    </w:p>
    <w:p>
      <w:pPr>
        <w:pStyle w:val="Style22"/>
        <w:keepNext/>
        <w:keepLines/>
        <w:widowControl w:val="0"/>
        <w:shd w:val="clear" w:color="auto" w:fill="auto"/>
        <w:bidi w:val="0"/>
        <w:spacing w:before="0" w:after="200" w:line="240" w:lineRule="auto"/>
        <w:ind w:left="0" w:right="0" w:firstLine="0"/>
        <w:jc w:val="both"/>
      </w:pPr>
      <w:bookmarkStart w:id="375" w:name="bookmark375"/>
      <w:bookmarkStart w:id="376" w:name="bookmark376"/>
      <w:bookmarkStart w:id="377" w:name="bookmark377"/>
      <w:bookmarkStart w:id="378" w:name="bookmark378"/>
      <w:r>
        <w:rPr>
          <w:color w:val="000000"/>
          <w:spacing w:val="0"/>
          <w:w w:val="100"/>
          <w:position w:val="0"/>
          <w:sz w:val="24"/>
          <w:szCs w:val="24"/>
        </w:rPr>
        <w:t>二</w:t>
      </w:r>
      <w:bookmarkEnd w:id="377"/>
      <w:r>
        <w:rPr>
          <w:color w:val="000000"/>
          <w:spacing w:val="0"/>
          <w:w w:val="100"/>
          <w:position w:val="0"/>
          <w:sz w:val="24"/>
          <w:szCs w:val="24"/>
        </w:rPr>
        <w:t>、社会责任情况</w:t>
      </w:r>
      <w:bookmarkEnd w:id="375"/>
      <w:bookmarkEnd w:id="376"/>
      <w:bookmarkEnd w:id="378"/>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公司在努力做好各项业务的同时，积极主动履行社会责任，具体如下：</w:t>
      </w:r>
    </w:p>
    <w:p>
      <w:pPr>
        <w:pStyle w:val="Style18"/>
        <w:keepNext w:val="0"/>
        <w:keepLines w:val="0"/>
        <w:widowControl w:val="0"/>
        <w:shd w:val="clear" w:color="auto" w:fill="auto"/>
        <w:bidi w:val="0"/>
        <w:spacing w:before="0" w:after="0" w:line="469" w:lineRule="exact"/>
        <w:ind w:left="0" w:right="0" w:firstLine="440"/>
        <w:jc w:val="both"/>
      </w:pPr>
      <w:bookmarkStart w:id="379" w:name="bookmark379"/>
      <w:r>
        <w:rPr>
          <w:color w:val="000000"/>
          <w:spacing w:val="0"/>
          <w:w w:val="100"/>
          <w:position w:val="0"/>
        </w:rPr>
        <w:t>（</w:t>
      </w:r>
      <w:bookmarkEnd w:id="379"/>
      <w:r>
        <w:rPr>
          <w:color w:val="000000"/>
          <w:spacing w:val="0"/>
          <w:w w:val="100"/>
          <w:position w:val="0"/>
        </w:rPr>
        <w:t>一）股东与债权人的权益保护</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公司严格按照《公司法》、《证券法》、《上市公司治理准则》等法律法规要求，不断完善公司治理， 制定了《股东大会议事规则》、《董事会议事规则》、《监事会议事规则》、《对外投资管理制度》、《关 联交易决策制度》等制度，建立了以《公司章程》为基础的内控体系，以股东大会、董事会、监事会及管 理层为主的决策与经营体系，从制度上切实保障全体股东及债权人的权益。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公司自成立以来，一直努力确保公司发展的持续性、成长性和竞争力，依法经营，稳步推进公司业务， 逐步巩固和深化在金融机构、企业、政府等行业客户中的市场领先地位，本着诚信勤勉、尽职守责的原则， 努力经营，规范运作，努力实现资产、所有者权益和营业总收入的稳定增长，为投资者创造稳定的回报。</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在保护股东权益方面，</w:t>
      </w:r>
      <w:r>
        <w:rPr>
          <w:rFonts w:ascii="Times New Roman" w:eastAsia="Times New Roman" w:hAnsi="Times New Roman" w:cs="Times New Roman"/>
          <w:color w:val="000000"/>
          <w:spacing w:val="0"/>
          <w:w w:val="100"/>
          <w:position w:val="0"/>
        </w:rPr>
        <w:t>2021</w:t>
      </w:r>
      <w:r>
        <w:rPr>
          <w:color w:val="000000"/>
          <w:spacing w:val="0"/>
          <w:w w:val="100"/>
          <w:position w:val="0"/>
        </w:rPr>
        <w:t>年公司召开了四次股东大会，大会的召集、召开、表决程序均合法有效， 符合《公司章程》及《股东大会议事规则》的规定，确保了股东对公司重大事项的知情权、参与权和表决 权。信息披露方面，公司严格按照深圳证券交易所《股票上市规则》及《规范运作》的要求开展工作，所 有达到信息披露标准的事项公司均进行了公告，不存在应披露而未披露的信息。与此同时，公司积极开展 与投资者的沟通交流工作，</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年通过业绩说明会、电话交流、投资者互动平台等方式，搭建了与投资者 </w:t>
      </w:r>
      <w:r>
        <w:rPr>
          <w:color w:val="000000"/>
          <w:spacing w:val="0"/>
          <w:w w:val="100"/>
          <w:position w:val="0"/>
        </w:rPr>
        <w:t>沟通的桥梁，增进了投资者对公司价值的了解。</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公司高度重视债权人合法权益的保护，制订了严格的经营管理制度和风险控制措施，确保公司财务稳 健与公司资产、资金安全，公司严格按照与债权人签订的合同履行债务，积极保护债权人的权益。</w:t>
      </w:r>
    </w:p>
    <w:p>
      <w:pPr>
        <w:pStyle w:val="Style18"/>
        <w:keepNext w:val="0"/>
        <w:keepLines w:val="0"/>
        <w:widowControl w:val="0"/>
        <w:shd w:val="clear" w:color="auto" w:fill="auto"/>
        <w:tabs>
          <w:tab w:pos="974" w:val="left"/>
        </w:tabs>
        <w:bidi w:val="0"/>
        <w:spacing w:before="0" w:after="0" w:line="468" w:lineRule="exact"/>
        <w:ind w:left="0" w:right="0" w:firstLine="440"/>
        <w:jc w:val="both"/>
      </w:pPr>
      <w:bookmarkStart w:id="380" w:name="bookmark380"/>
      <w:r>
        <w:rPr>
          <w:color w:val="000000"/>
          <w:spacing w:val="0"/>
          <w:w w:val="100"/>
          <w:position w:val="0"/>
        </w:rPr>
        <w:t>（</w:t>
      </w:r>
      <w:bookmarkEnd w:id="380"/>
      <w:r>
        <w:rPr>
          <w:color w:val="000000"/>
          <w:spacing w:val="0"/>
          <w:w w:val="100"/>
          <w:position w:val="0"/>
        </w:rPr>
        <w:t>二）</w:t>
        <w:tab/>
        <w:t>与供应商和客户精诚合作</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公司相关商品和服务的采购，均严格选择在工商部门登记注册、合法纳税并具备与所采购规模相匹配 的生产服务能力的供应商，合法签订合同，实行互惠共赢，确保企业产品、服务的质量信誉与消费者安全。</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为了提高客户满意度，公司不断提高公司产品、服务的质量及研发水平，获得了相关的专利权证书和 计算机软件著作权证书，并拥有包括</w:t>
      </w:r>
      <w:r>
        <w:rPr>
          <w:rFonts w:ascii="Times New Roman" w:eastAsia="Times New Roman" w:hAnsi="Times New Roman" w:cs="Times New Roman"/>
          <w:color w:val="000000"/>
          <w:spacing w:val="0"/>
          <w:w w:val="100"/>
          <w:position w:val="0"/>
        </w:rPr>
        <w:t>ISO20000</w:t>
      </w:r>
      <w:r>
        <w:rPr>
          <w:color w:val="000000"/>
          <w:spacing w:val="0"/>
          <w:w w:val="100"/>
          <w:position w:val="0"/>
        </w:rPr>
        <w:t>服务管理体系认证、</w:t>
      </w:r>
      <w:r>
        <w:rPr>
          <w:rFonts w:ascii="Times New Roman" w:eastAsia="Times New Roman" w:hAnsi="Times New Roman" w:cs="Times New Roman"/>
          <w:color w:val="000000"/>
          <w:spacing w:val="0"/>
          <w:w w:val="100"/>
          <w:position w:val="0"/>
        </w:rPr>
        <w:t>ISO27001</w:t>
      </w:r>
      <w:r>
        <w:rPr>
          <w:color w:val="000000"/>
          <w:spacing w:val="0"/>
          <w:w w:val="100"/>
          <w:position w:val="0"/>
        </w:rPr>
        <w:t xml:space="preserve">信息安全管理体系认证、 </w:t>
      </w:r>
      <w:r>
        <w:rPr>
          <w:rFonts w:ascii="Times New Roman" w:eastAsia="Times New Roman" w:hAnsi="Times New Roman" w:cs="Times New Roman"/>
          <w:color w:val="000000"/>
          <w:spacing w:val="0"/>
          <w:w w:val="100"/>
          <w:position w:val="0"/>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rPr>
        <w:t>ISO45001</w:t>
      </w:r>
      <w:r>
        <w:rPr>
          <w:color w:val="000000"/>
          <w:spacing w:val="0"/>
          <w:w w:val="100"/>
          <w:position w:val="0"/>
        </w:rPr>
        <w:t>职业健康管理体系认证、软件能力成 熟度模型</w:t>
      </w:r>
      <w:r>
        <w:rPr>
          <w:rFonts w:ascii="Times New Roman" w:eastAsia="Times New Roman" w:hAnsi="Times New Roman" w:cs="Times New Roman"/>
          <w:color w:val="000000"/>
          <w:spacing w:val="0"/>
          <w:w w:val="100"/>
          <w:position w:val="0"/>
        </w:rPr>
        <w:t>CMMI</w:t>
      </w:r>
      <w:r>
        <w:rPr>
          <w:color w:val="000000"/>
          <w:spacing w:val="0"/>
          <w:w w:val="100"/>
          <w:position w:val="0"/>
        </w:rPr>
        <w:t>五级认证，获得了信息系统建设和服务能力四级资质、</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信息技术服务运行维护能力成 熟度一级证书、安防工程企业一级资质证书、音视频智能系统集成工程一级资质证书、信息安全服务资质 证书（安全工程一级）、增值电信业务经营许可证（经营性</w:t>
      </w:r>
      <w:r>
        <w:rPr>
          <w:rFonts w:ascii="Times New Roman" w:eastAsia="Times New Roman" w:hAnsi="Times New Roman" w:cs="Times New Roman"/>
          <w:color w:val="000000"/>
          <w:spacing w:val="0"/>
          <w:w w:val="100"/>
          <w:position w:val="0"/>
        </w:rPr>
        <w:t>ICP</w:t>
      </w:r>
      <w:r>
        <w:rPr>
          <w:color w:val="000000"/>
          <w:spacing w:val="0"/>
          <w:w w:val="100"/>
          <w:position w:val="0"/>
        </w:rPr>
        <w:t>和</w:t>
      </w:r>
      <w:r>
        <w:rPr>
          <w:rFonts w:ascii="Times New Roman" w:eastAsia="Times New Roman" w:hAnsi="Times New Roman" w:cs="Times New Roman"/>
          <w:color w:val="000000"/>
          <w:spacing w:val="0"/>
          <w:w w:val="100"/>
          <w:position w:val="0"/>
        </w:rPr>
        <w:t>IDC</w:t>
      </w:r>
      <w:r>
        <w:rPr>
          <w:color w:val="000000"/>
          <w:spacing w:val="0"/>
          <w:w w:val="100"/>
          <w:position w:val="0"/>
        </w:rPr>
        <w:t>证书）、电子与智能化专业承包资质 等系列行业核心资质，在信息技术应用创新产业推进中，取得相应业务资质。为客户提供优质的产品及服 务，并不断提高公司行业声誉。</w:t>
      </w:r>
    </w:p>
    <w:p>
      <w:pPr>
        <w:pStyle w:val="Style18"/>
        <w:keepNext w:val="0"/>
        <w:keepLines w:val="0"/>
        <w:widowControl w:val="0"/>
        <w:shd w:val="clear" w:color="auto" w:fill="auto"/>
        <w:tabs>
          <w:tab w:pos="974" w:val="left"/>
        </w:tabs>
        <w:bidi w:val="0"/>
        <w:spacing w:before="0" w:after="0" w:line="468" w:lineRule="exact"/>
        <w:ind w:left="0" w:right="0" w:firstLine="440"/>
        <w:jc w:val="both"/>
      </w:pPr>
      <w:bookmarkStart w:id="381" w:name="bookmark381"/>
      <w:r>
        <w:rPr>
          <w:color w:val="000000"/>
          <w:spacing w:val="0"/>
          <w:w w:val="100"/>
          <w:position w:val="0"/>
        </w:rPr>
        <w:t>（</w:t>
      </w:r>
      <w:bookmarkEnd w:id="381"/>
      <w:r>
        <w:rPr>
          <w:color w:val="000000"/>
          <w:spacing w:val="0"/>
          <w:w w:val="100"/>
          <w:position w:val="0"/>
        </w:rPr>
        <w:t>三）</w:t>
        <w:tab/>
        <w:t>重视员工权益和个人发展</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公司始终视人才为公司最重要的战略资源，是公司核心的生产要素。近年来在公司推行并不断升级</w:t>
      </w:r>
      <w:r>
        <w:rPr>
          <w:rFonts w:ascii="Times New Roman" w:eastAsia="Times New Roman" w:hAnsi="Times New Roman" w:cs="Times New Roman"/>
          <w:color w:val="000000"/>
          <w:spacing w:val="0"/>
          <w:w w:val="100"/>
          <w:position w:val="0"/>
        </w:rPr>
        <w:t>“</w:t>
      </w:r>
      <w:r>
        <w:rPr>
          <w:color w:val="000000"/>
          <w:spacing w:val="0"/>
          <w:w w:val="100"/>
          <w:position w:val="0"/>
        </w:rPr>
        <w:t>中 科金财多层级合伙人经营责任制</w:t>
      </w:r>
      <w:r>
        <w:rPr>
          <w:rFonts w:ascii="Times New Roman" w:eastAsia="Times New Roman" w:hAnsi="Times New Roman" w:cs="Times New Roman"/>
          <w:color w:val="000000"/>
          <w:spacing w:val="0"/>
          <w:w w:val="100"/>
          <w:position w:val="0"/>
        </w:rPr>
        <w:t>”</w:t>
      </w:r>
      <w:r>
        <w:rPr>
          <w:color w:val="000000"/>
          <w:spacing w:val="0"/>
          <w:w w:val="100"/>
          <w:position w:val="0"/>
        </w:rPr>
        <w:t>，将公司划分为独立经营单元，通过建立与市场直接联系的独立核算制 进行运营，调动员工参与经营管理，从而实现全员参与的经营模式。中科金财多层级合伙人经营责任制注 重发现及培养经营人才，强调以客户为中心、全局观及组织协同性，打破了传统企业部门间的隔阂，有效 调动员工参与经营管理的自主性和积极性，极大提升了员工的经营热情及主人翁意识。在实际经营过程中 各经营单元体现出极强的经营智慧与合作意识，大大降低了沟通成本、交易成本、营销成本及运营成本， 操作风险大幅降低，劳动生产率大幅提高。</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公司一直非常注重提高员工的个人能力，通过各种培训及讲座提高员工业务能力和管理水平。</w:t>
      </w:r>
      <w:r>
        <w:rPr>
          <w:rFonts w:ascii="Times New Roman" w:eastAsia="Times New Roman" w:hAnsi="Times New Roman" w:cs="Times New Roman"/>
          <w:color w:val="000000"/>
          <w:spacing w:val="0"/>
          <w:w w:val="100"/>
          <w:position w:val="0"/>
        </w:rPr>
        <w:t>2021</w:t>
      </w:r>
      <w:r>
        <w:rPr>
          <w:color w:val="000000"/>
          <w:spacing w:val="0"/>
          <w:w w:val="100"/>
          <w:position w:val="0"/>
        </w:rPr>
        <w:t>年 公司组织了包括新员工入职培训、在职员工业务培训、管理人员业务培训、管理能力提升培训及其他单场 讲座等多层次培训，事前通过调查员工需求，寻求各种培训资源和渠道，来提高培训的有效性和效率，这 些培训充分调动了员工学习积极性，既能促进公司整体战略目标的实施，又能满足员工个人能力和职业发 展的需求，实现企业和员工的共同进步，共同发展。</w:t>
      </w:r>
    </w:p>
    <w:p>
      <w:pPr>
        <w:pStyle w:val="Style18"/>
        <w:keepNext w:val="0"/>
        <w:keepLines w:val="0"/>
        <w:widowControl w:val="0"/>
        <w:shd w:val="clear" w:color="auto" w:fill="auto"/>
        <w:tabs>
          <w:tab w:pos="974" w:val="left"/>
        </w:tabs>
        <w:bidi w:val="0"/>
        <w:spacing w:before="0" w:after="0" w:line="468" w:lineRule="exact"/>
        <w:ind w:left="0" w:right="0" w:firstLine="440"/>
        <w:jc w:val="both"/>
      </w:pPr>
      <w:bookmarkStart w:id="382" w:name="bookmark382"/>
      <w:r>
        <w:rPr>
          <w:color w:val="000000"/>
          <w:spacing w:val="0"/>
          <w:w w:val="100"/>
          <w:position w:val="0"/>
        </w:rPr>
        <w:t>（</w:t>
      </w:r>
      <w:bookmarkEnd w:id="382"/>
      <w:r>
        <w:rPr>
          <w:color w:val="000000"/>
          <w:spacing w:val="0"/>
          <w:w w:val="100"/>
          <w:position w:val="0"/>
        </w:rPr>
        <w:t>四）</w:t>
        <w:tab/>
        <w:t>积极捐款，共克时艰</w:t>
      </w:r>
    </w:p>
    <w:p>
      <w:pPr>
        <w:pStyle w:val="Style18"/>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月，河南持续遭遇强降雨，灾情牵动人心。公司坚持履行企业社会责任，在董事长朱烨东的 领导下，积极支持河南省抗洪救灾工作，向郑州市红十字会捐款</w:t>
      </w:r>
      <w:r>
        <w:rPr>
          <w:rFonts w:ascii="Times New Roman" w:eastAsia="Times New Roman" w:hAnsi="Times New Roman" w:cs="Times New Roman"/>
          <w:color w:val="000000"/>
          <w:spacing w:val="0"/>
          <w:w w:val="100"/>
          <w:position w:val="0"/>
        </w:rPr>
        <w:t>10 0</w:t>
      </w:r>
      <w:r>
        <w:rPr>
          <w:color w:val="000000"/>
          <w:spacing w:val="0"/>
          <w:w w:val="100"/>
          <w:position w:val="0"/>
        </w:rPr>
        <w:t xml:space="preserve">万元，用于抗险救灾，为抗击灾情贡 </w:t>
      </w:r>
      <w:r>
        <w:rPr>
          <w:color w:val="000000"/>
          <w:spacing w:val="0"/>
          <w:w w:val="100"/>
          <w:position w:val="0"/>
        </w:rPr>
        <w:t>献力量。</w:t>
      </w:r>
    </w:p>
    <w:p>
      <w:pPr>
        <w:pStyle w:val="Style18"/>
        <w:keepNext w:val="0"/>
        <w:keepLines w:val="0"/>
        <w:widowControl w:val="0"/>
        <w:shd w:val="clear" w:color="auto" w:fill="auto"/>
        <w:bidi w:val="0"/>
        <w:spacing w:before="0" w:after="0" w:line="4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月，西安全市全力以赴打赢疫情防控阻击战，公司积极履行社会责任，在董事长朱烨东的领 导下，向西安市红十字会各捐献</w:t>
      </w:r>
      <w:r>
        <w:rPr>
          <w:rFonts w:ascii="Times New Roman" w:eastAsia="Times New Roman" w:hAnsi="Times New Roman" w:cs="Times New Roman"/>
          <w:color w:val="000000"/>
          <w:spacing w:val="0"/>
          <w:w w:val="100"/>
          <w:position w:val="0"/>
        </w:rPr>
        <w:t>10 0</w:t>
      </w:r>
      <w:r>
        <w:rPr>
          <w:color w:val="000000"/>
          <w:spacing w:val="0"/>
          <w:w w:val="100"/>
          <w:position w:val="0"/>
        </w:rPr>
        <w:t>万元用于全市抗击疫情物资采购及民生保障，助力政府与社会各界抗 击疫情，为疫情防控工作持续贡献力量，与西安人民共克时艰。</w:t>
      </w:r>
    </w:p>
    <w:p>
      <w:pPr>
        <w:pStyle w:val="Style18"/>
        <w:keepNext w:val="0"/>
        <w:keepLines w:val="0"/>
        <w:widowControl w:val="0"/>
        <w:shd w:val="clear" w:color="auto" w:fill="auto"/>
        <w:bidi w:val="0"/>
        <w:spacing w:before="0" w:after="420" w:line="474"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年，公司将继续努力提升公司竞争能力和长期可持续发展，保障股东利益，维护债权人的权益， 与供应商和客户精诚合作，促进员工发展与成长，深入切实地履行企业的社会责任，实现商业利益与社会 责任的和谐共赢。</w:t>
      </w:r>
    </w:p>
    <w:p>
      <w:pPr>
        <w:pStyle w:val="Style22"/>
        <w:keepNext/>
        <w:keepLines/>
        <w:widowControl w:val="0"/>
        <w:shd w:val="clear" w:color="auto" w:fill="auto"/>
        <w:bidi w:val="0"/>
        <w:spacing w:before="0" w:after="12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sz w:val="24"/>
          <w:szCs w:val="24"/>
        </w:rPr>
        <w:t>三</w:t>
      </w:r>
      <w:bookmarkEnd w:id="385"/>
      <w:r>
        <w:rPr>
          <w:color w:val="000000"/>
          <w:spacing w:val="0"/>
          <w:w w:val="100"/>
          <w:position w:val="0"/>
          <w:sz w:val="24"/>
          <w:szCs w:val="24"/>
        </w:rPr>
        <w:t>、巩固拓展脱贫攻坚成果、乡村振兴的情况</w:t>
      </w:r>
      <w:bookmarkEnd w:id="383"/>
      <w:bookmarkEnd w:id="384"/>
      <w:bookmarkEnd w:id="386"/>
    </w:p>
    <w:p>
      <w:pPr>
        <w:pStyle w:val="Style18"/>
        <w:keepNext w:val="0"/>
        <w:keepLines w:val="0"/>
        <w:widowControl w:val="0"/>
        <w:shd w:val="clear" w:color="auto" w:fill="auto"/>
        <w:bidi w:val="0"/>
        <w:spacing w:before="0" w:after="260" w:line="474" w:lineRule="exact"/>
        <w:ind w:left="0" w:right="0" w:firstLine="0"/>
        <w:jc w:val="left"/>
        <w:rPr>
          <w:sz w:val="19"/>
          <w:szCs w:val="19"/>
        </w:rPr>
      </w:pPr>
      <w:r>
        <w:rPr>
          <w:color w:val="000000"/>
          <w:spacing w:val="0"/>
          <w:w w:val="100"/>
          <w:position w:val="0"/>
          <w:sz w:val="19"/>
          <w:szCs w:val="19"/>
        </w:rPr>
        <w:t>无</w:t>
      </w:r>
      <w:r>
        <w:br w:type="page"/>
      </w:r>
    </w:p>
    <w:p>
      <w:pPr>
        <w:pStyle w:val="Style10"/>
        <w:keepNext/>
        <w:keepLines/>
        <w:widowControl w:val="0"/>
        <w:shd w:val="clear" w:color="auto" w:fill="auto"/>
        <w:bidi w:val="0"/>
        <w:spacing w:before="0" w:after="560" w:line="240" w:lineRule="auto"/>
        <w:ind w:left="0" w:right="0" w:firstLine="0"/>
        <w:jc w:val="center"/>
      </w:pPr>
      <w:bookmarkStart w:id="387" w:name="bookmark387"/>
      <w:bookmarkStart w:id="388" w:name="bookmark388"/>
      <w:bookmarkStart w:id="389" w:name="bookmark389"/>
      <w:r>
        <w:rPr>
          <w:color w:val="000000"/>
          <w:spacing w:val="0"/>
          <w:w w:val="100"/>
          <w:position w:val="0"/>
        </w:rPr>
        <w:t>第六节重要事项</w:t>
      </w:r>
      <w:bookmarkEnd w:id="387"/>
      <w:bookmarkEnd w:id="388"/>
      <w:bookmarkEnd w:id="389"/>
    </w:p>
    <w:p>
      <w:pPr>
        <w:pStyle w:val="Style22"/>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bookmarkStart w:id="393" w:name="bookmark393"/>
      <w:bookmarkStart w:id="394" w:name="bookmark394"/>
      <w:r>
        <w:rPr>
          <w:color w:val="000000"/>
          <w:spacing w:val="0"/>
          <w:w w:val="100"/>
          <w:position w:val="0"/>
          <w:sz w:val="24"/>
          <w:szCs w:val="24"/>
        </w:rPr>
        <w:t>一</w:t>
      </w:r>
      <w:bookmarkEnd w:id="393"/>
      <w:r>
        <w:rPr>
          <w:color w:val="000000"/>
          <w:spacing w:val="0"/>
          <w:w w:val="100"/>
          <w:position w:val="0"/>
          <w:sz w:val="24"/>
          <w:szCs w:val="24"/>
        </w:rPr>
        <w:t>、承诺事项履行情况</w:t>
      </w:r>
      <w:bookmarkEnd w:id="391"/>
      <w:bookmarkEnd w:id="392"/>
      <w:bookmarkEnd w:id="394"/>
      <w:bookmarkEnd w:id="390"/>
    </w:p>
    <w:p>
      <w:pPr>
        <w:pStyle w:val="Style30"/>
        <w:keepNext/>
        <w:keepLines/>
        <w:widowControl w:val="0"/>
        <w:shd w:val="clear" w:color="auto" w:fill="auto"/>
        <w:bidi w:val="0"/>
        <w:spacing w:before="0" w:line="326"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、公司实际控制人、股东、关联方、收购人以及公司等承诺相关方在报告期内履行完毕及截至报告期末 尚未履行完毕的承诺事项</w:t>
      </w:r>
      <w:bookmarkEnd w:id="395"/>
      <w:bookmarkEnd w:id="396"/>
      <w:bookmarkEnd w:id="398"/>
    </w:p>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6"/>
          <w:szCs w:val="16"/>
        </w:rPr>
        <w:t>适用</w:t>
      </w:r>
      <w:r>
        <w:rPr>
          <w:color w:val="000000"/>
          <w:spacing w:val="0"/>
          <w:w w:val="100"/>
          <w:position w:val="0"/>
          <w:sz w:val="18"/>
          <w:szCs w:val="18"/>
        </w:rPr>
        <w:t>口</w:t>
      </w:r>
      <w:r>
        <w:rPr>
          <w:color w:val="000000"/>
          <w:spacing w:val="0"/>
          <w:w w:val="100"/>
          <w:position w:val="0"/>
          <w:sz w:val="16"/>
          <w:szCs w:val="16"/>
        </w:rPr>
        <w:t>不适用</w:t>
      </w:r>
    </w:p>
    <w:tbl>
      <w:tblPr>
        <w:tblOverlap w:val="never"/>
        <w:jc w:val="center"/>
        <w:tblLayout w:type="fixed"/>
      </w:tblPr>
      <w:tblGrid>
        <w:gridCol w:w="1992"/>
        <w:gridCol w:w="1421"/>
        <w:gridCol w:w="1272"/>
        <w:gridCol w:w="1843"/>
        <w:gridCol w:w="1138"/>
        <w:gridCol w:w="989"/>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rPr>
                <w:sz w:val="16"/>
                <w:szCs w:val="16"/>
              </w:rPr>
            </w:pPr>
            <w:r>
              <w:rPr>
                <w:rFonts w:ascii="SimSun" w:eastAsia="SimSun" w:hAnsi="SimSun" w:cs="SimSun"/>
                <w:color w:val="000000"/>
                <w:spacing w:val="0"/>
                <w:w w:val="100"/>
                <w:position w:val="0"/>
                <w:sz w:val="16"/>
                <w:szCs w:val="16"/>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资产重组时所作承诺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刘开同;董书倩； 刘运龙;天津滨河 数据信息技术有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关于保持上市</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公司独立性的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6"/>
                <w:szCs w:val="16"/>
              </w:rPr>
            </w:pPr>
            <w:r>
              <w:rPr>
                <w:rFonts w:ascii="SimSun" w:eastAsia="SimSun" w:hAnsi="SimSun" w:cs="SimSun"/>
                <w:color w:val="000000"/>
                <w:spacing w:val="0"/>
                <w:w w:val="100"/>
                <w:position w:val="0"/>
                <w:sz w:val="16"/>
                <w:szCs w:val="16"/>
              </w:rPr>
              <w:t xml:space="preserve">交易对方关于保持中 科金财和滨河创新独 立性，出具如下承诺： 一、保证中科金财、滨 河创新的人员独立： </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.保证本次交易完成 后中科金财、滨河创新 的劳动、人事及薪酬管 理与本人/本公司及本 人/本公司控制的其他 公司或者其他经济组 织等关联方之间完全 独立。</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 xml:space="preserve">保证本次交 易完成后中科金财、滨 河创新的高级管理人 员均专职在中科金财、 滨河创新任职并领取 薪酬，不在本人/本公 司及本人/本公司控制 的其他公司、企业或者 其他经济组织等关联 方担任董事以外的职 务。二、保证中科金财、 滨河创新的机构独立： </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.保证本次交易完成 后中科金财、滨河创新 构建健全的公司法人 治理结构，拥有独立、 完整的组织机构。</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证本次交易完成后中 科金财、滨河创新的股 东（大）会、董事会、 监事会等依照法律、法 规及中科金财、滨河创 新公司章程独立行使 职权。三、保证中科金 财、滨河创新的资产 独立、完整：</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 本次交易完成后中科 金财、滨河创新拥有与 生产经营有关的独立、 完整的资产。</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 本次交易完成后中科 金财、滨河创新的经营 场所独立于本人/本公 司及本人/本公司控制 的其他公司、企业或者 其他经济组织等关联 方。</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.除正常经营性 往来外，保证本次交易 完成后中科金财、滨河 创新不存在资金、资产 被本人/本公司及本人 /本公司控制的其他公 司、企业或者其他经济 组织等关联方占用的 情形。四、保证中科金 财、滨河创新的业务独 立：</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.保证本次交易 完成后中科金财、滨 河创新拥有独立开展 经营活动的相关资质， 具有面向市场的独立、 自主、持续的经营能 力。</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保证本次交易 完成后本人/本公司及 本人/本公司控制的其 他公司、企业或者其他 经济组织等关联方避 免从事与中科金财、滨 河创新及其控制的其 他公司、企业或者其他 经济组织具有竞争关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系的业务。</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.保证本 次交易完成后本人/本 公司及本人/本公司控 制的其他公司、企业或 者其他经济组织等关 联方减少与中科金财、 滨河创新及其控制的 其他公司、企业或者其 他经济组织的关联交 易；对于确有必要且无 法避免的关联交易，保 证按市场原则和公允 价格进行公平操作，并 按相关法律、法规及规 范性文件的规定履行 相关审批程序及信息 披露义务。五、保证中 科金财、滨河创新的财 务独立：</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.保证中科 金财、滨河创新本次交 易完成后分别具备独 立的财务部门以及独 立的财务核算体系，具 有规范、独立的财务会 计制度。</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保证中科 金财、滨河创新本次交 易完成后独立在银行 开户，不与本人/本公 司及本人/本公司控制 的其他公司、企业或者 其他经济组织等关联 方共用银行账户。</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.保 证本次交易完成后中 科金财、滨河创新的财 务人员不在本人/本公 司及本人/本公司控制 的其他公司、企业或者 其他经济组织等关联 方兼职。</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.保证本次 交易完成后中科金财、 滨河创新能够独立做 出财务决策，本人/本 公司不干预中科金财、 滨河创新的资金使用。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6"/>
                <w:szCs w:val="16"/>
              </w:rPr>
              <w:t>.保证本次交易完成 后中科金财、滨河创新 依法独立纳税。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刘开同;董书倩； 刘运龙;天津滨河 数据信息技术有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关于同业竞争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和规范减少关</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联交易的承诺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一、关于同业竞争： </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.截至本承诺函签署 日，本人/本公司及包 括本人/本公司控制 的其他公司、企业或者 其他经济组织等关联 方未从事与中科金财、 滨河创新及其控制的 其他公司、企业或者其 他经济组织存在同业 竞争关系的业务。</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在 作为中科金财的股东 且持股</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6"/>
                <w:szCs w:val="16"/>
              </w:rPr>
              <w:t xml:space="preserve">以上（含 </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6"/>
                <w:szCs w:val="16"/>
              </w:rPr>
              <w:t>期间，本人/本公 司及包括本人/本公 司控制的其他公司、企 业或者其他经济组织 等关联方将避免以任 何形式从事任何与中 科金财、滨河创新及其 控制的其他公司、企业 或者其他经济组织相 同或相似且构成或可 能构成竞争关系的业 务，亦不从事任何可能 损害中科金财、滨河创 新及其控制的其他公 司、企业或者其他经济 组织利益的活动。如本 人/本公司及其控制 的其他公司、企业或者 其他经济组织遇到中 科金财、滨河创新及其 控制的其他公司、企业 或者其他经济组织主 营业务范围内的业务 机会，本人/本公司及 其控制的其他公司、企 业或者其他经济组织 承诺将该等合作机会 让予中科金财、滨河创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新及其控制的其他公 司、企业或者其他经济 组织。本人/本公司若 违反上述承诺，将承担 因此而给中科金财、滨 河创新及其控制的其 他公司、企业或者其他 经济组织造成的一切 损失。二、关于规范及 减少关联交易：本人/ 本公司在作为中科金 财的股东期间，本人/ 本公司及所控制的其 他公司、企业或者其他 经济组织将尽量减少 并规范与中科金财、滨 河创新及其控制的其 他公司、企业或者其他 经济组织之间的关联 交易。对于无法避免或 有合理原因而发生的 关联交易，本人/本公 司及所控制的其他公 司、企业或者其他经济 组织将遵循市场原则 以公允、合理的市场价 格进行，根据有关法 律、法规及规范性文件 的规定履行关联交易 决策程序，依法履行信 息披露义务和办理有 关报批程序，不利用股 东优势地位损害中科 金财及其他股东的合 法权益。本人/本公司 若违反上述承诺，将承 担因此而给中科金财、 滨河创新及其控制的 其他公司、企业或者其 他经济组织造成的一 切损失。三、关于资金 占用：除正常经营性往 来外，保证本次交易完 成后中科金财、滨河创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新不存在资金、资产被 本人/本公司及本人/ 本公司控制的其他公 司、企业或者其他经济 组织等关联方占用的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刘开同；胡卫彬； 蔡宝宇;温长建； 徐灵慧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任职期限和竞</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业禁止承诺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w:t>
              <w:tab/>
              <w:t>任职期限：刘开同 及滨河创新核心人员 胡卫彬、蔡宝宇、温长 建、徐灵慧就任职期限 达成协议如下：“乙方 承诺自发行股份购买 资产实施结束之日起 其在滨河创新的服务 期限不少于</w:t>
            </w:r>
            <w:r>
              <w:rPr>
                <w:rFonts w:ascii="SimSun" w:eastAsia="SimSun" w:hAnsi="SimSun" w:cs="SimSun"/>
                <w:color w:val="000000"/>
                <w:spacing w:val="0"/>
                <w:w w:val="100"/>
                <w:position w:val="0"/>
                <w:sz w:val="18"/>
                <w:szCs w:val="18"/>
              </w:rPr>
              <w:t>60</w:t>
            </w:r>
            <w:r>
              <w:rPr>
                <w:rFonts w:ascii="SimSun" w:eastAsia="SimSun" w:hAnsi="SimSun" w:cs="SimSun"/>
                <w:color w:val="000000"/>
                <w:spacing w:val="0"/>
                <w:w w:val="100"/>
                <w:position w:val="0"/>
                <w:sz w:val="16"/>
                <w:szCs w:val="16"/>
              </w:rPr>
              <w:t>个月。”</w:t>
            </w:r>
          </w:p>
          <w:p>
            <w:pPr>
              <w:pStyle w:val="Style2"/>
              <w:keepNext w:val="0"/>
              <w:keepLines w:val="0"/>
              <w:widowControl w:val="0"/>
              <w:shd w:val="clear" w:color="auto" w:fill="auto"/>
              <w:tabs>
                <w:tab w:pos="274"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w:t>
              <w:tab/>
              <w:t>竞业限制：刘开同 及滨河创新核心人员 胡卫彬、蔡宝宇、温长 建、徐灵慧就竞业限制 达成协议如下：“自本 协议生效之日至其从 滨河创新离职后</w:t>
            </w:r>
            <w:r>
              <w:rPr>
                <w:rFonts w:ascii="SimSun" w:eastAsia="SimSun" w:hAnsi="SimSun" w:cs="SimSun"/>
                <w:color w:val="000000"/>
                <w:spacing w:val="0"/>
                <w:w w:val="100"/>
                <w:position w:val="0"/>
                <w:sz w:val="18"/>
                <w:szCs w:val="18"/>
              </w:rPr>
              <w:t>24</w:t>
            </w:r>
            <w:r>
              <w:rPr>
                <w:rFonts w:ascii="SimSun" w:eastAsia="SimSun" w:hAnsi="SimSun" w:cs="SimSun"/>
                <w:color w:val="000000"/>
                <w:spacing w:val="0"/>
                <w:w w:val="100"/>
                <w:position w:val="0"/>
                <w:sz w:val="16"/>
                <w:szCs w:val="16"/>
              </w:rPr>
              <w:t>个 月内，乙方不得从事与 甲方或滨河创新业务 相同或类似的投资或 任职行为，即无论在何 种情况下，不得以任何 方式受聘或经营于任 何与甲方及其控股子 公司、滨河创新及其下 属公司业务有直接或 间接竞争或利益冲突 之公司及业务，不能到 生产、开发、经营与甲 方及其控股子公司、滨 河创新及其下属公司 生产、开发、经营同类 产品或经营同类业务 或有竞争关系的其他 用人单位兼职或全职； 也不能自行或以任何 第三者的名义设立、投 资或控股与甲方及其 控股子公司、滨河创新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8"/>
                <w:szCs w:val="18"/>
              </w:rPr>
              <w:t xml:space="preserve">2014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6"/>
                <w:szCs w:val="16"/>
              </w:rPr>
              <w:t xml:space="preserve">日 </w:t>
            </w:r>
            <w:r>
              <w:rPr>
                <w:rFonts w:ascii="SimSun" w:eastAsia="SimSun" w:hAnsi="SimSun" w:cs="SimSun"/>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履行期满</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及其下属公司有任何 竞争关系或利益冲突 的同类企业或经营单 位，或从事与滨河创新 有竞争关系的业务；如 乙方或其所控制的除 滨河创新外的其他企 业从任何第三方获得 的商业机会与甲方、滨 河创新及其下属公司 的业务有竞争或可能 存在竞争，则将该商业 机会让予甲方或其控 股子公司、滨河创新或 其下属公司；但滨河创 新在乙方未违反其劳 动合同或者未完成工 作目标等义务的情况 下辞退乙方的除外。自 本协议生效之日至其 从滨河创新离职后</w:t>
            </w: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6"/>
                <w:szCs w:val="16"/>
              </w:rPr>
              <w:t>个月内，乙方不得以任 何理由或方式（包括但 不限于劝喻、拉拢、雇 用）导致滨河创新其他 经营管理人员离开滨 河创新。同时，乙方不 得以任何名义或形式 与离开滨河创新的经 营管理人员合作或投 资与滨河创新有相同 或有竞争关系的业务， 也不得雇佣滨河创新 经营管理人员（包括离 职人员）。乙方承诺严 守甲方及其控股子公 司、滨河创新及其下属 公司秘密，不泄露其所 知悉或掌握的甲方及 其控股子公司、滨河创 新及其下属公司的商 业秘密。乙方不得以任 何方式和手段（包括但 不限于侵占、受贿、舞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弊、盗窃、挪用等不当 或不法手段和方式）损 害或侵害滨河创新利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刘开同;董书倩； 刘运龙;天津滨河 数据信息技术有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关于不谋求公 司实际控制权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本次交易完成后，本人 /本公司仍认可并尊重 沈飒女士作为控股股 东，以及朱哗东先生和 沈飒女士的中科金财 实际控制人地位，不对 朱哗东先生和沈飒女 士在中科金财经营发 展中的实际控制地位 提出任何形式的异议。 本人/本公司不会单 方面的通过增持股份 等行为主动谋求中科 金财的控制权，不单独 或与任何其他方协作 （包括但不限于签署</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一致行动协议、实际形 成一致行动等）对沈飒 女士控股股东地位及 朱哗东先生和沈飒女 士的实际控制人地位 进行任何形式的威胁， 如有必要，将采取一切 有利于维持中科金财 实际控制权稳定的行 为对朱哗东先生和沈 飒女士提供支持。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刘开同;董书倩； 刘运龙;天津滨河 数据信息技术有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交易对手方关 于所提供信息 真实、准确、完 整的承诺函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本人/本公司为本次 发行股份及支付现金 购买资产事宜所提供 的有关信息真实、准确 和完整，不存在任何虚 假记载、误导性陈述或 者重大遗漏，并对所提 供信息的真实性、准确 性和完整性承担法律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临沂市志东方网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络信息科技合伙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业绩承诺及补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sz w:val="16"/>
                <w:szCs w:val="16"/>
              </w:rPr>
              <w:t>业绩承诺：承诺北京志 东方</w:t>
            </w:r>
            <w:r>
              <w:rPr>
                <w:rFonts w:ascii="SimSun" w:eastAsia="SimSun" w:hAnsi="SimSun" w:cs="SimSun"/>
                <w:color w:val="000000"/>
                <w:spacing w:val="0"/>
                <w:w w:val="100"/>
                <w:position w:val="0"/>
              </w:rPr>
              <w:t>2019</w:t>
            </w:r>
            <w:r>
              <w:rPr>
                <w:rFonts w:ascii="SimSun" w:eastAsia="SimSun" w:hAnsi="SimSun" w:cs="SimSun"/>
                <w:color w:val="000000"/>
                <w:spacing w:val="0"/>
                <w:w w:val="100"/>
                <w:position w:val="0"/>
                <w:sz w:val="16"/>
                <w:szCs w:val="16"/>
              </w:rPr>
              <w:t>年度、</w:t>
            </w:r>
            <w:r>
              <w:rPr>
                <w:rFonts w:ascii="SimSun" w:eastAsia="SimSun" w:hAnsi="SimSun" w:cs="SimSun"/>
                <w:color w:val="000000"/>
                <w:spacing w:val="0"/>
                <w:w w:val="100"/>
                <w:position w:val="0"/>
              </w:rPr>
              <w:t>2020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 xml:space="preserve">2019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企业（有限合伙）； 张广清；陈志延； 陈嘉玮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年度、</w:t>
            </w:r>
            <w:r>
              <w:rPr>
                <w:rFonts w:ascii="SimSun" w:eastAsia="SimSun" w:hAnsi="SimSun" w:cs="SimSun"/>
                <w:color w:val="000000"/>
                <w:spacing w:val="0"/>
                <w:w w:val="100"/>
                <w:position w:val="0"/>
                <w:sz w:val="18"/>
                <w:szCs w:val="18"/>
              </w:rPr>
              <w:t>2021</w:t>
            </w:r>
            <w:r>
              <w:rPr>
                <w:rFonts w:ascii="SimSun" w:eastAsia="SimSun" w:hAnsi="SimSun" w:cs="SimSun"/>
                <w:color w:val="000000"/>
                <w:spacing w:val="0"/>
                <w:w w:val="100"/>
                <w:position w:val="0"/>
                <w:sz w:val="16"/>
                <w:szCs w:val="16"/>
              </w:rPr>
              <w:t xml:space="preserve">年度对应的 净利润分别为不低于 </w:t>
            </w:r>
            <w:r>
              <w:rPr>
                <w:rFonts w:ascii="SimSun" w:eastAsia="SimSun" w:hAnsi="SimSun" w:cs="SimSun"/>
                <w:color w:val="000000"/>
                <w:spacing w:val="0"/>
                <w:w w:val="100"/>
                <w:position w:val="0"/>
                <w:sz w:val="18"/>
                <w:szCs w:val="18"/>
              </w:rPr>
              <w:t xml:space="preserve">1, 800 </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8"/>
                <w:szCs w:val="18"/>
              </w:rPr>
              <w:t xml:space="preserve">2, 200 </w:t>
            </w:r>
            <w:r>
              <w:rPr>
                <w:rFonts w:ascii="SimSun" w:eastAsia="SimSun" w:hAnsi="SimSun" w:cs="SimSun"/>
                <w:color w:val="000000"/>
                <w:spacing w:val="0"/>
                <w:w w:val="100"/>
                <w:position w:val="0"/>
                <w:sz w:val="16"/>
                <w:szCs w:val="16"/>
              </w:rPr>
              <w:t>万 元、</w:t>
            </w:r>
            <w:r>
              <w:rPr>
                <w:rFonts w:ascii="SimSun" w:eastAsia="SimSun" w:hAnsi="SimSun" w:cs="SimSun"/>
                <w:color w:val="000000"/>
                <w:spacing w:val="0"/>
                <w:w w:val="100"/>
                <w:position w:val="0"/>
                <w:sz w:val="18"/>
                <w:szCs w:val="18"/>
              </w:rPr>
              <w:t>2,700</w:t>
            </w:r>
            <w:r>
              <w:rPr>
                <w:rFonts w:ascii="SimSun" w:eastAsia="SimSun" w:hAnsi="SimSun" w:cs="SimSun"/>
                <w:color w:val="000000"/>
                <w:spacing w:val="0"/>
                <w:w w:val="100"/>
                <w:position w:val="0"/>
                <w:sz w:val="16"/>
                <w:szCs w:val="16"/>
              </w:rPr>
              <w:t>万元。盈利 补偿：如北京志东方未 能完成承诺净利润，则 业绩承诺方应自中科 金财发出书面补偿通 知之日起</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6"/>
                <w:szCs w:val="16"/>
              </w:rPr>
              <w:t>日内按照 如下公式向中科金财 承担补偿义务，将补偿 现金金额一次性汇入 中科金财指定的账户： 某一年度补偿金额 =（截至当期期末承诺 净利润数-截至当期期 末实现净利润数）+补 偿期间内各年的预测 净利润数总和</w:t>
            </w:r>
            <w:r>
              <w:rPr>
                <w:rFonts w:ascii="SimSun" w:eastAsia="SimSun" w:hAnsi="SimSun" w:cs="SimSun"/>
                <w:color w:val="000000"/>
                <w:spacing w:val="0"/>
                <w:w w:val="100"/>
                <w:position w:val="0"/>
                <w:sz w:val="18"/>
                <w:szCs w:val="18"/>
              </w:rPr>
              <w:t>X</w:t>
            </w:r>
            <w:r>
              <w:rPr>
                <w:rFonts w:ascii="SimSun" w:eastAsia="SimSun" w:hAnsi="SimSun" w:cs="SimSun"/>
                <w:color w:val="000000"/>
                <w:spacing w:val="0"/>
                <w:w w:val="100"/>
                <w:position w:val="0"/>
                <w:sz w:val="16"/>
                <w:szCs w:val="16"/>
              </w:rPr>
              <w:t>本次 股权收购交易价格。总 补偿金额=各年度补偿 金额之和。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 xml:space="preserve">—2022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rPr>
              <w:t>5</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临沂市志东方网 络信息科技合伙 企业（有限合伙）； 张广清；陈志延； 陈嘉玮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关于不谋求公 司实际控制权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本次交易实施完成后 </w:t>
            </w:r>
            <w:r>
              <w:rPr>
                <w:rFonts w:ascii="SimSun" w:eastAsia="SimSun" w:hAnsi="SimSun" w:cs="SimSun"/>
                <w:color w:val="000000"/>
                <w:spacing w:val="0"/>
                <w:w w:val="100"/>
                <w:position w:val="0"/>
                <w:sz w:val="18"/>
                <w:szCs w:val="18"/>
              </w:rPr>
              <w:t>60</w:t>
            </w:r>
            <w:r>
              <w:rPr>
                <w:rFonts w:ascii="SimSun" w:eastAsia="SimSun" w:hAnsi="SimSun" w:cs="SimSun"/>
                <w:color w:val="000000"/>
                <w:spacing w:val="0"/>
                <w:w w:val="100"/>
                <w:position w:val="0"/>
                <w:sz w:val="16"/>
                <w:szCs w:val="16"/>
              </w:rPr>
              <w:t>个月内，本人及本人 控制的主体将不会谋 求中科金财第一大股 东或控股股东、实际控 制人地位，也不以与中 科金财其他主要股东 及其关联方、一致行动 人之间签署一致行动 协议或达成类似协议、 安排等其他任何方式 谋求中科金财第一大 股东或控股股东、实际 控制人地位，且不会协 助或促使任何其他方 通过任何方式谋求中 科金财的控股股东及 实际控制人地位。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临沂市志东方网 络信息科技合伙 企业（有限合伙）； 张广清；陈志延；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both"/>
              <w:rPr>
                <w:sz w:val="16"/>
                <w:szCs w:val="16"/>
              </w:rPr>
            </w:pPr>
            <w:r>
              <w:rPr>
                <w:rFonts w:ascii="SimSun" w:eastAsia="SimSun" w:hAnsi="SimSun" w:cs="SimSun"/>
                <w:color w:val="000000"/>
                <w:spacing w:val="0"/>
                <w:w w:val="100"/>
                <w:position w:val="0"/>
                <w:sz w:val="16"/>
                <w:szCs w:val="16"/>
              </w:rPr>
              <w:t>张广清、陈志延、陈嘉 玮收到分配的资金后， 将使用相当于本次股 权转让价款</w:t>
            </w:r>
            <w:r>
              <w:rPr>
                <w:rFonts w:ascii="SimSun" w:eastAsia="SimSun" w:hAnsi="SimSun" w:cs="SimSun"/>
                <w:color w:val="000000"/>
                <w:spacing w:val="0"/>
                <w:w w:val="100"/>
                <w:position w:val="0"/>
                <w:sz w:val="18"/>
                <w:szCs w:val="18"/>
              </w:rPr>
              <w:t>20%</w:t>
            </w:r>
            <w:r>
              <w:rPr>
                <w:rFonts w:ascii="SimSun" w:eastAsia="SimSun" w:hAnsi="SimSun" w:cs="SimSun"/>
                <w:color w:val="000000"/>
                <w:spacing w:val="0"/>
                <w:w w:val="100"/>
                <w:position w:val="0"/>
                <w:sz w:val="16"/>
                <w:szCs w:val="16"/>
              </w:rPr>
              <w:t>的资金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2019</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 xml:space="preserve">2019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rPr>
              <w:t>11</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15</w:t>
            </w:r>
            <w:r>
              <w:rPr>
                <w:rFonts w:ascii="SimSun" w:eastAsia="SimSun" w:hAnsi="SimSun" w:cs="SimSun"/>
                <w:color w:val="000000"/>
                <w:spacing w:val="0"/>
                <w:w w:val="100"/>
                <w:position w:val="0"/>
                <w:sz w:val="16"/>
                <w:szCs w:val="16"/>
              </w:rPr>
              <w:t>日</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 xml:space="preserve">—2022 </w:t>
            </w:r>
            <w:r>
              <w:rPr>
                <w:rFonts w:ascii="SimSun" w:eastAsia="SimSun" w:hAnsi="SimSun" w:cs="SimSun"/>
                <w:color w:val="000000"/>
                <w:spacing w:val="0"/>
                <w:w w:val="100"/>
                <w:position w:val="0"/>
                <w:sz w:val="16"/>
                <w:szCs w:val="16"/>
              </w:rPr>
              <w:t xml:space="preserve">年 </w:t>
            </w:r>
            <w:r>
              <w:rPr>
                <w:rFonts w:ascii="SimSun" w:eastAsia="SimSun" w:hAnsi="SimSun" w:cs="SimSu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陈嘉玮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用于购买中科金财的 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w:t>
            </w:r>
            <w:r>
              <w:rPr>
                <w:rFonts w:ascii="SimSun" w:eastAsia="SimSun" w:hAnsi="SimSun" w:cs="SimSun"/>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关于关联交易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尽量避免不必要的关 联交易发生，对持续经 营所发生的必要的关 联交易，应以双方协议 规定的方式进行处理， 遵循市场化的定价原 则，避免损害广大中小 股东权益的情况发生。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r>
        <w:trPr>
          <w:trHeight w:val="414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朱哗东;沈飒;陈 绪华;蔡迦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关于同业竞争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不存在直接或间接地 从事任何与中科金财 所从事的业务构成同 业竞争的任何业务活 动，今后的任何时间亦 不会直接或间接地以 任何方式（包括但不限 于独资、合营、合作和 联营）参与或进行任何 与中科金财所从事的 业务有实质性竞争或 可能有实质性竞争的 业务活动。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2012</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02</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r>
        <w:trPr>
          <w:trHeight w:val="62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谢晓梅;周惠明； 张伟;吴红心;赫 喆;杨承宏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关于保持上市 公司独立性的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 xml:space="preserve">交易对方关于保持中 科金财和滨河创新独 立性，出具如下承诺： 一、保证中科金财、滨 河创新的人员独立 </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.保证本次交易完成 后中科金财、滨河创新 的劳动、人事及薪酬管 理与本人/本公司及本 人/本公司控制的其 他公司或者其他经济 组织等关联方之间完 全独立。</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保证本次 交易完成后中科金财、 滨河创新的高级管理 人员均专职在中科金 财、滨河创新任职并领 取薪酬，不在本人/本 公司及本人/本公司控 制的其他公司、企业或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者其他经济组织等关 联方担任董事以外的 职务。二、保证中科金 财、滨河创新的机构独 立</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 xml:space="preserve">.保证本次交易完 成后中科金财、滨河创 新构建健全的公司法 人治理结构，拥有独 立、完整的组织机构。 </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.保证本次交易完成 后中科金财、滨河创新 的股东（大）会、董事 会、监事会等依照法 律、法规及中科金财、 滨河创新公司章程独 立行使职权。三、保证 中科金财、滨河创新的 资产独立、完整</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 证本次交易完成后中 科金财、滨河创新拥有 与生产经营有关的独 立、完整的资产。</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 证本次交易完成后中 科金财、滨河创新的经 营场所独立于本人/本 公司及本人/本公司控 制的其他公司、企业或 者其他经济组织等关 联方。</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.除正常经营 性往来外，保证本次交 易完成后中科金财、滨 河创新不存在资金、资 产被本人/本公司及 本人/本公司控制的其 他公司、企业或者其他 经济组织等关联方占 用的情形。四、保证中 科金财、滨河创新的业 务独立</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.保证本次交 易完成后中科金财、滨 河创新拥有独立开展 经营活动的相关资质， 具有面向市场的独立、 自主、持续的经营能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力。</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保证本次交易 完成后本人/本公司及 本人/本公司控制的 其他公司、企业或者其 他经济组织等关联方 避免从事与中科金财、 滨河创新及其控制的 其他公司、企业或者其 他经济组织具有竞争 关系的业务。</w:t>
            </w: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.保证 本次交易完成后本人/ 本公司及本人/本公司 控制的其他公司、企业 或者其他经济组织等 关联方减少与中科金 财、滨河创新及其控制 的其他公司、企业或者 其他经济组织的关联 交易；对于确有必要且 无法避免的关联交易， 保证按市场原则和公 允价格进行公平操作， 并按相关法律、法规及 规范性文件的规定履 行相关审批程序及信 息披露义务。五、保证 中科金财、滨河创新的 财务独立</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6"/>
                <w:szCs w:val="16"/>
              </w:rPr>
              <w:t>.保证中科 金财、滨河创新本次交 易完成后分别具备独 立的财务部门以及独 立的财务核算体系，具 有规范、独立的财务会 计制度。</w:t>
            </w:r>
            <w:r>
              <w:rPr>
                <w:rFonts w:ascii="SimSun" w:eastAsia="SimSun" w:hAnsi="SimSun" w:cs="SimSun"/>
                <w:color w:val="000000"/>
                <w:spacing w:val="0"/>
                <w:w w:val="100"/>
                <w:position w:val="0"/>
                <w:sz w:val="18"/>
                <w:szCs w:val="18"/>
              </w:rPr>
              <w:t>2.</w:t>
            </w:r>
            <w:r>
              <w:rPr>
                <w:rFonts w:ascii="SimSun" w:eastAsia="SimSun" w:hAnsi="SimSun" w:cs="SimSun"/>
                <w:color w:val="000000"/>
                <w:spacing w:val="0"/>
                <w:w w:val="100"/>
                <w:position w:val="0"/>
                <w:sz w:val="16"/>
                <w:szCs w:val="16"/>
              </w:rPr>
              <w:t>保证中科 金财、滨河创新本次交 易完成后独立在银行 开户，不与本人/本公 司及本人/本公司控 制的其他公司、企业或 者其他经济组织等关 联方共用银行账户。</w:t>
            </w:r>
          </w:p>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8"/>
                <w:szCs w:val="18"/>
              </w:rPr>
              <w:t>3</w:t>
            </w:r>
            <w:r>
              <w:rPr>
                <w:rFonts w:ascii="SimSun" w:eastAsia="SimSun" w:hAnsi="SimSun" w:cs="SimSun"/>
                <w:color w:val="000000"/>
                <w:spacing w:val="0"/>
                <w:w w:val="100"/>
                <w:position w:val="0"/>
                <w:sz w:val="16"/>
                <w:szCs w:val="16"/>
              </w:rPr>
              <w:t>.保证本次交易完成 后中科金财、滨河创新 的财务人员不在本人/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rFonts w:ascii="SimSun" w:eastAsia="SimSun" w:hAnsi="SimSun" w:cs="SimSun"/>
                <w:color w:val="000000"/>
                <w:spacing w:val="0"/>
                <w:w w:val="100"/>
                <w:position w:val="0"/>
                <w:sz w:val="16"/>
                <w:szCs w:val="16"/>
              </w:rPr>
              <w:t>本公司及本人/本公司 控制的其他公司、企业 或者其他经济组织等 关联方兼职。</w:t>
            </w:r>
            <w:r>
              <w:rPr>
                <w:rFonts w:ascii="SimSun" w:eastAsia="SimSun" w:hAnsi="SimSun" w:cs="SimSun"/>
                <w:color w:val="000000"/>
                <w:spacing w:val="0"/>
                <w:w w:val="100"/>
                <w:position w:val="0"/>
                <w:sz w:val="18"/>
                <w:szCs w:val="18"/>
              </w:rPr>
              <w:t>4</w:t>
            </w:r>
            <w:r>
              <w:rPr>
                <w:rFonts w:ascii="SimSun" w:eastAsia="SimSun" w:hAnsi="SimSun" w:cs="SimSun"/>
                <w:color w:val="000000"/>
                <w:spacing w:val="0"/>
                <w:w w:val="100"/>
                <w:position w:val="0"/>
                <w:sz w:val="16"/>
                <w:szCs w:val="16"/>
              </w:rPr>
              <w:t>.保证 本次交易完成后中科 金财、滨河创新能够独 立做出财务决策，本人 /本公司不干预中科金 财、滨河创新的资金使 用。</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6"/>
                <w:szCs w:val="16"/>
              </w:rPr>
              <w:t>保证本次交易 完成后中科金财、滨河 创新依法独立纳税。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谢晓梅;吴红心； 张伟；周惠明；赫 喆;杨承宏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关于同业竞争 和关联交易的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一、关于同业竞争：</w:t>
            </w:r>
          </w:p>
          <w:p>
            <w:pPr>
              <w:pStyle w:val="Style2"/>
              <w:keepNext w:val="0"/>
              <w:keepLines w:val="0"/>
              <w:widowControl w:val="0"/>
              <w:numPr>
                <w:ilvl w:val="0"/>
                <w:numId w:val="15"/>
              </w:numPr>
              <w:shd w:val="clear" w:color="auto" w:fill="auto"/>
              <w:tabs>
                <w:tab w:pos="269"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截至本承诺函签署 日，本人及包括本人控 制的其他公司、企业或 者其他经济组织等关 联方未从事与中科金 财、滨河创新及其控制 的其他公司、企业或者 其他经济组织存在同 业竞争关系的业务。</w:t>
            </w:r>
          </w:p>
          <w:p>
            <w:pPr>
              <w:pStyle w:val="Style2"/>
              <w:keepNext w:val="0"/>
              <w:keepLines w:val="0"/>
              <w:widowControl w:val="0"/>
              <w:numPr>
                <w:ilvl w:val="0"/>
                <w:numId w:val="15"/>
              </w:numPr>
              <w:shd w:val="clear" w:color="auto" w:fill="auto"/>
              <w:tabs>
                <w:tab w:pos="269" w:val="left"/>
              </w:tabs>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在作为中科金财的 股东期间，本人及包括 本人控制的其他公司、 企业或者其他经济组 织等关联方将避免以 任何形式从事任何与 中科金财、滨河创新及 其控制的其他公司、企 业或者其他经济组织 相同或相似且构成或 可能构成竞争关系的 业务，亦不从事任何可 能损害中科金财、滨河 创新及其控制的其他 公司、企业或者其他经 济组织利益的活动。如 本人及其控制的其他 公司、企业或者其他经 济组织遇到中科金财、 滨河创新及其控制的 其他公司、企业或者其 他经济组织主营业务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8"/>
                <w:szCs w:val="18"/>
              </w:rPr>
              <w:t>2014</w:t>
            </w:r>
            <w:r>
              <w:rPr>
                <w:rFonts w:ascii="SimSun" w:eastAsia="SimSun" w:hAnsi="SimSun" w:cs="SimSun"/>
                <w:color w:val="000000"/>
                <w:spacing w:val="0"/>
                <w:w w:val="100"/>
                <w:position w:val="0"/>
                <w:sz w:val="16"/>
                <w:szCs w:val="16"/>
              </w:rPr>
              <w:t>年</w:t>
            </w:r>
            <w:r>
              <w:rPr>
                <w:rFonts w:ascii="SimSun" w:eastAsia="SimSun" w:hAnsi="SimSun" w:cs="SimSun"/>
                <w:color w:val="000000"/>
                <w:spacing w:val="0"/>
                <w:w w:val="100"/>
                <w:position w:val="0"/>
                <w:sz w:val="18"/>
                <w:szCs w:val="18"/>
              </w:rPr>
              <w:t>08</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履行期内</w:t>
            </w: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范围内的业务机会，本 人及其控制的其他公 司、企业或者其他经济 组织承诺将该等合作 机会让予中科金财、滨 河创新及其控制的其 他公司、企业或者其他 经济组织。二、关于规 范及减少关联交易：本 人在作为中科金财的 股东期间，本人及所控 制的其他公司、企业或 者其他经济组织将尽 量减少并规范与中科 金财、滨河创新及其控 制的其他公司、企业或 者其他经济组织之间 的关联交易。对于无法 避免或有合理原因而 发生的关联交易，本人 及所控制的其他公司、 企业或者其他经济组 织将遵循市场原则以 公允、合理的市场价格 进行，根据有关法律、 法规及规范性文件的 规定履行关联交易决 策程序，依法履行信息 披露义务和办理有关 报批程序，不利用股东 优势地位损害中科金 财及其他股东的合法 权益。本人若违反上述 承诺，将承担因此而给 中科金财、滨河创新及 其控制的其他公司、企 业或者其他经济组织 造成的一切损失。三、 关于资金占用：除正常 经营性往来外，保证本 次交易完成后中科金 财、滨河创新不存在资 金、资产被本人/本公 司及本人/本公司控制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92"/>
        <w:gridCol w:w="1421"/>
        <w:gridCol w:w="1272"/>
        <w:gridCol w:w="1843"/>
        <w:gridCol w:w="1138"/>
        <w:gridCol w:w="989"/>
        <w:gridCol w:w="93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的其他公司、企业或者</w:t>
            </w:r>
          </w:p>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其他经济组织等关联 方占用的情形。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239" w:line="1" w:lineRule="exact"/>
      </w:pPr>
    </w:p>
    <w:p>
      <w:pPr>
        <w:pStyle w:val="Style30"/>
        <w:keepNext/>
        <w:keepLines/>
        <w:widowControl w:val="0"/>
        <w:shd w:val="clear" w:color="auto" w:fill="auto"/>
        <w:bidi w:val="0"/>
        <w:spacing w:before="0" w:line="322" w:lineRule="exact"/>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、公司资产或项目存在盈利预测，且报告期仍处在盈利预测期间，公司就资产或项目达到原盈利预测及 其原因做出说明</w:t>
      </w:r>
      <w:bookmarkEnd w:id="399"/>
      <w:bookmarkEnd w:id="400"/>
      <w:bookmarkEnd w:id="40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当期预测业绩</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当期实际业绩</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原预测披露索 引</w:t>
            </w:r>
          </w:p>
        </w:tc>
      </w:tr>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6"/>
                <w:szCs w:val="16"/>
              </w:rPr>
              <w:t xml:space="preserve">年 </w:t>
            </w:r>
            <w:r>
              <w:rPr>
                <w:color w:val="000000"/>
                <w:spacing w:val="0"/>
                <w:w w:val="100"/>
                <w:position w:val="0"/>
              </w:rPr>
              <w:t>11</w:t>
            </w:r>
          </w:p>
          <w:p>
            <w:pPr>
              <w:pStyle w:val="Style2"/>
              <w:keepNext w:val="0"/>
              <w:keepLines w:val="0"/>
              <w:widowControl w:val="0"/>
              <w:shd w:val="clear" w:color="auto" w:fill="auto"/>
              <w:bidi w:val="0"/>
              <w:spacing w:before="0" w:after="100" w:line="322" w:lineRule="exact"/>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16</w:t>
            </w:r>
            <w:r>
              <w:rPr>
                <w:rFonts w:ascii="SimSun" w:eastAsia="SimSun" w:hAnsi="SimSun" w:cs="SimSun"/>
                <w:color w:val="000000"/>
                <w:spacing w:val="0"/>
                <w:w w:val="100"/>
                <w:position w:val="0"/>
                <w:sz w:val="16"/>
                <w:szCs w:val="16"/>
              </w:rPr>
              <w:t>日巨潮 资讯网</w:t>
            </w:r>
          </w:p>
          <w:p>
            <w:pPr>
              <w:pStyle w:val="Style2"/>
              <w:keepNext w:val="0"/>
              <w:keepLines w:val="0"/>
              <w:widowControl w:val="0"/>
              <w:shd w:val="clear" w:color="auto" w:fill="auto"/>
              <w:bidi w:val="0"/>
              <w:spacing w:before="0" w:after="0" w:line="374" w:lineRule="auto"/>
              <w:ind w:left="0" w:right="0" w:firstLine="0"/>
              <w:jc w:val="left"/>
            </w:pPr>
            <w:r>
              <w:fldChar w:fldCharType="begin"/>
            </w:r>
            <w:r>
              <w:rPr/>
              <w:instrText> HYPERLINK "http://www.cni" </w:instrText>
            </w:r>
            <w:r>
              <w:fldChar w:fldCharType="separate"/>
            </w:r>
            <w:r>
              <w:rPr>
                <w:color w:val="000000"/>
                <w:spacing w:val="0"/>
                <w:w w:val="100"/>
                <w:position w:val="0"/>
              </w:rPr>
              <w:t>http://www.cni</w:t>
            </w:r>
            <w:r>
              <w:fldChar w:fldCharType="end"/>
            </w:r>
          </w:p>
        </w:tc>
      </w:tr>
      <w:tr>
        <w:trPr>
          <w:trHeight w:val="223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技有限责任公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0" w:line="240" w:lineRule="auto"/>
              <w:ind w:left="0" w:right="0" w:firstLine="0"/>
              <w:jc w:val="center"/>
            </w:pPr>
            <w:r>
              <w:rPr>
                <w:color w:val="000000"/>
                <w:spacing w:val="0"/>
                <w:w w:val="100"/>
                <w:position w:val="0"/>
              </w:rPr>
              <w:t>2,700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40" w:after="0" w:line="240" w:lineRule="auto"/>
              <w:ind w:left="0" w:right="0" w:firstLine="0"/>
              <w:jc w:val="right"/>
            </w:pPr>
            <w:r>
              <w:rPr>
                <w:color w:val="000000"/>
                <w:spacing w:val="0"/>
                <w:w w:val="100"/>
                <w:position w:val="0"/>
              </w:rPr>
              <w:t>2,737.28</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36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100" w:line="240" w:lineRule="auto"/>
              <w:ind w:left="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w:t>
            </w:r>
            <w:r>
              <w:rPr>
                <w:color w:val="000000"/>
                <w:spacing w:val="0"/>
                <w:w w:val="100"/>
                <w:position w:val="0"/>
                <w:sz w:val="18"/>
                <w:szCs w:val="18"/>
              </w:rPr>
              <w:t>11</w:t>
            </w:r>
            <w:r>
              <w:rPr>
                <w:rFonts w:ascii="SimSun" w:eastAsia="SimSun" w:hAnsi="SimSun" w:cs="SimSun"/>
                <w:color w:val="000000"/>
                <w:spacing w:val="0"/>
                <w:w w:val="100"/>
                <w:position w:val="0"/>
                <w:sz w:val="16"/>
                <w:szCs w:val="16"/>
              </w:rPr>
              <w:t>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nfo.com.cn</w:t>
            </w:r>
            <w:r>
              <w:rPr>
                <w:rFonts w:ascii="SimSun" w:eastAsia="SimSun" w:hAnsi="SimSun" w:cs="SimSun"/>
                <w:color w:val="000000"/>
                <w:spacing w:val="0"/>
                <w:w w:val="100"/>
                <w:position w:val="0"/>
                <w:sz w:val="16"/>
                <w:szCs w:val="16"/>
              </w:rPr>
              <w:t xml:space="preserve">《关 于现金收购北 京志东方科技 有限责任公司 </w:t>
            </w:r>
            <w:r>
              <w:rPr>
                <w:color w:val="000000"/>
                <w:spacing w:val="0"/>
                <w:w w:val="100"/>
                <w:position w:val="0"/>
              </w:rPr>
              <w:t>100%</w:t>
            </w:r>
            <w:r>
              <w:rPr>
                <w:rFonts w:ascii="SimSun" w:eastAsia="SimSun" w:hAnsi="SimSun" w:cs="SimSun"/>
                <w:color w:val="000000"/>
                <w:spacing w:val="0"/>
                <w:w w:val="100"/>
                <w:position w:val="0"/>
                <w:sz w:val="16"/>
                <w:szCs w:val="16"/>
              </w:rPr>
              <w:t xml:space="preserve">股权的 公告》，公告编 号 </w:t>
            </w:r>
            <w:r>
              <w:rPr>
                <w:color w:val="000000"/>
                <w:spacing w:val="0"/>
                <w:w w:val="100"/>
                <w:position w:val="0"/>
              </w:rPr>
              <w:t>2019-056</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公司股东、交易对手方在报告年度经营业绩做出的承诺情况</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日第五届董事会第四次会议审议通过，公司与临沂市志东方网络信息科技合伙企 业（有限合伙）、张广清、陈志延、陈嘉玮签署了《股权收购协议》和《股权收购协议之补充协议》，公 司以自有资金</w:t>
      </w:r>
      <w:r>
        <w:rPr>
          <w:rFonts w:ascii="Times New Roman" w:eastAsia="Times New Roman" w:hAnsi="Times New Roman" w:cs="Times New Roman"/>
          <w:color w:val="000000"/>
          <w:spacing w:val="0"/>
          <w:w w:val="100"/>
          <w:position w:val="0"/>
        </w:rPr>
        <w:t>25,000</w:t>
      </w:r>
      <w:r>
        <w:rPr>
          <w:color w:val="000000"/>
          <w:spacing w:val="0"/>
          <w:w w:val="100"/>
          <w:position w:val="0"/>
        </w:rPr>
        <w:t>万元人民币的价格收购北京志东方</w:t>
      </w:r>
      <w:r>
        <w:rPr>
          <w:rFonts w:ascii="Times New Roman" w:eastAsia="Times New Roman" w:hAnsi="Times New Roman" w:cs="Times New Roman"/>
          <w:color w:val="000000"/>
          <w:spacing w:val="0"/>
          <w:w w:val="100"/>
          <w:position w:val="0"/>
        </w:rPr>
        <w:t>100%</w:t>
      </w:r>
      <w:r>
        <w:rPr>
          <w:color w:val="000000"/>
          <w:spacing w:val="0"/>
          <w:w w:val="100"/>
          <w:position w:val="0"/>
        </w:rPr>
        <w:t>股权。交易对方向公司承诺北京志东方</w:t>
      </w:r>
      <w:r>
        <w:rPr>
          <w:rFonts w:ascii="Times New Roman" w:eastAsia="Times New Roman" w:hAnsi="Times New Roman" w:cs="Times New Roman"/>
          <w:color w:val="000000"/>
          <w:spacing w:val="0"/>
          <w:w w:val="100"/>
          <w:position w:val="0"/>
        </w:rPr>
        <w:t>2019</w:t>
      </w:r>
      <w:r>
        <w:rPr>
          <w:color w:val="000000"/>
          <w:spacing w:val="0"/>
          <w:w w:val="100"/>
          <w:position w:val="0"/>
        </w:rPr>
        <w:t>年 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年度对应的净利润分别为不低于</w:t>
      </w:r>
      <w:r>
        <w:rPr>
          <w:rFonts w:ascii="Times New Roman" w:eastAsia="Times New Roman" w:hAnsi="Times New Roman" w:cs="Times New Roman"/>
          <w:color w:val="000000"/>
          <w:spacing w:val="0"/>
          <w:w w:val="100"/>
          <w:position w:val="0"/>
        </w:rPr>
        <w:t>1,800</w:t>
      </w:r>
      <w:r>
        <w:rPr>
          <w:color w:val="000000"/>
          <w:spacing w:val="0"/>
          <w:w w:val="100"/>
          <w:position w:val="0"/>
        </w:rPr>
        <w:t>万元、</w:t>
      </w:r>
      <w:r>
        <w:rPr>
          <w:rFonts w:ascii="Times New Roman" w:eastAsia="Times New Roman" w:hAnsi="Times New Roman" w:cs="Times New Roman"/>
          <w:color w:val="000000"/>
          <w:spacing w:val="0"/>
          <w:w w:val="100"/>
          <w:position w:val="0"/>
        </w:rPr>
        <w:t>2,200</w:t>
      </w:r>
      <w:r>
        <w:rPr>
          <w:color w:val="000000"/>
          <w:spacing w:val="0"/>
          <w:w w:val="100"/>
          <w:position w:val="0"/>
        </w:rPr>
        <w:t>万元、</w:t>
      </w:r>
      <w:r>
        <w:rPr>
          <w:rFonts w:ascii="Times New Roman" w:eastAsia="Times New Roman" w:hAnsi="Times New Roman" w:cs="Times New Roman"/>
          <w:color w:val="000000"/>
          <w:spacing w:val="0"/>
          <w:w w:val="100"/>
          <w:position w:val="0"/>
        </w:rPr>
        <w:t>2,700</w:t>
      </w:r>
      <w:r>
        <w:rPr>
          <w:color w:val="000000"/>
          <w:spacing w:val="0"/>
          <w:w w:val="100"/>
          <w:position w:val="0"/>
        </w:rPr>
        <w:t>万元。</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业绩承诺的完成情况及其对商誉减值测试的影响</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2021</w:t>
      </w:r>
      <w:r>
        <w:rPr>
          <w:color w:val="000000"/>
          <w:spacing w:val="0"/>
          <w:w w:val="100"/>
          <w:position w:val="0"/>
        </w:rPr>
        <w:t>年度北京志东方净利润为</w:t>
      </w:r>
      <w:r>
        <w:rPr>
          <w:color w:val="000000"/>
          <w:spacing w:val="0"/>
          <w:w w:val="100"/>
          <w:position w:val="0"/>
        </w:rPr>
        <w:t>2,801.14</w:t>
      </w:r>
      <w:r>
        <w:rPr>
          <w:color w:val="000000"/>
          <w:spacing w:val="0"/>
          <w:w w:val="100"/>
          <w:position w:val="0"/>
        </w:rPr>
        <w:t>万元，非经常性损益税后净额为</w:t>
      </w:r>
      <w:r>
        <w:rPr>
          <w:color w:val="000000"/>
          <w:spacing w:val="0"/>
          <w:w w:val="100"/>
          <w:position w:val="0"/>
        </w:rPr>
        <w:t>63.86</w:t>
      </w:r>
      <w:r>
        <w:rPr>
          <w:color w:val="000000"/>
          <w:spacing w:val="0"/>
          <w:w w:val="100"/>
          <w:position w:val="0"/>
        </w:rPr>
        <w:t>万元，扣除非经常性损 益后的净利润为</w:t>
      </w:r>
      <w:r>
        <w:rPr>
          <w:color w:val="000000"/>
          <w:spacing w:val="0"/>
          <w:w w:val="100"/>
          <w:position w:val="0"/>
        </w:rPr>
        <w:t>2,737.28</w:t>
      </w:r>
      <w:r>
        <w:rPr>
          <w:color w:val="000000"/>
          <w:spacing w:val="0"/>
          <w:w w:val="100"/>
          <w:position w:val="0"/>
        </w:rPr>
        <w:t>万元，</w:t>
      </w:r>
      <w:r>
        <w:rPr>
          <w:color w:val="000000"/>
          <w:spacing w:val="0"/>
          <w:w w:val="100"/>
          <w:position w:val="0"/>
        </w:rPr>
        <w:t>2021</w:t>
      </w:r>
      <w:r>
        <w:rPr>
          <w:color w:val="000000"/>
          <w:spacing w:val="0"/>
          <w:w w:val="100"/>
          <w:position w:val="0"/>
        </w:rPr>
        <w:t>度北京志东方己完成业绩承诺，不存在减值迹象。</w:t>
      </w:r>
    </w:p>
    <w:p>
      <w:pPr>
        <w:pStyle w:val="Style22"/>
        <w:keepNext/>
        <w:keepLines/>
        <w:widowControl w:val="0"/>
        <w:shd w:val="clear" w:color="auto" w:fill="auto"/>
        <w:tabs>
          <w:tab w:pos="517" w:val="left"/>
        </w:tabs>
        <w:bidi w:val="0"/>
        <w:spacing w:before="0" w:after="36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sz w:val="24"/>
          <w:szCs w:val="24"/>
        </w:rPr>
        <w:t>二</w:t>
      </w:r>
      <w:bookmarkEnd w:id="405"/>
      <w:r>
        <w:rPr>
          <w:color w:val="000000"/>
          <w:spacing w:val="0"/>
          <w:w w:val="100"/>
          <w:position w:val="0"/>
          <w:sz w:val="24"/>
          <w:szCs w:val="24"/>
        </w:rPr>
        <w:t>、</w:t>
        <w:tab/>
        <w:t>控股股东及其他关联方对上市公司的非经营性占用资金情况</w:t>
      </w:r>
      <w:bookmarkEnd w:id="403"/>
      <w:bookmarkEnd w:id="404"/>
      <w:bookmarkEnd w:id="406"/>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36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sz w:val="24"/>
          <w:szCs w:val="24"/>
        </w:rPr>
        <w:t>三</w:t>
      </w:r>
      <w:bookmarkEnd w:id="409"/>
      <w:r>
        <w:rPr>
          <w:color w:val="000000"/>
          <w:spacing w:val="0"/>
          <w:w w:val="100"/>
          <w:position w:val="0"/>
          <w:sz w:val="24"/>
          <w:szCs w:val="24"/>
        </w:rPr>
        <w:t>、</w:t>
        <w:tab/>
        <w:t>违规对外担保情况</w:t>
      </w:r>
      <w:bookmarkEnd w:id="407"/>
      <w:bookmarkEnd w:id="408"/>
      <w:bookmarkEnd w:id="410"/>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both"/>
        <w:rPr>
          <w:sz w:val="19"/>
          <w:szCs w:val="19"/>
        </w:rPr>
      </w:pPr>
      <w:r>
        <w:rPr>
          <w:color w:val="000000"/>
          <w:spacing w:val="0"/>
          <w:w w:val="100"/>
          <w:position w:val="0"/>
          <w:sz w:val="19"/>
          <w:szCs w:val="19"/>
        </w:rPr>
        <w:t>公司报告期无违规对外担保情况。</w:t>
      </w:r>
    </w:p>
    <w:p>
      <w:pPr>
        <w:pStyle w:val="Style22"/>
        <w:keepNext/>
        <w:keepLines/>
        <w:widowControl w:val="0"/>
        <w:shd w:val="clear" w:color="auto" w:fill="auto"/>
        <w:tabs>
          <w:tab w:pos="522" w:val="left"/>
        </w:tabs>
        <w:bidi w:val="0"/>
        <w:spacing w:before="0" w:after="36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sz w:val="24"/>
          <w:szCs w:val="24"/>
        </w:rPr>
        <w:t>四</w:t>
      </w:r>
      <w:bookmarkEnd w:id="413"/>
      <w:r>
        <w:rPr>
          <w:color w:val="000000"/>
          <w:spacing w:val="0"/>
          <w:w w:val="100"/>
          <w:position w:val="0"/>
          <w:sz w:val="24"/>
          <w:szCs w:val="24"/>
        </w:rPr>
        <w:t>、</w:t>
        <w:tab/>
        <w:t>董事会对最近一期</w:t>
      </w:r>
      <w:r>
        <w:rPr>
          <w:rFonts w:ascii="Arial" w:eastAsia="Arial" w:hAnsi="Arial" w:cs="Arial"/>
          <w:b w:val="0"/>
          <w:bCs w:val="0"/>
          <w:color w:val="000000"/>
          <w:spacing w:val="0"/>
          <w:w w:val="100"/>
          <w:position w:val="0"/>
          <w:sz w:val="20"/>
          <w:szCs w:val="20"/>
        </w:rPr>
        <w:t>“</w:t>
      </w:r>
      <w:r>
        <w:rPr>
          <w:color w:val="000000"/>
          <w:spacing w:val="0"/>
          <w:w w:val="100"/>
          <w:position w:val="0"/>
          <w:sz w:val="24"/>
          <w:szCs w:val="24"/>
        </w:rPr>
        <w:t>非标准审计报告</w:t>
      </w:r>
      <w:r>
        <w:rPr>
          <w:rFonts w:ascii="Arial" w:eastAsia="Arial" w:hAnsi="Arial" w:cs="Arial"/>
          <w:b w:val="0"/>
          <w:bCs w:val="0"/>
          <w:color w:val="000000"/>
          <w:spacing w:val="0"/>
          <w:w w:val="100"/>
          <w:position w:val="0"/>
          <w:sz w:val="20"/>
          <w:szCs w:val="20"/>
        </w:rPr>
        <w:t>”</w:t>
      </w:r>
      <w:r>
        <w:rPr>
          <w:color w:val="000000"/>
          <w:spacing w:val="0"/>
          <w:w w:val="100"/>
          <w:position w:val="0"/>
          <w:sz w:val="24"/>
          <w:szCs w:val="24"/>
        </w:rPr>
        <w:t>相关情况的说明</w:t>
      </w:r>
      <w:bookmarkEnd w:id="411"/>
      <w:bookmarkEnd w:id="412"/>
      <w:bookmarkEnd w:id="414"/>
    </w:p>
    <w:p>
      <w:pPr>
        <w:pStyle w:val="Style18"/>
        <w:keepNext w:val="0"/>
        <w:keepLines w:val="0"/>
        <w:widowControl w:val="0"/>
        <w:shd w:val="clear" w:color="auto" w:fill="auto"/>
        <w:bidi w:val="0"/>
        <w:spacing w:before="0" w:after="100"/>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2"/>
        <w:keepNext/>
        <w:keepLines/>
        <w:widowControl w:val="0"/>
        <w:shd w:val="clear" w:color="auto" w:fill="auto"/>
        <w:tabs>
          <w:tab w:pos="522" w:val="left"/>
        </w:tabs>
        <w:bidi w:val="0"/>
        <w:spacing w:before="0" w:after="36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sz w:val="24"/>
          <w:szCs w:val="24"/>
        </w:rPr>
        <w:t>五</w:t>
      </w:r>
      <w:bookmarkEnd w:id="417"/>
      <w:r>
        <w:rPr>
          <w:color w:val="000000"/>
          <w:spacing w:val="0"/>
          <w:w w:val="100"/>
          <w:position w:val="0"/>
          <w:sz w:val="24"/>
          <w:szCs w:val="24"/>
        </w:rPr>
        <w:t>、</w:t>
        <w:tab/>
        <w:t>董事会、监事会、独立董事（如有）对会计师事务所本报告期</w:t>
      </w:r>
      <w:r>
        <w:rPr>
          <w:rFonts w:ascii="Arial" w:eastAsia="Arial" w:hAnsi="Arial" w:cs="Arial"/>
          <w:b w:val="0"/>
          <w:bCs w:val="0"/>
          <w:color w:val="000000"/>
          <w:spacing w:val="0"/>
          <w:w w:val="100"/>
          <w:position w:val="0"/>
          <w:sz w:val="20"/>
          <w:szCs w:val="20"/>
        </w:rPr>
        <w:t>“</w:t>
      </w:r>
      <w:r>
        <w:rPr>
          <w:color w:val="000000"/>
          <w:spacing w:val="0"/>
          <w:w w:val="100"/>
          <w:position w:val="0"/>
          <w:sz w:val="24"/>
          <w:szCs w:val="24"/>
        </w:rPr>
        <w:t>非标准审计报告</w:t>
      </w:r>
      <w:r>
        <w:rPr>
          <w:rFonts w:ascii="Arial" w:eastAsia="Arial" w:hAnsi="Arial" w:cs="Arial"/>
          <w:b w:val="0"/>
          <w:bCs w:val="0"/>
          <w:color w:val="000000"/>
          <w:spacing w:val="0"/>
          <w:w w:val="100"/>
          <w:position w:val="0"/>
          <w:sz w:val="20"/>
          <w:szCs w:val="20"/>
        </w:rPr>
        <w:t>”</w:t>
      </w:r>
      <w:r>
        <w:rPr>
          <w:color w:val="000000"/>
          <w:spacing w:val="0"/>
          <w:w w:val="100"/>
          <w:position w:val="0"/>
          <w:sz w:val="24"/>
          <w:szCs w:val="24"/>
        </w:rPr>
        <w:t>的说明</w:t>
      </w:r>
      <w:bookmarkEnd w:id="415"/>
      <w:bookmarkEnd w:id="416"/>
      <w:bookmarkEnd w:id="418"/>
    </w:p>
    <w:p>
      <w:pPr>
        <w:pStyle w:val="Style18"/>
        <w:keepNext w:val="0"/>
        <w:keepLines w:val="0"/>
        <w:widowControl w:val="0"/>
        <w:shd w:val="clear" w:color="auto" w:fill="auto"/>
        <w:bidi w:val="0"/>
        <w:spacing w:before="0" w:after="100"/>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22"/>
        <w:keepNext/>
        <w:keepLines/>
        <w:widowControl w:val="0"/>
        <w:shd w:val="clear" w:color="auto" w:fill="auto"/>
        <w:tabs>
          <w:tab w:pos="522" w:val="left"/>
        </w:tabs>
        <w:bidi w:val="0"/>
        <w:spacing w:before="0" w:after="100" w:line="240" w:lineRule="auto"/>
        <w:ind w:left="0" w:right="0" w:firstLine="0"/>
        <w:jc w:val="both"/>
      </w:pPr>
      <w:bookmarkStart w:id="419" w:name="bookmark419"/>
      <w:bookmarkStart w:id="420" w:name="bookmark420"/>
      <w:bookmarkStart w:id="421" w:name="bookmark421"/>
      <w:bookmarkStart w:id="422" w:name="bookmark422"/>
      <w:r>
        <w:rPr>
          <w:color w:val="000000"/>
          <w:spacing w:val="0"/>
          <w:w w:val="100"/>
          <w:position w:val="0"/>
          <w:sz w:val="24"/>
          <w:szCs w:val="24"/>
        </w:rPr>
        <w:t>六</w:t>
      </w:r>
      <w:bookmarkEnd w:id="421"/>
      <w:r>
        <w:rPr>
          <w:color w:val="000000"/>
          <w:spacing w:val="0"/>
          <w:w w:val="100"/>
          <w:position w:val="0"/>
          <w:sz w:val="24"/>
          <w:szCs w:val="24"/>
        </w:rPr>
        <w:t>、</w:t>
        <w:tab/>
        <w:t>与上年度财务报告相比，会计政策、会计估计变更或重大会计差错更正的情况说明</w:t>
      </w:r>
      <w:bookmarkEnd w:id="419"/>
      <w:bookmarkEnd w:id="420"/>
      <w:bookmarkEnd w:id="422"/>
    </w:p>
    <w:p>
      <w:pPr>
        <w:pStyle w:val="Style18"/>
        <w:keepNext w:val="0"/>
        <w:keepLines w:val="0"/>
        <w:widowControl w:val="0"/>
        <w:shd w:val="clear" w:color="auto" w:fill="auto"/>
        <w:bidi w:val="0"/>
        <w:spacing w:before="0" w:after="0" w:line="469" w:lineRule="exact"/>
        <w:ind w:left="0" w:right="0" w:firstLine="0"/>
        <w:jc w:val="both"/>
        <w:rPr>
          <w:sz w:val="19"/>
          <w:szCs w:val="19"/>
        </w:rPr>
      </w:pPr>
      <w:r>
        <w:rPr>
          <w:color w:val="000000"/>
          <w:spacing w:val="0"/>
          <w:w w:val="100"/>
          <w:position w:val="0"/>
          <w:sz w:val="20"/>
          <w:szCs w:val="20"/>
        </w:rPr>
        <w:t>寸</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报告期内公司会计政策变更如下：</w:t>
      </w:r>
    </w:p>
    <w:p>
      <w:pPr>
        <w:pStyle w:val="Style18"/>
        <w:keepNext w:val="0"/>
        <w:keepLines w:val="0"/>
        <w:widowControl w:val="0"/>
        <w:numPr>
          <w:ilvl w:val="0"/>
          <w:numId w:val="17"/>
        </w:numPr>
        <w:shd w:val="clear" w:color="auto" w:fill="auto"/>
        <w:bidi w:val="0"/>
        <w:spacing w:before="0" w:after="0" w:line="469" w:lineRule="exact"/>
        <w:ind w:left="0" w:right="0" w:firstLine="440"/>
        <w:jc w:val="both"/>
      </w:pPr>
      <w:bookmarkStart w:id="423" w:name="bookmark423"/>
      <w:bookmarkEnd w:id="423"/>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w:t>
      </w:r>
    </w:p>
    <w:p>
      <w:pPr>
        <w:pStyle w:val="Style18"/>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财政部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租赁》（财会</w:t>
      </w:r>
      <w:r>
        <w:rPr>
          <w:rFonts w:ascii="Times New Roman" w:eastAsia="Times New Roman" w:hAnsi="Times New Roman" w:cs="Times New Roman"/>
          <w:color w:val="000000"/>
          <w:spacing w:val="0"/>
          <w:w w:val="100"/>
          <w:position w:val="0"/>
        </w:rPr>
        <w:t>[2018]35</w:t>
      </w:r>
      <w:r>
        <w:rPr>
          <w:color w:val="000000"/>
          <w:spacing w:val="0"/>
          <w:w w:val="100"/>
          <w:position w:val="0"/>
        </w:rPr>
        <w:t xml:space="preserve">号）（以下简称 </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日起执行新租赁准则。根据新租赁准则的相关规定，本公司对于首次 执行本准则的累积影响数，调整首次执行本准则当年年初留存收益及财务报表其他相关项目金额，不调整 可比期间信息。执行新租赁准则对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年期初报表项目影响如下：</w:t>
      </w:r>
    </w:p>
    <w:tbl>
      <w:tblPr>
        <w:tblOverlap w:val="never"/>
        <w:jc w:val="center"/>
        <w:tblLayout w:type="fixed"/>
      </w:tblPr>
      <w:tblGrid>
        <w:gridCol w:w="4262"/>
        <w:gridCol w:w="2126"/>
        <w:gridCol w:w="213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8"/>
                <w:szCs w:val="18"/>
              </w:rPr>
              <w:t>2020</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12</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31</w:t>
            </w:r>
            <w:r>
              <w:rPr>
                <w:rFonts w:ascii="SimSun" w:eastAsia="SimSun" w:hAnsi="SimSun" w:cs="SimSun"/>
                <w:b/>
                <w:bCs/>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8"/>
                <w:szCs w:val="18"/>
              </w:rPr>
              <w:t>2021</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日（元）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2,693,484.79</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首次执行日计入资产负债表的租赁负债采用的承租人增量借款利率的加权平均值为</w:t>
      </w:r>
      <w:r>
        <w:rPr>
          <w:color w:val="000000"/>
          <w:spacing w:val="0"/>
          <w:w w:val="100"/>
          <w:position w:val="0"/>
          <w:sz w:val="20"/>
          <w:szCs w:val="20"/>
        </w:rPr>
        <w:t>4.30%：</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7618"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5866"/>
        <w:gridCol w:w="2736"/>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日合并财务报告中的重大经营租赁的尚未支付的最低租赁付款 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12,129,160.44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11,151,058.25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日新租赁准则下的租赁负债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11,151,058.25</w:t>
            </w:r>
          </w:p>
        </w:tc>
      </w:tr>
    </w:tbl>
    <w:p>
      <w:pPr>
        <w:widowControl w:val="0"/>
        <w:spacing w:after="99" w:line="1" w:lineRule="exact"/>
      </w:pPr>
    </w:p>
    <w:p>
      <w:pPr>
        <w:pStyle w:val="Style18"/>
        <w:keepNext w:val="0"/>
        <w:keepLines w:val="0"/>
        <w:widowControl w:val="0"/>
        <w:numPr>
          <w:ilvl w:val="0"/>
          <w:numId w:val="17"/>
        </w:numPr>
        <w:shd w:val="clear" w:color="auto" w:fill="auto"/>
        <w:bidi w:val="0"/>
        <w:spacing w:before="0" w:after="220" w:line="240" w:lineRule="auto"/>
        <w:ind w:left="0" w:right="0" w:firstLine="440"/>
        <w:jc w:val="both"/>
      </w:pPr>
      <w:bookmarkStart w:id="424" w:name="bookmark424"/>
      <w:bookmarkEnd w:id="424"/>
      <w:r>
        <w:rPr>
          <w:color w:val="000000"/>
          <w:spacing w:val="0"/>
          <w:w w:val="100"/>
          <w:position w:val="0"/>
        </w:rPr>
        <w:t>执行《企业会计准则解释第</w:t>
      </w:r>
      <w:r>
        <w:rPr>
          <w:color w:val="000000"/>
          <w:spacing w:val="0"/>
          <w:w w:val="100"/>
          <w:position w:val="0"/>
        </w:rPr>
        <w:t>14</w:t>
      </w:r>
      <w:r>
        <w:rPr>
          <w:color w:val="000000"/>
          <w:spacing w:val="0"/>
          <w:w w:val="100"/>
          <w:position w:val="0"/>
        </w:rPr>
        <w:t>号》</w:t>
      </w:r>
    </w:p>
    <w:p>
      <w:pPr>
        <w:pStyle w:val="Style18"/>
        <w:keepNext w:val="0"/>
        <w:keepLines w:val="0"/>
        <w:widowControl w:val="0"/>
        <w:shd w:val="clear" w:color="auto" w:fill="auto"/>
        <w:tabs>
          <w:tab w:pos="7078" w:val="left"/>
        </w:tabs>
        <w:bidi w:val="0"/>
        <w:spacing w:before="0" w:after="0" w:line="240" w:lineRule="auto"/>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w:t>
        <w:tab/>
        <w:t>1</w:t>
      </w:r>
      <w:r>
        <w:rPr>
          <w:color w:val="000000"/>
          <w:spacing w:val="0"/>
          <w:w w:val="100"/>
          <w:position w:val="0"/>
        </w:rPr>
        <w:t xml:space="preserve">号，以下简称“解释第 </w:t>
      </w:r>
      <w:r>
        <w:rPr>
          <w:color w:val="000000"/>
          <w:spacing w:val="0"/>
          <w:w w:val="100"/>
          <w:position w:val="0"/>
        </w:rPr>
        <w:t>14</w:t>
      </w:r>
      <w:r>
        <w:rPr>
          <w:color w:val="000000"/>
          <w:spacing w:val="0"/>
          <w:w w:val="100"/>
          <w:position w:val="0"/>
        </w:rPr>
        <w:t>号”</w:t>
      </w:r>
      <w:r>
        <w:rPr>
          <w:color w:val="000000"/>
          <w:spacing w:val="0"/>
          <w:w w:val="100"/>
          <w:position w:val="0"/>
        </w:rPr>
        <w:t>），</w:t>
      </w:r>
      <w:r>
        <w:rPr>
          <w:color w:val="000000"/>
          <w:spacing w:val="0"/>
          <w:w w:val="100"/>
          <w:position w:val="0"/>
        </w:rPr>
        <w:t>自公布之日起施行。本公司自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日执行解释第</w:t>
      </w:r>
      <w:r>
        <w:rPr>
          <w:color w:val="000000"/>
          <w:spacing w:val="0"/>
          <w:w w:val="100"/>
          <w:position w:val="0"/>
        </w:rPr>
        <w:t>14</w:t>
      </w:r>
      <w:r>
        <w:rPr>
          <w:color w:val="000000"/>
          <w:spacing w:val="0"/>
          <w:w w:val="100"/>
          <w:position w:val="0"/>
        </w:rPr>
        <w:t>号相关规定。根据累计影响数调整 施行日当年年年初留存收益以及财务报表其他相关项目，对可比期间信息不予调整。此次会计政策变更对 本公司报表无影响。</w:t>
      </w:r>
    </w:p>
    <w:p>
      <w:pPr>
        <w:pStyle w:val="Style18"/>
        <w:keepNext w:val="0"/>
        <w:keepLines w:val="0"/>
        <w:widowControl w:val="0"/>
        <w:numPr>
          <w:ilvl w:val="0"/>
          <w:numId w:val="17"/>
        </w:numPr>
        <w:shd w:val="clear" w:color="auto" w:fill="auto"/>
        <w:bidi w:val="0"/>
        <w:spacing w:before="0" w:after="0" w:line="474" w:lineRule="exact"/>
        <w:ind w:left="0" w:right="0" w:firstLine="440"/>
        <w:jc w:val="both"/>
      </w:pPr>
      <w:bookmarkStart w:id="425" w:name="bookmark425"/>
      <w:bookmarkEnd w:id="425"/>
      <w:r>
        <w:rPr>
          <w:color w:val="000000"/>
          <w:spacing w:val="0"/>
          <w:w w:val="100"/>
          <w:position w:val="0"/>
        </w:rPr>
        <w:t>执行《企业会计准则解释第</w:t>
      </w:r>
      <w:r>
        <w:rPr>
          <w:color w:val="000000"/>
          <w:spacing w:val="0"/>
          <w:w w:val="100"/>
          <w:position w:val="0"/>
        </w:rPr>
        <w:t>15</w:t>
      </w:r>
      <w:r>
        <w:rPr>
          <w:color w:val="000000"/>
          <w:spacing w:val="0"/>
          <w:w w:val="100"/>
          <w:position w:val="0"/>
        </w:rPr>
        <w:t>号》关于资金集中管理相关列报</w:t>
      </w:r>
    </w:p>
    <w:p>
      <w:pPr>
        <w:pStyle w:val="Style18"/>
        <w:keepNext w:val="0"/>
        <w:keepLines w:val="0"/>
        <w:widowControl w:val="0"/>
        <w:shd w:val="clear" w:color="auto" w:fill="auto"/>
        <w:bidi w:val="0"/>
        <w:spacing w:before="0" w:after="420" w:line="474" w:lineRule="exact"/>
        <w:ind w:left="0" w:right="0" w:firstLine="440"/>
        <w:jc w:val="both"/>
      </w:pPr>
      <w:r>
        <w:rPr>
          <w:color w:val="000000"/>
          <w:spacing w:val="0"/>
          <w:w w:val="100"/>
          <w:position w:val="0"/>
        </w:rPr>
        <w:t>财政部于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号，以下简称“解 释第</w:t>
      </w:r>
      <w:r>
        <w:rPr>
          <w:color w:val="000000"/>
          <w:spacing w:val="0"/>
          <w:w w:val="100"/>
          <w:position w:val="0"/>
        </w:rPr>
        <w:t>15</w:t>
      </w:r>
      <w:r>
        <w:rPr>
          <w:color w:val="000000"/>
          <w:spacing w:val="0"/>
          <w:w w:val="100"/>
          <w:position w:val="0"/>
        </w:rPr>
        <w:t>号”），自公布之日起施行。“关于资金集中管理相关列报”内容，可比期间的财务报表数据相 应调整。此次会计政策变更对本公司报表无影响。</w:t>
      </w:r>
    </w:p>
    <w:p>
      <w:pPr>
        <w:pStyle w:val="Style22"/>
        <w:keepNext/>
        <w:keepLines/>
        <w:widowControl w:val="0"/>
        <w:shd w:val="clear" w:color="auto" w:fill="auto"/>
        <w:bidi w:val="0"/>
        <w:spacing w:before="0" w:after="160" w:line="240" w:lineRule="auto"/>
        <w:ind w:left="0" w:right="0" w:firstLine="0"/>
        <w:jc w:val="both"/>
      </w:pPr>
      <w:bookmarkStart w:id="426" w:name="bookmark426"/>
      <w:bookmarkStart w:id="427" w:name="bookmark427"/>
      <w:bookmarkStart w:id="428" w:name="bookmark428"/>
      <w:bookmarkStart w:id="429" w:name="bookmark429"/>
      <w:r>
        <w:rPr>
          <w:color w:val="000000"/>
          <w:spacing w:val="0"/>
          <w:w w:val="100"/>
          <w:position w:val="0"/>
          <w:sz w:val="24"/>
          <w:szCs w:val="24"/>
        </w:rPr>
        <w:t>七</w:t>
      </w:r>
      <w:bookmarkEnd w:id="428"/>
      <w:r>
        <w:rPr>
          <w:color w:val="000000"/>
          <w:spacing w:val="0"/>
          <w:w w:val="100"/>
          <w:position w:val="0"/>
          <w:sz w:val="24"/>
          <w:szCs w:val="24"/>
        </w:rPr>
        <w:t>、与上年度财务报告相比，合并报表范围发生变化的情况说明</w:t>
      </w:r>
      <w:bookmarkEnd w:id="426"/>
      <w:bookmarkEnd w:id="427"/>
      <w:bookmarkEnd w:id="429"/>
    </w:p>
    <w:p>
      <w:pPr>
        <w:pStyle w:val="Style18"/>
        <w:keepNext w:val="0"/>
        <w:keepLines w:val="0"/>
        <w:widowControl w:val="0"/>
        <w:shd w:val="clear" w:color="auto" w:fill="auto"/>
        <w:bidi w:val="0"/>
        <w:spacing w:before="0" w:after="160" w:line="474" w:lineRule="exact"/>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本年与上年比较减少合并单位</w:t>
      </w:r>
      <w:r>
        <w:rPr>
          <w:color w:val="000000"/>
          <w:spacing w:val="0"/>
          <w:w w:val="100"/>
          <w:position w:val="0"/>
        </w:rPr>
        <w:t>1</w:t>
      </w:r>
      <w:r>
        <w:rPr>
          <w:color w:val="000000"/>
          <w:spacing w:val="0"/>
          <w:w w:val="100"/>
          <w:position w:val="0"/>
        </w:rPr>
        <w:t>家。报告期内因注销减少香港中科金财科技有限公司。</w:t>
      </w:r>
    </w:p>
    <w:p>
      <w:pPr>
        <w:pStyle w:val="Style22"/>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八</w:t>
      </w:r>
      <w:bookmarkEnd w:id="432"/>
      <w:r>
        <w:rPr>
          <w:color w:val="000000"/>
          <w:spacing w:val="0"/>
          <w:w w:val="100"/>
          <w:position w:val="0"/>
          <w:sz w:val="24"/>
          <w:szCs w:val="24"/>
        </w:rPr>
        <w:t>、聘任、解聘会计师事务所情况</w:t>
      </w:r>
      <w:bookmarkEnd w:id="430"/>
      <w:bookmarkEnd w:id="431"/>
      <w:bookmarkEnd w:id="4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张学福、李钰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color w:val="000000"/>
          <w:spacing w:val="0"/>
          <w:w w:val="100"/>
          <w:position w:val="0"/>
          <w:sz w:val="20"/>
          <w:szCs w:val="20"/>
        </w:rPr>
        <w:t>口</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是否在审计期间改聘会计师事务所</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0"/>
          <w:szCs w:val="20"/>
        </w:rPr>
        <w:t>口</w:t>
      </w:r>
      <w:r>
        <w:rPr>
          <w:color w:val="000000"/>
          <w:spacing w:val="0"/>
          <w:w w:val="100"/>
          <w:position w:val="0"/>
        </w:rPr>
        <w:t>是</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更换会计师事务所是否履行审批程序</w:t>
      </w:r>
    </w:p>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是</w:t>
      </w:r>
      <w:r>
        <w:rPr>
          <w:color w:val="000000"/>
          <w:spacing w:val="0"/>
          <w:w w:val="100"/>
          <w:position w:val="0"/>
          <w:sz w:val="20"/>
          <w:szCs w:val="20"/>
        </w:rPr>
        <w:t>口</w:t>
      </w:r>
      <w:r>
        <w:rPr>
          <w:color w:val="000000"/>
          <w:spacing w:val="0"/>
          <w:w w:val="100"/>
          <w:position w:val="0"/>
        </w:rPr>
        <w:t>否</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对改聘、变更会计师事务所情况的详细说明</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公司原聘请的会计师事务所为立信会计师事务所（特殊普通合伙），综合考虑公司的经营发展和对审 计服务的需求等情况，经</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日公司第五届董事会第二十二次会议和</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w:t>
      </w:r>
      <w:r>
        <w:rPr>
          <w:color w:val="000000"/>
          <w:spacing w:val="0"/>
          <w:w w:val="100"/>
          <w:position w:val="0"/>
        </w:rPr>
        <w:t>2021</w:t>
      </w:r>
      <w:r>
        <w:rPr>
          <w:color w:val="000000"/>
          <w:spacing w:val="0"/>
          <w:w w:val="100"/>
          <w:position w:val="0"/>
        </w:rPr>
        <w:t>年第三 次临时股东大会审议通过，公司聘请中兴财光华会计师事务所（特殊普通合伙）担任公司</w:t>
      </w:r>
      <w:r>
        <w:rPr>
          <w:color w:val="000000"/>
          <w:spacing w:val="0"/>
          <w:w w:val="100"/>
          <w:position w:val="0"/>
        </w:rPr>
        <w:t>2021</w:t>
      </w:r>
      <w:r>
        <w:rPr>
          <w:color w:val="000000"/>
          <w:spacing w:val="0"/>
          <w:w w:val="100"/>
          <w:position w:val="0"/>
        </w:rPr>
        <w:t>年度审计机 构。中兴财光华会计师事务所（特殊普通合伙）具有证券相关业务执业资格，具备足够的专业胜任能力、 投资者保护能力、诚信状况及独立性，有利于保障和提高公司审计工作的质量，有利于保护公司及全体股 东尤其是中小股东的利益。</w:t>
      </w:r>
    </w:p>
    <w:p>
      <w:pPr>
        <w:pStyle w:val="Style18"/>
        <w:keepNext w:val="0"/>
        <w:keepLines w:val="0"/>
        <w:widowControl w:val="0"/>
        <w:shd w:val="clear" w:color="auto" w:fill="auto"/>
        <w:bidi w:val="0"/>
        <w:spacing w:before="0" w:after="280" w:line="240" w:lineRule="auto"/>
        <w:ind w:left="0" w:right="0" w:firstLine="0"/>
        <w:jc w:val="both"/>
        <w:rPr>
          <w:sz w:val="19"/>
          <w:szCs w:val="19"/>
        </w:rPr>
      </w:pPr>
      <w:r>
        <w:rPr>
          <w:color w:val="000000"/>
          <w:spacing w:val="0"/>
          <w:w w:val="100"/>
          <w:position w:val="0"/>
          <w:sz w:val="19"/>
          <w:szCs w:val="19"/>
        </w:rPr>
        <w:t>聘请内部控制审计会计师事务所、财务顾问或保荐人情况</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30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九</w:t>
      </w:r>
      <w:bookmarkEnd w:id="436"/>
      <w:r>
        <w:rPr>
          <w:color w:val="000000"/>
          <w:spacing w:val="0"/>
          <w:w w:val="100"/>
          <w:position w:val="0"/>
          <w:sz w:val="24"/>
          <w:szCs w:val="24"/>
        </w:rPr>
        <w:t>、年度报告披露后面临退市情况</w:t>
      </w:r>
      <w:bookmarkEnd w:id="434"/>
      <w:bookmarkEnd w:id="435"/>
      <w:bookmarkEnd w:id="437"/>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300" w:line="240" w:lineRule="auto"/>
        <w:ind w:left="0" w:right="0" w:firstLine="0"/>
        <w:jc w:val="left"/>
      </w:pPr>
      <w:bookmarkStart w:id="438" w:name="bookmark438"/>
      <w:bookmarkStart w:id="439" w:name="bookmark439"/>
      <w:bookmarkStart w:id="440" w:name="bookmark440"/>
      <w:r>
        <w:rPr>
          <w:color w:val="000000"/>
          <w:spacing w:val="0"/>
          <w:w w:val="100"/>
          <w:position w:val="0"/>
          <w:sz w:val="24"/>
          <w:szCs w:val="24"/>
        </w:rPr>
        <w:t>十、破产重整相关事项</w:t>
      </w:r>
      <w:bookmarkEnd w:id="438"/>
      <w:bookmarkEnd w:id="439"/>
      <w:bookmarkEnd w:id="440"/>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公司报告期未发生破产重整相关事项。</w:t>
      </w:r>
    </w:p>
    <w:p>
      <w:pPr>
        <w:pStyle w:val="Style22"/>
        <w:keepNext/>
        <w:keepLines/>
        <w:widowControl w:val="0"/>
        <w:shd w:val="clear" w:color="auto" w:fill="auto"/>
        <w:bidi w:val="0"/>
        <w:spacing w:before="0" w:after="30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十一、重大诉讼、仲裁事项</w:t>
      </w:r>
      <w:bookmarkEnd w:id="441"/>
      <w:bookmarkEnd w:id="442"/>
      <w:bookmarkEnd w:id="44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不适用</w:t>
      </w:r>
    </w:p>
    <w:tbl>
      <w:tblPr>
        <w:tblOverlap w:val="never"/>
        <w:jc w:val="center"/>
        <w:tblLayout w:type="fixed"/>
      </w:tblPr>
      <w:tblGrid>
        <w:gridCol w:w="1570"/>
        <w:gridCol w:w="1070"/>
        <w:gridCol w:w="1248"/>
        <w:gridCol w:w="941"/>
        <w:gridCol w:w="1373"/>
        <w:gridCol w:w="1248"/>
        <w:gridCol w:w="1061"/>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涉案金额（万</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诉讼</w:t>
            </w:r>
            <w:r>
              <w:rPr>
                <w:color w:val="000000"/>
                <w:spacing w:val="0"/>
                <w:w w:val="100"/>
                <w:position w:val="0"/>
                <w:sz w:val="18"/>
                <w:szCs w:val="18"/>
              </w:rPr>
              <w:t>（</w:t>
            </w:r>
            <w:r>
              <w:rPr>
                <w:rFonts w:ascii="SimSun" w:eastAsia="SimSun" w:hAnsi="SimSun" w:cs="SimSun"/>
                <w:color w:val="000000"/>
                <w:spacing w:val="0"/>
                <w:w w:val="100"/>
                <w:position w:val="0"/>
                <w:sz w:val="16"/>
                <w:szCs w:val="16"/>
              </w:rPr>
              <w:t>仲裁</w:t>
            </w:r>
            <w:r>
              <w:rPr>
                <w:color w:val="000000"/>
                <w:spacing w:val="0"/>
                <w:w w:val="100"/>
                <w:position w:val="0"/>
                <w:sz w:val="18"/>
                <w:szCs w:val="18"/>
              </w:rPr>
              <w:t>）</w:t>
            </w:r>
            <w:r>
              <w:rPr>
                <w:rFonts w:ascii="SimSun" w:eastAsia="SimSun" w:hAnsi="SimSun" w:cs="SimSun"/>
                <w:color w:val="000000"/>
                <w:spacing w:val="0"/>
                <w:w w:val="100"/>
                <w:position w:val="0"/>
                <w:sz w:val="16"/>
                <w:szCs w:val="16"/>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披露索引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公司已经结案的诉 讼、仲裁案件共计</w:t>
            </w:r>
            <w:r>
              <w:rPr>
                <w:color w:val="000000"/>
                <w:spacing w:val="0"/>
                <w:w w:val="100"/>
                <w:position w:val="0"/>
                <w:sz w:val="18"/>
                <w:szCs w:val="18"/>
              </w:rPr>
              <w:t xml:space="preserve">6 </w:t>
            </w:r>
            <w:r>
              <w:rPr>
                <w:rFonts w:ascii="SimSun" w:eastAsia="SimSun" w:hAnsi="SimSun" w:cs="SimSun"/>
                <w:color w:val="000000"/>
                <w:spacing w:val="0"/>
                <w:w w:val="100"/>
                <w:position w:val="0"/>
                <w:sz w:val="16"/>
                <w:szCs w:val="16"/>
              </w:rPr>
              <w:t>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952.18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执行完毕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执行完毕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公司正在审理中的 诉讼、仲裁案件共 计</w:t>
            </w:r>
            <w:r>
              <w:rPr>
                <w:color w:val="000000"/>
                <w:spacing w:val="0"/>
                <w:w w:val="100"/>
                <w:position w:val="0"/>
                <w:sz w:val="18"/>
                <w:szCs w:val="18"/>
              </w:rPr>
              <w:t>4</w:t>
            </w:r>
            <w:r>
              <w:rPr>
                <w:rFonts w:ascii="SimSun" w:eastAsia="SimSun" w:hAnsi="SimSun" w:cs="SimSun"/>
                <w:color w:val="000000"/>
                <w:spacing w:val="0"/>
                <w:w w:val="100"/>
                <w:position w:val="0"/>
                <w:sz w:val="16"/>
                <w:szCs w:val="16"/>
              </w:rPr>
              <w:t>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1,614.31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444" w:name="bookmark444"/>
      <w:bookmarkStart w:id="445" w:name="bookmark445"/>
      <w:bookmarkStart w:id="446" w:name="bookmark446"/>
      <w:r>
        <w:rPr>
          <w:color w:val="000000"/>
          <w:spacing w:val="0"/>
          <w:w w:val="100"/>
          <w:position w:val="0"/>
          <w:sz w:val="24"/>
          <w:szCs w:val="24"/>
        </w:rPr>
        <w:t>十二、处罚及整改情况</w:t>
      </w:r>
      <w:bookmarkEnd w:id="444"/>
      <w:bookmarkEnd w:id="445"/>
      <w:bookmarkEnd w:id="446"/>
    </w:p>
    <w:p>
      <w:pPr>
        <w:pStyle w:val="Style18"/>
        <w:keepNext w:val="0"/>
        <w:keepLines w:val="0"/>
        <w:widowControl w:val="0"/>
        <w:numPr>
          <w:ilvl w:val="0"/>
          <w:numId w:val="19"/>
        </w:numPr>
        <w:shd w:val="clear" w:color="auto" w:fill="auto"/>
        <w:tabs>
          <w:tab w:pos="291" w:val="left"/>
        </w:tabs>
        <w:bidi w:val="0"/>
        <w:spacing w:before="0" w:after="0" w:line="322" w:lineRule="exact"/>
        <w:ind w:left="0" w:right="0" w:firstLine="0"/>
        <w:jc w:val="left"/>
        <w:rPr>
          <w:sz w:val="19"/>
          <w:szCs w:val="19"/>
        </w:rPr>
      </w:pPr>
      <w:bookmarkStart w:id="447" w:name="bookmark447"/>
      <w:bookmarkEnd w:id="447"/>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322" w:lineRule="exact"/>
        <w:ind w:left="0" w:right="0" w:firstLine="0"/>
        <w:jc w:val="left"/>
        <w:rPr>
          <w:sz w:val="19"/>
          <w:szCs w:val="19"/>
        </w:rPr>
      </w:pPr>
      <w:r>
        <w:rPr>
          <w:color w:val="000000"/>
          <w:spacing w:val="0"/>
          <w:w w:val="100"/>
          <w:position w:val="0"/>
          <w:sz w:val="19"/>
          <w:szCs w:val="19"/>
        </w:rPr>
        <w:t>公司报告期不存在处罚及整改情况。</w:t>
      </w:r>
    </w:p>
    <w:p>
      <w:pPr>
        <w:pStyle w:val="Style22"/>
        <w:keepNext/>
        <w:keepLines/>
        <w:widowControl w:val="0"/>
        <w:shd w:val="clear" w:color="auto" w:fill="auto"/>
        <w:bidi w:val="0"/>
        <w:spacing w:before="0" w:after="300" w:line="240" w:lineRule="auto"/>
        <w:ind w:left="0" w:right="0" w:firstLine="0"/>
        <w:jc w:val="left"/>
      </w:pPr>
      <w:bookmarkStart w:id="448" w:name="bookmark448"/>
      <w:bookmarkStart w:id="449" w:name="bookmark449"/>
      <w:bookmarkStart w:id="450" w:name="bookmark450"/>
      <w:r>
        <w:rPr>
          <w:color w:val="000000"/>
          <w:spacing w:val="0"/>
          <w:w w:val="100"/>
          <w:position w:val="0"/>
          <w:sz w:val="24"/>
          <w:szCs w:val="24"/>
        </w:rPr>
        <w:t>十三、公司及其控股股东、实际控制人的诚信状况</w:t>
      </w:r>
      <w:bookmarkEnd w:id="448"/>
      <w:bookmarkEnd w:id="449"/>
      <w:bookmarkEnd w:id="450"/>
    </w:p>
    <w:p>
      <w:pPr>
        <w:pStyle w:val="Style18"/>
        <w:keepNext w:val="0"/>
        <w:keepLines w:val="0"/>
        <w:widowControl w:val="0"/>
        <w:shd w:val="clear" w:color="auto" w:fill="auto"/>
        <w:bidi w:val="0"/>
        <w:spacing w:before="0" w:after="0" w:line="322" w:lineRule="exact"/>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322" w:lineRule="exact"/>
        <w:ind w:left="0" w:right="0" w:firstLine="0"/>
        <w:jc w:val="left"/>
        <w:rPr>
          <w:sz w:val="19"/>
          <w:szCs w:val="19"/>
        </w:rPr>
      </w:pPr>
      <w:r>
        <w:rPr>
          <w:color w:val="000000"/>
          <w:spacing w:val="0"/>
          <w:w w:val="100"/>
          <w:position w:val="0"/>
          <w:sz w:val="19"/>
          <w:szCs w:val="19"/>
        </w:rPr>
        <w:t>报告期内，公司及控股股东、实际控制人依法诚信经营，信用状况良好，不存在未履行法院生效判决、所负数 额较大的债务到期未清偿等情况。</w:t>
      </w:r>
    </w:p>
    <w:p>
      <w:pPr>
        <w:pStyle w:val="Style22"/>
        <w:keepNext/>
        <w:keepLines/>
        <w:widowControl w:val="0"/>
        <w:shd w:val="clear" w:color="auto" w:fill="auto"/>
        <w:bidi w:val="0"/>
        <w:spacing w:before="0" w:after="300" w:line="240" w:lineRule="auto"/>
        <w:ind w:left="0" w:right="0" w:firstLine="0"/>
        <w:jc w:val="left"/>
      </w:pPr>
      <w:bookmarkStart w:id="451" w:name="bookmark451"/>
      <w:bookmarkStart w:id="452" w:name="bookmark452"/>
      <w:bookmarkStart w:id="453" w:name="bookmark453"/>
      <w:r>
        <w:rPr>
          <w:color w:val="000000"/>
          <w:spacing w:val="0"/>
          <w:w w:val="100"/>
          <w:position w:val="0"/>
          <w:sz w:val="24"/>
          <w:szCs w:val="24"/>
        </w:rPr>
        <w:t>十四、重大关联交易</w:t>
      </w:r>
      <w:bookmarkEnd w:id="451"/>
      <w:bookmarkEnd w:id="452"/>
      <w:bookmarkEnd w:id="453"/>
    </w:p>
    <w:p>
      <w:pPr>
        <w:pStyle w:val="Style30"/>
        <w:keepNext/>
        <w:keepLines/>
        <w:widowControl w:val="0"/>
        <w:shd w:val="clear" w:color="auto" w:fill="auto"/>
        <w:bidi w:val="0"/>
        <w:spacing w:before="0" w:after="300" w:line="322" w:lineRule="exact"/>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、与日常经营相关的关联交易</w:t>
      </w:r>
      <w:bookmarkEnd w:id="454"/>
      <w:bookmarkEnd w:id="455"/>
      <w:bookmarkEnd w:id="457"/>
    </w:p>
    <w:p>
      <w:pPr>
        <w:pStyle w:val="Style18"/>
        <w:keepNext w:val="0"/>
        <w:keepLines w:val="0"/>
        <w:widowControl w:val="0"/>
        <w:numPr>
          <w:ilvl w:val="0"/>
          <w:numId w:val="19"/>
        </w:numPr>
        <w:shd w:val="clear" w:color="auto" w:fill="auto"/>
        <w:tabs>
          <w:tab w:pos="291" w:val="left"/>
        </w:tabs>
        <w:bidi w:val="0"/>
        <w:spacing w:before="0" w:after="0" w:line="322" w:lineRule="exact"/>
        <w:ind w:left="0" w:right="0" w:firstLine="0"/>
        <w:jc w:val="left"/>
        <w:rPr>
          <w:sz w:val="19"/>
          <w:szCs w:val="19"/>
        </w:rPr>
      </w:pPr>
      <w:bookmarkStart w:id="458" w:name="bookmark458"/>
      <w:bookmarkEnd w:id="458"/>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18"/>
        <w:keepNext w:val="0"/>
        <w:keepLines w:val="0"/>
        <w:widowControl w:val="0"/>
        <w:shd w:val="clear" w:color="auto" w:fill="auto"/>
        <w:bidi w:val="0"/>
        <w:spacing w:before="0" w:after="300" w:line="322" w:lineRule="exact"/>
        <w:ind w:left="0" w:right="0" w:firstLine="0"/>
        <w:jc w:val="left"/>
        <w:rPr>
          <w:sz w:val="19"/>
          <w:szCs w:val="19"/>
        </w:rPr>
      </w:pPr>
      <w:r>
        <w:rPr>
          <w:color w:val="000000"/>
          <w:spacing w:val="0"/>
          <w:w w:val="100"/>
          <w:position w:val="0"/>
          <w:sz w:val="19"/>
          <w:szCs w:val="19"/>
        </w:rPr>
        <w:t>公司报告期未发生与日常经营相关的关联交易。</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资产或股权收购、出售发生的关联交易</w:t>
      </w:r>
      <w:bookmarkEnd w:id="459"/>
      <w:bookmarkEnd w:id="460"/>
      <w:bookmarkEnd w:id="462"/>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公司报告期未发生资产或股权收购、出售的关联交易。</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共同对外投资的关联交易</w:t>
      </w:r>
      <w:bookmarkEnd w:id="463"/>
      <w:bookmarkEnd w:id="464"/>
      <w:bookmarkEnd w:id="466"/>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公司报告期未发生共同对外投资的关联交易。</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w:t>
        <w:tab/>
        <w:t>关联债权债务往来</w:t>
      </w:r>
      <w:bookmarkEnd w:id="467"/>
      <w:bookmarkEnd w:id="468"/>
      <w:bookmarkEnd w:id="470"/>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公司报告期不存在关联债权债务往来。</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w:t>
        <w:tab/>
        <w:t>与存在关联关系的财务公司的往来情况</w:t>
      </w:r>
      <w:bookmarkEnd w:id="471"/>
      <w:bookmarkEnd w:id="472"/>
      <w:bookmarkEnd w:id="474"/>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公司与存在关联关系的财务公司与关联方之间不存在存款、贷款、授信或其他金融业务。</w:t>
      </w:r>
    </w:p>
    <w:p>
      <w:pPr>
        <w:pStyle w:val="Style30"/>
        <w:keepNext/>
        <w:keepLines/>
        <w:widowControl w:val="0"/>
        <w:shd w:val="clear" w:color="auto" w:fill="auto"/>
        <w:tabs>
          <w:tab w:pos="378" w:val="left"/>
        </w:tabs>
        <w:bidi w:val="0"/>
        <w:spacing w:before="0" w:after="36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6</w:t>
      </w:r>
      <w:bookmarkEnd w:id="477"/>
      <w:r>
        <w:rPr>
          <w:color w:val="000000"/>
          <w:spacing w:val="0"/>
          <w:w w:val="100"/>
          <w:position w:val="0"/>
        </w:rPr>
        <w:t>、</w:t>
        <w:tab/>
        <w:t>公司控股的财务公司与关联方的往来情况</w:t>
      </w:r>
      <w:bookmarkEnd w:id="475"/>
      <w:bookmarkEnd w:id="476"/>
      <w:bookmarkEnd w:id="478"/>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公司控股的财务公司与关联方之间不存在存款、贷款、授信或其他金融业务。</w:t>
      </w:r>
    </w:p>
    <w:p>
      <w:pPr>
        <w:pStyle w:val="Style30"/>
        <w:keepNext/>
        <w:keepLines/>
        <w:widowControl w:val="0"/>
        <w:shd w:val="clear" w:color="auto" w:fill="auto"/>
        <w:tabs>
          <w:tab w:pos="373" w:val="left"/>
        </w:tabs>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7</w:t>
      </w:r>
      <w:bookmarkEnd w:id="481"/>
      <w:r>
        <w:rPr>
          <w:color w:val="000000"/>
          <w:spacing w:val="0"/>
          <w:w w:val="100"/>
          <w:position w:val="0"/>
        </w:rPr>
        <w:t>、</w:t>
        <w:tab/>
        <w:t>其他重大关联交易</w:t>
      </w:r>
      <w:bookmarkEnd w:id="479"/>
      <w:bookmarkEnd w:id="480"/>
      <w:bookmarkEnd w:id="482"/>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公司报告期无其他重大关联交易。</w:t>
      </w:r>
    </w:p>
    <w:p>
      <w:pPr>
        <w:pStyle w:val="Style22"/>
        <w:keepNext/>
        <w:keepLines/>
        <w:widowControl w:val="0"/>
        <w:shd w:val="clear" w:color="auto" w:fill="auto"/>
        <w:bidi w:val="0"/>
        <w:spacing w:before="0" w:after="360" w:line="240" w:lineRule="auto"/>
        <w:ind w:left="0" w:right="0" w:firstLine="0"/>
        <w:jc w:val="left"/>
      </w:pPr>
      <w:bookmarkStart w:id="483" w:name="bookmark483"/>
      <w:bookmarkStart w:id="484" w:name="bookmark484"/>
      <w:bookmarkStart w:id="485" w:name="bookmark485"/>
      <w:r>
        <w:rPr>
          <w:color w:val="000000"/>
          <w:spacing w:val="0"/>
          <w:w w:val="100"/>
          <w:position w:val="0"/>
          <w:sz w:val="24"/>
          <w:szCs w:val="24"/>
        </w:rPr>
        <w:t>十五、重大合同及其履行情况</w:t>
      </w:r>
      <w:bookmarkEnd w:id="483"/>
      <w:bookmarkEnd w:id="484"/>
      <w:bookmarkEnd w:id="485"/>
    </w:p>
    <w:p>
      <w:pPr>
        <w:pStyle w:val="Style30"/>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、托管、承包、租赁事项情况</w:t>
      </w:r>
      <w:bookmarkEnd w:id="486"/>
      <w:bookmarkEnd w:id="487"/>
      <w:bookmarkEnd w:id="489"/>
    </w:p>
    <w:p>
      <w:pPr>
        <w:pStyle w:val="Style35"/>
        <w:keepNext/>
        <w:keepLines/>
        <w:widowControl w:val="0"/>
        <w:shd w:val="clear" w:color="auto" w:fill="auto"/>
        <w:tabs>
          <w:tab w:pos="493" w:val="left"/>
        </w:tabs>
        <w:bidi w:val="0"/>
        <w:spacing w:before="0" w:after="3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w:t>
      </w:r>
      <w:bookmarkEnd w:id="492"/>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0"/>
      <w:bookmarkEnd w:id="491"/>
      <w:bookmarkEnd w:id="493"/>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公司报告期不存在托管情况。</w:t>
      </w:r>
    </w:p>
    <w:p>
      <w:pPr>
        <w:pStyle w:val="Style35"/>
        <w:keepNext/>
        <w:keepLines/>
        <w:widowControl w:val="0"/>
        <w:shd w:val="clear" w:color="auto" w:fill="auto"/>
        <w:tabs>
          <w:tab w:pos="493" w:val="left"/>
        </w:tabs>
        <w:bidi w:val="0"/>
        <w:spacing w:before="0" w:after="36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4"/>
      <w:bookmarkEnd w:id="495"/>
      <w:bookmarkEnd w:id="497"/>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公司报告期不存在承包情况。</w:t>
      </w:r>
      <w:r>
        <w:br w:type="page"/>
      </w:r>
    </w:p>
    <w:p>
      <w:pPr>
        <w:pStyle w:val="Style35"/>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498"/>
      <w:bookmarkEnd w:id="499"/>
      <w:bookmarkEnd w:id="501"/>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公司报告期不存在租赁情况。</w:t>
      </w:r>
    </w:p>
    <w:p>
      <w:pPr>
        <w:pStyle w:val="Style30"/>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2</w:t>
      </w:r>
      <w:bookmarkEnd w:id="504"/>
      <w:r>
        <w:rPr>
          <w:color w:val="000000"/>
          <w:spacing w:val="0"/>
          <w:w w:val="100"/>
          <w:position w:val="0"/>
        </w:rPr>
        <w:t>、重大担保</w:t>
      </w:r>
      <w:bookmarkEnd w:id="502"/>
      <w:bookmarkEnd w:id="503"/>
      <w:bookmarkEnd w:id="505"/>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相关公告</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担保物（如</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反担保</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情况</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（如</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是否为关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相关公告</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担保物（如</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反担保</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情况</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（如</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是否为关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天津中科</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金财科技</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6"/>
                <w:szCs w:val="16"/>
              </w:rPr>
              <w:t>月</w:t>
            </w:r>
            <w:r>
              <w:rPr>
                <w:color w:val="000000"/>
                <w:spacing w:val="0"/>
                <w:w w:val="100"/>
                <w:position w:val="0"/>
                <w:sz w:val="18"/>
                <w:szCs w:val="18"/>
              </w:rPr>
              <w:t>06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主债务履 行期届满 之日起</w:t>
            </w: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报告期内审批对子公司</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担保额度合计（</w:t>
            </w:r>
            <w:r>
              <w:rPr>
                <w:color w:val="000000"/>
                <w:spacing w:val="0"/>
                <w:w w:val="100"/>
                <w:position w:val="0"/>
                <w:sz w:val="18"/>
                <w:szCs w:val="18"/>
              </w:rPr>
              <w:t>B1</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报告期内对子公司担保 实际发生额合计（</w:t>
            </w:r>
            <w:r>
              <w:rPr>
                <w:color w:val="000000"/>
                <w:spacing w:val="0"/>
                <w:w w:val="100"/>
                <w:position w:val="0"/>
                <w:sz w:val="18"/>
                <w:szCs w:val="18"/>
              </w:rPr>
              <w:t>B2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报告期末已审批的对子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公司担保额度合计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B3</w:t>
            </w:r>
            <w:r>
              <w:rPr>
                <w:rFonts w:ascii="SimSun" w:eastAsia="SimSun" w:hAnsi="SimSun" w:cs="SimSun"/>
                <w:color w:val="000000"/>
                <w:spacing w:val="0"/>
                <w:w w:val="100"/>
                <w:position w:val="0"/>
                <w:sz w:val="16"/>
                <w:szCs w:val="16"/>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报告期末对子公司实际</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担保余额合计（</w:t>
            </w:r>
            <w:r>
              <w:rPr>
                <w:color w:val="000000"/>
                <w:spacing w:val="0"/>
                <w:w w:val="100"/>
                <w:position w:val="0"/>
                <w:sz w:val="18"/>
                <w:szCs w:val="18"/>
              </w:rPr>
              <w:t>B4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相关公告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担保物（如</w:t>
            </w:r>
          </w:p>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反担保</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情况</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（如</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是否为关</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A1+B1+C1</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报告期内担保实际发生 额合计（</w:t>
            </w:r>
            <w:r>
              <w:rPr>
                <w:color w:val="000000"/>
                <w:spacing w:val="0"/>
                <w:w w:val="100"/>
                <w:position w:val="0"/>
                <w:sz w:val="18"/>
                <w:szCs w:val="18"/>
              </w:rPr>
              <w:t>A2+B2+C2</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报告期末已审批的担保额度合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w:t>
            </w:r>
            <w:r>
              <w:rPr>
                <w:rFonts w:ascii="SimSun" w:eastAsia="SimSun" w:hAnsi="SimSun" w:cs="SimSun"/>
                <w:color w:val="000000"/>
                <w:spacing w:val="0"/>
                <w:w w:val="100"/>
                <w:position w:val="0"/>
                <w:sz w:val="16"/>
                <w:szCs w:val="16"/>
              </w:rPr>
              <w:t>（</w:t>
            </w:r>
            <w:r>
              <w:rPr>
                <w:color w:val="000000"/>
                <w:spacing w:val="0"/>
                <w:w w:val="100"/>
                <w:position w:val="0"/>
                <w:sz w:val="18"/>
                <w:szCs w:val="18"/>
              </w:rPr>
              <w:t>A3+B3+C3</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rPr>
                <w:sz w:val="16"/>
                <w:szCs w:val="16"/>
              </w:rPr>
            </w:pPr>
            <w:r>
              <w:rPr>
                <w:rFonts w:ascii="SimSun" w:eastAsia="SimSun" w:hAnsi="SimSun" w:cs="SimSun"/>
                <w:color w:val="000000"/>
                <w:spacing w:val="0"/>
                <w:w w:val="100"/>
                <w:position w:val="0"/>
                <w:sz w:val="16"/>
                <w:szCs w:val="16"/>
              </w:rPr>
              <w:t>报告期末实际担保余额 合计（</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25"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占公司净资产 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3734"/>
        <w:gridCol w:w="585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为股东、实际控制人及其关联方提供担保的余 额</w:t>
            </w:r>
            <w:r>
              <w:rPr>
                <w:rFonts w:ascii="SimSun" w:eastAsia="SimSun" w:hAnsi="SimSun" w:cs="SimSun"/>
                <w:color w:val="000000"/>
                <w:spacing w:val="0"/>
                <w:w w:val="100"/>
                <w:position w:val="0"/>
                <w:sz w:val="16"/>
                <w:szCs w:val="16"/>
              </w:rPr>
              <w:t>（</w:t>
            </w:r>
            <w:r>
              <w:rPr>
                <w:color w:val="000000"/>
                <w:spacing w:val="0"/>
                <w:w w:val="100"/>
                <w:position w:val="0"/>
                <w:sz w:val="18"/>
                <w:szCs w:val="18"/>
              </w:rPr>
              <w:t>D</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6"/>
                <w:szCs w:val="16"/>
              </w:rPr>
              <w:t>的被担保对 象提供的债务担保余额</w:t>
            </w:r>
            <w:r>
              <w:rPr>
                <w:rFonts w:ascii="SimSun" w:eastAsia="SimSun" w:hAnsi="SimSun" w:cs="SimSun"/>
                <w:color w:val="000000"/>
                <w:spacing w:val="0"/>
                <w:w w:val="100"/>
                <w:position w:val="0"/>
                <w:sz w:val="16"/>
                <w:szCs w:val="16"/>
              </w:rPr>
              <w:t>（</w:t>
            </w:r>
            <w:r>
              <w:rPr>
                <w:color w:val="000000"/>
                <w:spacing w:val="0"/>
                <w:w w:val="100"/>
                <w:position w:val="0"/>
                <w:sz w:val="18"/>
                <w:szCs w:val="18"/>
              </w:rPr>
              <w:t>E</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6"/>
                <w:szCs w:val="16"/>
              </w:rPr>
              <w:t>部分的金额</w:t>
            </w:r>
            <w:r>
              <w:rPr>
                <w:rFonts w:ascii="SimSun" w:eastAsia="SimSun" w:hAnsi="SimSun" w:cs="SimSun"/>
                <w:color w:val="000000"/>
                <w:spacing w:val="0"/>
                <w:w w:val="100"/>
                <w:position w:val="0"/>
                <w:sz w:val="16"/>
                <w:szCs w:val="16"/>
              </w:rPr>
              <w:t>（</w:t>
            </w:r>
            <w:r>
              <w:rPr>
                <w:color w:val="000000"/>
                <w:spacing w:val="0"/>
                <w:w w:val="100"/>
                <w:position w:val="0"/>
                <w:sz w:val="18"/>
                <w:szCs w:val="18"/>
              </w:rPr>
              <w:t>F</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color w:val="000000"/>
                <w:spacing w:val="0"/>
                <w:w w:val="100"/>
                <w:position w:val="0"/>
              </w:rPr>
              <w:t>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3</w:t>
      </w:r>
      <w:bookmarkEnd w:id="508"/>
      <w:r>
        <w:rPr>
          <w:color w:val="000000"/>
          <w:spacing w:val="0"/>
          <w:w w:val="100"/>
          <w:position w:val="0"/>
        </w:rPr>
        <w:t>、委托他人进行现金资产管理情况</w:t>
      </w:r>
      <w:bookmarkEnd w:id="506"/>
      <w:bookmarkEnd w:id="507"/>
      <w:bookmarkEnd w:id="509"/>
    </w:p>
    <w:p>
      <w:pPr>
        <w:pStyle w:val="Style35"/>
        <w:keepNext/>
        <w:keepLines/>
        <w:widowControl w:val="0"/>
        <w:shd w:val="clear" w:color="auto" w:fill="auto"/>
        <w:bidi w:val="0"/>
        <w:spacing w:before="0" w:after="32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10"/>
      <w:bookmarkEnd w:id="511"/>
      <w:bookmarkEnd w:id="513"/>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报告期内委托理财概况</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tbl>
      <w:tblPr>
        <w:tblOverlap w:val="never"/>
        <w:jc w:val="center"/>
        <w:tblLayout w:type="fixed"/>
      </w:tblPr>
      <w:tblGrid>
        <w:gridCol w:w="1574"/>
        <w:gridCol w:w="1642"/>
        <w:gridCol w:w="1661"/>
        <w:gridCol w:w="1598"/>
        <w:gridCol w:w="1550"/>
        <w:gridCol w:w="156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单项金额重大或安全性较低、流动性较差的高风险委托理财具体情况</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7"/>
        <w:keepNext w:val="0"/>
        <w:keepLines w:val="0"/>
        <w:widowControl w:val="0"/>
        <w:shd w:val="clear" w:color="auto" w:fill="auto"/>
        <w:bidi w:val="0"/>
        <w:spacing w:before="0" w:after="0" w:line="240" w:lineRule="auto"/>
        <w:ind w:left="8736" w:right="0" w:firstLine="0"/>
        <w:jc w:val="left"/>
        <w:rPr>
          <w:sz w:val="16"/>
          <w:szCs w:val="16"/>
        </w:rPr>
      </w:pPr>
      <w:r>
        <w:rPr>
          <w:color w:val="000000"/>
          <w:spacing w:val="0"/>
          <w:w w:val="100"/>
          <w:position w:val="0"/>
          <w:sz w:val="16"/>
          <w:szCs w:val="16"/>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受托 机构 名称 （或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受托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机构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受托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人）类</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6"/>
                <w:szCs w:val="16"/>
              </w:rPr>
            </w:pPr>
            <w:r>
              <w:rPr>
                <w:rFonts w:ascii="SimSun" w:eastAsia="SimSun" w:hAnsi="SimSun" w:cs="SimSun"/>
                <w:color w:val="000000"/>
                <w:spacing w:val="0"/>
                <w:w w:val="100"/>
                <w:position w:val="0"/>
                <w:sz w:val="16"/>
                <w:szCs w:val="16"/>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终止</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资金 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报酬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确定</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参考</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年化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收益</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预期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收益</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（如</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6"/>
                <w:szCs w:val="16"/>
              </w:rPr>
            </w:pPr>
            <w:r>
              <w:rPr>
                <w:rFonts w:ascii="SimSun" w:eastAsia="SimSun" w:hAnsi="SimSun" w:cs="SimSun"/>
                <w:color w:val="000000"/>
                <w:spacing w:val="0"/>
                <w:w w:val="100"/>
                <w:position w:val="0"/>
                <w:sz w:val="16"/>
                <w:szCs w:val="16"/>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减值</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金额</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（如</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未来</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是否</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还有</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委托</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理财</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事项 概述 及相 关查 询索 引（如 有）</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国投</w:t>
            </w:r>
          </w:p>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泰康 信托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6"/>
                <w:szCs w:val="16"/>
              </w:rPr>
            </w:pPr>
            <w:r>
              <w:rPr>
                <w:rFonts w:ascii="SimSun" w:eastAsia="SimSun" w:hAnsi="SimSun" w:cs="SimSun"/>
                <w:color w:val="000000"/>
                <w:spacing w:val="0"/>
                <w:w w:val="100"/>
                <w:position w:val="0"/>
                <w:sz w:val="16"/>
                <w:szCs w:val="16"/>
              </w:rPr>
              <w:t>非保本 浮动收 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到期</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一次</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还本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left"/>
            </w:pPr>
            <w:r>
              <w:rPr>
                <w:rFonts w:ascii="SimSun" w:eastAsia="SimSun" w:hAnsi="SimSun" w:cs="SimSun"/>
                <w:color w:val="000000"/>
                <w:spacing w:val="0"/>
                <w:w w:val="100"/>
                <w:position w:val="0"/>
                <w:sz w:val="16"/>
                <w:szCs w:val="16"/>
              </w:rPr>
              <w:t xml:space="preserve">巨潮 资讯 网 </w:t>
            </w:r>
            <w:r>
              <w:rPr>
                <w:color w:val="000000"/>
                <w:spacing w:val="0"/>
                <w:w w:val="100"/>
                <w:position w:val="0"/>
              </w:rPr>
              <w:t>http:// www.</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cninfo</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.com.c n</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非保本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到期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巨潮</w:t>
            </w:r>
          </w:p>
        </w:tc>
      </w:tr>
    </w:tbl>
    <w:p>
      <w:pPr>
        <w:widowControl w:val="0"/>
        <w:spacing w:line="1" w:lineRule="exact"/>
      </w:pP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泰康</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信托</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有限</w:t>
            </w:r>
          </w:p>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浮动收</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6"/>
                <w:szCs w:val="16"/>
              </w:rPr>
              <w:t>年</w:t>
            </w:r>
            <w:r>
              <w:rPr>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6"/>
                <w:szCs w:val="16"/>
              </w:rPr>
              <w:t>月</w:t>
            </w:r>
            <w:r>
              <w:rPr>
                <w:color w:val="000000"/>
                <w:spacing w:val="0"/>
                <w:w w:val="100"/>
                <w:position w:val="0"/>
              </w:rPr>
              <w:t>31</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6"/>
                <w:szCs w:val="16"/>
              </w:rPr>
            </w:pP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18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还本</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资讯</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www.</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cninfo</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.com.c</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n</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长安 国际 信托 股份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非保本 浮动收 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自有</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 xml:space="preserve">16 </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到期</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一次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还本</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付息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left"/>
            </w:pPr>
            <w:r>
              <w:rPr>
                <w:rFonts w:ascii="SimSun" w:eastAsia="SimSun" w:hAnsi="SimSun" w:cs="SimSun"/>
                <w:color w:val="000000"/>
                <w:spacing w:val="0"/>
                <w:w w:val="100"/>
                <w:position w:val="0"/>
                <w:sz w:val="16"/>
                <w:szCs w:val="16"/>
              </w:rPr>
              <w:t xml:space="preserve">巨潮 资讯 网 </w:t>
            </w:r>
            <w:r>
              <w:rPr>
                <w:color w:val="000000"/>
                <w:spacing w:val="0"/>
                <w:w w:val="100"/>
                <w:position w:val="0"/>
              </w:rPr>
              <w:t>http:// www.</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cninfo</w:t>
            </w:r>
          </w:p>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.com.c n</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委托理财出现预期无法收回本金或存在其他可能导致减值的情形</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5"/>
        <w:keepNext/>
        <w:keepLines/>
        <w:widowControl w:val="0"/>
        <w:shd w:val="clear" w:color="auto" w:fill="auto"/>
        <w:bidi w:val="0"/>
        <w:spacing w:before="0" w:line="240" w:lineRule="auto"/>
        <w:ind w:left="0" w:right="0" w:firstLine="0"/>
        <w:jc w:val="both"/>
      </w:pPr>
      <w:bookmarkStart w:id="514" w:name="bookmark514"/>
      <w:bookmarkStart w:id="515" w:name="bookmark515"/>
      <w:bookmarkStart w:id="516" w:name="bookmark516"/>
      <w:bookmarkStart w:id="517" w:name="bookmark517"/>
      <w:r>
        <w:rPr>
          <w:color w:val="000000"/>
          <w:spacing w:val="0"/>
          <w:w w:val="100"/>
          <w:position w:val="0"/>
        </w:rPr>
        <w:t>（</w:t>
      </w:r>
      <w:bookmarkEnd w:id="51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14"/>
      <w:bookmarkEnd w:id="515"/>
      <w:bookmarkEnd w:id="517"/>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80" w:line="240" w:lineRule="auto"/>
        <w:ind w:left="0" w:right="0" w:firstLine="0"/>
        <w:jc w:val="both"/>
        <w:rPr>
          <w:sz w:val="19"/>
          <w:szCs w:val="19"/>
        </w:rPr>
      </w:pPr>
      <w:r>
        <w:rPr>
          <w:color w:val="000000"/>
          <w:spacing w:val="0"/>
          <w:w w:val="100"/>
          <w:position w:val="0"/>
          <w:sz w:val="19"/>
          <w:szCs w:val="19"/>
        </w:rPr>
        <w:t>公司报告期不存在委托贷款。</w:t>
      </w:r>
    </w:p>
    <w:p>
      <w:pPr>
        <w:pStyle w:val="Style30"/>
        <w:keepNext/>
        <w:keepLines/>
        <w:widowControl w:val="0"/>
        <w:shd w:val="clear" w:color="auto" w:fill="auto"/>
        <w:bidi w:val="0"/>
        <w:spacing w:before="0" w:line="240" w:lineRule="auto"/>
        <w:ind w:left="0" w:right="0" w:firstLine="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、其他重大合同</w:t>
      </w:r>
      <w:bookmarkEnd w:id="518"/>
      <w:bookmarkEnd w:id="519"/>
      <w:bookmarkEnd w:id="521"/>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color w:val="000000"/>
          <w:spacing w:val="0"/>
          <w:w w:val="100"/>
          <w:position w:val="0"/>
          <w:sz w:val="19"/>
          <w:szCs w:val="19"/>
        </w:rPr>
        <w:t>公司报告期不存在其他重大合同。</w:t>
      </w:r>
    </w:p>
    <w:p>
      <w:pPr>
        <w:pStyle w:val="Style22"/>
        <w:keepNext/>
        <w:keepLines/>
        <w:widowControl w:val="0"/>
        <w:shd w:val="clear" w:color="auto" w:fill="auto"/>
        <w:bidi w:val="0"/>
        <w:spacing w:before="0" w:after="340" w:line="240" w:lineRule="auto"/>
        <w:ind w:left="0" w:right="0" w:firstLine="0"/>
        <w:jc w:val="both"/>
      </w:pPr>
      <w:bookmarkStart w:id="522" w:name="bookmark522"/>
      <w:bookmarkStart w:id="523" w:name="bookmark523"/>
      <w:bookmarkStart w:id="524" w:name="bookmark524"/>
      <w:r>
        <w:rPr>
          <w:color w:val="000000"/>
          <w:spacing w:val="0"/>
          <w:w w:val="100"/>
          <w:position w:val="0"/>
          <w:sz w:val="24"/>
          <w:szCs w:val="24"/>
        </w:rPr>
        <w:t>十六、其他重大事项的说明</w:t>
      </w:r>
      <w:bookmarkEnd w:id="522"/>
      <w:bookmarkEnd w:id="523"/>
      <w:bookmarkEnd w:id="524"/>
    </w:p>
    <w:p>
      <w:pPr>
        <w:pStyle w:val="Style18"/>
        <w:keepNext w:val="0"/>
        <w:keepLines w:val="0"/>
        <w:widowControl w:val="0"/>
        <w:numPr>
          <w:ilvl w:val="0"/>
          <w:numId w:val="19"/>
        </w:numPr>
        <w:shd w:val="clear" w:color="auto" w:fill="auto"/>
        <w:tabs>
          <w:tab w:pos="291" w:val="left"/>
        </w:tabs>
        <w:bidi w:val="0"/>
        <w:spacing w:before="0" w:after="100" w:line="240" w:lineRule="auto"/>
        <w:ind w:left="0" w:right="0" w:firstLine="0"/>
        <w:jc w:val="both"/>
        <w:rPr>
          <w:sz w:val="19"/>
          <w:szCs w:val="19"/>
        </w:rPr>
      </w:pPr>
      <w:bookmarkStart w:id="525" w:name="bookmark525"/>
      <w:bookmarkEnd w:id="525"/>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color w:val="000000"/>
          <w:spacing w:val="0"/>
          <w:w w:val="100"/>
          <w:position w:val="0"/>
          <w:sz w:val="19"/>
          <w:szCs w:val="19"/>
        </w:rPr>
        <w:t>公司报告期不存在需要说明的其他重大事项。</w:t>
      </w:r>
    </w:p>
    <w:p>
      <w:pPr>
        <w:pStyle w:val="Style22"/>
        <w:keepNext/>
        <w:keepLines/>
        <w:widowControl w:val="0"/>
        <w:shd w:val="clear" w:color="auto" w:fill="auto"/>
        <w:bidi w:val="0"/>
        <w:spacing w:before="0" w:after="340" w:line="240" w:lineRule="auto"/>
        <w:ind w:left="0" w:right="0" w:firstLine="0"/>
        <w:jc w:val="both"/>
      </w:pPr>
      <w:bookmarkStart w:id="526" w:name="bookmark526"/>
      <w:bookmarkStart w:id="527" w:name="bookmark527"/>
      <w:bookmarkStart w:id="528" w:name="bookmark528"/>
      <w:r>
        <w:rPr>
          <w:color w:val="000000"/>
          <w:spacing w:val="0"/>
          <w:w w:val="100"/>
          <w:position w:val="0"/>
          <w:sz w:val="24"/>
          <w:szCs w:val="24"/>
        </w:rPr>
        <w:t>十七、公司子公司重大事项</w:t>
      </w:r>
      <w:bookmarkEnd w:id="526"/>
      <w:bookmarkEnd w:id="527"/>
      <w:bookmarkEnd w:id="528"/>
    </w:p>
    <w:p>
      <w:pPr>
        <w:pStyle w:val="Style18"/>
        <w:keepNext w:val="0"/>
        <w:keepLines w:val="0"/>
        <w:widowControl w:val="0"/>
        <w:numPr>
          <w:ilvl w:val="0"/>
          <w:numId w:val="19"/>
        </w:numPr>
        <w:shd w:val="clear" w:color="auto" w:fill="auto"/>
        <w:tabs>
          <w:tab w:pos="291" w:val="left"/>
        </w:tabs>
        <w:bidi w:val="0"/>
        <w:spacing w:before="0" w:after="340" w:line="240" w:lineRule="auto"/>
        <w:ind w:left="0" w:right="0" w:firstLine="0"/>
        <w:jc w:val="both"/>
        <w:rPr>
          <w:sz w:val="19"/>
          <w:szCs w:val="19"/>
        </w:rPr>
      </w:pPr>
      <w:bookmarkStart w:id="529" w:name="bookmark529"/>
      <w:bookmarkEnd w:id="529"/>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r>
        <w:br w:type="page"/>
      </w:r>
    </w:p>
    <w:p>
      <w:pPr>
        <w:pStyle w:val="Style10"/>
        <w:keepNext/>
        <w:keepLines/>
        <w:widowControl w:val="0"/>
        <w:shd w:val="clear" w:color="auto" w:fill="auto"/>
        <w:bidi w:val="0"/>
        <w:spacing w:before="0" w:after="560" w:line="240" w:lineRule="auto"/>
        <w:ind w:left="0" w:right="0" w:firstLine="0"/>
        <w:jc w:val="center"/>
      </w:pPr>
      <w:bookmarkStart w:id="530" w:name="bookmark530"/>
      <w:bookmarkStart w:id="531" w:name="bookmark531"/>
      <w:bookmarkStart w:id="532" w:name="bookmark532"/>
      <w:r>
        <w:rPr>
          <w:color w:val="000000"/>
          <w:spacing w:val="0"/>
          <w:w w:val="100"/>
          <w:position w:val="0"/>
        </w:rPr>
        <w:t>第七节股份变动及股东情况</w:t>
      </w:r>
      <w:bookmarkEnd w:id="530"/>
      <w:bookmarkEnd w:id="531"/>
      <w:bookmarkEnd w:id="532"/>
    </w:p>
    <w:p>
      <w:pPr>
        <w:pStyle w:val="Style22"/>
        <w:keepNext/>
        <w:keepLines/>
        <w:widowControl w:val="0"/>
        <w:shd w:val="clear" w:color="auto" w:fill="auto"/>
        <w:bidi w:val="0"/>
        <w:spacing w:before="0" w:after="360" w:line="240" w:lineRule="auto"/>
        <w:ind w:left="0" w:right="0" w:firstLine="0"/>
        <w:jc w:val="left"/>
      </w:pPr>
      <w:bookmarkStart w:id="533" w:name="bookmark533"/>
      <w:bookmarkStart w:id="534" w:name="bookmark534"/>
      <w:bookmarkStart w:id="535" w:name="bookmark535"/>
      <w:bookmarkStart w:id="536" w:name="bookmark536"/>
      <w:bookmarkStart w:id="537" w:name="bookmark537"/>
      <w:r>
        <w:rPr>
          <w:color w:val="000000"/>
          <w:spacing w:val="0"/>
          <w:w w:val="100"/>
          <w:position w:val="0"/>
          <w:sz w:val="24"/>
          <w:szCs w:val="24"/>
        </w:rPr>
        <w:t>一</w:t>
      </w:r>
      <w:bookmarkEnd w:id="536"/>
      <w:r>
        <w:rPr>
          <w:color w:val="000000"/>
          <w:spacing w:val="0"/>
          <w:w w:val="100"/>
          <w:position w:val="0"/>
          <w:sz w:val="24"/>
          <w:szCs w:val="24"/>
        </w:rPr>
        <w:t>、股份变动情况</w:t>
      </w:r>
      <w:bookmarkEnd w:id="534"/>
      <w:bookmarkEnd w:id="535"/>
      <w:bookmarkEnd w:id="537"/>
      <w:bookmarkEnd w:id="533"/>
    </w:p>
    <w:p>
      <w:pPr>
        <w:pStyle w:val="Style30"/>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、股份变动情况</w:t>
      </w:r>
      <w:bookmarkEnd w:id="538"/>
      <w:bookmarkEnd w:id="539"/>
      <w:bookmarkEnd w:id="541"/>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rFonts w:ascii="SimSun" w:eastAsia="SimSun" w:hAnsi="SimSun" w:cs="SimSun"/>
                <w:color w:val="000000"/>
                <w:spacing w:val="0"/>
                <w:w w:val="100"/>
                <w:position w:val="0"/>
                <w:sz w:val="16"/>
                <w:szCs w:val="16"/>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6"/>
                <w:szCs w:val="16"/>
              </w:rPr>
            </w:pPr>
            <w:r>
              <w:rPr>
                <w:rFonts w:ascii="SimSun" w:eastAsia="SimSun" w:hAnsi="SimSun" w:cs="SimSun"/>
                <w:color w:val="000000"/>
                <w:spacing w:val="0"/>
                <w:w w:val="100"/>
                <w:position w:val="0"/>
                <w:sz w:val="16"/>
                <w:szCs w:val="16"/>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40,252,76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297,323,9</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297,323,9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297,323,9</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297,323,9</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337,576,6</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337,576,6 86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股份变动的原因</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股份变动的批准情况</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股份变动的过户情况</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股份变动对最近一年和最近一期基本每股收益和稀释每股收益、归属于公司普通股股东的每股净资产等财务指</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标的影响</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9"/>
          <w:szCs w:val="19"/>
        </w:rPr>
        <w:t>公司认为必要或证券监管机构要求披露的其他内容</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、限售股份变动情况</w:t>
      </w:r>
      <w:bookmarkEnd w:id="542"/>
      <w:bookmarkEnd w:id="543"/>
      <w:bookmarkEnd w:id="545"/>
    </w:p>
    <w:p>
      <w:pPr>
        <w:pStyle w:val="Style18"/>
        <w:keepNext w:val="0"/>
        <w:keepLines w:val="0"/>
        <w:widowControl w:val="0"/>
        <w:shd w:val="clear" w:color="auto" w:fill="auto"/>
        <w:bidi w:val="0"/>
        <w:spacing w:before="0" w:after="1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6"/>
                <w:szCs w:val="16"/>
              </w:rPr>
              <w:t>每年度第一个交 易日解锁持股总 数的</w:t>
            </w:r>
            <w:r>
              <w:rPr>
                <w:color w:val="000000"/>
                <w:spacing w:val="0"/>
                <w:w w:val="100"/>
                <w:position w:val="0"/>
              </w:rPr>
              <w:t>25%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37,794,688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37,794,688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每年度第一个交 易日解锁持股总 数的</w:t>
            </w:r>
            <w:r>
              <w:rPr>
                <w:color w:val="000000"/>
                <w:spacing w:val="0"/>
                <w:w w:val="100"/>
                <w:position w:val="0"/>
                <w:sz w:val="18"/>
                <w:szCs w:val="18"/>
              </w:rPr>
              <w:t>25%</w:t>
            </w:r>
            <w:r>
              <w:rPr>
                <w:rFonts w:ascii="SimSun" w:eastAsia="SimSun" w:hAnsi="SimSun" w:cs="SimSun"/>
                <w:color w:val="000000"/>
                <w:spacing w:val="0"/>
                <w:w w:val="100"/>
                <w:position w:val="0"/>
                <w:sz w:val="16"/>
                <w:szCs w:val="16"/>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孙昕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6"/>
                <w:szCs w:val="16"/>
              </w:rPr>
              <w:t>每年度第一个交 易日解锁持股总 数的</w:t>
            </w:r>
            <w:r>
              <w:rPr>
                <w:color w:val="000000"/>
                <w:spacing w:val="0"/>
                <w:w w:val="100"/>
                <w:position w:val="0"/>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40,252,763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40,252,763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22"/>
        <w:keepNext/>
        <w:keepLines/>
        <w:widowControl w:val="0"/>
        <w:shd w:val="clear" w:color="auto" w:fill="auto"/>
        <w:tabs>
          <w:tab w:pos="517" w:val="left"/>
        </w:tabs>
        <w:bidi w:val="0"/>
        <w:spacing w:before="0" w:after="34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sz w:val="24"/>
          <w:szCs w:val="24"/>
        </w:rPr>
        <w:t>二</w:t>
      </w:r>
      <w:bookmarkEnd w:id="548"/>
      <w:r>
        <w:rPr>
          <w:color w:val="000000"/>
          <w:spacing w:val="0"/>
          <w:w w:val="100"/>
          <w:position w:val="0"/>
          <w:sz w:val="24"/>
          <w:szCs w:val="24"/>
        </w:rPr>
        <w:t>、</w:t>
        <w:tab/>
        <w:t>证券发行与上市情况</w:t>
      </w:r>
      <w:bookmarkEnd w:id="546"/>
      <w:bookmarkEnd w:id="547"/>
      <w:bookmarkEnd w:id="549"/>
    </w:p>
    <w:p>
      <w:pPr>
        <w:pStyle w:val="Style30"/>
        <w:keepNext/>
        <w:keepLines/>
        <w:widowControl w:val="0"/>
        <w:shd w:val="clear" w:color="auto" w:fill="auto"/>
        <w:tabs>
          <w:tab w:pos="368" w:val="left"/>
        </w:tabs>
        <w:bidi w:val="0"/>
        <w:spacing w:before="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w:t>
        <w:tab/>
        <w:t>报告期内证券发行（不含优先股）情况</w:t>
      </w:r>
      <w:bookmarkEnd w:id="550"/>
      <w:bookmarkEnd w:id="551"/>
      <w:bookmarkEnd w:id="553"/>
    </w:p>
    <w:p>
      <w:pPr>
        <w:pStyle w:val="Style18"/>
        <w:keepNext w:val="0"/>
        <w:keepLines w:val="0"/>
        <w:widowControl w:val="0"/>
        <w:numPr>
          <w:ilvl w:val="0"/>
          <w:numId w:val="19"/>
        </w:numPr>
        <w:shd w:val="clear" w:color="auto" w:fill="auto"/>
        <w:tabs>
          <w:tab w:pos="319" w:val="left"/>
        </w:tabs>
        <w:bidi w:val="0"/>
        <w:spacing w:before="0" w:after="340" w:line="240" w:lineRule="auto"/>
        <w:ind w:left="0" w:right="0" w:firstLine="0"/>
        <w:jc w:val="left"/>
        <w:rPr>
          <w:sz w:val="19"/>
          <w:szCs w:val="19"/>
        </w:rPr>
      </w:pPr>
      <w:bookmarkStart w:id="554" w:name="bookmark554"/>
      <w:bookmarkEnd w:id="554"/>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w:t>
        <w:tab/>
        <w:t>公司股份总数及股东结构的变动、公司资产和负债结构的变动情况说明</w:t>
      </w:r>
      <w:bookmarkEnd w:id="555"/>
      <w:bookmarkEnd w:id="556"/>
      <w:bookmarkEnd w:id="558"/>
    </w:p>
    <w:p>
      <w:pPr>
        <w:pStyle w:val="Style18"/>
        <w:keepNext w:val="0"/>
        <w:keepLines w:val="0"/>
        <w:widowControl w:val="0"/>
        <w:numPr>
          <w:ilvl w:val="0"/>
          <w:numId w:val="19"/>
        </w:numPr>
        <w:shd w:val="clear" w:color="auto" w:fill="auto"/>
        <w:tabs>
          <w:tab w:pos="319" w:val="left"/>
        </w:tabs>
        <w:bidi w:val="0"/>
        <w:spacing w:before="0" w:after="340" w:line="240" w:lineRule="auto"/>
        <w:ind w:left="0" w:right="0" w:firstLine="0"/>
        <w:jc w:val="left"/>
        <w:rPr>
          <w:sz w:val="19"/>
          <w:szCs w:val="19"/>
        </w:rPr>
      </w:pPr>
      <w:bookmarkStart w:id="559" w:name="bookmark559"/>
      <w:bookmarkEnd w:id="559"/>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3</w:t>
      </w:r>
      <w:bookmarkEnd w:id="562"/>
      <w:r>
        <w:rPr>
          <w:color w:val="000000"/>
          <w:spacing w:val="0"/>
          <w:w w:val="100"/>
          <w:position w:val="0"/>
        </w:rPr>
        <w:t>、</w:t>
        <w:tab/>
        <w:t>现存的内部职工股情况</w:t>
      </w:r>
      <w:bookmarkEnd w:id="560"/>
      <w:bookmarkEnd w:id="561"/>
      <w:bookmarkEnd w:id="563"/>
    </w:p>
    <w:p>
      <w:pPr>
        <w:pStyle w:val="Style18"/>
        <w:keepNext w:val="0"/>
        <w:keepLines w:val="0"/>
        <w:widowControl w:val="0"/>
        <w:numPr>
          <w:ilvl w:val="0"/>
          <w:numId w:val="19"/>
        </w:numPr>
        <w:shd w:val="clear" w:color="auto" w:fill="auto"/>
        <w:tabs>
          <w:tab w:pos="319" w:val="left"/>
        </w:tabs>
        <w:bidi w:val="0"/>
        <w:spacing w:before="0" w:after="340" w:line="240" w:lineRule="auto"/>
        <w:ind w:left="0" w:right="0" w:firstLine="0"/>
        <w:jc w:val="left"/>
        <w:rPr>
          <w:sz w:val="19"/>
          <w:szCs w:val="19"/>
        </w:rPr>
      </w:pPr>
      <w:bookmarkStart w:id="564" w:name="bookmark564"/>
      <w:bookmarkEnd w:id="564"/>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22"/>
        <w:keepNext/>
        <w:keepLines/>
        <w:widowControl w:val="0"/>
        <w:shd w:val="clear" w:color="auto" w:fill="auto"/>
        <w:tabs>
          <w:tab w:pos="522" w:val="left"/>
        </w:tabs>
        <w:bidi w:val="0"/>
        <w:spacing w:before="0" w:after="34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三</w:t>
      </w:r>
      <w:bookmarkEnd w:id="567"/>
      <w:r>
        <w:rPr>
          <w:color w:val="000000"/>
          <w:spacing w:val="0"/>
          <w:w w:val="100"/>
          <w:position w:val="0"/>
          <w:sz w:val="24"/>
          <w:szCs w:val="24"/>
        </w:rPr>
        <w:t>、</w:t>
        <w:tab/>
        <w:t>股东和实际控制人情况</w:t>
      </w:r>
      <w:bookmarkEnd w:id="565"/>
      <w:bookmarkEnd w:id="566"/>
      <w:bookmarkEnd w:id="568"/>
    </w:p>
    <w:p>
      <w:pPr>
        <w:pStyle w:val="Style30"/>
        <w:keepNext/>
        <w:keepLines/>
        <w:widowControl w:val="0"/>
        <w:shd w:val="clear" w:color="auto" w:fill="auto"/>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、公司股东数量及持股情况</w:t>
      </w:r>
      <w:bookmarkEnd w:id="569"/>
      <w:bookmarkEnd w:id="570"/>
      <w:bookmarkEnd w:id="572"/>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报告期末普通</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49,257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年度报告披露日 前上一月末普通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75,979</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报告期末表决权 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（参见注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以上的股东或前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报告期末</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持股数量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报告期内</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增减变动</w:t>
            </w:r>
          </w:p>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持有有限 售条件的 股份数量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持有无限 售条件的 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50,392,91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37,794,68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12,598,23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9,360,000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刘开同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10,619,10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-1,538,39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10,619,10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青岛城投金融控 股集团有限公司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4,696,937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4,696,937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刘咏思</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4,254,961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4,254,961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4,254,961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天津滨河数据信 息技术有限公司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3,306,210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-4,017,45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3,306,210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席燕平</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3,292,995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3,292,995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朱哗东</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3,264,533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2,448,400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816,133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杨承宏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2,933,960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2,933,960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华融国际信托有 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2,754,007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2,754,007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张广清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2,190,039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2,190,039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上述股东关联关系或一致行动的说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上述股东中朱哗东、沈飒为夫妻关系，天津滨河数据信息技术有限公司是股东刘开同 及其配偶董书倩共同控制的企业，董书倩为公司股东。除上述关系外，公司未知上述 其他股东是否存在其他关联关系或属于《上市公司收购管理办法》中规定的一致行动 人。</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受托表决权、放 弃表决权情况的说明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无</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7"/>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403" w:hRule="exact"/>
        </w:trPr>
        <w:tc>
          <w:tcPr>
            <w:gridSpan w:val="4"/>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股份种类</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12,598,230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12,598,230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刘开同</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10,619,100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10,619,100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青岛城投金融控股集团有限公司</w:t>
            </w:r>
          </w:p>
        </w:tc>
        <w:tc>
          <w:tcPr>
            <w:gridSpan w:val="7"/>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4,696,937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4,696,937</w:t>
            </w:r>
          </w:p>
        </w:tc>
      </w:tr>
      <w:tr>
        <w:trPr>
          <w:trHeight w:val="413"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刘咏思</w:t>
            </w:r>
          </w:p>
        </w:tc>
        <w:tc>
          <w:tcPr>
            <w:gridSpan w:val="7"/>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4,254,961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4,254,961</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天津滨河数据信息技术有限公司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3,306,210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席燕平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3,292,995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杨承宏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2,933,960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华融国际信托有限责任公司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2,754,007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张广清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常志月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上述股东中天津滨河数据信息技术有限公司是股东刘开同及其配偶董书倩共同控制 的企业，董书倩为公司股东。除上述关系外，公司未知上述其他股东是否存在其他关 联关系或属于《上市公司收购管理办法》中规定的一致行动人。</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6"/>
                <w:szCs w:val="16"/>
              </w:rPr>
            </w:pPr>
            <w:r>
              <w:rPr>
                <w:rFonts w:ascii="SimSun" w:eastAsia="SimSun" w:hAnsi="SimSun" w:cs="SimSun"/>
                <w:color w:val="000000"/>
                <w:spacing w:val="0"/>
                <w:w w:val="100"/>
                <w:position w:val="0"/>
                <w:sz w:val="16"/>
                <w:szCs w:val="16"/>
              </w:rPr>
              <w:t>股东席燕平在报告期初通过普通证券账户持有</w:t>
            </w:r>
            <w:r>
              <w:rPr>
                <w:color w:val="000000"/>
                <w:spacing w:val="0"/>
                <w:w w:val="100"/>
                <w:position w:val="0"/>
                <w:sz w:val="18"/>
                <w:szCs w:val="18"/>
              </w:rPr>
              <w:t>0</w:t>
            </w:r>
            <w:r>
              <w:rPr>
                <w:rFonts w:ascii="SimSun" w:eastAsia="SimSun" w:hAnsi="SimSun" w:cs="SimSun"/>
                <w:color w:val="000000"/>
                <w:spacing w:val="0"/>
                <w:w w:val="100"/>
                <w:position w:val="0"/>
                <w:sz w:val="16"/>
                <w:szCs w:val="16"/>
              </w:rPr>
              <w:t>股、通过信用证券账户持有</w:t>
            </w:r>
            <w:r>
              <w:rPr>
                <w:color w:val="000000"/>
                <w:spacing w:val="0"/>
                <w:w w:val="100"/>
                <w:position w:val="0"/>
                <w:sz w:val="18"/>
                <w:szCs w:val="18"/>
              </w:rPr>
              <w:t xml:space="preserve">3,150,295 </w:t>
            </w:r>
            <w:r>
              <w:rPr>
                <w:rFonts w:ascii="SimSun" w:eastAsia="SimSun" w:hAnsi="SimSun" w:cs="SimSun"/>
                <w:color w:val="000000"/>
                <w:spacing w:val="0"/>
                <w:w w:val="100"/>
                <w:position w:val="0"/>
                <w:sz w:val="16"/>
                <w:szCs w:val="16"/>
              </w:rPr>
              <w:t>股，合计持有</w:t>
            </w:r>
            <w:r>
              <w:rPr>
                <w:color w:val="000000"/>
                <w:spacing w:val="0"/>
                <w:w w:val="100"/>
                <w:position w:val="0"/>
                <w:sz w:val="18"/>
                <w:szCs w:val="18"/>
              </w:rPr>
              <w:t>3,150,295</w:t>
            </w:r>
            <w:r>
              <w:rPr>
                <w:rFonts w:ascii="SimSun" w:eastAsia="SimSun" w:hAnsi="SimSun" w:cs="SimSun"/>
                <w:color w:val="000000"/>
                <w:spacing w:val="0"/>
                <w:w w:val="100"/>
                <w:position w:val="0"/>
                <w:sz w:val="16"/>
                <w:szCs w:val="16"/>
              </w:rPr>
              <w:t>股，报告期末通过普通证券账户持有</w:t>
            </w:r>
            <w:r>
              <w:rPr>
                <w:color w:val="000000"/>
                <w:spacing w:val="0"/>
                <w:w w:val="100"/>
                <w:position w:val="0"/>
                <w:sz w:val="18"/>
                <w:szCs w:val="18"/>
              </w:rPr>
              <w:t>0</w:t>
            </w:r>
            <w:r>
              <w:rPr>
                <w:rFonts w:ascii="SimSun" w:eastAsia="SimSun" w:hAnsi="SimSun" w:cs="SimSun"/>
                <w:color w:val="000000"/>
                <w:spacing w:val="0"/>
                <w:w w:val="100"/>
                <w:position w:val="0"/>
                <w:sz w:val="16"/>
                <w:szCs w:val="16"/>
              </w:rPr>
              <w:t>股、通过信用证券账 户持有</w:t>
            </w:r>
            <w:r>
              <w:rPr>
                <w:color w:val="000000"/>
                <w:spacing w:val="0"/>
                <w:w w:val="100"/>
                <w:position w:val="0"/>
                <w:sz w:val="18"/>
                <w:szCs w:val="18"/>
              </w:rPr>
              <w:t>3,292,995</w:t>
            </w:r>
            <w:r>
              <w:rPr>
                <w:rFonts w:ascii="SimSun" w:eastAsia="SimSun" w:hAnsi="SimSun" w:cs="SimSun"/>
                <w:color w:val="000000"/>
                <w:spacing w:val="0"/>
                <w:w w:val="100"/>
                <w:position w:val="0"/>
                <w:sz w:val="16"/>
                <w:szCs w:val="16"/>
              </w:rPr>
              <w:t>股，合计持有</w:t>
            </w:r>
            <w:r>
              <w:rPr>
                <w:color w:val="000000"/>
                <w:spacing w:val="0"/>
                <w:w w:val="100"/>
                <w:position w:val="0"/>
                <w:sz w:val="18"/>
                <w:szCs w:val="18"/>
              </w:rPr>
              <w:t>3,292,995</w:t>
            </w:r>
            <w:r>
              <w:rPr>
                <w:rFonts w:ascii="SimSun" w:eastAsia="SimSun" w:hAnsi="SimSun" w:cs="SimSun"/>
                <w:color w:val="000000"/>
                <w:spacing w:val="0"/>
                <w:w w:val="100"/>
                <w:position w:val="0"/>
                <w:sz w:val="16"/>
                <w:szCs w:val="16"/>
              </w:rPr>
              <w:t>股。</w:t>
            </w:r>
          </w:p>
        </w:tc>
      </w:tr>
    </w:tbl>
    <w:p>
      <w:pPr>
        <w:pStyle w:val="Style18"/>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19"/>
          <w:szCs w:val="19"/>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19"/>
          <w:szCs w:val="19"/>
        </w:rPr>
        <w:t xml:space="preserve">名无限售条件普通股股东在报告期内是否进行约定购回交易 </w:t>
      </w:r>
      <w:r>
        <w:rPr>
          <w:color w:val="000000"/>
          <w:spacing w:val="0"/>
          <w:w w:val="100"/>
          <w:position w:val="0"/>
          <w:sz w:val="20"/>
          <w:szCs w:val="20"/>
        </w:rPr>
        <w:t>口</w:t>
      </w:r>
      <w:r>
        <w:rPr>
          <w:color w:val="000000"/>
          <w:spacing w:val="0"/>
          <w:w w:val="100"/>
          <w:position w:val="0"/>
          <w:sz w:val="19"/>
          <w:szCs w:val="19"/>
        </w:rPr>
        <w:t>是</w:t>
      </w:r>
      <w:r>
        <w:rPr>
          <w:i/>
          <w:iCs/>
          <w:color w:val="000000"/>
          <w:spacing w:val="0"/>
          <w:w w:val="100"/>
          <w:position w:val="0"/>
          <w:sz w:val="19"/>
          <w:szCs w:val="19"/>
        </w:rPr>
        <w:t>。否</w:t>
      </w:r>
    </w:p>
    <w:p>
      <w:pPr>
        <w:pStyle w:val="Style18"/>
        <w:keepNext w:val="0"/>
        <w:keepLines w:val="0"/>
        <w:widowControl w:val="0"/>
        <w:shd w:val="clear" w:color="auto" w:fill="auto"/>
        <w:bidi w:val="0"/>
        <w:spacing w:before="0" w:after="240" w:line="350" w:lineRule="exact"/>
        <w:ind w:left="0" w:right="0" w:firstLine="0"/>
        <w:jc w:val="left"/>
        <w:rPr>
          <w:sz w:val="19"/>
          <w:szCs w:val="19"/>
        </w:rPr>
      </w:pPr>
      <w:r>
        <w:rPr>
          <w:color w:val="000000"/>
          <w:spacing w:val="0"/>
          <w:w w:val="100"/>
          <w:position w:val="0"/>
          <w:sz w:val="19"/>
          <w:szCs w:val="19"/>
        </w:rPr>
        <w:t>公司前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19"/>
          <w:szCs w:val="19"/>
        </w:rPr>
        <w:t>名普通股股东、前</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19"/>
          <w:szCs w:val="19"/>
        </w:rPr>
        <w:t>名无限售条件普通股股东在报告期内未进行约定购回交易。</w:t>
      </w:r>
    </w:p>
    <w:p>
      <w:pPr>
        <w:pStyle w:val="Style30"/>
        <w:keepNext/>
        <w:keepLines/>
        <w:widowControl w:val="0"/>
        <w:shd w:val="clear" w:color="auto" w:fill="auto"/>
        <w:bidi w:val="0"/>
        <w:spacing w:before="0" w:after="240" w:line="350" w:lineRule="exact"/>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、公司控股股东情况</w:t>
      </w:r>
      <w:bookmarkEnd w:id="573"/>
      <w:bookmarkEnd w:id="574"/>
      <w:bookmarkEnd w:id="576"/>
    </w:p>
    <w:p>
      <w:pPr>
        <w:pStyle w:val="Style18"/>
        <w:keepNext w:val="0"/>
        <w:keepLines w:val="0"/>
        <w:widowControl w:val="0"/>
        <w:shd w:val="clear" w:color="auto" w:fill="auto"/>
        <w:bidi w:val="0"/>
        <w:spacing w:before="0" w:after="0" w:line="350" w:lineRule="exact"/>
        <w:ind w:left="0" w:right="0" w:firstLine="0"/>
        <w:jc w:val="left"/>
        <w:rPr>
          <w:sz w:val="19"/>
          <w:szCs w:val="19"/>
        </w:rPr>
      </w:pPr>
      <w:r>
        <w:rPr>
          <w:color w:val="000000"/>
          <w:spacing w:val="0"/>
          <w:w w:val="100"/>
          <w:position w:val="0"/>
          <w:sz w:val="19"/>
          <w:szCs w:val="19"/>
        </w:rPr>
        <w:t>控股股东性质：自然人控股</w:t>
      </w:r>
    </w:p>
    <w:p>
      <w:pPr>
        <w:pStyle w:val="Style18"/>
        <w:keepNext w:val="0"/>
        <w:keepLines w:val="0"/>
        <w:widowControl w:val="0"/>
        <w:shd w:val="clear" w:color="auto" w:fill="auto"/>
        <w:bidi w:val="0"/>
        <w:spacing w:before="0" w:after="80" w:line="350" w:lineRule="exact"/>
        <w:ind w:left="0" w:right="0" w:firstLine="0"/>
        <w:jc w:val="left"/>
        <w:rPr>
          <w:sz w:val="19"/>
          <w:szCs w:val="19"/>
        </w:rPr>
      </w:pPr>
      <w:r>
        <w:rPr>
          <w:color w:val="000000"/>
          <w:spacing w:val="0"/>
          <w:w w:val="100"/>
          <w:position w:val="0"/>
          <w:sz w:val="19"/>
          <w:szCs w:val="19"/>
        </w:rPr>
        <w:t>控股股东类型：自然人</w:t>
      </w:r>
    </w:p>
    <w:tbl>
      <w:tblPr>
        <w:tblOverlap w:val="never"/>
        <w:jc w:val="center"/>
        <w:tblLayout w:type="fixed"/>
      </w:tblPr>
      <w:tblGrid>
        <w:gridCol w:w="3427"/>
        <w:gridCol w:w="2170"/>
        <w:gridCol w:w="39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控股股东报告期内变更</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公司报告期控股股东未发生变更。</w:t>
      </w:r>
    </w:p>
    <w:p>
      <w:pPr>
        <w:pStyle w:val="Style30"/>
        <w:keepNext/>
        <w:keepLines/>
        <w:widowControl w:val="0"/>
        <w:shd w:val="clear" w:color="auto" w:fill="auto"/>
        <w:bidi w:val="0"/>
        <w:spacing w:before="0" w:after="3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、公司实际控制人及其一致行动人</w:t>
      </w:r>
      <w:bookmarkEnd w:id="577"/>
      <w:bookmarkEnd w:id="578"/>
      <w:bookmarkEnd w:id="580"/>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实际控制人性质：境内自然人</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实际控制人类型：自然人</w:t>
      </w:r>
    </w:p>
    <w:tbl>
      <w:tblPr>
        <w:tblOverlap w:val="never"/>
        <w:jc w:val="center"/>
        <w:tblLayout w:type="fixed"/>
      </w:tblPr>
      <w:tblGrid>
        <w:gridCol w:w="2765"/>
        <w:gridCol w:w="1646"/>
        <w:gridCol w:w="1651"/>
        <w:gridCol w:w="35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沈飒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朱烨东任职于北京中科金财科技股份有限公司，担任董事长兼总经理一职。</w:t>
            </w:r>
          </w:p>
        </w:tc>
      </w:tr>
    </w:tbl>
    <w:p>
      <w:pPr>
        <w:widowControl w:val="0"/>
        <w:spacing w:line="1" w:lineRule="exact"/>
      </w:pPr>
    </w:p>
    <w:tbl>
      <w:tblPr>
        <w:tblOverlap w:val="never"/>
        <w:jc w:val="center"/>
        <w:tblLayout w:type="fixed"/>
      </w:tblPr>
      <w:tblGrid>
        <w:gridCol w:w="2789"/>
        <w:gridCol w:w="691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过去</w:t>
            </w:r>
            <w:r>
              <w:rPr>
                <w:color w:val="000000"/>
                <w:spacing w:val="0"/>
                <w:w w:val="100"/>
                <w:position w:val="0"/>
                <w:sz w:val="18"/>
                <w:szCs w:val="18"/>
              </w:rPr>
              <w:t>10</w:t>
            </w:r>
            <w:r>
              <w:rPr>
                <w:rFonts w:ascii="SimSun" w:eastAsia="SimSun" w:hAnsi="SimSun" w:cs="SimSun"/>
                <w:color w:val="000000"/>
                <w:spacing w:val="0"/>
                <w:w w:val="100"/>
                <w:position w:val="0"/>
                <w:sz w:val="16"/>
                <w:szCs w:val="16"/>
              </w:rPr>
              <w:t>年曾控股的境内外上市公</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司情况</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尢</w:t>
            </w:r>
          </w:p>
        </w:tc>
      </w:tr>
    </w:tbl>
    <w:p>
      <w:pPr>
        <w:pStyle w:val="Style27"/>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00" w:line="240" w:lineRule="auto"/>
        <w:ind w:left="19" w:right="0" w:firstLine="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100" w:line="240" w:lineRule="auto"/>
        <w:ind w:left="19" w:right="0" w:firstLine="0"/>
        <w:jc w:val="left"/>
      </w:pPr>
      <w:r>
        <w:rPr>
          <w:color w:val="000000"/>
          <w:spacing w:val="0"/>
          <w:w w:val="100"/>
          <w:position w:val="0"/>
        </w:rPr>
        <w:t>公司与实际控制人之间的产权及控制关系的方框图</w:t>
      </w:r>
    </w:p>
    <w:p>
      <w:pPr>
        <w:widowControl w:val="0"/>
        <w:spacing w:after="739" w:line="1" w:lineRule="exact"/>
      </w:pPr>
    </w:p>
    <w:p>
      <w:pPr>
        <w:pStyle w:val="Style12"/>
        <w:keepNext w:val="0"/>
        <w:keepLines w:val="0"/>
        <w:widowControl w:val="0"/>
        <w:shd w:val="clear" w:color="auto" w:fill="auto"/>
        <w:bidi w:val="0"/>
        <w:spacing w:before="0" w:after="840" w:line="240" w:lineRule="auto"/>
        <w:ind w:left="0" w:right="0" w:firstLine="0"/>
        <w:jc w:val="center"/>
        <w:rPr>
          <w:sz w:val="30"/>
          <w:szCs w:val="30"/>
        </w:rPr>
      </w:pPr>
      <w:r>
        <w:rPr>
          <w:b w:val="0"/>
          <w:bCs w:val="0"/>
          <w:i/>
          <w:iCs/>
          <w:color w:val="333333"/>
          <w:spacing w:val="0"/>
          <w:w w:val="100"/>
          <w:position w:val="0"/>
          <w:sz w:val="28"/>
          <w:szCs w:val="28"/>
        </w:rPr>
        <w:t>朱埠东、</w:t>
      </w:r>
      <w:r>
        <w:rPr>
          <w:color w:val="333333"/>
          <w:spacing w:val="0"/>
          <w:w w:val="100"/>
          <w:position w:val="0"/>
          <w:sz w:val="30"/>
          <w:szCs w:val="30"/>
        </w:rPr>
        <w:t>沈飒</w:t>
      </w:r>
    </w:p>
    <w:p>
      <w:pPr>
        <w:pStyle w:val="Style54"/>
        <w:keepNext w:val="0"/>
        <w:keepLines w:val="0"/>
        <w:widowControl w:val="0"/>
        <w:shd w:val="clear" w:color="auto" w:fill="auto"/>
        <w:bidi w:val="0"/>
        <w:spacing w:before="0" w:after="660" w:line="240" w:lineRule="auto"/>
        <w:ind w:left="0" w:right="0" w:firstLine="0"/>
        <w:jc w:val="center"/>
      </w:pPr>
      <w:r>
        <w:rPr>
          <w:spacing w:val="0"/>
          <w:w w:val="100"/>
          <w:position w:val="0"/>
        </w:rPr>
        <w:t xml:space="preserve">15. </w:t>
      </w:r>
      <w:r>
        <w:rPr>
          <w:spacing w:val="0"/>
          <w:w w:val="100"/>
          <w:position w:val="0"/>
        </w:rPr>
        <w:t>89%</w:t>
      </w:r>
    </w:p>
    <w:p>
      <w:pPr>
        <w:pStyle w:val="Style12"/>
        <w:keepNext w:val="0"/>
        <w:keepLines w:val="0"/>
        <w:widowControl w:val="0"/>
        <w:shd w:val="clear" w:color="auto" w:fill="auto"/>
        <w:bidi w:val="0"/>
        <w:spacing w:before="0" w:after="660" w:line="240" w:lineRule="auto"/>
        <w:ind w:left="0" w:right="0" w:firstLine="0"/>
        <w:jc w:val="center"/>
        <w:rPr>
          <w:sz w:val="30"/>
          <w:szCs w:val="30"/>
        </w:rPr>
      </w:pPr>
      <w:r>
        <w:rPr>
          <w:color w:val="333333"/>
          <w:spacing w:val="0"/>
          <w:w w:val="100"/>
          <w:position w:val="0"/>
          <w:sz w:val="30"/>
          <w:szCs w:val="30"/>
        </w:rPr>
        <w:t>北京中科金财科技股份有限公司</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实际控制人通过信托或其他资产管理方式控制公司</w:t>
      </w:r>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1"/>
      <w:bookmarkEnd w:id="582"/>
      <w:bookmarkEnd w:id="584"/>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5"/>
      <w:bookmarkEnd w:id="586"/>
      <w:bookmarkEnd w:id="588"/>
    </w:p>
    <w:p>
      <w:pPr>
        <w:pStyle w:val="Style18"/>
        <w:keepNext w:val="0"/>
        <w:keepLines w:val="0"/>
        <w:widowControl w:val="0"/>
        <w:numPr>
          <w:ilvl w:val="0"/>
          <w:numId w:val="19"/>
        </w:numPr>
        <w:shd w:val="clear" w:color="auto" w:fill="auto"/>
        <w:tabs>
          <w:tab w:pos="291" w:val="left"/>
        </w:tabs>
        <w:bidi w:val="0"/>
        <w:spacing w:before="0" w:after="340" w:line="240" w:lineRule="auto"/>
        <w:ind w:left="0" w:right="0" w:firstLine="0"/>
        <w:jc w:val="left"/>
        <w:rPr>
          <w:sz w:val="19"/>
          <w:szCs w:val="19"/>
        </w:rPr>
      </w:pPr>
      <w:bookmarkStart w:id="589" w:name="bookmark589"/>
      <w:bookmarkEnd w:id="589"/>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6</w:t>
      </w:r>
      <w:bookmarkEnd w:id="592"/>
      <w:r>
        <w:rPr>
          <w:color w:val="000000"/>
          <w:spacing w:val="0"/>
          <w:w w:val="100"/>
          <w:position w:val="0"/>
        </w:rPr>
        <w:t>、</w:t>
        <w:tab/>
        <w:t>控股股东、实际控制人、重组方及其他承诺主体股份限制减持情况</w:t>
      </w:r>
      <w:bookmarkEnd w:id="590"/>
      <w:bookmarkEnd w:id="591"/>
      <w:bookmarkEnd w:id="593"/>
    </w:p>
    <w:p>
      <w:pPr>
        <w:pStyle w:val="Style18"/>
        <w:keepNext w:val="0"/>
        <w:keepLines w:val="0"/>
        <w:widowControl w:val="0"/>
        <w:numPr>
          <w:ilvl w:val="0"/>
          <w:numId w:val="19"/>
        </w:numPr>
        <w:shd w:val="clear" w:color="auto" w:fill="auto"/>
        <w:tabs>
          <w:tab w:pos="291" w:val="left"/>
        </w:tabs>
        <w:bidi w:val="0"/>
        <w:spacing w:before="0" w:after="340" w:line="240" w:lineRule="auto"/>
        <w:ind w:left="0" w:right="0" w:firstLine="0"/>
        <w:jc w:val="left"/>
        <w:rPr>
          <w:sz w:val="19"/>
          <w:szCs w:val="19"/>
        </w:rPr>
      </w:pPr>
      <w:bookmarkStart w:id="594" w:name="bookmark594"/>
      <w:bookmarkEnd w:id="594"/>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22"/>
        <w:keepNext/>
        <w:keepLines/>
        <w:widowControl w:val="0"/>
        <w:shd w:val="clear" w:color="auto" w:fill="auto"/>
        <w:bidi w:val="0"/>
        <w:spacing w:before="0" w:after="34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四</w:t>
      </w:r>
      <w:bookmarkEnd w:id="597"/>
      <w:r>
        <w:rPr>
          <w:color w:val="000000"/>
          <w:spacing w:val="0"/>
          <w:w w:val="100"/>
          <w:position w:val="0"/>
          <w:sz w:val="24"/>
          <w:szCs w:val="24"/>
        </w:rPr>
        <w:t>、股份回购在报告期的具体实施情况</w:t>
      </w:r>
      <w:bookmarkEnd w:id="595"/>
      <w:bookmarkEnd w:id="596"/>
      <w:bookmarkEnd w:id="598"/>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股份回购的实施进展情况</w:t>
      </w:r>
    </w:p>
    <w:p>
      <w:pPr>
        <w:pStyle w:val="Style18"/>
        <w:keepNext w:val="0"/>
        <w:keepLines w:val="0"/>
        <w:widowControl w:val="0"/>
        <w:numPr>
          <w:ilvl w:val="0"/>
          <w:numId w:val="19"/>
        </w:numPr>
        <w:shd w:val="clear" w:color="auto" w:fill="auto"/>
        <w:tabs>
          <w:tab w:pos="291" w:val="left"/>
        </w:tabs>
        <w:bidi w:val="0"/>
        <w:spacing w:before="0" w:after="120" w:line="240" w:lineRule="auto"/>
        <w:ind w:left="0" w:right="0" w:firstLine="0"/>
        <w:jc w:val="left"/>
        <w:rPr>
          <w:sz w:val="19"/>
          <w:szCs w:val="19"/>
        </w:rPr>
      </w:pPr>
      <w:bookmarkStart w:id="599" w:name="bookmark599"/>
      <w:bookmarkEnd w:id="599"/>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采用集中竞价方式减持回购股份的实施进展情况</w:t>
      </w:r>
    </w:p>
    <w:p>
      <w:pPr>
        <w:pStyle w:val="Style18"/>
        <w:keepNext w:val="0"/>
        <w:keepLines w:val="0"/>
        <w:widowControl w:val="0"/>
        <w:numPr>
          <w:ilvl w:val="0"/>
          <w:numId w:val="19"/>
        </w:numPr>
        <w:shd w:val="clear" w:color="auto" w:fill="auto"/>
        <w:tabs>
          <w:tab w:pos="291" w:val="left"/>
        </w:tabs>
        <w:bidi w:val="0"/>
        <w:spacing w:before="0" w:after="340" w:line="240" w:lineRule="auto"/>
        <w:ind w:left="0" w:right="0" w:firstLine="0"/>
        <w:jc w:val="both"/>
        <w:rPr>
          <w:sz w:val="19"/>
          <w:szCs w:val="19"/>
        </w:rPr>
      </w:pPr>
      <w:bookmarkStart w:id="600" w:name="bookmark600"/>
      <w:bookmarkEnd w:id="600"/>
      <w:r>
        <w:rPr>
          <w:color w:val="000000"/>
          <w:spacing w:val="0"/>
          <w:w w:val="100"/>
          <w:position w:val="0"/>
          <w:sz w:val="19"/>
          <w:szCs w:val="19"/>
        </w:rPr>
        <w:t xml:space="preserve">适用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19"/>
          <w:szCs w:val="19"/>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2681605</wp:posOffset>
                </wp:positionH>
                <wp:positionV relativeFrom="paragraph">
                  <wp:posOffset>0</wp:posOffset>
                </wp:positionV>
                <wp:extent cx="2170430" cy="243840"/>
                <wp:wrapTopAndBottom/>
                <wp:docPr id="1" name="Shape 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364" w:name="bookmark364"/>
                            <w:bookmarkStart w:id="365" w:name="bookmark365"/>
                            <w:bookmarkStart w:id="366" w:name="bookmark366"/>
                            <w:r>
                              <w:rPr>
                                <w:color w:val="000000"/>
                                <w:spacing w:val="0"/>
                                <w:w w:val="100"/>
                                <w:position w:val="0"/>
                              </w:rPr>
                              <w:t>第八节优先股相关情况</w:t>
                            </w:r>
                            <w:bookmarkEnd w:id="364"/>
                            <w:bookmarkEnd w:id="365"/>
                            <w:bookmarkEnd w:id="36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1.15000000000001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364" w:name="bookmark364"/>
                      <w:bookmarkStart w:id="365" w:name="bookmark365"/>
                      <w:bookmarkStart w:id="366" w:name="bookmark366"/>
                      <w:r>
                        <w:rPr>
                          <w:color w:val="000000"/>
                          <w:spacing w:val="0"/>
                          <w:w w:val="100"/>
                          <w:position w:val="0"/>
                        </w:rPr>
                        <w:t>第八节优先股相关情况</w:t>
                      </w:r>
                      <w:bookmarkEnd w:id="364"/>
                      <w:bookmarkEnd w:id="365"/>
                      <w:bookmarkEnd w:id="366"/>
                    </w:p>
                  </w:txbxContent>
                </v:textbox>
                <w10:wrap type="topAndBottom" anchorx="page"/>
              </v:shape>
            </w:pict>
          </mc:Fallback>
        </mc:AlternateContent>
      </w:r>
    </w:p>
    <w:p>
      <w:pPr>
        <w:pStyle w:val="Style18"/>
        <w:keepNext w:val="0"/>
        <w:keepLines w:val="0"/>
        <w:widowControl w:val="0"/>
        <w:shd w:val="clear" w:color="auto" w:fill="auto"/>
        <w:bidi w:val="0"/>
        <w:spacing w:before="0" w:after="100" w:line="240" w:lineRule="auto"/>
        <w:ind w:left="0" w:right="0" w:firstLine="0"/>
        <w:jc w:val="left"/>
        <w:rPr>
          <w:sz w:val="19"/>
          <w:szCs w:val="19"/>
        </w:rPr>
      </w:pPr>
      <w:bookmarkStart w:id="601" w:name="bookmark601"/>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bookmarkEnd w:id="601"/>
    </w:p>
    <w:p>
      <w:pPr>
        <w:pStyle w:val="Style18"/>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1900" w:h="16840"/>
          <w:pgMar w:top="1151" w:right="1073" w:bottom="1405" w:left="1036" w:header="0" w:footer="3" w:gutter="0"/>
          <w:cols w:space="720"/>
          <w:noEndnote/>
          <w:rtlGutter w:val="0"/>
          <w:docGrid w:linePitch="360"/>
        </w:sectPr>
      </w:pPr>
      <w:r>
        <w:rPr>
          <w:color w:val="000000"/>
          <w:spacing w:val="0"/>
          <w:w w:val="100"/>
          <w:position w:val="0"/>
          <w:sz w:val="19"/>
          <w:szCs w:val="19"/>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02" w:name="bookmark602"/>
      <w:bookmarkStart w:id="603" w:name="bookmark603"/>
      <w:bookmarkStart w:id="604" w:name="bookmark604"/>
      <w:r>
        <w:rPr>
          <w:color w:val="000000"/>
          <w:spacing w:val="0"/>
          <w:w w:val="100"/>
          <w:position w:val="0"/>
        </w:rPr>
        <w:t>第九节债券相关情况</w:t>
      </w:r>
      <w:bookmarkEnd w:id="602"/>
      <w:bookmarkEnd w:id="603"/>
      <w:bookmarkEnd w:id="604"/>
    </w:p>
    <w:p>
      <w:pPr>
        <w:pStyle w:val="Style18"/>
        <w:keepNext w:val="0"/>
        <w:keepLines w:val="0"/>
        <w:widowControl w:val="0"/>
        <w:shd w:val="clear" w:color="auto" w:fill="auto"/>
        <w:bidi w:val="0"/>
        <w:spacing w:before="0" w:after="0" w:line="240" w:lineRule="auto"/>
        <w:ind w:left="0" w:right="0" w:firstLine="0"/>
        <w:jc w:val="left"/>
        <w:rPr>
          <w:sz w:val="19"/>
          <w:szCs w:val="19"/>
        </w:rPr>
        <w:sectPr>
          <w:footnotePr>
            <w:pos w:val="pageBottom"/>
            <w:numFmt w:val="decimal"/>
            <w:numRestart w:val="continuous"/>
          </w:footnotePr>
          <w:pgSz w:w="11900" w:h="16840"/>
          <w:pgMar w:top="1930" w:right="1100" w:bottom="1930" w:left="1095" w:header="0" w:footer="3" w:gutter="0"/>
          <w:cols w:space="720"/>
          <w:noEndnote/>
          <w:rtlGutter w:val="0"/>
          <w:docGrid w:linePitch="360"/>
        </w:sectPr>
      </w:pPr>
      <w:bookmarkStart w:id="605" w:name="bookmark605"/>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bookmarkEnd w:id="605"/>
    </w:p>
    <w:p>
      <w:pPr>
        <w:pStyle w:val="Style10"/>
        <w:keepNext/>
        <w:keepLines/>
        <w:widowControl w:val="0"/>
        <w:shd w:val="clear" w:color="auto" w:fill="auto"/>
        <w:bidi w:val="0"/>
        <w:spacing w:before="680" w:after="520" w:line="240" w:lineRule="auto"/>
        <w:ind w:left="0" w:right="0" w:firstLine="0"/>
        <w:jc w:val="center"/>
      </w:pPr>
      <w:bookmarkStart w:id="609" w:name="bookmark609"/>
      <w:bookmarkStart w:id="610" w:name="bookmark610"/>
      <w:bookmarkStart w:id="611" w:name="bookmark611"/>
      <w:r>
        <w:rPr>
          <w:color w:val="000000"/>
          <w:spacing w:val="0"/>
          <w:w w:val="100"/>
          <w:position w:val="0"/>
        </w:rPr>
        <w:t>第十节财务报告</w:t>
      </w:r>
      <w:bookmarkEnd w:id="609"/>
      <w:bookmarkEnd w:id="610"/>
      <w:bookmarkEnd w:id="611"/>
    </w:p>
    <w:p>
      <w:pPr>
        <w:pStyle w:val="Style22"/>
        <w:keepNext/>
        <w:keepLines/>
        <w:widowControl w:val="0"/>
        <w:shd w:val="clear" w:color="auto" w:fill="auto"/>
        <w:bidi w:val="0"/>
        <w:spacing w:before="0" w:line="240" w:lineRule="auto"/>
        <w:ind w:left="0" w:right="0" w:firstLine="0"/>
        <w:jc w:val="both"/>
      </w:pPr>
      <w:bookmarkStart w:id="612" w:name="bookmark612"/>
      <w:bookmarkStart w:id="613" w:name="bookmark613"/>
      <w:bookmarkStart w:id="614" w:name="bookmark614"/>
      <w:bookmarkStart w:id="615" w:name="bookmark615"/>
      <w:bookmarkStart w:id="616" w:name="bookmark616"/>
      <w:r>
        <w:rPr>
          <w:color w:val="000000"/>
          <w:spacing w:val="0"/>
          <w:w w:val="100"/>
          <w:position w:val="0"/>
          <w:sz w:val="24"/>
          <w:szCs w:val="24"/>
        </w:rPr>
        <w:t>一</w:t>
      </w:r>
      <w:bookmarkEnd w:id="615"/>
      <w:r>
        <w:rPr>
          <w:color w:val="000000"/>
          <w:spacing w:val="0"/>
          <w:w w:val="100"/>
          <w:position w:val="0"/>
          <w:sz w:val="24"/>
          <w:szCs w:val="24"/>
        </w:rPr>
        <w:t>、审计报告</w:t>
      </w:r>
      <w:bookmarkEnd w:id="613"/>
      <w:bookmarkEnd w:id="614"/>
      <w:bookmarkEnd w:id="616"/>
      <w:bookmarkEnd w:id="61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中兴财光华审会字（</w:t>
            </w:r>
            <w:r>
              <w:rPr>
                <w:color w:val="000000"/>
                <w:spacing w:val="0"/>
                <w:w w:val="100"/>
                <w:position w:val="0"/>
                <w:sz w:val="18"/>
                <w:szCs w:val="18"/>
              </w:rPr>
              <w:t>2022</w:t>
            </w:r>
            <w:r>
              <w:rPr>
                <w:rFonts w:ascii="SimSun" w:eastAsia="SimSun" w:hAnsi="SimSun" w:cs="SimSun"/>
                <w:color w:val="000000"/>
                <w:spacing w:val="0"/>
                <w:w w:val="100"/>
                <w:position w:val="0"/>
                <w:sz w:val="16"/>
                <w:szCs w:val="16"/>
              </w:rPr>
              <w:t>）第</w:t>
            </w:r>
            <w:r>
              <w:rPr>
                <w:color w:val="000000"/>
                <w:spacing w:val="0"/>
                <w:w w:val="100"/>
                <w:position w:val="0"/>
                <w:sz w:val="18"/>
                <w:szCs w:val="18"/>
              </w:rPr>
              <w:t>217092</w:t>
            </w:r>
            <w:r>
              <w:rPr>
                <w:rFonts w:ascii="SimSun" w:eastAsia="SimSun" w:hAnsi="SimSun" w:cs="SimSun"/>
                <w:color w:val="000000"/>
                <w:spacing w:val="0"/>
                <w:w w:val="100"/>
                <w:position w:val="0"/>
                <w:sz w:val="16"/>
                <w:szCs w:val="16"/>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张学福、李钰</w:t>
            </w:r>
          </w:p>
        </w:tc>
      </w:tr>
    </w:tbl>
    <w:p>
      <w:pPr>
        <w:widowControl w:val="0"/>
        <w:spacing w:after="179" w:line="1" w:lineRule="exact"/>
      </w:pPr>
    </w:p>
    <w:p>
      <w:pPr>
        <w:pStyle w:val="Style18"/>
        <w:keepNext w:val="0"/>
        <w:keepLines w:val="0"/>
        <w:widowControl w:val="0"/>
        <w:shd w:val="clear" w:color="auto" w:fill="auto"/>
        <w:bidi w:val="0"/>
        <w:spacing w:before="0" w:after="0" w:line="467" w:lineRule="exact"/>
        <w:ind w:left="0" w:right="0" w:firstLine="0"/>
        <w:jc w:val="center"/>
      </w:pPr>
      <w:r>
        <w:rPr>
          <w:color w:val="000000"/>
          <w:spacing w:val="0"/>
          <w:w w:val="100"/>
          <w:position w:val="0"/>
        </w:rPr>
        <w:t>审计报告正文</w:t>
      </w:r>
    </w:p>
    <w:p>
      <w:pPr>
        <w:pStyle w:val="Style18"/>
        <w:keepNext w:val="0"/>
        <w:keepLines w:val="0"/>
        <w:widowControl w:val="0"/>
        <w:shd w:val="clear" w:color="auto" w:fill="auto"/>
        <w:bidi w:val="0"/>
        <w:spacing w:before="0" w:after="0" w:line="467" w:lineRule="exact"/>
        <w:ind w:left="0" w:right="0" w:firstLine="0"/>
        <w:jc w:val="both"/>
      </w:pPr>
      <w:r>
        <w:rPr>
          <w:color w:val="000000"/>
          <w:spacing w:val="0"/>
          <w:w w:val="100"/>
          <w:position w:val="0"/>
        </w:rPr>
        <w:t>北京中科金财科技股份有限公司全体股东：</w:t>
      </w:r>
    </w:p>
    <w:p>
      <w:pPr>
        <w:pStyle w:val="Style18"/>
        <w:keepNext w:val="0"/>
        <w:keepLines w:val="0"/>
        <w:widowControl w:val="0"/>
        <w:shd w:val="clear" w:color="auto" w:fill="auto"/>
        <w:tabs>
          <w:tab w:pos="909" w:val="left"/>
        </w:tabs>
        <w:bidi w:val="0"/>
        <w:spacing w:before="0" w:after="0" w:line="467" w:lineRule="exact"/>
        <w:ind w:left="0" w:right="0" w:firstLine="440"/>
        <w:jc w:val="both"/>
      </w:pPr>
      <w:bookmarkStart w:id="617" w:name="bookmark617"/>
      <w:r>
        <w:rPr>
          <w:color w:val="000000"/>
          <w:spacing w:val="0"/>
          <w:w w:val="100"/>
          <w:position w:val="0"/>
        </w:rPr>
        <w:t>一</w:t>
      </w:r>
      <w:bookmarkEnd w:id="617"/>
      <w:r>
        <w:rPr>
          <w:color w:val="000000"/>
          <w:spacing w:val="0"/>
          <w:w w:val="100"/>
          <w:position w:val="0"/>
        </w:rPr>
        <w:t>、</w:t>
        <w:tab/>
        <w:t>审计意见</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我们审计了北京中科金财科技股份有限公司（以下简称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中科金财公司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年度的合并及公司利润表、合并及公司现金流量表、合并及公司股东 权益变动表以及财务报表附注。</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我们认为，后附的财务报表在所有重大方面按照企业会计准则的规定编制，公允反映了中科金财公司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年度的合并及公司经营成果和现金流量。</w:t>
      </w:r>
    </w:p>
    <w:p>
      <w:pPr>
        <w:pStyle w:val="Style18"/>
        <w:keepNext w:val="0"/>
        <w:keepLines w:val="0"/>
        <w:widowControl w:val="0"/>
        <w:shd w:val="clear" w:color="auto" w:fill="auto"/>
        <w:tabs>
          <w:tab w:pos="909" w:val="left"/>
        </w:tabs>
        <w:bidi w:val="0"/>
        <w:spacing w:before="0" w:after="0" w:line="467" w:lineRule="exact"/>
        <w:ind w:left="0" w:right="0" w:firstLine="440"/>
        <w:jc w:val="both"/>
      </w:pPr>
      <w:bookmarkStart w:id="618" w:name="bookmark618"/>
      <w:r>
        <w:rPr>
          <w:color w:val="000000"/>
          <w:spacing w:val="0"/>
          <w:w w:val="100"/>
          <w:position w:val="0"/>
        </w:rPr>
        <w:t>二</w:t>
      </w:r>
      <w:bookmarkEnd w:id="618"/>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部分进一步阐述了我们在这些准则下的责任。按照中国注册会计师职业道德守则，我们独立于中 科金财公司，并履行了职业道德方面的其他责任。我们相信，我们获取的审计证据是充分、适当的，为发 表审计意见提供了基础。</w:t>
      </w:r>
    </w:p>
    <w:p>
      <w:pPr>
        <w:pStyle w:val="Style18"/>
        <w:keepNext w:val="0"/>
        <w:keepLines w:val="0"/>
        <w:widowControl w:val="0"/>
        <w:shd w:val="clear" w:color="auto" w:fill="auto"/>
        <w:tabs>
          <w:tab w:pos="914" w:val="left"/>
        </w:tabs>
        <w:bidi w:val="0"/>
        <w:spacing w:before="0" w:after="0" w:line="467" w:lineRule="exact"/>
        <w:ind w:left="0" w:right="0" w:firstLine="440"/>
        <w:jc w:val="both"/>
      </w:pPr>
      <w:bookmarkStart w:id="619" w:name="bookmark619"/>
      <w:r>
        <w:rPr>
          <w:color w:val="000000"/>
          <w:spacing w:val="0"/>
          <w:w w:val="100"/>
          <w:position w:val="0"/>
        </w:rPr>
        <w:t>三</w:t>
      </w:r>
      <w:bookmarkEnd w:id="619"/>
      <w:r>
        <w:rPr>
          <w:color w:val="000000"/>
          <w:spacing w:val="0"/>
          <w:w w:val="100"/>
          <w:position w:val="0"/>
        </w:rPr>
        <w:t>、</w:t>
        <w:tab/>
        <w:t>关键审计事项</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财务报表整体进行审计并形成审计意见为背景，我们不对这些事项单独发表意见。我们确定下列事项是需 要在审计报告中沟通的关键审计事项。</w:t>
      </w:r>
    </w:p>
    <w:p>
      <w:pPr>
        <w:pStyle w:val="Style18"/>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（一）信托计划的列报及减值</w:t>
      </w:r>
    </w:p>
    <w:p>
      <w:pPr>
        <w:pStyle w:val="Style18"/>
        <w:keepNext w:val="0"/>
        <w:keepLines w:val="0"/>
        <w:widowControl w:val="0"/>
        <w:numPr>
          <w:ilvl w:val="0"/>
          <w:numId w:val="21"/>
        </w:numPr>
        <w:shd w:val="clear" w:color="auto" w:fill="auto"/>
        <w:bidi w:val="0"/>
        <w:spacing w:before="0" w:after="0"/>
        <w:ind w:left="0" w:right="0" w:firstLine="440"/>
        <w:jc w:val="both"/>
      </w:pPr>
      <w:bookmarkStart w:id="620" w:name="bookmark620"/>
      <w:bookmarkEnd w:id="620"/>
      <w:r>
        <w:rPr>
          <w:color w:val="000000"/>
          <w:spacing w:val="0"/>
          <w:w w:val="100"/>
          <w:position w:val="0"/>
        </w:rPr>
        <w:t>事项描述</w:t>
      </w:r>
    </w:p>
    <w:p>
      <w:pPr>
        <w:pStyle w:val="Style18"/>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相关信息披露详见财务报表附注七、</w:t>
      </w:r>
      <w:r>
        <w:rPr>
          <w:rFonts w:ascii="Times New Roman" w:eastAsia="Times New Roman" w:hAnsi="Times New Roman" w:cs="Times New Roman"/>
          <w:color w:val="000000"/>
          <w:spacing w:val="0"/>
          <w:w w:val="100"/>
          <w:position w:val="0"/>
        </w:rPr>
        <w:t>10</w:t>
      </w:r>
      <w:r>
        <w:rPr>
          <w:color w:val="000000"/>
          <w:spacing w:val="0"/>
          <w:w w:val="100"/>
          <w:position w:val="0"/>
        </w:rPr>
        <w:t>，七、</w:t>
      </w:r>
      <w:r>
        <w:rPr>
          <w:rFonts w:ascii="Times New Roman" w:eastAsia="Times New Roman" w:hAnsi="Times New Roman" w:cs="Times New Roman"/>
          <w:color w:val="000000"/>
          <w:spacing w:val="0"/>
          <w:w w:val="100"/>
          <w:position w:val="0"/>
        </w:rPr>
        <w:t>11</w:t>
      </w:r>
      <w:r>
        <w:rPr>
          <w:color w:val="000000"/>
          <w:spacing w:val="0"/>
          <w:w w:val="100"/>
          <w:position w:val="0"/>
        </w:rPr>
        <w:t>，七、</w:t>
      </w:r>
      <w:r>
        <w:rPr>
          <w:rFonts w:ascii="Times New Roman" w:eastAsia="Times New Roman" w:hAnsi="Times New Roman" w:cs="Times New Roman"/>
          <w:color w:val="000000"/>
          <w:spacing w:val="0"/>
          <w:w w:val="100"/>
          <w:position w:val="0"/>
        </w:rPr>
        <w:t>12</w:t>
      </w:r>
      <w:r>
        <w:rPr>
          <w:color w:val="000000"/>
          <w:spacing w:val="0"/>
          <w:w w:val="100"/>
          <w:position w:val="0"/>
        </w:rPr>
        <w:t>,七、</w:t>
      </w:r>
      <w:r>
        <w:rPr>
          <w:rFonts w:ascii="Times New Roman" w:eastAsia="Times New Roman" w:hAnsi="Times New Roman" w:cs="Times New Roman"/>
          <w:color w:val="000000"/>
          <w:spacing w:val="0"/>
          <w:w w:val="100"/>
          <w:position w:val="0"/>
        </w:rPr>
        <w:t>49</w:t>
      </w:r>
      <w:r>
        <w:rPr>
          <w:color w:val="000000"/>
          <w:spacing w:val="0"/>
          <w:w w:val="100"/>
          <w:position w:val="0"/>
        </w:rPr>
        <w:t>,附注九、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日，公司资产负债表中列示信托资产账面余额</w:t>
      </w:r>
      <w:r>
        <w:rPr>
          <w:rFonts w:ascii="Times New Roman" w:eastAsia="Times New Roman" w:hAnsi="Times New Roman" w:cs="Times New Roman"/>
          <w:color w:val="000000"/>
          <w:spacing w:val="0"/>
          <w:w w:val="100"/>
          <w:position w:val="0"/>
        </w:rPr>
        <w:t>60,240.74</w:t>
      </w:r>
      <w:r>
        <w:rPr>
          <w:color w:val="000000"/>
          <w:spacing w:val="0"/>
          <w:w w:val="100"/>
          <w:position w:val="0"/>
        </w:rPr>
        <w:t>万元</w:t>
      </w:r>
      <w:r>
        <w:rPr>
          <w:color w:val="000000"/>
          <w:spacing w:val="0"/>
          <w:w w:val="100"/>
          <w:position w:val="0"/>
        </w:rPr>
        <w:t>，</w:t>
      </w:r>
      <w:r>
        <w:rPr>
          <w:color w:val="000000"/>
          <w:spacing w:val="0"/>
          <w:w w:val="100"/>
          <w:position w:val="0"/>
        </w:rPr>
        <w:t>减值准备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,724.05</w:t>
      </w:r>
      <w:r>
        <w:rPr>
          <w:color w:val="000000"/>
          <w:spacing w:val="0"/>
          <w:w w:val="100"/>
          <w:position w:val="0"/>
        </w:rPr>
        <w:t>万元。 该信托计划金额重大，信托计划作为金融资产如何在财务报表进行合理列报以及根据信托计划底层资产的 信用情况确定信托计划减值时管理层作出评估和判断，因此我们将信托计划的列报及减值事项作为关键审 计事项进行关注。</w:t>
      </w:r>
    </w:p>
    <w:p>
      <w:pPr>
        <w:pStyle w:val="Style18"/>
        <w:keepNext w:val="0"/>
        <w:keepLines w:val="0"/>
        <w:widowControl w:val="0"/>
        <w:numPr>
          <w:ilvl w:val="0"/>
          <w:numId w:val="21"/>
        </w:numPr>
        <w:shd w:val="clear" w:color="auto" w:fill="auto"/>
        <w:bidi w:val="0"/>
        <w:spacing w:before="0" w:after="0" w:line="473" w:lineRule="exact"/>
        <w:ind w:left="0" w:right="0" w:firstLine="440"/>
        <w:jc w:val="left"/>
      </w:pPr>
      <w:bookmarkStart w:id="621" w:name="bookmark621"/>
      <w:bookmarkEnd w:id="621"/>
      <w:r>
        <w:rPr>
          <w:color w:val="000000"/>
          <w:spacing w:val="0"/>
          <w:w w:val="100"/>
          <w:position w:val="0"/>
        </w:rPr>
        <w:t>审计应对</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我们针对信托资产相关的上述关键审计事项执行的主要审计程序如下：</w:t>
      </w:r>
    </w:p>
    <w:p>
      <w:pPr>
        <w:pStyle w:val="Style18"/>
        <w:keepNext w:val="0"/>
        <w:keepLines w:val="0"/>
        <w:widowControl w:val="0"/>
        <w:shd w:val="clear" w:color="auto" w:fill="auto"/>
        <w:tabs>
          <w:tab w:pos="1021" w:val="left"/>
        </w:tabs>
        <w:bidi w:val="0"/>
        <w:spacing w:before="0" w:after="0" w:line="473" w:lineRule="exact"/>
        <w:ind w:left="0" w:right="0" w:firstLine="440"/>
        <w:jc w:val="left"/>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rPr>
        <w:t>1</w:t>
      </w:r>
      <w:r>
        <w:rPr>
          <w:color w:val="000000"/>
          <w:spacing w:val="0"/>
          <w:w w:val="100"/>
          <w:position w:val="0"/>
        </w:rPr>
        <w:t>）</w:t>
        <w:tab/>
        <w:t>我们对此投资业务的关键内控设计和执行情况进行了解和测试；对减值计算相关内部控制设计 进行评估和测试；</w:t>
      </w:r>
    </w:p>
    <w:p>
      <w:pPr>
        <w:pStyle w:val="Style18"/>
        <w:keepNext w:val="0"/>
        <w:keepLines w:val="0"/>
        <w:widowControl w:val="0"/>
        <w:shd w:val="clear" w:color="auto" w:fill="auto"/>
        <w:tabs>
          <w:tab w:pos="1006" w:val="left"/>
        </w:tabs>
        <w:bidi w:val="0"/>
        <w:spacing w:before="0" w:after="0" w:line="473" w:lineRule="exact"/>
        <w:ind w:left="0" w:right="0" w:firstLine="440"/>
        <w:jc w:val="left"/>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rPr>
        <w:t>2</w:t>
      </w:r>
      <w:r>
        <w:rPr>
          <w:color w:val="000000"/>
          <w:spacing w:val="0"/>
          <w:w w:val="100"/>
          <w:position w:val="0"/>
        </w:rPr>
        <w:t>）</w:t>
        <w:tab/>
        <w:t>获取并查阅资金计划合同、信托计划说明书，了解信托计划中对信托财产的管理、运用和处分 的决策机制及相应流程，分析信托计划的委托人和受托人的权利，评估公司对该项信托计划的权利、可变 回报、以及运用权力影响可变回报的能力，判断公司对该项信托计划是否构成控制；</w:t>
      </w:r>
    </w:p>
    <w:p>
      <w:pPr>
        <w:pStyle w:val="Style18"/>
        <w:keepNext w:val="0"/>
        <w:keepLines w:val="0"/>
        <w:widowControl w:val="0"/>
        <w:shd w:val="clear" w:color="auto" w:fill="auto"/>
        <w:tabs>
          <w:tab w:pos="1021" w:val="left"/>
        </w:tabs>
        <w:bidi w:val="0"/>
        <w:spacing w:before="0" w:after="0" w:line="473" w:lineRule="exact"/>
        <w:ind w:left="0" w:right="0" w:firstLine="440"/>
        <w:jc w:val="left"/>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rPr>
        <w:t>3</w:t>
      </w:r>
      <w:r>
        <w:rPr>
          <w:color w:val="000000"/>
          <w:spacing w:val="0"/>
          <w:w w:val="100"/>
          <w:position w:val="0"/>
        </w:rPr>
        <w:t>）</w:t>
        <w:tab/>
        <w:t>分析信托计划合同的相关约定，并结合管理层认购信托计划的目的和动因，判断对该项金融资 产的分类、计量和列报是否正确；</w:t>
      </w:r>
    </w:p>
    <w:p>
      <w:pPr>
        <w:pStyle w:val="Style18"/>
        <w:keepNext w:val="0"/>
        <w:keepLines w:val="0"/>
        <w:widowControl w:val="0"/>
        <w:shd w:val="clear" w:color="auto" w:fill="auto"/>
        <w:tabs>
          <w:tab w:pos="1021" w:val="left"/>
        </w:tabs>
        <w:bidi w:val="0"/>
        <w:spacing w:before="0" w:after="0" w:line="473" w:lineRule="exact"/>
        <w:ind w:left="0" w:right="0" w:firstLine="440"/>
        <w:jc w:val="left"/>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rPr>
        <w:t>4</w:t>
      </w:r>
      <w:r>
        <w:rPr>
          <w:color w:val="000000"/>
          <w:spacing w:val="0"/>
          <w:w w:val="100"/>
          <w:position w:val="0"/>
        </w:rPr>
        <w:t>）</w:t>
        <w:tab/>
        <w:t>结合底层资产的情况复核管理层作出的评估结果是否合理。对本期计提的减值，复核管理层的 计算过程及结果。</w:t>
      </w:r>
    </w:p>
    <w:p>
      <w:pPr>
        <w:pStyle w:val="Style18"/>
        <w:keepNext w:val="0"/>
        <w:keepLines w:val="0"/>
        <w:widowControl w:val="0"/>
        <w:shd w:val="clear" w:color="auto" w:fill="auto"/>
        <w:bidi w:val="0"/>
        <w:spacing w:before="0" w:after="0" w:line="473" w:lineRule="exact"/>
        <w:ind w:left="0" w:right="0" w:firstLine="440"/>
        <w:jc w:val="left"/>
      </w:pPr>
      <w:r>
        <w:rPr>
          <w:color w:val="000000"/>
          <w:spacing w:val="0"/>
          <w:w w:val="100"/>
          <w:position w:val="0"/>
        </w:rPr>
        <w:t>（二）商誉的减值</w:t>
      </w:r>
    </w:p>
    <w:p>
      <w:pPr>
        <w:pStyle w:val="Style18"/>
        <w:keepNext w:val="0"/>
        <w:keepLines w:val="0"/>
        <w:widowControl w:val="0"/>
        <w:shd w:val="clear" w:color="auto" w:fill="auto"/>
        <w:tabs>
          <w:tab w:pos="794" w:val="left"/>
        </w:tabs>
        <w:bidi w:val="0"/>
        <w:spacing w:before="0" w:after="0" w:line="473" w:lineRule="exact"/>
        <w:ind w:left="0" w:right="0" w:firstLine="440"/>
        <w:jc w:val="both"/>
      </w:pPr>
      <w:bookmarkStart w:id="626" w:name="bookmark626"/>
      <w:r>
        <w:rPr>
          <w:rFonts w:ascii="Times New Roman" w:eastAsia="Times New Roman" w:hAnsi="Times New Roman" w:cs="Times New Roman"/>
          <w:color w:val="000000"/>
          <w:spacing w:val="0"/>
          <w:w w:val="100"/>
          <w:position w:val="0"/>
        </w:rPr>
        <w:t>1</w:t>
      </w:r>
      <w:bookmarkEnd w:id="626"/>
      <w:r>
        <w:rPr>
          <w:color w:val="000000"/>
          <w:spacing w:val="0"/>
          <w:w w:val="100"/>
          <w:position w:val="0"/>
        </w:rPr>
        <w:t>、</w:t>
        <w:tab/>
        <w:t>事项描述</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相关信息披露详见财务报表附注七、</w:t>
      </w:r>
      <w:r>
        <w:rPr>
          <w:rFonts w:ascii="Times New Roman" w:eastAsia="Times New Roman" w:hAnsi="Times New Roman" w:cs="Times New Roman"/>
          <w:color w:val="000000"/>
          <w:spacing w:val="0"/>
          <w:w w:val="100"/>
          <w:position w:val="0"/>
        </w:rPr>
        <w:t>19</w:t>
      </w:r>
      <w:r>
        <w:rPr>
          <w:color w:val="000000"/>
          <w:spacing w:val="0"/>
          <w:w w:val="100"/>
          <w:position w:val="0"/>
        </w:rPr>
        <w:t>。</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日，公司资产负债表中列示商誉账面余额</w:t>
      </w:r>
      <w:r>
        <w:rPr>
          <w:rFonts w:ascii="Times New Roman" w:eastAsia="Times New Roman" w:hAnsi="Times New Roman" w:cs="Times New Roman"/>
          <w:color w:val="000000"/>
          <w:spacing w:val="0"/>
          <w:w w:val="100"/>
          <w:position w:val="0"/>
        </w:rPr>
        <w:t>82,200.98</w:t>
      </w:r>
      <w:r>
        <w:rPr>
          <w:color w:val="000000"/>
          <w:spacing w:val="0"/>
          <w:w w:val="100"/>
          <w:position w:val="0"/>
        </w:rPr>
        <w:t>万元，减值准备</w:t>
      </w:r>
      <w:r>
        <w:rPr>
          <w:rFonts w:ascii="Times New Roman" w:eastAsia="Times New Roman" w:hAnsi="Times New Roman" w:cs="Times New Roman"/>
          <w:color w:val="000000"/>
          <w:spacing w:val="0"/>
          <w:w w:val="100"/>
          <w:position w:val="0"/>
        </w:rPr>
        <w:t>62,843.08</w:t>
      </w:r>
      <w:r>
        <w:rPr>
          <w:color w:val="000000"/>
          <w:spacing w:val="0"/>
          <w:w w:val="100"/>
          <w:position w:val="0"/>
        </w:rPr>
        <w:t>万元。</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理层每年评估商誉可能出现减值的情况，并依据减值测试的结果调整商誉的账面价值，在确定是否应 计提减值时涉及管理层重大的判断和估计，特别是确定收入增长率、永续增长率、成本上涨，以及折现率 等关键参数。由于商誉的减值预测和折现未来现金流量涉及固有不确定性，以及管理层在选用假设和估计 时可能出现偏好的风险，我们将评估商誉的减值视为关键审计事项。</w:t>
      </w:r>
    </w:p>
    <w:p>
      <w:pPr>
        <w:pStyle w:val="Style18"/>
        <w:keepNext w:val="0"/>
        <w:keepLines w:val="0"/>
        <w:widowControl w:val="0"/>
        <w:shd w:val="clear" w:color="auto" w:fill="auto"/>
        <w:tabs>
          <w:tab w:pos="813" w:val="left"/>
        </w:tabs>
        <w:bidi w:val="0"/>
        <w:spacing w:before="0" w:after="0" w:line="473" w:lineRule="exact"/>
        <w:ind w:left="0" w:right="0" w:firstLine="440"/>
        <w:jc w:val="both"/>
      </w:pPr>
      <w:bookmarkStart w:id="627" w:name="bookmark627"/>
      <w:r>
        <w:rPr>
          <w:rFonts w:ascii="Times New Roman" w:eastAsia="Times New Roman" w:hAnsi="Times New Roman" w:cs="Times New Roman"/>
          <w:color w:val="000000"/>
          <w:spacing w:val="0"/>
          <w:w w:val="100"/>
          <w:position w:val="0"/>
        </w:rPr>
        <w:t>2</w:t>
      </w:r>
      <w:bookmarkEnd w:id="627"/>
      <w:r>
        <w:rPr>
          <w:color w:val="000000"/>
          <w:spacing w:val="0"/>
          <w:w w:val="100"/>
          <w:position w:val="0"/>
        </w:rPr>
        <w:t>、</w:t>
        <w:tab/>
        <w:t>审计应对</w:t>
      </w:r>
    </w:p>
    <w:p>
      <w:pPr>
        <w:pStyle w:val="Style18"/>
        <w:keepNext w:val="0"/>
        <w:keepLines w:val="0"/>
        <w:widowControl w:val="0"/>
        <w:shd w:val="clear" w:color="auto" w:fill="auto"/>
        <w:tabs>
          <w:tab w:pos="1006" w:val="left"/>
        </w:tabs>
        <w:bidi w:val="0"/>
        <w:spacing w:before="0" w:after="0" w:line="473" w:lineRule="exact"/>
        <w:ind w:left="0" w:right="0" w:firstLine="44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rPr>
        <w:t>1</w:t>
      </w:r>
      <w:r>
        <w:rPr>
          <w:color w:val="000000"/>
          <w:spacing w:val="0"/>
          <w:w w:val="100"/>
          <w:position w:val="0"/>
        </w:rPr>
        <w:t>）</w:t>
        <w:tab/>
        <w:t>我们评估及测试与商誉减值测试相关的内部控制的设计，包括关键假设的采用及减值计提金额 的复核及审批；</w:t>
      </w:r>
    </w:p>
    <w:p>
      <w:pPr>
        <w:pStyle w:val="Style18"/>
        <w:keepNext w:val="0"/>
        <w:keepLines w:val="0"/>
        <w:widowControl w:val="0"/>
        <w:shd w:val="clear" w:color="auto" w:fill="auto"/>
        <w:tabs>
          <w:tab w:pos="928" w:val="left"/>
        </w:tabs>
        <w:bidi w:val="0"/>
        <w:spacing w:before="0" w:after="0" w:line="473" w:lineRule="exact"/>
        <w:ind w:left="0" w:right="0" w:firstLine="44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rPr>
        <w:t>2</w:t>
      </w:r>
      <w:r>
        <w:rPr>
          <w:color w:val="000000"/>
          <w:spacing w:val="0"/>
          <w:w w:val="100"/>
          <w:position w:val="0"/>
        </w:rPr>
        <w:t>）</w:t>
        <w:tab/>
        <w:t>聘请外部专家对与商誉相关的资产组或资产组组合进行评估，并对专家的评估结果进行复核；</w:t>
      </w:r>
    </w:p>
    <w:p>
      <w:pPr>
        <w:pStyle w:val="Style18"/>
        <w:keepNext w:val="0"/>
        <w:keepLines w:val="0"/>
        <w:widowControl w:val="0"/>
        <w:shd w:val="clear" w:color="auto" w:fill="auto"/>
        <w:tabs>
          <w:tab w:pos="928" w:val="left"/>
        </w:tabs>
        <w:bidi w:val="0"/>
        <w:spacing w:before="0" w:after="0" w:line="473" w:lineRule="exact"/>
        <w:ind w:left="0" w:right="0" w:firstLine="440"/>
        <w:jc w:val="left"/>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rPr>
        <w:t>3</w:t>
      </w:r>
      <w:r>
        <w:rPr>
          <w:color w:val="000000"/>
          <w:spacing w:val="0"/>
          <w:w w:val="100"/>
          <w:position w:val="0"/>
        </w:rPr>
        <w:t>）</w:t>
        <w:tab/>
        <w:t>通过参考行业惯例，评估了管理层进行现金流量预测时使用的估值方法的适当性；</w:t>
      </w:r>
    </w:p>
    <w:p>
      <w:pPr>
        <w:pStyle w:val="Style18"/>
        <w:keepNext w:val="0"/>
        <w:keepLines w:val="0"/>
        <w:widowControl w:val="0"/>
        <w:shd w:val="clear" w:color="auto" w:fill="auto"/>
        <w:tabs>
          <w:tab w:pos="1016" w:val="left"/>
        </w:tabs>
        <w:bidi w:val="0"/>
        <w:spacing w:before="0" w:after="0" w:line="473" w:lineRule="exact"/>
        <w:ind w:left="0" w:right="0" w:firstLine="44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rPr>
        <w:t>4</w:t>
      </w:r>
      <w:r>
        <w:rPr>
          <w:color w:val="000000"/>
          <w:spacing w:val="0"/>
          <w:w w:val="100"/>
          <w:position w:val="0"/>
        </w:rPr>
        <w:t>）</w:t>
        <w:tab/>
        <w:t>对预测收入和采用的折现率等关键假设进行敏感性分析，以评价关键假设的变化对减值评估结 果的影响以及考虑对关键假设的选择是否存在管理层偏向的迹象；</w:t>
      </w:r>
    </w:p>
    <w:p>
      <w:pPr>
        <w:pStyle w:val="Style18"/>
        <w:keepNext w:val="0"/>
        <w:keepLines w:val="0"/>
        <w:widowControl w:val="0"/>
        <w:shd w:val="clear" w:color="auto" w:fill="auto"/>
        <w:bidi w:val="0"/>
        <w:spacing w:before="0" w:after="0" w:line="468" w:lineRule="exact"/>
        <w:ind w:left="0" w:right="0" w:firstLine="44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rPr>
        <w:t>5</w:t>
      </w:r>
      <w:r>
        <w:rPr>
          <w:color w:val="000000"/>
          <w:spacing w:val="0"/>
          <w:w w:val="100"/>
          <w:position w:val="0"/>
        </w:rPr>
        <w:t>）通过对比上一年度的预测和本年度的业绩进行追溯性审核，以评估管理层预测过程的可靠性。</w:t>
      </w:r>
    </w:p>
    <w:p>
      <w:pPr>
        <w:pStyle w:val="Style18"/>
        <w:keepNext w:val="0"/>
        <w:keepLines w:val="0"/>
        <w:widowControl w:val="0"/>
        <w:shd w:val="clear" w:color="auto" w:fill="auto"/>
        <w:tabs>
          <w:tab w:pos="894" w:val="left"/>
        </w:tabs>
        <w:bidi w:val="0"/>
        <w:spacing w:before="0" w:after="0" w:line="468" w:lineRule="exact"/>
        <w:ind w:left="0" w:right="0" w:firstLine="440"/>
        <w:jc w:val="both"/>
      </w:pPr>
      <w:bookmarkStart w:id="633" w:name="bookmark633"/>
      <w:r>
        <w:rPr>
          <w:color w:val="000000"/>
          <w:spacing w:val="0"/>
          <w:w w:val="100"/>
          <w:position w:val="0"/>
        </w:rPr>
        <w:t>四</w:t>
      </w:r>
      <w:bookmarkEnd w:id="633"/>
      <w:r>
        <w:rPr>
          <w:color w:val="000000"/>
          <w:spacing w:val="0"/>
          <w:w w:val="100"/>
          <w:position w:val="0"/>
        </w:rPr>
        <w:t>、</w:t>
        <w:tab/>
        <w:t>其他信息</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中科金财公司管理层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对其他信息负责。其他信息包括中科金财公司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 中涵盖的信息，但不包括财务报表和我们的审计报告。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8"/>
        <w:keepNext w:val="0"/>
        <w:keepLines w:val="0"/>
        <w:widowControl w:val="0"/>
        <w:shd w:val="clear" w:color="auto" w:fill="auto"/>
        <w:tabs>
          <w:tab w:pos="909" w:val="left"/>
        </w:tabs>
        <w:bidi w:val="0"/>
        <w:spacing w:before="0" w:after="0" w:line="468" w:lineRule="exact"/>
        <w:ind w:left="0" w:right="0" w:firstLine="440"/>
        <w:jc w:val="both"/>
      </w:pPr>
      <w:bookmarkStart w:id="634" w:name="bookmark634"/>
      <w:r>
        <w:rPr>
          <w:color w:val="000000"/>
          <w:spacing w:val="0"/>
          <w:w w:val="100"/>
          <w:position w:val="0"/>
        </w:rPr>
        <w:t>五</w:t>
      </w:r>
      <w:bookmarkEnd w:id="634"/>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在编制财务报表时，管理层负责评估中科金财公司的持续经营能力，披露与持续经营相关的事项（如 适用），并运用持续经营假设，除非管理层计划清算中科金财公司、终止运营或别无其他现实的选择。</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治理层负责监督中科金财公司的财务报告过程。</w:t>
      </w:r>
    </w:p>
    <w:p>
      <w:pPr>
        <w:pStyle w:val="Style18"/>
        <w:keepNext w:val="0"/>
        <w:keepLines w:val="0"/>
        <w:widowControl w:val="0"/>
        <w:shd w:val="clear" w:color="auto" w:fill="auto"/>
        <w:tabs>
          <w:tab w:pos="914" w:val="left"/>
        </w:tabs>
        <w:bidi w:val="0"/>
        <w:spacing w:before="0" w:after="0" w:line="468" w:lineRule="exact"/>
        <w:ind w:left="0" w:right="0" w:firstLine="440"/>
        <w:jc w:val="both"/>
      </w:pPr>
      <w:bookmarkStart w:id="635" w:name="bookmark635"/>
      <w:r>
        <w:rPr>
          <w:color w:val="000000"/>
          <w:spacing w:val="0"/>
          <w:w w:val="100"/>
          <w:position w:val="0"/>
        </w:rPr>
        <w:t>六</w:t>
      </w:r>
      <w:bookmarkEnd w:id="635"/>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8"/>
        <w:keepNext w:val="0"/>
        <w:keepLines w:val="0"/>
        <w:widowControl w:val="0"/>
        <w:shd w:val="clear" w:color="auto" w:fill="auto"/>
        <w:tabs>
          <w:tab w:pos="1021" w:val="left"/>
        </w:tabs>
        <w:bidi w:val="0"/>
        <w:spacing w:before="0" w:after="0" w:line="468" w:lineRule="exact"/>
        <w:ind w:left="0" w:right="0" w:firstLine="44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8"/>
        <w:keepNext w:val="0"/>
        <w:keepLines w:val="0"/>
        <w:widowControl w:val="0"/>
        <w:shd w:val="clear" w:color="auto" w:fill="auto"/>
        <w:tabs>
          <w:tab w:pos="1016" w:val="left"/>
        </w:tabs>
        <w:bidi w:val="0"/>
        <w:spacing w:before="0" w:after="0" w:line="468" w:lineRule="exact"/>
        <w:ind w:left="0" w:right="0" w:firstLine="44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 见。</w:t>
      </w:r>
    </w:p>
    <w:p>
      <w:pPr>
        <w:pStyle w:val="Style18"/>
        <w:keepNext w:val="0"/>
        <w:keepLines w:val="0"/>
        <w:widowControl w:val="0"/>
        <w:shd w:val="clear" w:color="auto" w:fill="auto"/>
        <w:tabs>
          <w:tab w:pos="928" w:val="left"/>
        </w:tabs>
        <w:bidi w:val="0"/>
        <w:spacing w:before="0" w:after="0" w:line="468" w:lineRule="exact"/>
        <w:ind w:left="0" w:right="0" w:firstLine="44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488" w:val="left"/>
        </w:tabs>
        <w:bidi w:val="0"/>
        <w:spacing w:before="0" w:after="0" w:line="468" w:lineRule="exact"/>
        <w:ind w:left="0" w:right="0" w:firstLine="44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对管理层使用持续经营假设的恰当性得出结论。同时，根据获取的审计证据，就可能导致对中</w:t>
        <w:br w:type="page"/>
      </w:r>
      <w:r>
        <w:rPr>
          <w:color w:val="000000"/>
          <w:spacing w:val="0"/>
          <w:w w:val="100"/>
          <w:position w:val="0"/>
        </w:rPr>
        <w:t>科金财公司持续经营能力产生重大疑虑的事项或情况是否存在重大不确定性得出结论。如果我们得出结论 认为存在重大不确定性，审计准则要求我们在审计报告中提请报表使用者注意财务报表中的相关披露；如 果披露不充分，我们应当发表非无保留意见。我们的结论基于截至审计报告日可获得的信息。然而，未来 的事项或情况可能导致中科金财公司不能持续经营。</w:t>
      </w:r>
    </w:p>
    <w:p>
      <w:pPr>
        <w:pStyle w:val="Style18"/>
        <w:keepNext w:val="0"/>
        <w:keepLines w:val="0"/>
        <w:widowControl w:val="0"/>
        <w:shd w:val="clear" w:color="auto" w:fill="auto"/>
        <w:tabs>
          <w:tab w:pos="894" w:val="left"/>
        </w:tabs>
        <w:bidi w:val="0"/>
        <w:spacing w:before="0" w:after="0" w:line="470" w:lineRule="exact"/>
        <w:ind w:left="0" w:right="0" w:firstLine="44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8"/>
        <w:keepNext w:val="0"/>
        <w:keepLines w:val="0"/>
        <w:widowControl w:val="0"/>
        <w:shd w:val="clear" w:color="auto" w:fill="auto"/>
        <w:tabs>
          <w:tab w:pos="967" w:val="left"/>
        </w:tabs>
        <w:bidi w:val="0"/>
        <w:spacing w:before="0" w:after="0" w:line="470" w:lineRule="exact"/>
        <w:ind w:left="0" w:right="0" w:firstLine="44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rPr>
        <w:t>6</w:t>
      </w:r>
      <w:r>
        <w:rPr>
          <w:color w:val="000000"/>
          <w:spacing w:val="0"/>
          <w:w w:val="100"/>
          <w:position w:val="0"/>
        </w:rPr>
        <w:t>）</w:t>
        <w:tab/>
        <w:t>就中科金财公司中实体或业务活动的财务信息获取充分、适当的审计证据，以对财务报表发表 审计意见。我们负责指导、监督和执行集团审计，并对审计意见承担全部责任。</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widowControl w:val="0"/>
        <w:spacing w:line="1" w:lineRule="exact"/>
      </w:pPr>
      <w:r>
        <mc:AlternateContent>
          <mc:Choice Requires="wps">
            <w:drawing>
              <wp:anchor distT="558800" distB="1197610" distL="0" distR="0" simplePos="0" relativeHeight="125829380" behindDoc="0" locked="0" layoutInCell="1" allowOverlap="1">
                <wp:simplePos x="0" y="0"/>
                <wp:positionH relativeFrom="page">
                  <wp:posOffset>1114425</wp:posOffset>
                </wp:positionH>
                <wp:positionV relativeFrom="paragraph">
                  <wp:posOffset>558800</wp:posOffset>
                </wp:positionV>
                <wp:extent cx="1481455" cy="167640"/>
                <wp:wrapTopAndBottom/>
                <wp:docPr id="3" name="Shape 3"/>
                <a:graphic xmlns:a="http://schemas.openxmlformats.org/drawingml/2006/main">
                  <a:graphicData uri="http://schemas.microsoft.com/office/word/2010/wordprocessingShape">
                    <wps:wsp>
                      <wps:cNvSpPr txBox="1"/>
                      <wps:spPr>
                        <a:xfrm>
                          <a:ext cx="1481455"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w:t>
                            </w:r>
                          </w:p>
                        </w:txbxContent>
                      </wps:txbx>
                      <wps:bodyPr wrap="none" lIns="0" tIns="0" rIns="0" bIns="0">
                        <a:noAutoFit/>
                      </wps:bodyPr>
                    </wps:wsp>
                  </a:graphicData>
                </a:graphic>
              </wp:anchor>
            </w:drawing>
          </mc:Choice>
          <mc:Fallback>
            <w:pict>
              <v:shape id="_x0000_s1029" type="#_x0000_t202" style="position:absolute;margin-left:87.75pt;margin-top:44.pt;width:116.65000000000001pt;height:13.200000000000001pt;z-index:-125829373;mso-wrap-distance-left:0;mso-wrap-distance-top:44.pt;mso-wrap-distance-right:0;mso-wrap-distance-bottom:94.29999999999999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中兴财光华会计师事务所</w:t>
                      </w:r>
                    </w:p>
                  </w:txbxContent>
                </v:textbox>
                <w10:wrap type="topAndBottom" anchorx="page"/>
              </v:shape>
            </w:pict>
          </mc:Fallback>
        </mc:AlternateContent>
      </w:r>
      <w:r>
        <mc:AlternateContent>
          <mc:Choice Requires="wps">
            <w:drawing>
              <wp:anchor distT="854710" distB="901700" distL="0" distR="0" simplePos="0" relativeHeight="125829382" behindDoc="0" locked="0" layoutInCell="1" allowOverlap="1">
                <wp:simplePos x="0" y="0"/>
                <wp:positionH relativeFrom="page">
                  <wp:posOffset>1245235</wp:posOffset>
                </wp:positionH>
                <wp:positionV relativeFrom="paragraph">
                  <wp:posOffset>854710</wp:posOffset>
                </wp:positionV>
                <wp:extent cx="1082040" cy="167640"/>
                <wp:wrapTopAndBottom/>
                <wp:docPr id="5" name="Shape 5"/>
                <a:graphic xmlns:a="http://schemas.openxmlformats.org/drawingml/2006/main">
                  <a:graphicData uri="http://schemas.microsoft.com/office/word/2010/wordprocessingShape">
                    <wps:wsp>
                      <wps:cNvSpPr txBox="1"/>
                      <wps:spPr>
                        <a:xfrm>
                          <a:ext cx="1082040" cy="16764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31" type="#_x0000_t202" style="position:absolute;margin-left:98.049999999999997pt;margin-top:67.299999999999997pt;width:85.200000000000003pt;height:13.200000000000001pt;z-index:-125829371;mso-wrap-distance-left:0;mso-wrap-distance-top:67.299999999999997pt;mso-wrap-distance-right:0;mso-wrap-distance-bottom:71.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topAndBottom" anchorx="page"/>
              </v:shape>
            </w:pict>
          </mc:Fallback>
        </mc:AlternateContent>
      </w:r>
      <w:r>
        <mc:AlternateContent>
          <mc:Choice Requires="wps">
            <w:drawing>
              <wp:anchor distT="1747520" distB="0" distL="0" distR="0" simplePos="0" relativeHeight="125829384" behindDoc="0" locked="0" layoutInCell="1" allowOverlap="1">
                <wp:simplePos x="0" y="0"/>
                <wp:positionH relativeFrom="page">
                  <wp:posOffset>1513840</wp:posOffset>
                </wp:positionH>
                <wp:positionV relativeFrom="paragraph">
                  <wp:posOffset>1747520</wp:posOffset>
                </wp:positionV>
                <wp:extent cx="594360" cy="176530"/>
                <wp:wrapTopAndBottom/>
                <wp:docPr id="7" name="Shape 7"/>
                <a:graphic xmlns:a="http://schemas.openxmlformats.org/drawingml/2006/main">
                  <a:graphicData uri="http://schemas.microsoft.com/office/word/2010/wordprocessingShape">
                    <wps:wsp>
                      <wps:cNvSpPr txBox="1"/>
                      <wps:spPr>
                        <a:xfrm>
                          <a:ext cx="594360" cy="17653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3" type="#_x0000_t202" style="position:absolute;margin-left:119.2pt;margin-top:137.59999999999999pt;width:46.800000000000004pt;height:13.9pt;z-index:-125829369;mso-wrap-distance-left:0;mso-wrap-distance-top:137.59999999999999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558800" distB="8890" distL="0" distR="0" simplePos="0" relativeHeight="125829386" behindDoc="0" locked="0" layoutInCell="1" allowOverlap="1">
                <wp:simplePos x="0" y="0"/>
                <wp:positionH relativeFrom="page">
                  <wp:posOffset>4491355</wp:posOffset>
                </wp:positionH>
                <wp:positionV relativeFrom="paragraph">
                  <wp:posOffset>558800</wp:posOffset>
                </wp:positionV>
                <wp:extent cx="1478280" cy="1356360"/>
                <wp:wrapTopAndBottom/>
                <wp:docPr id="9" name="Shape 9"/>
                <a:graphic xmlns:a="http://schemas.openxmlformats.org/drawingml/2006/main">
                  <a:graphicData uri="http://schemas.microsoft.com/office/word/2010/wordprocessingShape">
                    <wps:wsp>
                      <wps:cNvSpPr txBox="1"/>
                      <wps:spPr>
                        <a:xfrm>
                          <a:ext cx="1478280" cy="1356360"/>
                        </a:xfrm>
                        <a:prstGeom prst="rect"/>
                        <a:noFill/>
                      </wps:spPr>
                      <wps:txbx>
                        <w:txbxContent>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中国注册会计师：张学福</w:t>
                            </w:r>
                          </w:p>
                          <w:p>
                            <w:pPr>
                              <w:pStyle w:val="Style18"/>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（项目合伙人）</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中国注册会计师：李钰</w:t>
                            </w:r>
                          </w:p>
                          <w:p>
                            <w:pPr>
                              <w:pStyle w:val="Style54"/>
                              <w:keepNext w:val="0"/>
                              <w:keepLines w:val="0"/>
                              <w:widowControl w:val="0"/>
                              <w:shd w:val="clear" w:color="auto" w:fill="auto"/>
                              <w:bidi w:val="0"/>
                              <w:spacing w:before="0" w:after="460" w:line="240" w:lineRule="auto"/>
                              <w:ind w:left="0" w:right="0" w:firstLine="76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xbxContent>
                      </wps:txbx>
                      <wps:bodyPr lIns="0" tIns="0" rIns="0" bIns="0">
                        <a:noAutoFit/>
                      </wps:bodyPr>
                    </wps:wsp>
                  </a:graphicData>
                </a:graphic>
              </wp:anchor>
            </w:drawing>
          </mc:Choice>
          <mc:Fallback>
            <w:pict>
              <v:shape id="_x0000_s1035" type="#_x0000_t202" style="position:absolute;margin-left:353.65000000000003pt;margin-top:44.pt;width:116.40000000000001pt;height:106.8pt;z-index:-125829367;mso-wrap-distance-left:0;mso-wrap-distance-top:44.pt;mso-wrap-distance-right:0;mso-wrap-distance-bottom:0.70000000000000007pt;mso-position-horizontal-relative:page" filled="f" stroked="f">
                <v:textbox inset="0,0,0,0">
                  <w:txbxContent>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中国注册会计师：张学福</w:t>
                      </w:r>
                    </w:p>
                    <w:p>
                      <w:pPr>
                        <w:pStyle w:val="Style18"/>
                        <w:keepNext w:val="0"/>
                        <w:keepLines w:val="0"/>
                        <w:widowControl w:val="0"/>
                        <w:shd w:val="clear" w:color="auto" w:fill="auto"/>
                        <w:bidi w:val="0"/>
                        <w:spacing w:before="0" w:after="220" w:line="240" w:lineRule="auto"/>
                        <w:ind w:left="0" w:right="0" w:firstLine="300"/>
                        <w:jc w:val="left"/>
                      </w:pPr>
                      <w:r>
                        <w:rPr>
                          <w:color w:val="000000"/>
                          <w:spacing w:val="0"/>
                          <w:w w:val="100"/>
                          <w:position w:val="0"/>
                        </w:rPr>
                        <w:t>（项目合伙人）</w:t>
                      </w:r>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中国注册会计师：李钰</w:t>
                      </w:r>
                    </w:p>
                    <w:p>
                      <w:pPr>
                        <w:pStyle w:val="Style54"/>
                        <w:keepNext w:val="0"/>
                        <w:keepLines w:val="0"/>
                        <w:widowControl w:val="0"/>
                        <w:shd w:val="clear" w:color="auto" w:fill="auto"/>
                        <w:bidi w:val="0"/>
                        <w:spacing w:before="0" w:after="460" w:line="240" w:lineRule="auto"/>
                        <w:ind w:left="0" w:right="0" w:firstLine="76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xbxContent>
                </v:textbox>
                <w10:wrap type="topAndBottom" anchorx="page"/>
              </v:shape>
            </w:pict>
          </mc:Fallback>
        </mc:AlternateContent>
      </w:r>
    </w:p>
    <w:p>
      <w:pPr>
        <w:pStyle w:val="Style22"/>
        <w:keepNext/>
        <w:keepLines/>
        <w:widowControl w:val="0"/>
        <w:shd w:val="clear" w:color="auto" w:fill="auto"/>
        <w:bidi w:val="0"/>
        <w:spacing w:before="0" w:after="36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二</w:t>
      </w:r>
      <w:bookmarkEnd w:id="644"/>
      <w:r>
        <w:rPr>
          <w:color w:val="000000"/>
          <w:spacing w:val="0"/>
          <w:w w:val="100"/>
          <w:position w:val="0"/>
          <w:sz w:val="24"/>
          <w:szCs w:val="24"/>
        </w:rPr>
        <w:t>、财务报表</w:t>
      </w:r>
      <w:bookmarkEnd w:id="642"/>
      <w:bookmarkEnd w:id="643"/>
      <w:bookmarkEnd w:id="645"/>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财务附注中报表的单位为：元</w:t>
      </w:r>
    </w:p>
    <w:p>
      <w:pPr>
        <w:pStyle w:val="Style30"/>
        <w:keepNext/>
        <w:keepLines/>
        <w:widowControl w:val="0"/>
        <w:shd w:val="clear" w:color="auto" w:fill="auto"/>
        <w:bidi w:val="0"/>
        <w:spacing w:before="0" w:after="360" w:line="240" w:lineRule="auto"/>
        <w:ind w:left="0" w:right="0" w:firstLine="0"/>
        <w:jc w:val="left"/>
      </w:pP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6"/>
      <w:bookmarkEnd w:id="647"/>
      <w:bookmarkEnd w:id="648"/>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编制单位：北京中科金财科技股份有限公司</w:t>
      </w:r>
    </w:p>
    <w:p>
      <w:pPr>
        <w:pStyle w:val="Style58"/>
        <w:keepNext w:val="0"/>
        <w:keepLines w:val="0"/>
        <w:widowControl w:val="0"/>
        <w:shd w:val="clear" w:color="auto" w:fill="auto"/>
        <w:bidi w:val="0"/>
        <w:spacing w:before="0" w:line="240" w:lineRule="auto"/>
        <w:ind w:left="0" w:right="0" w:firstLine="0"/>
        <w:jc w:val="center"/>
        <w:rPr>
          <w:sz w:val="19"/>
          <w:szCs w:val="19"/>
        </w:rPr>
      </w:pPr>
      <w:r>
        <w:rPr>
          <w:color w:val="000000"/>
          <w:spacing w:val="0"/>
          <w:w w:val="100"/>
          <w:position w:val="0"/>
          <w:sz w:val="24"/>
          <w:szCs w:val="24"/>
        </w:rPr>
        <w:t>2021</w:t>
      </w:r>
      <w:r>
        <w:rPr>
          <w:rFonts w:ascii="SimSun" w:eastAsia="SimSun" w:hAnsi="SimSun" w:cs="SimSun"/>
          <w:color w:val="000000"/>
          <w:spacing w:val="0"/>
          <w:w w:val="100"/>
          <w:position w:val="0"/>
          <w:sz w:val="19"/>
          <w:szCs w:val="19"/>
        </w:rPr>
        <w:t>年</w:t>
      </w:r>
      <w:r>
        <w:rPr>
          <w:color w:val="000000"/>
          <w:spacing w:val="0"/>
          <w:w w:val="100"/>
          <w:position w:val="0"/>
          <w:sz w:val="24"/>
          <w:szCs w:val="24"/>
        </w:rPr>
        <w:t>12</w:t>
      </w:r>
      <w:r>
        <w:rPr>
          <w:rFonts w:ascii="SimSun" w:eastAsia="SimSun" w:hAnsi="SimSun" w:cs="SimSun"/>
          <w:color w:val="000000"/>
          <w:spacing w:val="0"/>
          <w:w w:val="100"/>
          <w:position w:val="0"/>
          <w:sz w:val="19"/>
          <w:szCs w:val="19"/>
        </w:rPr>
        <w:t>月</w:t>
      </w:r>
      <w:r>
        <w:rPr>
          <w:color w:val="000000"/>
          <w:spacing w:val="0"/>
          <w:w w:val="100"/>
          <w:position w:val="0"/>
          <w:sz w:val="24"/>
          <w:szCs w:val="24"/>
        </w:rPr>
        <w:t>31</w:t>
      </w:r>
      <w:r>
        <w:rPr>
          <w:rFonts w:ascii="SimSun" w:eastAsia="SimSun" w:hAnsi="SimSun" w:cs="SimSun"/>
          <w:color w:val="000000"/>
          <w:spacing w:val="0"/>
          <w:w w:val="100"/>
          <w:position w:val="0"/>
          <w:sz w:val="19"/>
          <w:szCs w:val="19"/>
        </w:rPr>
        <w:t>日</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472,260,715.82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402,805,176.91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373,297,802.81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253,760,054.51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7,573,776.72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110,058,572.35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124,869,859.37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1,358,223.80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14,849,053.60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20,661,318.76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28,135,685.97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31,258,030.42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605,068,785.53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505,158,894.33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17,758,645.04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59,629,843.40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267,230,700.00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267,240,600.00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23,569,831.34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28,740,626.34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1,906,807,510.35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1,708,973,457.64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297,020,000.00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379,356,022.94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782,336,061.12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9,602,634.87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59,397,486.79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8,301,700.08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14,060,137.12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62,602,124.63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193,578,999.56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193,578,999.56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2,582,494.96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3,378,129.41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26,337,415.91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26,058,818.66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26,053,265.22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67,664,896.53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1,029,738,557.45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1,433,402,643.51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2,936,546,067.80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3,142,376,101.15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347,724,603.21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408,413,250.13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360,072,931.50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389,183,581.91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16,822,412.09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15,041,901.69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3,936,476.41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9,750,677.43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16,157,591.88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10,568,575.81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2,841,224.24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11,031,597.26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3,087,039.00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758,586,836.59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885,920,025.97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5,711,402.24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7,434,250.00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1,266,935.01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1,203,699.87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16,412,587.25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1,203,699.87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774,999,423.84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887,123,725.84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337,576,686.00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337,576,686.00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1,772,795,539.99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1,772,795,539.99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2,441,469.71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70,934,388.62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-19,810,138.29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71,454,134.78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2,161,496,476.32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2,255,202,219.10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50,167.64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50,156.21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2,161,546,643.96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2,255,252,375.31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2,936,546,067.80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3,142,376,101.15</w:t>
            </w:r>
          </w:p>
        </w:tc>
      </w:tr>
    </w:tbl>
    <w:p>
      <w:pPr>
        <w:spacing w:lineRule="exact" w:line="1"/>
        <w:rPr>
          <w:sz w:val="2"/>
          <w:szCs w:val="2"/>
        </w:rPr>
      </w:pPr>
      <w:r>
        <w:br w:type="page"/>
      </w:r>
    </w:p>
    <w:p>
      <w:pPr>
        <w:widowControl w:val="0"/>
        <w:spacing w:line="1" w:lineRule="exact"/>
      </w:pPr>
      <w:r>
        <mc:AlternateContent>
          <mc:Choice Requires="wps">
            <w:drawing>
              <wp:anchor distT="0" distB="554990" distL="0" distR="0" simplePos="0" relativeHeight="125829388" behindDoc="0" locked="0" layoutInCell="1" allowOverlap="1">
                <wp:simplePos x="0" y="0"/>
                <wp:positionH relativeFrom="page">
                  <wp:posOffset>697230</wp:posOffset>
                </wp:positionH>
                <wp:positionV relativeFrom="paragraph">
                  <wp:posOffset>0</wp:posOffset>
                </wp:positionV>
                <wp:extent cx="1051560" cy="149225"/>
                <wp:wrapTopAndBottom/>
                <wp:docPr id="11" name="Shape 1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wps:txbx>
                      <wps:bodyPr wrap="none" lIns="0" tIns="0" rIns="0" bIns="0">
                        <a:noAutoFit/>
                      </wps:bodyPr>
                    </wps:wsp>
                  </a:graphicData>
                </a:graphic>
              </wp:anchor>
            </w:drawing>
          </mc:Choice>
          <mc:Fallback>
            <w:pict>
              <v:shape id="_x0000_s1037" type="#_x0000_t202" style="position:absolute;margin-left:54.899999999999999pt;margin-top:0;width:82.799999999999997pt;height:11.75pt;z-index:-125829365;mso-wrap-distance-left:0;mso-wrap-distance-right:0;mso-wrap-distance-bottom:43.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法定代表人：朱哗东</w:t>
                      </w:r>
                    </w:p>
                  </w:txbxContent>
                </v:textbox>
                <w10:wrap type="topAndBottom" anchorx="page"/>
              </v:shape>
            </w:pict>
          </mc:Fallback>
        </mc:AlternateContent>
      </w:r>
      <w:r>
        <mc:AlternateContent>
          <mc:Choice Requires="wps">
            <w:drawing>
              <wp:anchor distT="0" distB="558165" distL="0" distR="0" simplePos="0" relativeHeight="125829390" behindDoc="0" locked="0" layoutInCell="1" allowOverlap="1">
                <wp:simplePos x="0" y="0"/>
                <wp:positionH relativeFrom="page">
                  <wp:posOffset>2931160</wp:posOffset>
                </wp:positionH>
                <wp:positionV relativeFrom="paragraph">
                  <wp:posOffset>0</wp:posOffset>
                </wp:positionV>
                <wp:extent cx="1393190" cy="146050"/>
                <wp:wrapTopAndBottom/>
                <wp:docPr id="13" name="Shape 1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主管会计工作负责人：李燕</w:t>
                            </w:r>
                          </w:p>
                        </w:txbxContent>
                      </wps:txbx>
                      <wps:bodyPr wrap="none" lIns="0" tIns="0" rIns="0" bIns="0">
                        <a:noAutoFit/>
                      </wps:bodyPr>
                    </wps:wsp>
                  </a:graphicData>
                </a:graphic>
              </wp:anchor>
            </w:drawing>
          </mc:Choice>
          <mc:Fallback>
            <w:pict>
              <v:shape id="_x0000_s1039" type="#_x0000_t202" style="position:absolute;margin-left:230.80000000000001pt;margin-top:0;width:109.7pt;height:11.5pt;z-index:-125829363;mso-wrap-distance-left:0;mso-wrap-distance-right:0;mso-wrap-distance-bottom:43.95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主管会计工作负责人：李燕</w:t>
                      </w:r>
                    </w:p>
                  </w:txbxContent>
                </v:textbox>
                <w10:wrap type="topAndBottom" anchorx="page"/>
              </v:shape>
            </w:pict>
          </mc:Fallback>
        </mc:AlternateContent>
      </w:r>
      <w:r>
        <mc:AlternateContent>
          <mc:Choice Requires="wps">
            <w:drawing>
              <wp:anchor distT="0" distB="554990" distL="0" distR="0" simplePos="0" relativeHeight="125829392" behindDoc="0" locked="0" layoutInCell="1" allowOverlap="1">
                <wp:simplePos x="0" y="0"/>
                <wp:positionH relativeFrom="page">
                  <wp:posOffset>5497830</wp:posOffset>
                </wp:positionH>
                <wp:positionV relativeFrom="paragraph">
                  <wp:posOffset>0</wp:posOffset>
                </wp:positionV>
                <wp:extent cx="1286510" cy="149225"/>
                <wp:wrapTopAndBottom/>
                <wp:docPr id="15" name="Shape 1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会计机构负责人：杨文燕</w:t>
                            </w:r>
                          </w:p>
                        </w:txbxContent>
                      </wps:txbx>
                      <wps:bodyPr wrap="none" lIns="0" tIns="0" rIns="0" bIns="0">
                        <a:noAutoFit/>
                      </wps:bodyPr>
                    </wps:wsp>
                  </a:graphicData>
                </a:graphic>
              </wp:anchor>
            </w:drawing>
          </mc:Choice>
          <mc:Fallback>
            <w:pict>
              <v:shape id="_x0000_s1041" type="#_x0000_t202" style="position:absolute;margin-left:432.90000000000003pt;margin-top:0;width:101.3pt;height:11.75pt;z-index:-125829361;mso-wrap-distance-left:0;mso-wrap-distance-right:0;mso-wrap-distance-bottom:43.70000000000000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会计机构负责人：杨文燕</w:t>
                      </w:r>
                    </w:p>
                  </w:txbxContent>
                </v:textbox>
                <w10:wrap type="topAndBottom" anchorx="page"/>
              </v:shape>
            </w:pict>
          </mc:Fallback>
        </mc:AlternateContent>
      </w:r>
      <w:r>
        <mc:AlternateContent>
          <mc:Choice Requires="wps">
            <w:drawing>
              <wp:anchor distT="377825" distB="152400" distL="0" distR="0" simplePos="0" relativeHeight="125829394" behindDoc="0" locked="0" layoutInCell="1" allowOverlap="1">
                <wp:simplePos x="0" y="0"/>
                <wp:positionH relativeFrom="page">
                  <wp:posOffset>694055</wp:posOffset>
                </wp:positionH>
                <wp:positionV relativeFrom="paragraph">
                  <wp:posOffset>377825</wp:posOffset>
                </wp:positionV>
                <wp:extent cx="1301750" cy="173990"/>
                <wp:wrapTopAndBottom/>
                <wp:docPr id="17" name="Shape 17"/>
                <a:graphic xmlns:a="http://schemas.openxmlformats.org/drawingml/2006/main">
                  <a:graphicData uri="http://schemas.microsoft.com/office/word/2010/wordprocessingShape">
                    <wps:wsp>
                      <wps:cNvSpPr txBox="1"/>
                      <wps:spPr>
                        <a:xfrm>
                          <a:ext cx="1301750" cy="173990"/>
                        </a:xfrm>
                        <a:prstGeom prst="rect"/>
                        <a:noFill/>
                      </wps:spPr>
                      <wps:txbx>
                        <w:txbxContent>
                          <w:p>
                            <w:pPr>
                              <w:pStyle w:val="Style30"/>
                              <w:keepNext/>
                              <w:keepLines/>
                              <w:widowControl w:val="0"/>
                              <w:shd w:val="clear" w:color="auto" w:fill="auto"/>
                              <w:bidi w:val="0"/>
                              <w:spacing w:before="0" w:after="0" w:line="240" w:lineRule="auto"/>
                              <w:ind w:left="0" w:right="0" w:firstLine="0"/>
                              <w:jc w:val="left"/>
                            </w:pPr>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06"/>
                            <w:bookmarkEnd w:id="607"/>
                            <w:bookmarkEnd w:id="608"/>
                          </w:p>
                        </w:txbxContent>
                      </wps:txbx>
                      <wps:bodyPr wrap="none" lIns="0" tIns="0" rIns="0" bIns="0">
                        <a:noAutoFit/>
                      </wps:bodyPr>
                    </wps:wsp>
                  </a:graphicData>
                </a:graphic>
              </wp:anchor>
            </w:drawing>
          </mc:Choice>
          <mc:Fallback>
            <w:pict>
              <v:shape id="_x0000_s1043" type="#_x0000_t202" style="position:absolute;margin-left:54.649999999999999pt;margin-top:29.75pt;width:102.5pt;height:13.700000000000001pt;z-index:-125829359;mso-wrap-distance-left:0;mso-wrap-distance-top:29.75pt;mso-wrap-distance-right:0;mso-wrap-distance-bottom:12.pt;mso-position-horizontal-relative:page" filled="f" stroked="f">
                <v:textbox inset="0,0,0,0">
                  <w:txbxContent>
                    <w:p>
                      <w:pPr>
                        <w:pStyle w:val="Style30"/>
                        <w:keepNext/>
                        <w:keepLines/>
                        <w:widowControl w:val="0"/>
                        <w:shd w:val="clear" w:color="auto" w:fill="auto"/>
                        <w:bidi w:val="0"/>
                        <w:spacing w:before="0" w:after="0" w:line="240" w:lineRule="auto"/>
                        <w:ind w:left="0" w:right="0" w:firstLine="0"/>
                        <w:jc w:val="left"/>
                      </w:pPr>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06"/>
                      <w:bookmarkEnd w:id="607"/>
                      <w:bookmarkEnd w:id="608"/>
                    </w:p>
                  </w:txbxContent>
                </v:textbox>
                <w10:wrap type="topAndBottom" anchorx="page"/>
              </v:shape>
            </w:pict>
          </mc:Fallback>
        </mc:AlternateConten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307,640,342.87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198,425,705.06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281,209,168.83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136,318,688.42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7,573,776.72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95,320,956.09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114,944,147.30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1,358,223.80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14,849,053.60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415,358.67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15,699,963.78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90,924,204.29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65,373,186.69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532,239,503.69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402,694,998.31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17,132,931.43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59,510,143.40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9,491,597.55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1,343,306,063.94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1,007,815,886.56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1,703,241,915.21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2,530,290,313.76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9,602,634.87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56,225,576.66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13,941,275.15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6,104,482.80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6,087,305.86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49,492,909.91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2,435,153.81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3,187,756.50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23,251,598.29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20,299,841.23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25,177,844.45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66,840,121.67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1,832,126,511.95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2,684,052,218.22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3,175,432,575.89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3,691,868,104.78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322,109,575.22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340,640,718.71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327,165,132.15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308,399,261.49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11,230,589.03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7,462,110.35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1,593,622.45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3,487,946.38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274,778,505.95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222,127,011.67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1,897,296.44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10,935,843.77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1,170,025.22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949,710,565.01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933,162,073.82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4,419,833.27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331,375.32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12,185,458.59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961,896,023.60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933,210,633.11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337,576,686.00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337,576,686.00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1,775,334,793.52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1,775,334,793.52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70,934,388.62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29,690,684.15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572,372,330.89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2,213,536,552.29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2,758,657,471.67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3,175,432,575.89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3,691,868,104.78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1,606,094,997.41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1,758,402,676.54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1,606,094,997.41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1,758,402,676.54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1,675,816,083.01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1,795,244,717.25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1,306,918,946.65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1,488,875,088.60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rPr>
                <w:sz w:val="16"/>
                <w:szCs w:val="16"/>
              </w:rPr>
            </w:pPr>
            <w:r>
              <w:rPr>
                <w:rFonts w:ascii="SimSun" w:eastAsia="SimSun" w:hAnsi="SimSun" w:cs="SimSun"/>
                <w:color w:val="000000"/>
                <w:spacing w:val="0"/>
                <w:w w:val="100"/>
                <w:position w:val="0"/>
                <w:sz w:val="16"/>
                <w:szCs w:val="16"/>
              </w:rPr>
              <w:t>提取保险责任合同准备金</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2,965,789.79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5,330,559.39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49,555,441.76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51,954,010.75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126,148,116.24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105,665,455.28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190,216,711.47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134,206,201.49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9,213,401.74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1,844,339.28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8,738,250.37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2,187,811.36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2,356,213.32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4,932,654.25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2,177,793.77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43,822,262.04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71,643,872.20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1,275,988.08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14,901,596.42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rPr>
                <w:sz w:val="16"/>
                <w:szCs w:val="16"/>
              </w:rPr>
            </w:pPr>
            <w:r>
              <w:rPr>
                <w:rFonts w:ascii="SimSun" w:eastAsia="SimSun" w:hAnsi="SimSun" w:cs="SimSun"/>
                <w:color w:val="000000"/>
                <w:spacing w:val="0"/>
                <w:w w:val="100"/>
                <w:position w:val="0"/>
                <w:sz w:val="16"/>
                <w:szCs w:val="16"/>
              </w:rPr>
              <w:t>以摊余成本计量的金融</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汇兑收益（损失以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6"/>
                <w:szCs w:val="16"/>
              </w:rPr>
            </w:pPr>
            <w:r>
              <w:rPr>
                <w:rFonts w:ascii="SimSun" w:eastAsia="SimSun" w:hAnsi="SimSun" w:cs="SimSun"/>
                <w:color w:val="000000"/>
                <w:spacing w:val="0"/>
                <w:w w:val="100"/>
                <w:position w:val="0"/>
                <w:sz w:val="16"/>
                <w:szCs w:val="16"/>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2,537,748.30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-2,368,054.78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-9,703,225.72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-23,749,236.18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-4,495,825.22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-35,539,269.88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-2,084,657.54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-80,084,981.85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21,455,971.29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281,534.80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317,222.88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6,296,275.13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5,022,125.38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-86,099,722.18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16,751,068.79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6,593,960.63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9,850,894.41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-92,693,682.81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6,900,174.38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-92,693,682.81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4,726,082.28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2,174,092.10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-92,693,694.24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6,900,186.74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2,173,174.01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rPr>
                <w:sz w:val="16"/>
                <w:szCs w:val="16"/>
              </w:rPr>
            </w:pPr>
            <w:r>
              <w:rPr>
                <w:rFonts w:ascii="SimSun" w:eastAsia="SimSun" w:hAnsi="SimSun" w:cs="SimSun"/>
                <w:color w:val="000000"/>
                <w:spacing w:val="0"/>
                <w:w w:val="100"/>
                <w:position w:val="0"/>
                <w:sz w:val="16"/>
                <w:szCs w:val="16"/>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2,173,174.01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2,173,174.01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2,174,092.10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rPr>
                <w:sz w:val="16"/>
                <w:szCs w:val="16"/>
              </w:rPr>
            </w:pPr>
            <w:r>
              <w:rPr>
                <w:rFonts w:ascii="SimSun" w:eastAsia="SimSun" w:hAnsi="SimSun" w:cs="SimSun"/>
                <w:color w:val="000000"/>
                <w:spacing w:val="0"/>
                <w:w w:val="100"/>
                <w:position w:val="0"/>
                <w:sz w:val="16"/>
                <w:szCs w:val="16"/>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-92,693,682.81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9,073,348.39</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-92,693,694.24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9,073,360.75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bl>
    <w:p>
      <w:pPr>
        <w:widowControl w:val="0"/>
        <w:spacing w:after="7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514" w:val="left"/>
          <w:tab w:pos="7555" w:val="left"/>
        </w:tabs>
        <w:bidi w:val="0"/>
        <w:spacing w:before="0" w:after="400" w:line="240" w:lineRule="auto"/>
        <w:ind w:left="0" w:right="0" w:firstLine="0"/>
        <w:jc w:val="left"/>
      </w:pPr>
      <w:r>
        <w:rPr>
          <w:color w:val="000000"/>
          <w:spacing w:val="0"/>
          <w:w w:val="100"/>
          <w:position w:val="0"/>
        </w:rPr>
        <w:t>法定代表人：朱哗东</w:t>
        <w:tab/>
        <w:t>主管会计工作负责人：李燕</w:t>
        <w:tab/>
        <w:t>会计机构负责人：杨文燕</w:t>
      </w:r>
    </w:p>
    <w:p>
      <w:pPr>
        <w:pStyle w:val="Style30"/>
        <w:keepNext/>
        <w:keepLines/>
        <w:widowControl w:val="0"/>
        <w:shd w:val="clear" w:color="auto" w:fill="auto"/>
        <w:bidi w:val="0"/>
        <w:spacing w:before="0" w:after="40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、母公司利润表</w:t>
      </w:r>
      <w:bookmarkEnd w:id="653"/>
      <w:bookmarkEnd w:id="654"/>
      <w:bookmarkEnd w:id="65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1,263,181,266.58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1,495,340,871.15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1,080,161,056.09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1,281,750,634.71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1,545,833.52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4,404,049.21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37,006,375.41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45,323,119.30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93,032,290.59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76,554,208.90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124,997,304.97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82,075,902.81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-693,885.89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4,872,343.11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1,089,979.11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7,586,321.67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2,086,675.67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5,488,786.28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4,690,185.56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816,335.78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7,671,347.91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33,440,725.43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1,275,988.08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14,901,596.42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rPr>
                <w:sz w:val="16"/>
                <w:szCs w:val="16"/>
              </w:rPr>
            </w:pPr>
            <w:r>
              <w:rPr>
                <w:rFonts w:ascii="SimSun" w:eastAsia="SimSun" w:hAnsi="SimSun" w:cs="SimSun"/>
                <w:color w:val="000000"/>
                <w:spacing w:val="0"/>
                <w:w w:val="100"/>
                <w:position w:val="0"/>
                <w:sz w:val="16"/>
                <w:szCs w:val="16"/>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6"/>
                <w:szCs w:val="16"/>
              </w:rPr>
            </w:pPr>
            <w:r>
              <w:rPr>
                <w:rFonts w:ascii="SimSun" w:eastAsia="SimSun" w:hAnsi="SimSun" w:cs="SimSun"/>
                <w:color w:val="000000"/>
                <w:spacing w:val="0"/>
                <w:w w:val="100"/>
                <w:position w:val="0"/>
                <w:sz w:val="16"/>
                <w:szCs w:val="16"/>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1,890,480.41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318,688.42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-2,453,874.12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-8,518,512.78</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-447,713,033.44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-3,285,806.36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-33,898,351.18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-1,930,308.20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-542,680,952.97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21,201,735.40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173,559.85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4,200,924.30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5,020,904.75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-546,738,697.31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16,354,390.50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-2,698,018.69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3,631,598.38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-544,040,678.62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12,722,792.12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-544,040,678.62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12,722,792.12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2,174,092.10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2,174,092.10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2,174,092.10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-544,040,678.62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14,896,884.22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、合并现金流量表</w:t>
      </w:r>
      <w:bookmarkEnd w:id="657"/>
      <w:bookmarkEnd w:id="658"/>
      <w:bookmarkEnd w:id="660"/>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1,796,036,926.42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1,949,399,064.96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404,396.21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135,285,263.96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154,497,165.31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1,931,470,628.70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2,104,300,626.48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1,633,674,580.02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1,611,450,945.12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231,057,600.53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189,643,206.30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31,576,070.54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45,083,135.80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223,302,853.86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226,355,033.77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2,119,611,104.95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2,072,532,320.99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-188,140,476.25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31,768,305.49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3,800,089,343.66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3,694,793,060.66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55,333,615.16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58,863,023.61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3,855,685,490.82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3,753,814,384.27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21,694,365.58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54,930,249.10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3,802,963,000.00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824,602.03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3,556,694,365.58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3,858,717,851.13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298,991,125.24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-104,903,466.86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57,090,000.00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199,457,781.66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1,865,335.29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7,997,991.42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rFonts w:ascii="SimSun" w:eastAsia="SimSun" w:hAnsi="SimSun" w:cs="SimSun"/>
                <w:color w:val="000000"/>
                <w:spacing w:val="0"/>
                <w:w w:val="100"/>
                <w:position w:val="0"/>
                <w:sz w:val="16"/>
                <w:szCs w:val="16"/>
              </w:rPr>
              <w:t>其中：子公司支付给少数股东的 股利、利润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3,283,418.40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45,348,753.69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207,455,773.08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-45,348,753.69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-150,365,773.08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65,501,782.52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-223,502,391.49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370,337,683.40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593,840,074.89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435,839,465.92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370,337,683.40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、母公司现金流量表</w:t>
      </w:r>
      <w:bookmarkEnd w:id="661"/>
      <w:bookmarkEnd w:id="662"/>
      <w:bookmarkEnd w:id="66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1,473,958,140.46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1,589,076,435.50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83,405.02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616,421,890.14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166,453,316.34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2,090,528,468.92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1,755,613,156.86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1,367,974,429.39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1,348,447,984.04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rPr>
                <w:sz w:val="16"/>
                <w:szCs w:val="16"/>
              </w:rPr>
            </w:pPr>
            <w:r>
              <w:rPr>
                <w:rFonts w:ascii="SimSun" w:eastAsia="SimSun" w:hAnsi="SimSun" w:cs="SimSun"/>
                <w:color w:val="000000"/>
                <w:spacing w:val="0"/>
                <w:w w:val="100"/>
                <w:position w:val="0"/>
                <w:sz w:val="16"/>
                <w:szCs w:val="16"/>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142,761,859.03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117,815,366.89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9,243,025.96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34,350,978.06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655,992,118.84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255,793,060.74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2,175,971,433.22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1,756,407,389.73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-85,442,964.30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-794,232.87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2,638,826,532.88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3,317,748,820.00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19,402,465.66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24,611,164.09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6"/>
                <w:szCs w:val="16"/>
              </w:rPr>
            </w:pPr>
            <w:r>
              <w:rPr>
                <w:rFonts w:ascii="SimSun" w:eastAsia="SimSun" w:hAnsi="SimSun" w:cs="SimSun"/>
                <w:color w:val="000000"/>
                <w:spacing w:val="0"/>
                <w:w w:val="100"/>
                <w:position w:val="0"/>
                <w:sz w:val="16"/>
                <w:szCs w:val="16"/>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2,658,411,610.54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3,342,457,944.09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20,226,690.60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54,429,838.60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3,475,433,000.00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2,423,226,690.60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3,529,862,838.60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235,184,919.94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-187,404,894.51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199,357,781.66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rPr>
                <w:sz w:val="16"/>
                <w:szCs w:val="16"/>
              </w:rPr>
            </w:pPr>
            <w:r>
              <w:rPr>
                <w:rFonts w:ascii="SimSun" w:eastAsia="SimSun" w:hAnsi="SimSun" w:cs="SimSun"/>
                <w:color w:val="000000"/>
                <w:spacing w:val="0"/>
                <w:w w:val="100"/>
                <w:position w:val="0"/>
                <w:sz w:val="16"/>
                <w:szCs w:val="16"/>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1,865,335.29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7,995,294.42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2,279,878.08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44,345,213.37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207,353,076.08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-44,345,213.37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-150,263,076.08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105,396,742.27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-338,462,203.46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167,064,420.95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505,526,624.41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272,461,163.22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167,064,420.95</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、合并所有者权益变动表</w:t>
      </w:r>
      <w:bookmarkEnd w:id="665"/>
      <w:bookmarkEnd w:id="666"/>
      <w:bookmarkEnd w:id="668"/>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少数</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股东</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综合</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专项</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盈余</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未分</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配利</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2,441,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70,934 </w:t>
            </w:r>
            <w:r>
              <w:rPr>
                <w:color w:val="000000"/>
                <w:spacing w:val="0"/>
                <w:w w:val="100"/>
                <w:position w:val="0"/>
              </w:rPr>
              <w:t xml:space="preserve">,388.6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71,454 </w:t>
            </w:r>
            <w:r>
              <w:rPr>
                <w:color w:val="000000"/>
                <w:spacing w:val="0"/>
                <w:w w:val="100"/>
                <w:position w:val="0"/>
              </w:rPr>
              <w:t xml:space="preserve">,134.7 </w:t>
            </w: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left"/>
              <w:rPr>
                <w:sz w:val="16"/>
                <w:szCs w:val="16"/>
              </w:rPr>
            </w:pPr>
            <w:r>
              <w:rPr>
                <w:rFonts w:ascii="SimSun" w:eastAsia="SimSun" w:hAnsi="SimSun" w:cs="SimSun"/>
                <w:color w:val="000000"/>
                <w:spacing w:val="0"/>
                <w:w w:val="100"/>
                <w:position w:val="0"/>
                <w:sz w:val="16"/>
                <w:szCs w:val="16"/>
              </w:rPr>
              <w:t>同一</w:t>
            </w:r>
          </w:p>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70,934 </w:t>
            </w:r>
            <w:r>
              <w:rPr>
                <w:color w:val="000000"/>
                <w:spacing w:val="0"/>
                <w:w w:val="100"/>
                <w:position w:val="0"/>
              </w:rPr>
              <w:t xml:space="preserve">,388.6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73,893 </w:t>
            </w:r>
            <w:r>
              <w:rPr>
                <w:color w:val="000000"/>
                <w:spacing w:val="0"/>
                <w:w w:val="100"/>
                <w:position w:val="0"/>
              </w:rPr>
              <w:t xml:space="preserve">,407.4 </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2,255,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252,37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-93,70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3,545.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-93,70</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5,742.</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-93,70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-92,69</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3,694.</w:t>
            </w:r>
          </w:p>
          <w:p>
            <w:pPr>
              <w:pStyle w:val="Style2"/>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-92,69</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3,682.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-2,197.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0,138.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496,47</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546,64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3.96</w:t>
            </w:r>
          </w:p>
        </w:tc>
      </w:tr>
    </w:tbl>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上期金额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少数股</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rPr>
                <w:sz w:val="16"/>
                <w:szCs w:val="16"/>
              </w:rPr>
            </w:pPr>
            <w:r>
              <w:rPr>
                <w:rFonts w:ascii="SimSun" w:eastAsia="SimSun" w:hAnsi="SimSun" w:cs="SimSun"/>
                <w:color w:val="000000"/>
                <w:spacing w:val="0"/>
                <w:w w:val="100"/>
                <w:position w:val="0"/>
                <w:sz w:val="16"/>
                <w:szCs w:val="16"/>
              </w:rPr>
              <w:t>所有者</w:t>
            </w:r>
          </w:p>
          <w:p>
            <w:pPr>
              <w:pStyle w:val="Style2"/>
              <w:keepNext w:val="0"/>
              <w:keepLines w:val="0"/>
              <w:widowControl w:val="0"/>
              <w:shd w:val="clear" w:color="auto" w:fill="auto"/>
              <w:bidi w:val="0"/>
              <w:spacing w:before="0" w:after="120" w:line="240" w:lineRule="auto"/>
              <w:ind w:left="0" w:right="240" w:firstLine="0"/>
              <w:jc w:val="right"/>
              <w:rPr>
                <w:sz w:val="16"/>
                <w:szCs w:val="16"/>
              </w:rPr>
            </w:pPr>
            <w:r>
              <w:rPr>
                <w:rFonts w:ascii="SimSun" w:eastAsia="SimSun" w:hAnsi="SimSun" w:cs="SimSun"/>
                <w:color w:val="000000"/>
                <w:spacing w:val="0"/>
                <w:w w:val="100"/>
                <w:position w:val="0"/>
                <w:sz w:val="16"/>
                <w:szCs w:val="16"/>
              </w:rPr>
              <w:t>权益合</w:t>
            </w:r>
          </w:p>
          <w:p>
            <w:pPr>
              <w:pStyle w:val="Style2"/>
              <w:keepNext w:val="0"/>
              <w:keepLines w:val="0"/>
              <w:widowControl w:val="0"/>
              <w:shd w:val="clear" w:color="auto" w:fill="auto"/>
              <w:bidi w:val="0"/>
              <w:spacing w:before="0" w:after="120" w:line="240" w:lineRule="auto"/>
              <w:ind w:left="0" w:right="240" w:firstLine="0"/>
              <w:jc w:val="right"/>
              <w:rPr>
                <w:sz w:val="16"/>
                <w:szCs w:val="16"/>
              </w:rPr>
            </w:pPr>
            <w:r>
              <w:rPr>
                <w:rFonts w:ascii="SimSun" w:eastAsia="SimSun" w:hAnsi="SimSun" w:cs="SimSun"/>
                <w:color w:val="000000"/>
                <w:spacing w:val="0"/>
                <w:w w:val="100"/>
                <w:position w:val="0"/>
                <w:sz w:val="16"/>
                <w:szCs w:val="16"/>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综合</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专项</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盈余</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一般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风险</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未分</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配利</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268,29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69,662</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,109.4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65,826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2,246,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873,867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2,247,0 </w:t>
            </w:r>
            <w:r>
              <w:rPr>
                <w:color w:val="000000"/>
                <w:spacing w:val="0"/>
                <w:w w:val="100"/>
                <w:position w:val="0"/>
              </w:rPr>
              <w:t>02,726.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rPr>
                <w:sz w:val="16"/>
                <w:szCs w:val="16"/>
              </w:rPr>
            </w:pPr>
            <w:r>
              <w:rPr>
                <w:rFonts w:ascii="SimSun" w:eastAsia="SimSun" w:hAnsi="SimSun" w:cs="SimSun"/>
                <w:color w:val="000000"/>
                <w:spacing w:val="0"/>
                <w:w w:val="100"/>
                <w:position w:val="0"/>
                <w:sz w:val="16"/>
                <w:szCs w:val="16"/>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rPr>
                <w:sz w:val="16"/>
                <w:szCs w:val="16"/>
              </w:rPr>
            </w:pPr>
            <w:r>
              <w:rPr>
                <w:rFonts w:ascii="SimSun" w:eastAsia="SimSun" w:hAnsi="SimSun" w:cs="SimSun"/>
                <w:color w:val="000000"/>
                <w:spacing w:val="0"/>
                <w:w w:val="100"/>
                <w:position w:val="0"/>
                <w:sz w:val="16"/>
                <w:szCs w:val="16"/>
              </w:rPr>
              <w:t>同一</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控制下企业合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二、本年期初</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268,29</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69,662</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,109.4</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65,826</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,227.2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128,85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873,867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2,247,0 </w:t>
            </w:r>
            <w:r>
              <w:rPr>
                <w:color w:val="000000"/>
                <w:spacing w:val="0"/>
                <w:w w:val="100"/>
                <w:position w:val="0"/>
              </w:rPr>
              <w:t>02,726.</w:t>
            </w:r>
          </w:p>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07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5,627,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6,900,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9,073,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9,073,3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.对所有者</w:t>
            </w:r>
          </w:p>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（四）所有者</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6"/>
                <w:szCs w:val="16"/>
              </w:rPr>
            </w:pPr>
            <w:r>
              <w:rPr>
                <w:rFonts w:ascii="SimSun" w:eastAsia="SimSun" w:hAnsi="SimSun" w:cs="SimSun"/>
                <w:color w:val="000000"/>
                <w:spacing w:val="0"/>
                <w:w w:val="100"/>
                <w:position w:val="0"/>
                <w:sz w:val="16"/>
                <w:szCs w:val="16"/>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-823,69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76,68</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1,772,</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795,53</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2,441,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71,454 </w:t>
            </w:r>
            <w:r>
              <w:rPr>
                <w:color w:val="000000"/>
                <w:spacing w:val="0"/>
                <w:w w:val="100"/>
                <w:position w:val="0"/>
              </w:rPr>
              <w:t xml:space="preserve">,134.7 </w:t>
            </w: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202,21</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50,156.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2,255,2</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52,375.</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、母公司所有者权益变动表</w:t>
      </w:r>
      <w:bookmarkEnd w:id="669"/>
      <w:bookmarkEnd w:id="670"/>
      <w:bookmarkEnd w:id="672"/>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其他综</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1,775,33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2,439,27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572,37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2,330.8</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2,758,657,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1,775,33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70,934,3</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574,81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2,758,657,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471.67</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-545,12</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0,919.3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-545,120,9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-544,04</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0,678.6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-544,040,6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-1,080,240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-1,080,240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6,686.0</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1,775,33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4,793.52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29,690,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2,213,536,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552.29</w:t>
            </w:r>
          </w:p>
        </w:tc>
      </w:tr>
    </w:tbl>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上期金额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其他综</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6,686.</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1,775,3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34,793.</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560,921,8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2,743,760,5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20"/>
              <w:jc w:val="both"/>
              <w:rPr>
                <w:sz w:val="16"/>
                <w:szCs w:val="16"/>
              </w:rPr>
            </w:pPr>
            <w:r>
              <w:rPr>
                <w:rFonts w:ascii="SimSun" w:eastAsia="SimSun" w:hAnsi="SimSun" w:cs="SimSun"/>
                <w:color w:val="000000"/>
                <w:spacing w:val="0"/>
                <w:w w:val="100"/>
                <w:position w:val="0"/>
                <w:sz w:val="16"/>
                <w:szCs w:val="16"/>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6,686.</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1,775,3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34,793.</w:t>
            </w:r>
          </w:p>
          <w:p>
            <w:pPr>
              <w:pStyle w:val="Style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265,180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560,921,8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2,743,760,5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rPr>
                <w:sz w:val="16"/>
                <w:szCs w:val="16"/>
              </w:rPr>
            </w:pPr>
            <w:r>
              <w:rPr>
                <w:rFonts w:ascii="SimSun" w:eastAsia="SimSun" w:hAnsi="SimSun" w:cs="SimSun"/>
                <w:color w:val="000000"/>
                <w:spacing w:val="0"/>
                <w:w w:val="100"/>
                <w:position w:val="0"/>
                <w:sz w:val="16"/>
                <w:szCs w:val="16"/>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11,450,51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14,896,884.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2,174,0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12,722,79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14,896,884.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 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-1,272,27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337,57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6,686.</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1,775,3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34,793.</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2,439,2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572,372,3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2,758,657,4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71.67</w:t>
            </w:r>
          </w:p>
        </w:tc>
      </w:tr>
    </w:tbl>
    <w:p>
      <w:pPr>
        <w:pStyle w:val="Style22"/>
        <w:keepNext/>
        <w:keepLines/>
        <w:widowControl w:val="0"/>
        <w:shd w:val="clear" w:color="auto" w:fill="auto"/>
        <w:tabs>
          <w:tab w:pos="522" w:val="left"/>
        </w:tabs>
        <w:bidi w:val="0"/>
        <w:spacing w:before="0" w:after="1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w:t>
        <w:tab/>
        <w:t>公司基本情况</w:t>
      </w:r>
      <w:bookmarkEnd w:id="673"/>
      <w:bookmarkEnd w:id="674"/>
      <w:bookmarkEnd w:id="676"/>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北京中科金财科技股份有限公司（以下简称“公司”或“本公司”</w:t>
      </w:r>
      <w:r>
        <w:rPr>
          <w:color w:val="000000"/>
          <w:spacing w:val="0"/>
          <w:w w:val="100"/>
          <w:position w:val="0"/>
        </w:rPr>
        <w:t>）</w:t>
      </w:r>
      <w:r>
        <w:rPr>
          <w:color w:val="000000"/>
          <w:spacing w:val="0"/>
          <w:w w:val="100"/>
          <w:position w:val="0"/>
        </w:rPr>
        <w:t>系于</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 xml:space="preserve">日经北京市工 商行政管理局批准，由北京中科金财科技有限公司整体改制的股份有限公司。公司的统一社会信用代码： </w:t>
      </w:r>
      <w:r>
        <w:rPr>
          <w:color w:val="000000"/>
          <w:spacing w:val="0"/>
          <w:w w:val="100"/>
          <w:position w:val="0"/>
        </w:rPr>
        <w:t>91110000757740123M</w:t>
      </w:r>
      <w:r>
        <w:rPr>
          <w:color w:val="000000"/>
          <w:spacing w:val="0"/>
          <w:w w:val="100"/>
          <w:position w:val="0"/>
        </w:rPr>
        <w:t>。</w:t>
      </w:r>
      <w:r>
        <w:rPr>
          <w:color w:val="000000"/>
          <w:spacing w:val="0"/>
          <w:w w:val="100"/>
          <w:position w:val="0"/>
        </w:rPr>
        <w:t>2012</w:t>
      </w:r>
      <w:r>
        <w:rPr>
          <w:color w:val="000000"/>
          <w:spacing w:val="0"/>
          <w:w w:val="100"/>
          <w:position w:val="0"/>
        </w:rPr>
        <w:t>年</w:t>
      </w:r>
      <w:r>
        <w:rPr>
          <w:color w:val="000000"/>
          <w:spacing w:val="0"/>
          <w:w w:val="100"/>
          <w:position w:val="0"/>
        </w:rPr>
        <w:t>2</w:t>
      </w:r>
      <w:r>
        <w:rPr>
          <w:color w:val="000000"/>
          <w:spacing w:val="0"/>
          <w:w w:val="100"/>
          <w:position w:val="0"/>
        </w:rPr>
        <w:t>月在深圳证券交易所上市，所属行业为电子类软件和信息技术服务业。</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本公司累计发行股本总数</w:t>
      </w:r>
      <w:r>
        <w:rPr>
          <w:color w:val="000000"/>
          <w:spacing w:val="0"/>
          <w:w w:val="100"/>
          <w:position w:val="0"/>
        </w:rPr>
        <w:t>337,576,686</w:t>
      </w:r>
      <w:r>
        <w:rPr>
          <w:color w:val="000000"/>
          <w:spacing w:val="0"/>
          <w:w w:val="100"/>
          <w:position w:val="0"/>
        </w:rPr>
        <w:t>股，注册资本为</w:t>
      </w:r>
      <w:r>
        <w:rPr>
          <w:color w:val="000000"/>
          <w:spacing w:val="0"/>
          <w:w w:val="100"/>
          <w:position w:val="0"/>
        </w:rPr>
        <w:t>337,576,686.00</w:t>
      </w:r>
      <w:r>
        <w:rPr>
          <w:color w:val="000000"/>
          <w:spacing w:val="0"/>
          <w:w w:val="100"/>
          <w:position w:val="0"/>
        </w:rPr>
        <w:t>元。注 册地：北京市海淀区学清路</w:t>
      </w:r>
      <w:r>
        <w:rPr>
          <w:color w:val="000000"/>
          <w:spacing w:val="0"/>
          <w:w w:val="100"/>
          <w:position w:val="0"/>
        </w:rPr>
        <w:t>9</w:t>
      </w:r>
      <w:r>
        <w:rPr>
          <w:color w:val="000000"/>
          <w:spacing w:val="0"/>
          <w:w w:val="100"/>
          <w:position w:val="0"/>
        </w:rPr>
        <w:t>号汇智大厦</w:t>
      </w:r>
      <w:r>
        <w:rPr>
          <w:color w:val="000000"/>
          <w:spacing w:val="0"/>
          <w:w w:val="100"/>
          <w:position w:val="0"/>
        </w:rPr>
        <w:t>11</w:t>
      </w:r>
      <w:r>
        <w:rPr>
          <w:color w:val="000000"/>
          <w:spacing w:val="0"/>
          <w:w w:val="100"/>
          <w:position w:val="0"/>
        </w:rPr>
        <w:t>层</w:t>
      </w:r>
      <w:r>
        <w:rPr>
          <w:color w:val="000000"/>
          <w:spacing w:val="0"/>
          <w:w w:val="100"/>
          <w:position w:val="0"/>
        </w:rPr>
        <w:t>2</w:t>
      </w:r>
      <w:r>
        <w:rPr>
          <w:color w:val="000000"/>
          <w:spacing w:val="0"/>
          <w:w w:val="100"/>
          <w:position w:val="0"/>
        </w:rPr>
        <w:t>单元</w:t>
      </w:r>
      <w:r>
        <w:rPr>
          <w:color w:val="000000"/>
          <w:spacing w:val="0"/>
          <w:w w:val="100"/>
          <w:position w:val="0"/>
        </w:rPr>
        <w:t>1201B</w:t>
      </w:r>
      <w:r>
        <w:rPr>
          <w:color w:val="000000"/>
          <w:spacing w:val="0"/>
          <w:w w:val="100"/>
          <w:position w:val="0"/>
        </w:rPr>
        <w:t>室，总部地址：北京市海淀区学清路</w:t>
      </w:r>
      <w:r>
        <w:rPr>
          <w:color w:val="000000"/>
          <w:spacing w:val="0"/>
          <w:w w:val="100"/>
          <w:position w:val="0"/>
        </w:rPr>
        <w:t>9</w:t>
      </w:r>
      <w:r>
        <w:rPr>
          <w:color w:val="000000"/>
          <w:spacing w:val="0"/>
          <w:w w:val="100"/>
          <w:position w:val="0"/>
        </w:rPr>
        <w:t xml:space="preserve">号汇智大厦 </w:t>
      </w:r>
      <w:r>
        <w:rPr>
          <w:color w:val="000000"/>
          <w:spacing w:val="0"/>
          <w:w w:val="100"/>
          <w:position w:val="0"/>
        </w:rPr>
        <w:t>11</w:t>
      </w:r>
      <w:r>
        <w:rPr>
          <w:color w:val="000000"/>
          <w:spacing w:val="0"/>
          <w:w w:val="100"/>
          <w:position w:val="0"/>
        </w:rPr>
        <w:t>层</w:t>
      </w:r>
      <w:r>
        <w:rPr>
          <w:color w:val="000000"/>
          <w:spacing w:val="0"/>
          <w:w w:val="100"/>
          <w:position w:val="0"/>
        </w:rPr>
        <w:t>2</w:t>
      </w:r>
      <w:r>
        <w:rPr>
          <w:color w:val="000000"/>
          <w:spacing w:val="0"/>
          <w:w w:val="100"/>
          <w:position w:val="0"/>
        </w:rPr>
        <w:t>单元</w:t>
      </w:r>
      <w:r>
        <w:rPr>
          <w:color w:val="000000"/>
          <w:spacing w:val="0"/>
          <w:w w:val="100"/>
          <w:position w:val="0"/>
        </w:rPr>
        <w:t>1201B</w:t>
      </w:r>
      <w:r>
        <w:rPr>
          <w:color w:val="000000"/>
          <w:spacing w:val="0"/>
          <w:w w:val="100"/>
          <w:position w:val="0"/>
        </w:rPr>
        <w:t>室。本公司主要经营活动为：计算机软件技术开发；计算机系统集成及服务；与计算机技 术相关的产品销售及其他衍生业务。本公司的实际控制人为沈飒、朱烨东夫妇。</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本财务报表业经公司全体董事于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21</w:t>
      </w:r>
      <w:r>
        <w:rPr>
          <w:color w:val="000000"/>
          <w:spacing w:val="0"/>
          <w:w w:val="100"/>
          <w:position w:val="0"/>
        </w:rPr>
        <w:t>日批准报出。</w:t>
      </w:r>
    </w:p>
    <w:p>
      <w:pPr>
        <w:pStyle w:val="Style18"/>
        <w:keepNext w:val="0"/>
        <w:keepLines w:val="0"/>
        <w:widowControl w:val="0"/>
        <w:shd w:val="clear" w:color="auto" w:fill="auto"/>
        <w:bidi w:val="0"/>
        <w:spacing w:before="0" w:after="440" w:line="471" w:lineRule="exact"/>
        <w:ind w:left="0" w:right="0" w:firstLine="440"/>
        <w:jc w:val="both"/>
      </w:pPr>
      <w:r>
        <w:rPr>
          <w:color w:val="000000"/>
          <w:spacing w:val="0"/>
          <w:w w:val="100"/>
          <w:position w:val="0"/>
        </w:rPr>
        <w:t>本公司</w:t>
      </w:r>
      <w:r>
        <w:rPr>
          <w:color w:val="000000"/>
          <w:spacing w:val="0"/>
          <w:w w:val="100"/>
          <w:position w:val="0"/>
        </w:rPr>
        <w:t>2021</w:t>
      </w:r>
      <w:r>
        <w:rPr>
          <w:color w:val="000000"/>
          <w:spacing w:val="0"/>
          <w:w w:val="100"/>
          <w:position w:val="0"/>
        </w:rPr>
        <w:t>年度纳入合并范围的公司共</w:t>
      </w:r>
      <w:r>
        <w:rPr>
          <w:color w:val="000000"/>
          <w:spacing w:val="0"/>
          <w:w w:val="100"/>
          <w:position w:val="0"/>
        </w:rPr>
        <w:t>15</w:t>
      </w:r>
      <w:r>
        <w:rPr>
          <w:color w:val="000000"/>
          <w:spacing w:val="0"/>
          <w:w w:val="100"/>
          <w:position w:val="0"/>
        </w:rPr>
        <w:t>户，详见本附注九“在其他主体中的权益”。本公司本年度 合并范围比上年度减少</w:t>
      </w:r>
      <w:r>
        <w:rPr>
          <w:color w:val="000000"/>
          <w:spacing w:val="0"/>
          <w:w w:val="100"/>
          <w:position w:val="0"/>
        </w:rPr>
        <w:t>1</w:t>
      </w:r>
      <w:r>
        <w:rPr>
          <w:color w:val="000000"/>
          <w:spacing w:val="0"/>
          <w:w w:val="100"/>
          <w:position w:val="0"/>
        </w:rPr>
        <w:t>户，详见本附注八“合并范围的变更”。</w:t>
      </w:r>
    </w:p>
    <w:p>
      <w:pPr>
        <w:pStyle w:val="Style22"/>
        <w:keepNext/>
        <w:keepLines/>
        <w:widowControl w:val="0"/>
        <w:shd w:val="clear" w:color="auto" w:fill="auto"/>
        <w:tabs>
          <w:tab w:pos="522" w:val="left"/>
        </w:tabs>
        <w:bidi w:val="0"/>
        <w:spacing w:before="0" w:after="36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四</w:t>
      </w:r>
      <w:bookmarkEnd w:id="679"/>
      <w:r>
        <w:rPr>
          <w:color w:val="000000"/>
          <w:spacing w:val="0"/>
          <w:w w:val="100"/>
          <w:position w:val="0"/>
          <w:sz w:val="24"/>
          <w:szCs w:val="24"/>
        </w:rPr>
        <w:t>、</w:t>
        <w:tab/>
        <w:t>财务报表的编制基础</w:t>
      </w:r>
      <w:bookmarkEnd w:id="677"/>
      <w:bookmarkEnd w:id="678"/>
      <w:bookmarkEnd w:id="680"/>
    </w:p>
    <w:p>
      <w:pPr>
        <w:pStyle w:val="Style30"/>
        <w:keepNext/>
        <w:keepLines/>
        <w:widowControl w:val="0"/>
        <w:shd w:val="clear" w:color="auto" w:fill="auto"/>
        <w:tabs>
          <w:tab w:pos="413" w:val="left"/>
        </w:tabs>
        <w:bidi w:val="0"/>
        <w:spacing w:before="0" w:after="0" w:line="492" w:lineRule="auto"/>
        <w:ind w:left="0" w:right="0" w:firstLine="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1</w:t>
      </w:r>
      <w:bookmarkEnd w:id="683"/>
      <w:r>
        <w:rPr>
          <w:color w:val="000000"/>
          <w:spacing w:val="0"/>
          <w:w w:val="100"/>
          <w:position w:val="0"/>
        </w:rPr>
        <w:t>、</w:t>
        <w:tab/>
        <w:t>编制基础</w:t>
      </w:r>
      <w:bookmarkEnd w:id="681"/>
      <w:bookmarkEnd w:id="682"/>
      <w:bookmarkEnd w:id="684"/>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本公司财务报表以持续经营假设为基础，根据实际发生的交易和事项，按照财政部于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 及以后颁布的《企业会计准则</w:t>
      </w:r>
      <w:r>
        <w:rPr>
          <w:color w:val="000000"/>
          <w:spacing w:val="0"/>
          <w:w w:val="100"/>
          <w:position w:val="0"/>
        </w:rPr>
        <w:t>一一</w:t>
      </w:r>
      <w:r>
        <w:rPr>
          <w:color w:val="000000"/>
          <w:spacing w:val="0"/>
          <w:w w:val="100"/>
          <w:position w:val="0"/>
        </w:rPr>
        <w:t>基本准则》和各项具体会计准则、企业会计准则应用指南、企业会计准 则解释及其他相关规定（以下合称“企业会计准则”），以及中国证券监督管理委员会《公开发行证券的 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财务报告的一般规定》的披露规定编制。</w:t>
      </w:r>
    </w:p>
    <w:p>
      <w:pPr>
        <w:pStyle w:val="Style18"/>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根据企业会计准则的相关规定，本公司会计核算以权责发生制为基础。除部分金融工具外，本财务报 表均以历史成本为计量基础。资产如果发生减值，则按照相关规定计提相应的减值准备。</w:t>
      </w:r>
    </w:p>
    <w:p>
      <w:pPr>
        <w:pStyle w:val="Style30"/>
        <w:keepNext/>
        <w:keepLines/>
        <w:widowControl w:val="0"/>
        <w:shd w:val="clear" w:color="auto" w:fill="auto"/>
        <w:tabs>
          <w:tab w:pos="413" w:val="left"/>
        </w:tabs>
        <w:bidi w:val="0"/>
        <w:spacing w:before="0" w:after="0" w:line="492"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持续经营</w:t>
      </w:r>
      <w:bookmarkEnd w:id="685"/>
      <w:bookmarkEnd w:id="686"/>
      <w:bookmarkEnd w:id="688"/>
    </w:p>
    <w:p>
      <w:pPr>
        <w:pStyle w:val="Style18"/>
        <w:keepNext w:val="0"/>
        <w:keepLines w:val="0"/>
        <w:widowControl w:val="0"/>
        <w:shd w:val="clear" w:color="auto" w:fill="auto"/>
        <w:bidi w:val="0"/>
        <w:spacing w:before="0" w:after="440" w:line="480" w:lineRule="exact"/>
        <w:ind w:left="0" w:right="0" w:firstLine="440"/>
        <w:jc w:val="both"/>
      </w:pPr>
      <w:r>
        <w:rPr>
          <w:color w:val="000000"/>
          <w:spacing w:val="0"/>
          <w:w w:val="100"/>
          <w:position w:val="0"/>
        </w:rPr>
        <w:t>本财务报表以持续经营为基础编制。公司自报告期末起</w:t>
      </w:r>
      <w:r>
        <w:rPr>
          <w:color w:val="000000"/>
          <w:spacing w:val="0"/>
          <w:w w:val="100"/>
          <w:position w:val="0"/>
        </w:rPr>
        <w:t>12</w:t>
      </w:r>
      <w:r>
        <w:rPr>
          <w:color w:val="000000"/>
          <w:spacing w:val="0"/>
          <w:w w:val="100"/>
          <w:position w:val="0"/>
        </w:rPr>
        <w:t>个月的持续经营能力，不存在导致对持续经 营能力产生重大怀疑的因素。</w:t>
      </w:r>
    </w:p>
    <w:p>
      <w:pPr>
        <w:pStyle w:val="Style22"/>
        <w:keepNext/>
        <w:keepLines/>
        <w:widowControl w:val="0"/>
        <w:shd w:val="clear" w:color="auto" w:fill="auto"/>
        <w:tabs>
          <w:tab w:pos="522" w:val="left"/>
        </w:tabs>
        <w:bidi w:val="0"/>
        <w:spacing w:before="0" w:after="1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五</w:t>
      </w:r>
      <w:bookmarkEnd w:id="691"/>
      <w:r>
        <w:rPr>
          <w:color w:val="000000"/>
          <w:spacing w:val="0"/>
          <w:w w:val="100"/>
          <w:position w:val="0"/>
          <w:sz w:val="24"/>
          <w:szCs w:val="24"/>
        </w:rPr>
        <w:t>、</w:t>
        <w:tab/>
        <w:t>重要会计政策及会计估计</w:t>
      </w:r>
      <w:bookmarkEnd w:id="689"/>
      <w:bookmarkEnd w:id="690"/>
      <w:bookmarkEnd w:id="692"/>
    </w:p>
    <w:p>
      <w:pPr>
        <w:pStyle w:val="Style18"/>
        <w:keepNext w:val="0"/>
        <w:keepLines w:val="0"/>
        <w:widowControl w:val="0"/>
        <w:shd w:val="clear" w:color="auto" w:fill="auto"/>
        <w:bidi w:val="0"/>
        <w:spacing w:before="0" w:after="400" w:line="471" w:lineRule="exact"/>
        <w:ind w:left="0" w:right="0" w:firstLine="0"/>
        <w:jc w:val="left"/>
        <w:rPr>
          <w:sz w:val="19"/>
          <w:szCs w:val="19"/>
        </w:rPr>
      </w:pPr>
      <w:r>
        <w:rPr>
          <w:color w:val="000000"/>
          <w:spacing w:val="0"/>
          <w:w w:val="100"/>
          <w:position w:val="0"/>
          <w:sz w:val="19"/>
          <w:szCs w:val="19"/>
        </w:rPr>
        <w:t>具体会计政策和会计估计提示：</w:t>
      </w:r>
    </w:p>
    <w:p>
      <w:pPr>
        <w:pStyle w:val="Style30"/>
        <w:keepNext/>
        <w:keepLines/>
        <w:widowControl w:val="0"/>
        <w:shd w:val="clear" w:color="auto" w:fill="auto"/>
        <w:tabs>
          <w:tab w:pos="368" w:val="left"/>
        </w:tabs>
        <w:bidi w:val="0"/>
        <w:spacing w:before="0" w:after="220" w:line="466" w:lineRule="exact"/>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1</w:t>
      </w:r>
      <w:bookmarkEnd w:id="695"/>
      <w:r>
        <w:rPr>
          <w:color w:val="000000"/>
          <w:spacing w:val="0"/>
          <w:w w:val="100"/>
          <w:position w:val="0"/>
        </w:rPr>
        <w:t>、</w:t>
        <w:tab/>
        <w:t>遵循企业会计准则的声明</w:t>
      </w:r>
      <w:bookmarkEnd w:id="693"/>
      <w:bookmarkEnd w:id="694"/>
      <w:bookmarkEnd w:id="696"/>
    </w:p>
    <w:p>
      <w:pPr>
        <w:pStyle w:val="Style18"/>
        <w:keepNext w:val="0"/>
        <w:keepLines w:val="0"/>
        <w:widowControl w:val="0"/>
        <w:shd w:val="clear" w:color="auto" w:fill="auto"/>
        <w:bidi w:val="0"/>
        <w:spacing w:before="0" w:after="220" w:line="461" w:lineRule="exact"/>
        <w:ind w:left="0" w:right="0" w:firstLine="440"/>
        <w:jc w:val="both"/>
      </w:pPr>
      <w:r>
        <w:rPr>
          <w:color w:val="000000"/>
          <w:spacing w:val="0"/>
          <w:w w:val="100"/>
          <w:position w:val="0"/>
        </w:rPr>
        <w:t>本财务报表符合企业会计准则的要求，真实、完整地反映了本公司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 状况以及</w:t>
      </w:r>
      <w:r>
        <w:rPr>
          <w:color w:val="000000"/>
          <w:spacing w:val="0"/>
          <w:w w:val="100"/>
          <w:position w:val="0"/>
        </w:rPr>
        <w:t>2021</w:t>
      </w:r>
      <w:r>
        <w:rPr>
          <w:color w:val="000000"/>
          <w:spacing w:val="0"/>
          <w:w w:val="100"/>
          <w:position w:val="0"/>
        </w:rPr>
        <w:t>年度的合并及公司经营成果和现金流量。</w:t>
      </w:r>
    </w:p>
    <w:p>
      <w:pPr>
        <w:pStyle w:val="Style30"/>
        <w:keepNext/>
        <w:keepLines/>
        <w:widowControl w:val="0"/>
        <w:shd w:val="clear" w:color="auto" w:fill="auto"/>
        <w:tabs>
          <w:tab w:pos="378" w:val="left"/>
        </w:tabs>
        <w:bidi w:val="0"/>
        <w:spacing w:before="0" w:after="220" w:line="466" w:lineRule="exact"/>
        <w:ind w:left="0" w:right="0" w:firstLine="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2</w:t>
      </w:r>
      <w:bookmarkEnd w:id="699"/>
      <w:r>
        <w:rPr>
          <w:color w:val="000000"/>
          <w:spacing w:val="0"/>
          <w:w w:val="100"/>
          <w:position w:val="0"/>
        </w:rPr>
        <w:t>、</w:t>
        <w:tab/>
        <w:t>会计期间</w:t>
      </w:r>
      <w:bookmarkEnd w:id="697"/>
      <w:bookmarkEnd w:id="698"/>
      <w:bookmarkEnd w:id="700"/>
    </w:p>
    <w:p>
      <w:pPr>
        <w:pStyle w:val="Style18"/>
        <w:keepNext w:val="0"/>
        <w:keepLines w:val="0"/>
        <w:widowControl w:val="0"/>
        <w:shd w:val="clear" w:color="auto" w:fill="auto"/>
        <w:bidi w:val="0"/>
        <w:spacing w:before="0" w:after="220" w:line="446" w:lineRule="exact"/>
        <w:ind w:left="0" w:right="0" w:firstLine="440"/>
        <w:jc w:val="both"/>
      </w:pPr>
      <w:r>
        <w:rPr>
          <w:color w:val="000000"/>
          <w:spacing w:val="0"/>
          <w:w w:val="100"/>
          <w:position w:val="0"/>
        </w:rPr>
        <w:t>本公司的会计期间分为年度和中期，会计中期指短于一个完整的会计年度的报告期间。本公司会计年 度采用公历年度，即每年自</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20" w:line="466" w:lineRule="exact"/>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营业周期</w:t>
      </w:r>
      <w:bookmarkEnd w:id="701"/>
      <w:bookmarkEnd w:id="702"/>
      <w:bookmarkEnd w:id="704"/>
    </w:p>
    <w:p>
      <w:pPr>
        <w:pStyle w:val="Style18"/>
        <w:keepNext w:val="0"/>
        <w:keepLines w:val="0"/>
        <w:widowControl w:val="0"/>
        <w:shd w:val="clear" w:color="auto" w:fill="auto"/>
        <w:bidi w:val="0"/>
        <w:spacing w:before="0" w:after="220" w:line="446" w:lineRule="exact"/>
        <w:ind w:left="0" w:right="0" w:firstLine="440"/>
        <w:jc w:val="both"/>
      </w:pPr>
      <w:r>
        <w:rPr>
          <w:color w:val="000000"/>
          <w:spacing w:val="0"/>
          <w:w w:val="100"/>
          <w:position w:val="0"/>
        </w:rPr>
        <w:t>正常营业周期是指本公司从购买用于加工的资产起至实现现金或现金等价物的期间。本公司以</w:t>
      </w:r>
      <w:r>
        <w:rPr>
          <w:color w:val="000000"/>
          <w:spacing w:val="0"/>
          <w:w w:val="100"/>
          <w:position w:val="0"/>
        </w:rPr>
        <w:t>12</w:t>
      </w:r>
      <w:r>
        <w:rPr>
          <w:color w:val="000000"/>
          <w:spacing w:val="0"/>
          <w:w w:val="100"/>
          <w:position w:val="0"/>
        </w:rPr>
        <w:t>个月 作为一个营业周期，并以其作为资产和负债的流动性划分标准。</w:t>
      </w:r>
    </w:p>
    <w:p>
      <w:pPr>
        <w:pStyle w:val="Style30"/>
        <w:keepNext/>
        <w:keepLines/>
        <w:widowControl w:val="0"/>
        <w:shd w:val="clear" w:color="auto" w:fill="auto"/>
        <w:tabs>
          <w:tab w:pos="378" w:val="left"/>
        </w:tabs>
        <w:bidi w:val="0"/>
        <w:spacing w:before="0" w:after="220" w:line="466" w:lineRule="exact"/>
        <w:ind w:left="0" w:right="0" w:firstLine="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4</w:t>
      </w:r>
      <w:bookmarkEnd w:id="707"/>
      <w:r>
        <w:rPr>
          <w:color w:val="000000"/>
          <w:spacing w:val="0"/>
          <w:w w:val="100"/>
          <w:position w:val="0"/>
        </w:rPr>
        <w:t>、</w:t>
        <w:tab/>
        <w:t>记账本位币</w:t>
      </w:r>
      <w:bookmarkEnd w:id="705"/>
      <w:bookmarkEnd w:id="706"/>
      <w:bookmarkEnd w:id="708"/>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本公司以人民币为记账本位币。</w:t>
      </w:r>
    </w:p>
    <w:p>
      <w:pPr>
        <w:pStyle w:val="Style30"/>
        <w:keepNext/>
        <w:keepLines/>
        <w:widowControl w:val="0"/>
        <w:shd w:val="clear" w:color="auto" w:fill="auto"/>
        <w:tabs>
          <w:tab w:pos="378" w:val="left"/>
        </w:tabs>
        <w:bidi w:val="0"/>
        <w:spacing w:before="0" w:after="220" w:line="466" w:lineRule="exact"/>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5</w:t>
      </w:r>
      <w:bookmarkEnd w:id="711"/>
      <w:r>
        <w:rPr>
          <w:color w:val="000000"/>
          <w:spacing w:val="0"/>
          <w:w w:val="100"/>
          <w:position w:val="0"/>
        </w:rPr>
        <w:t>、</w:t>
        <w:tab/>
        <w:t>同一控制下和非同一控制下企业合并的会计处理方法</w:t>
      </w:r>
      <w:bookmarkEnd w:id="709"/>
      <w:bookmarkEnd w:id="710"/>
      <w:bookmarkEnd w:id="712"/>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18"/>
        <w:keepNext w:val="0"/>
        <w:keepLines w:val="0"/>
        <w:widowControl w:val="0"/>
        <w:shd w:val="clear" w:color="auto" w:fill="auto"/>
        <w:tabs>
          <w:tab w:pos="928" w:val="left"/>
        </w:tabs>
        <w:bidi w:val="0"/>
        <w:spacing w:before="0" w:after="0" w:line="466" w:lineRule="exact"/>
        <w:ind w:left="0" w:right="0" w:firstLine="440"/>
        <w:jc w:val="both"/>
      </w:pPr>
      <w:bookmarkStart w:id="713" w:name="bookmark713"/>
      <w:r>
        <w:rPr>
          <w:color w:val="000000"/>
          <w:spacing w:val="0"/>
          <w:w w:val="100"/>
          <w:position w:val="0"/>
        </w:rPr>
        <w:t>（</w:t>
      </w:r>
      <w:bookmarkEnd w:id="713"/>
      <w:r>
        <w:rPr>
          <w:color w:val="000000"/>
          <w:spacing w:val="0"/>
          <w:w w:val="100"/>
          <w:position w:val="0"/>
        </w:rPr>
        <w:t>1）</w:t>
        <w:tab/>
      </w:r>
      <w:r>
        <w:rPr>
          <w:color w:val="000000"/>
          <w:spacing w:val="0"/>
          <w:w w:val="100"/>
          <w:position w:val="0"/>
        </w:rPr>
        <w:t>同一控制下企业合并</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合并方为进行企业合并发生的各项直接费用，于发生时计入当期损益。</w:t>
      </w:r>
    </w:p>
    <w:p>
      <w:pPr>
        <w:pStyle w:val="Style18"/>
        <w:keepNext w:val="0"/>
        <w:keepLines w:val="0"/>
        <w:widowControl w:val="0"/>
        <w:shd w:val="clear" w:color="auto" w:fill="auto"/>
        <w:tabs>
          <w:tab w:pos="928" w:val="left"/>
        </w:tabs>
        <w:bidi w:val="0"/>
        <w:spacing w:before="0" w:after="0" w:line="466" w:lineRule="exact"/>
        <w:ind w:left="0" w:right="0" w:firstLine="440"/>
        <w:jc w:val="both"/>
      </w:pPr>
      <w:bookmarkStart w:id="714" w:name="bookmark714"/>
      <w:r>
        <w:rPr>
          <w:color w:val="000000"/>
          <w:spacing w:val="0"/>
          <w:w w:val="100"/>
          <w:position w:val="0"/>
        </w:rPr>
        <w:t>（</w:t>
      </w:r>
      <w:bookmarkEnd w:id="714"/>
      <w:r>
        <w:rPr>
          <w:color w:val="000000"/>
          <w:spacing w:val="0"/>
          <w:w w:val="100"/>
          <w:position w:val="0"/>
        </w:rPr>
        <w:t>2）</w:t>
        <w:tab/>
      </w:r>
      <w:r>
        <w:rPr>
          <w:color w:val="000000"/>
          <w:spacing w:val="0"/>
          <w:w w:val="100"/>
          <w:position w:val="0"/>
        </w:rPr>
        <w:t>非同一控制下企业合并</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参与合并的企业在合并前后不受同一方或相同的多方最终控制的，为非同一控制下的企业合并。非同 一控制下的企业合并，在购买日取得对其他参与合并企业控制权的一方为购买方，参与合并的其他企业为 </w:t>
      </w:r>
      <w:r>
        <w:rPr>
          <w:color w:val="000000"/>
          <w:spacing w:val="0"/>
          <w:w w:val="100"/>
          <w:position w:val="0"/>
        </w:rPr>
        <w:t>被购买方。购买日，是指购买方实际取得对被购买方控制权的日期。</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rPr>
        <w:t>5</w:t>
      </w:r>
      <w:r>
        <w:rPr>
          <w:color w:val="000000"/>
          <w:spacing w:val="0"/>
          <w:w w:val="100"/>
          <w:position w:val="0"/>
        </w:rPr>
        <w:t>号的 通知》（财会〔</w:t>
      </w:r>
      <w:r>
        <w:rPr>
          <w:color w:val="000000"/>
          <w:spacing w:val="0"/>
          <w:w w:val="100"/>
          <w:position w:val="0"/>
        </w:rPr>
        <w:t>2012） 19</w:t>
      </w:r>
      <w:r>
        <w:rPr>
          <w:color w:val="000000"/>
          <w:spacing w:val="0"/>
          <w:w w:val="100"/>
          <w:position w:val="0"/>
        </w:rPr>
        <w:t>号）和《企业会计准则第</w:t>
      </w:r>
      <w:r>
        <w:rPr>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 的判断标准（参见本附注五、</w:t>
      </w:r>
      <w:r>
        <w:rPr>
          <w:color w:val="000000"/>
          <w:spacing w:val="0"/>
          <w:w w:val="100"/>
          <w:position w:val="0"/>
        </w:rPr>
        <w:t xml:space="preserve">6 </w:t>
      </w:r>
      <w:r>
        <w:rPr>
          <w:color w:val="000000"/>
          <w:spacing w:val="0"/>
          <w:w w:val="100"/>
          <w:position w:val="0"/>
        </w:rPr>
        <w:t>“合并财务报表的编制方法”），判断该多次交易是否属于“一揽子交易”。 属于“一揽子交易”的，参考本部分前面各段描述及本附注五、</w:t>
      </w:r>
      <w:r>
        <w:rPr>
          <w:color w:val="000000"/>
          <w:spacing w:val="0"/>
          <w:w w:val="100"/>
          <w:position w:val="0"/>
        </w:rPr>
        <w:t xml:space="preserve">15 </w:t>
      </w:r>
      <w:r>
        <w:rPr>
          <w:color w:val="000000"/>
          <w:spacing w:val="0"/>
          <w:w w:val="100"/>
          <w:position w:val="0"/>
        </w:rPr>
        <w:t>“长期股权投资”进行会计处理；不属 于“一揽子交易”的，区分个别财务报表和合并财务报表进行相关会计处理：</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时将与其相关的其他综合收益采用与被购买方直接处置相关资产或负债相同的基础进行会计处理（即，除 了按照权益法核算的在被购买方重新计量设定受益计划净负债或净资产导致的变动中的相应份额以外，其 余转入当期投资收益）。</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 xml:space="preserve">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理（即，除了按照权益法核算的在被购买方重新计量设定受益计划净负债或净资产导致的变动中的相应份 </w:t>
      </w:r>
      <w:r>
        <w:rPr>
          <w:color w:val="000000"/>
          <w:spacing w:val="0"/>
          <w:w w:val="100"/>
          <w:position w:val="0"/>
        </w:rPr>
        <w:t>额以外，其余转为购买日所属当期投资收益）。</w:t>
      </w:r>
    </w:p>
    <w:p>
      <w:pPr>
        <w:pStyle w:val="Style30"/>
        <w:keepNext/>
        <w:keepLines/>
        <w:widowControl w:val="0"/>
        <w:shd w:val="clear" w:color="auto" w:fill="auto"/>
        <w:bidi w:val="0"/>
        <w:spacing w:before="0" w:after="0" w:line="48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、合并财务报表的编制方法</w:t>
      </w:r>
      <w:bookmarkEnd w:id="715"/>
      <w:bookmarkEnd w:id="716"/>
      <w:bookmarkEnd w:id="718"/>
    </w:p>
    <w:p>
      <w:pPr>
        <w:pStyle w:val="Style18"/>
        <w:keepNext w:val="0"/>
        <w:keepLines w:val="0"/>
        <w:widowControl w:val="0"/>
        <w:shd w:val="clear" w:color="auto" w:fill="auto"/>
        <w:tabs>
          <w:tab w:pos="876" w:val="left"/>
        </w:tabs>
        <w:bidi w:val="0"/>
        <w:spacing w:before="0" w:after="0" w:line="468" w:lineRule="exact"/>
        <w:ind w:left="0" w:right="0" w:firstLine="440"/>
        <w:jc w:val="both"/>
      </w:pPr>
      <w:bookmarkStart w:id="719" w:name="bookmark719"/>
      <w:r>
        <w:rPr>
          <w:color w:val="000000"/>
          <w:spacing w:val="0"/>
          <w:w w:val="100"/>
          <w:position w:val="0"/>
        </w:rPr>
        <w:t>（</w:t>
      </w:r>
      <w:bookmarkEnd w:id="719"/>
      <w:r>
        <w:rPr>
          <w:color w:val="000000"/>
          <w:spacing w:val="0"/>
          <w:w w:val="100"/>
          <w:position w:val="0"/>
        </w:rPr>
        <w:t>1）</w:t>
        <w:tab/>
      </w:r>
      <w:r>
        <w:rPr>
          <w:color w:val="000000"/>
          <w:spacing w:val="0"/>
          <w:w w:val="100"/>
          <w:position w:val="0"/>
        </w:rPr>
        <w:t>合并财务报表范围的确定原则</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合并财务报表的合并范围以控制为基础予以确定。控制是指本公司拥有对被投资方的权力，通过参与 被投资方的相关活动而享有可变回报，并且有能力运用对被投资方的权力影响该回报金额。合并范围包括 本公司及全部子公司。子公司，是指被本公司控制的主体。</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一旦相关事实和情况的变化导致上述控制定义涉及的相关要素发生了变化，本公司将进行重新评估。</w:t>
      </w:r>
    </w:p>
    <w:p>
      <w:pPr>
        <w:pStyle w:val="Style18"/>
        <w:keepNext w:val="0"/>
        <w:keepLines w:val="0"/>
        <w:widowControl w:val="0"/>
        <w:shd w:val="clear" w:color="auto" w:fill="auto"/>
        <w:tabs>
          <w:tab w:pos="876" w:val="left"/>
        </w:tabs>
        <w:bidi w:val="0"/>
        <w:spacing w:before="0" w:after="0" w:line="468" w:lineRule="exact"/>
        <w:ind w:left="0" w:right="0" w:firstLine="440"/>
        <w:jc w:val="both"/>
      </w:pPr>
      <w:bookmarkStart w:id="720" w:name="bookmark720"/>
      <w:r>
        <w:rPr>
          <w:color w:val="000000"/>
          <w:spacing w:val="0"/>
          <w:w w:val="100"/>
          <w:position w:val="0"/>
        </w:rPr>
        <w:t>（</w:t>
      </w:r>
      <w:bookmarkEnd w:id="720"/>
      <w:r>
        <w:rPr>
          <w:color w:val="000000"/>
          <w:spacing w:val="0"/>
          <w:w w:val="100"/>
          <w:position w:val="0"/>
        </w:rPr>
        <w:t>2）</w:t>
        <w:tab/>
      </w:r>
      <w:r>
        <w:rPr>
          <w:color w:val="000000"/>
          <w:spacing w:val="0"/>
          <w:w w:val="100"/>
          <w:position w:val="0"/>
        </w:rPr>
        <w:t>合并财务报表编制的方法</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量表中，且不调整合并财务报表的期初数和对比数。同一控制下企业合并增加的子公司，其自合并当期期 初至合并日的经营成果和现金流量已经适当地包括在合并利润表和合并现金流量表中，并且同时调整合并 财务报表的对比数。</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公司内往来余额、交易及未实现利润在合并财务报表编制时予以抵销。</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在该子公司期初股东权益中所享有的份额，仍冲减少数股东权益。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同的基础进行会计处理（即，除了在该原有子公司重新计量设定受益计划净负债或净资产导致的变动以外， 其余一并转为当期投资收益）。其后，对该部分剩余股权按照《企业会计准则第</w:t>
      </w:r>
      <w:r>
        <w:rPr>
          <w:color w:val="000000"/>
          <w:spacing w:val="0"/>
          <w:w w:val="100"/>
          <w:position w:val="0"/>
        </w:rPr>
        <w:t>2</w:t>
      </w:r>
      <w:r>
        <w:rPr>
          <w:color w:val="000000"/>
          <w:spacing w:val="0"/>
          <w:w w:val="100"/>
          <w:position w:val="0"/>
        </w:rPr>
        <w:t>号</w:t>
      </w:r>
      <w:r>
        <w:rPr>
          <w:color w:val="000000"/>
          <w:spacing w:val="0"/>
          <w:w w:val="100"/>
          <w:position w:val="0"/>
        </w:rPr>
        <w:t>一一</w:t>
      </w:r>
      <w:r>
        <w:rPr>
          <w:color w:val="000000"/>
          <w:spacing w:val="0"/>
          <w:w w:val="100"/>
          <w:position w:val="0"/>
        </w:rPr>
        <w:t xml:space="preserve">长期股权投资》 </w:t>
      </w:r>
      <w:r>
        <w:rPr>
          <w:color w:val="000000"/>
          <w:spacing w:val="0"/>
          <w:w w:val="100"/>
          <w:position w:val="0"/>
        </w:rPr>
        <w:t>或《企业会计准则第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金融工具确认和计量》等相关规定进行后续计量，详见本附注五、</w:t>
      </w:r>
      <w:r>
        <w:rPr>
          <w:color w:val="000000"/>
          <w:spacing w:val="0"/>
          <w:w w:val="100"/>
          <w:position w:val="0"/>
        </w:rPr>
        <w:t xml:space="preserve">15 </w:t>
      </w:r>
      <w:r>
        <w:rPr>
          <w:color w:val="000000"/>
          <w:spacing w:val="0"/>
          <w:w w:val="100"/>
          <w:position w:val="0"/>
        </w:rPr>
        <w:t>“长期 股权投资”或本附注五、</w:t>
      </w:r>
      <w:r>
        <w:rPr>
          <w:color w:val="000000"/>
          <w:spacing w:val="0"/>
          <w:w w:val="100"/>
          <w:position w:val="0"/>
        </w:rPr>
        <w:t xml:space="preserve">10 </w:t>
      </w:r>
      <w:r>
        <w:rPr>
          <w:color w:val="000000"/>
          <w:spacing w:val="0"/>
          <w:w w:val="100"/>
          <w:position w:val="0"/>
        </w:rPr>
        <w:t>“金融工具”。</w:t>
      </w:r>
    </w:p>
    <w:p>
      <w:pPr>
        <w:pStyle w:val="Style18"/>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本公司通过多次交易分步处置对子公司股权投资直至丧失控制权的，需区分处置对子公司股权投资直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济的。不属于一揽子交易的，对其中的每一项交易视情况分别按照“不丧失控制权的情况下部分处置对子 公司的长期股权投资”（详见本附注三、</w:t>
      </w:r>
      <w:r>
        <w:rPr>
          <w:color w:val="000000"/>
          <w:spacing w:val="0"/>
          <w:w w:val="100"/>
          <w:position w:val="0"/>
        </w:rPr>
        <w:t>14</w:t>
      </w:r>
      <w:r>
        <w:rPr>
          <w:color w:val="000000"/>
          <w:spacing w:val="0"/>
          <w:w w:val="100"/>
          <w:position w:val="0"/>
        </w:rPr>
        <w:t>、（</w:t>
      </w:r>
      <w:r>
        <w:rPr>
          <w:color w:val="000000"/>
          <w:spacing w:val="0"/>
          <w:w w:val="100"/>
          <w:position w:val="0"/>
        </w:rPr>
        <w:t>2</w:t>
      </w:r>
      <w:r>
        <w:rPr>
          <w:color w:val="000000"/>
          <w:spacing w:val="0"/>
          <w:w w:val="100"/>
          <w:position w:val="0"/>
        </w:rPr>
        <w:t>）④）和“因处置部分股权投资或其他原因丧失了对原 有子公司的控制权”（详见前段）适用的原则进行会计处理。处置对子公司股权投资直至丧失控制权的各 项交易属于一揽子交易的，将各项交易作为一项处置子公司并丧失控制权的交易进行会计处理；但是，在 丧失控制权之前每一次处置价款与处置投资对应的享有该子公司净资产份额的差额，在合并财务报表中确 认为其他综合收益，在丧失控制权时一并转入丧失控制权当期的损益。</w:t>
      </w:r>
    </w:p>
    <w:p>
      <w:pPr>
        <w:pStyle w:val="Style30"/>
        <w:keepNext/>
        <w:keepLines/>
        <w:widowControl w:val="0"/>
        <w:shd w:val="clear" w:color="auto" w:fill="auto"/>
        <w:bidi w:val="0"/>
        <w:spacing w:before="0" w:after="220" w:line="469" w:lineRule="exact"/>
        <w:ind w:left="0" w:right="0" w:firstLine="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7</w:t>
      </w:r>
      <w:bookmarkEnd w:id="723"/>
      <w:r>
        <w:rPr>
          <w:color w:val="000000"/>
          <w:spacing w:val="0"/>
          <w:w w:val="100"/>
          <w:position w:val="0"/>
        </w:rPr>
        <w:t>、合营安排分类及共同经营会计处理方法</w:t>
      </w:r>
      <w:bookmarkEnd w:id="721"/>
      <w:bookmarkEnd w:id="722"/>
      <w:bookmarkEnd w:id="724"/>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rPr>
        <w:t xml:space="preserve">15 </w:t>
      </w:r>
      <w:r>
        <w:rPr>
          <w:color w:val="000000"/>
          <w:spacing w:val="0"/>
          <w:w w:val="100"/>
          <w:position w:val="0"/>
        </w:rPr>
        <w:t>“长期股权投资”中所述的会计政策 处理。</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本公司作为合营方对共同经营，确认本公司单独持有的资产、单独所承担的负债，以及按本公司份额 确认共同持有的资产和共同承担的负债；确认出售本公司享有的共同经营产出份额所产生的收入；按本公 司份额确认共同经营因出售产出所产生的收入；确认本公司单独所发生的费用，以及按本公司份额确认共 同经营发生的费用。</w:t>
      </w:r>
    </w:p>
    <w:p>
      <w:pPr>
        <w:pStyle w:val="Style18"/>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资产减值》等规定的资产减值损失的，对于由本公 司向共同经营投出或出售资产的情况，本公司全额确认该损失；对于本公司自共同经营购买资产的情况， 本公司按承担的份额确认该损失。</w:t>
      </w:r>
    </w:p>
    <w:p>
      <w:pPr>
        <w:pStyle w:val="Style30"/>
        <w:keepNext/>
        <w:keepLines/>
        <w:widowControl w:val="0"/>
        <w:shd w:val="clear" w:color="auto" w:fill="auto"/>
        <w:tabs>
          <w:tab w:pos="357" w:val="left"/>
        </w:tabs>
        <w:bidi w:val="0"/>
        <w:spacing w:before="0" w:after="220" w:line="467" w:lineRule="exact"/>
        <w:ind w:left="0" w:right="0" w:firstLine="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8</w:t>
      </w:r>
      <w:bookmarkEnd w:id="727"/>
      <w:r>
        <w:rPr>
          <w:color w:val="000000"/>
          <w:spacing w:val="0"/>
          <w:w w:val="100"/>
          <w:position w:val="0"/>
        </w:rPr>
        <w:t>、</w:t>
        <w:tab/>
        <w:t>现金及现金等价物的确定标准</w:t>
      </w:r>
      <w:bookmarkEnd w:id="725"/>
      <w:bookmarkEnd w:id="726"/>
      <w:bookmarkEnd w:id="728"/>
    </w:p>
    <w:p>
      <w:pPr>
        <w:pStyle w:val="Style18"/>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0"/>
        <w:keepNext/>
        <w:keepLines/>
        <w:widowControl w:val="0"/>
        <w:shd w:val="clear" w:color="auto" w:fill="auto"/>
        <w:tabs>
          <w:tab w:pos="357" w:val="left"/>
        </w:tabs>
        <w:bidi w:val="0"/>
        <w:spacing w:before="0" w:after="220" w:line="467"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9</w:t>
      </w:r>
      <w:bookmarkEnd w:id="731"/>
      <w:r>
        <w:rPr>
          <w:color w:val="000000"/>
          <w:spacing w:val="0"/>
          <w:w w:val="100"/>
          <w:position w:val="0"/>
        </w:rPr>
        <w:t>、</w:t>
        <w:tab/>
        <w:t>外币业务和外币报表折算</w:t>
      </w:r>
      <w:bookmarkEnd w:id="729"/>
      <w:bookmarkEnd w:id="730"/>
      <w:bookmarkEnd w:id="732"/>
    </w:p>
    <w:p>
      <w:pPr>
        <w:pStyle w:val="Style18"/>
        <w:keepNext w:val="0"/>
        <w:keepLines w:val="0"/>
        <w:widowControl w:val="0"/>
        <w:shd w:val="clear" w:color="auto" w:fill="auto"/>
        <w:tabs>
          <w:tab w:pos="907" w:val="left"/>
        </w:tabs>
        <w:bidi w:val="0"/>
        <w:spacing w:before="0" w:after="0" w:line="470" w:lineRule="exact"/>
        <w:ind w:left="0" w:right="0" w:firstLine="440"/>
        <w:jc w:val="both"/>
      </w:pPr>
      <w:bookmarkStart w:id="733" w:name="bookmark733"/>
      <w:r>
        <w:rPr>
          <w:color w:val="000000"/>
          <w:spacing w:val="0"/>
          <w:w w:val="100"/>
          <w:position w:val="0"/>
        </w:rPr>
        <w:t>（</w:t>
      </w:r>
      <w:bookmarkEnd w:id="733"/>
      <w:r>
        <w:rPr>
          <w:color w:val="000000"/>
          <w:spacing w:val="0"/>
          <w:w w:val="100"/>
          <w:position w:val="0"/>
        </w:rPr>
        <w:t>1）</w:t>
        <w:tab/>
      </w:r>
      <w:r>
        <w:rPr>
          <w:color w:val="000000"/>
          <w:spacing w:val="0"/>
          <w:w w:val="100"/>
          <w:position w:val="0"/>
        </w:rPr>
        <w:t>外币交易的折算方法</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本公司发生的外币交易在初始确认时，按交易日的即期汇率折算为记账本位币金额，但公司发生的外 币兑换业务或涉及外币兑换的交易事项，按照实际采用的汇率折算为记账本位币金额。</w:t>
      </w:r>
    </w:p>
    <w:p>
      <w:pPr>
        <w:pStyle w:val="Style18"/>
        <w:keepNext w:val="0"/>
        <w:keepLines w:val="0"/>
        <w:widowControl w:val="0"/>
        <w:shd w:val="clear" w:color="auto" w:fill="auto"/>
        <w:tabs>
          <w:tab w:pos="907" w:val="left"/>
        </w:tabs>
        <w:bidi w:val="0"/>
        <w:spacing w:before="0" w:after="0" w:line="467" w:lineRule="exact"/>
        <w:ind w:left="0" w:right="0" w:firstLine="440"/>
        <w:jc w:val="both"/>
      </w:pPr>
      <w:bookmarkStart w:id="734" w:name="bookmark734"/>
      <w:r>
        <w:rPr>
          <w:color w:val="000000"/>
          <w:spacing w:val="0"/>
          <w:w w:val="100"/>
          <w:position w:val="0"/>
        </w:rPr>
        <w:t>（</w:t>
      </w:r>
      <w:bookmarkEnd w:id="734"/>
      <w:r>
        <w:rPr>
          <w:color w:val="000000"/>
          <w:spacing w:val="0"/>
          <w:w w:val="100"/>
          <w:position w:val="0"/>
        </w:rPr>
        <w:t>2</w:t>
      </w:r>
      <w:r>
        <w:rPr>
          <w:color w:val="000000"/>
          <w:spacing w:val="0"/>
          <w:w w:val="100"/>
          <w:position w:val="0"/>
        </w:rPr>
        <w:t>）</w:t>
        <w:tab/>
        <w:t>对于外币货币性项目和外币非货币性项目的折算方法</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资产负债表日，对于外币货币性项目采用资产负债表日即期汇率折算。为购建符合借款费用资本化条 件的资产而借入的外币专门借款产生的汇兑差额，在资本化期间内予以资本化。</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编制合并财务报表涉及境外经营的，如有实质上构成对境外经营净投资的外币货币性项目，因汇率变 动而产生的汇兑差额，计入其他综合收益；处置境外经营时，转入处置当期损益。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18"/>
        <w:keepNext w:val="0"/>
        <w:keepLines w:val="0"/>
        <w:widowControl w:val="0"/>
        <w:shd w:val="clear" w:color="auto" w:fill="auto"/>
        <w:tabs>
          <w:tab w:pos="907" w:val="left"/>
        </w:tabs>
        <w:bidi w:val="0"/>
        <w:spacing w:before="0" w:after="0" w:line="467" w:lineRule="exact"/>
        <w:ind w:left="0" w:right="0" w:firstLine="440"/>
        <w:jc w:val="both"/>
      </w:pPr>
      <w:bookmarkStart w:id="735" w:name="bookmark735"/>
      <w:r>
        <w:rPr>
          <w:color w:val="000000"/>
          <w:spacing w:val="0"/>
          <w:w w:val="100"/>
          <w:position w:val="0"/>
        </w:rPr>
        <w:t>（</w:t>
      </w:r>
      <w:bookmarkEnd w:id="735"/>
      <w:r>
        <w:rPr>
          <w:color w:val="000000"/>
          <w:spacing w:val="0"/>
          <w:w w:val="100"/>
          <w:position w:val="0"/>
        </w:rPr>
        <w:t>3）</w:t>
        <w:tab/>
      </w:r>
      <w:r>
        <w:rPr>
          <w:color w:val="000000"/>
          <w:spacing w:val="0"/>
          <w:w w:val="100"/>
          <w:position w:val="0"/>
        </w:rPr>
        <w:t>外币财务报表的折算方法</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算。利润表中的收入和费用项目，采用交易发生日的当期平均汇率折算。年初未分配利润为上一年折算后 的年末未分配利润；年末未分配利润按折算后的利润分配各项目计算列示；折算后资产类项目与负债类项 目和股东权益类项目合计数的差额，作为外币报表折算差额，确认为其他综合收益。处置境外经营并丧失 控制权时，将资产负债表中股东权益项目下列示的、与该境外经营相关的外币报表折算差额，全部或按处 置该境外经营的比例转入处置当期损益。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外币现金流量以及境外子公司的现金流量，采用现金流量发生日的当期平均汇率折算。汇率变动对现 金的影响额作为调节项目，在现金流量表中单独列报。</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在处置本公司在境外经营的全部所有者权益或因处置部分股权投资或其他原因丧失了对境外经营控 制权时，将资产负债表中所有者权益项目下列示的、与该境外经营相关的归属于母公司所有者权益的外币 报表折算差额，全部转入处置当期损益。</w:t>
      </w:r>
    </w:p>
    <w:p>
      <w:pPr>
        <w:pStyle w:val="Style18"/>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0"/>
        <w:keepNext/>
        <w:keepLines/>
        <w:widowControl w:val="0"/>
        <w:shd w:val="clear" w:color="auto" w:fill="auto"/>
        <w:bidi w:val="0"/>
        <w:spacing w:before="0" w:after="0" w:line="48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36"/>
      <w:bookmarkEnd w:id="737"/>
      <w:bookmarkEnd w:id="739"/>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金融工具，是指形成一方的金融资产并形成其他方的金融负债或权益工具的合同。当本公司成为金融 工具合同的一方时，确认相关的金融资产或金融负债。</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金融资产和金融负债在初始确认时以公允价值计量：①对于以公允价值计量且其变动计入当期损益的 金融资产和金融负债，相关交易费用直接计入当期损益；②对于其他类别的金融资产和金融负债，相关交 易费用计入初始确认金额。金融资产和金融负债的后续计量取决于其分类。</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金融资产或金融负债满足下列条件之一的，表明持有目的是交易性的：①取得相关金融资产或承担相 关金融负债的目的，主要是为了近期内出售或回购；②初始确认时属于集中管理的可辨认金融工具组合的 一部分，且有客观证据表明近期实际存在短期获利模式；③属于衍生工具，但符合财务担保合同定义的衍 生工具以及被指定为有效套期工具的衍生工具除外。</w:t>
      </w:r>
    </w:p>
    <w:p>
      <w:pPr>
        <w:pStyle w:val="Style18"/>
        <w:keepNext w:val="0"/>
        <w:keepLines w:val="0"/>
        <w:widowControl w:val="0"/>
        <w:shd w:val="clear" w:color="auto" w:fill="auto"/>
        <w:bidi w:val="0"/>
        <w:spacing w:before="0" w:after="0" w:line="468" w:lineRule="exact"/>
        <w:ind w:left="0" w:right="0" w:firstLine="440"/>
        <w:jc w:val="both"/>
      </w:pPr>
      <w:bookmarkStart w:id="740" w:name="bookmark740"/>
      <w:r>
        <w:rPr>
          <w:color w:val="000000"/>
          <w:spacing w:val="0"/>
          <w:w w:val="100"/>
          <w:position w:val="0"/>
        </w:rPr>
        <w:t>（</w:t>
      </w:r>
      <w:bookmarkEnd w:id="740"/>
      <w:r>
        <w:rPr>
          <w:color w:val="000000"/>
          <w:spacing w:val="0"/>
          <w:w w:val="100"/>
          <w:position w:val="0"/>
        </w:rPr>
        <w:t>1）</w:t>
      </w:r>
      <w:r>
        <w:rPr>
          <w:color w:val="000000"/>
          <w:spacing w:val="0"/>
          <w:w w:val="100"/>
          <w:position w:val="0"/>
        </w:rPr>
        <w:t>债务工具</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债务工具是指从发行方角度分析符合金融负债定义的工具。债务工具的分类和后续计量取决于本公司 管理金融资产的业务模式，以及金融资产的合同现金流量特征。不能通过现金流量特征测试的，直接分类 为以公允价值计量且其变动计入当期损益的金融资产；能够通过现金流量特征测试的，其分类取决于管理 金融资产的业务模式，以及是否将其指定为以公允价值计量且其变动计入当期损益的金融资产。</w:t>
      </w:r>
    </w:p>
    <w:p>
      <w:pPr>
        <w:pStyle w:val="Style18"/>
        <w:keepNext w:val="0"/>
        <w:keepLines w:val="0"/>
        <w:widowControl w:val="0"/>
        <w:numPr>
          <w:ilvl w:val="0"/>
          <w:numId w:val="23"/>
        </w:numPr>
        <w:shd w:val="clear" w:color="auto" w:fill="auto"/>
        <w:tabs>
          <w:tab w:pos="754" w:val="left"/>
        </w:tabs>
        <w:bidi w:val="0"/>
        <w:spacing w:before="0" w:after="0" w:line="468" w:lineRule="exact"/>
        <w:ind w:left="0" w:right="0" w:firstLine="440"/>
        <w:jc w:val="both"/>
      </w:pPr>
      <w:bookmarkStart w:id="741" w:name="bookmark741"/>
      <w:bookmarkEnd w:id="741"/>
      <w:r>
        <w:rPr>
          <w:color w:val="000000"/>
          <w:spacing w:val="0"/>
          <w:w w:val="100"/>
          <w:position w:val="0"/>
        </w:rPr>
        <w:t>以摊余成本计量。本公司管理此类金融资产的业务模式为以收取合同现金流量为目标，且此类金融 资产的合同现金流量特征与基本借贷安排相一致，即在特定日期产生的现金流量，仅为对本金和以未偿付 本金金额为基础的利息的支付，同时并未指定此类金融资产为以公允价值计量且其变动计入当期损益。本 公司对于此类金融资产按照实际利率法确认利息收入。此类金融资产因终止确认产生的利得或损失以及因 减值导致的损失直接计入当期损益。</w:t>
      </w:r>
    </w:p>
    <w:p>
      <w:pPr>
        <w:pStyle w:val="Style18"/>
        <w:keepNext w:val="0"/>
        <w:keepLines w:val="0"/>
        <w:widowControl w:val="0"/>
        <w:numPr>
          <w:ilvl w:val="0"/>
          <w:numId w:val="23"/>
        </w:numPr>
        <w:shd w:val="clear" w:color="auto" w:fill="auto"/>
        <w:tabs>
          <w:tab w:pos="754" w:val="left"/>
        </w:tabs>
        <w:bidi w:val="0"/>
        <w:spacing w:before="0" w:after="0" w:line="468" w:lineRule="exact"/>
        <w:ind w:left="0" w:right="0" w:firstLine="440"/>
        <w:jc w:val="both"/>
      </w:pPr>
      <w:bookmarkStart w:id="742" w:name="bookmark742"/>
      <w:bookmarkEnd w:id="742"/>
      <w:r>
        <w:rPr>
          <w:color w:val="000000"/>
          <w:spacing w:val="0"/>
          <w:w w:val="100"/>
          <w:position w:val="0"/>
        </w:rPr>
        <w:t xml:space="preserve">以公允价值计量且其变动计入其他综合收益。本公司管理此类金融资产的业务模式为既以收取合同 现金流量为目标又以出售为目标，且此类金融资产的合同现金流量特征与基本借贷安排相一致，即在特定 日期产生的现金流量，仅为对本金和以未偿付本金金额为基础的利息的支付，同时并未指定此类金融资产 为以公允价值计量且其变动计入当期损益。此类金融资产按照公允价值计量且其变动计入其他综合收益， 但减值损失或利得、汇兑损益和按照实际利率法计算的利息收入计入当期损益。此类金融资产终止确认时， </w:t>
      </w:r>
      <w:r>
        <w:rPr>
          <w:color w:val="000000"/>
          <w:spacing w:val="0"/>
          <w:w w:val="100"/>
          <w:position w:val="0"/>
        </w:rPr>
        <w:t>累计计入其他综合收益的公允价值变动将结转计入当期损益。此类金融资产列示为其他债权投资。</w:t>
      </w:r>
    </w:p>
    <w:p>
      <w:pPr>
        <w:pStyle w:val="Style18"/>
        <w:keepNext w:val="0"/>
        <w:keepLines w:val="0"/>
        <w:widowControl w:val="0"/>
        <w:numPr>
          <w:ilvl w:val="0"/>
          <w:numId w:val="23"/>
        </w:numPr>
        <w:shd w:val="clear" w:color="auto" w:fill="auto"/>
        <w:bidi w:val="0"/>
        <w:spacing w:before="0" w:after="0" w:line="467" w:lineRule="exact"/>
        <w:ind w:left="0" w:right="0" w:firstLine="440"/>
        <w:jc w:val="both"/>
      </w:pPr>
      <w:bookmarkStart w:id="743" w:name="bookmark743"/>
      <w:bookmarkEnd w:id="743"/>
      <w:r>
        <w:rPr>
          <w:color w:val="000000"/>
          <w:spacing w:val="0"/>
          <w:w w:val="100"/>
          <w:position w:val="0"/>
        </w:rPr>
        <w:t>以公允价值计量且其变动计入当期损益。本公司将持有的未划分为以摊余成本计量和以公允价值计 量且其变动计入其他综合收益的债务工具，以公允价值计量且其变动计入当期损益，分类为以公允价值计 量且其变动计入当期损益的金融资产，列示为交易性金融资产或其他非流动金融资产。</w:t>
      </w:r>
    </w:p>
    <w:p>
      <w:pPr>
        <w:pStyle w:val="Style18"/>
        <w:keepNext w:val="0"/>
        <w:keepLines w:val="0"/>
        <w:widowControl w:val="0"/>
        <w:shd w:val="clear" w:color="auto" w:fill="auto"/>
        <w:tabs>
          <w:tab w:pos="928" w:val="left"/>
        </w:tabs>
        <w:bidi w:val="0"/>
        <w:spacing w:before="0" w:after="0" w:line="467" w:lineRule="exact"/>
        <w:ind w:left="0" w:right="0" w:firstLine="440"/>
        <w:jc w:val="both"/>
      </w:pPr>
      <w:bookmarkStart w:id="744" w:name="bookmark744"/>
      <w:r>
        <w:rPr>
          <w:color w:val="000000"/>
          <w:spacing w:val="0"/>
          <w:w w:val="100"/>
          <w:position w:val="0"/>
        </w:rPr>
        <w:t>（</w:t>
      </w:r>
      <w:bookmarkEnd w:id="744"/>
      <w:r>
        <w:rPr>
          <w:color w:val="000000"/>
          <w:spacing w:val="0"/>
          <w:w w:val="100"/>
          <w:position w:val="0"/>
        </w:rPr>
        <w:t>2）</w:t>
        <w:tab/>
      </w:r>
      <w:r>
        <w:rPr>
          <w:color w:val="000000"/>
          <w:spacing w:val="0"/>
          <w:w w:val="100"/>
          <w:position w:val="0"/>
        </w:rPr>
        <w:t>权益工具</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权益工具是指从发行方角度分析符合权益工具定义的工具。权益工具投资以公允价值计量且其变动计 入当期损益，列示为交易性金融资产，但本公司管理层指定为以公允价值计量且其变动计入其他综合收益 除外。指定为以公允价值计量且其变动计入综合收益的，列示为其他权益工具投资，相关公允价值变动不 得结转至当期损益，且该指定一经作出不得撤销。相关股利收入计入当期损益。其他权益工具投资不计提 减值准备，终止确认时，之前计入其他综合收益的累计利得或损失从其他综合收益转出，计入留存收益。</w:t>
      </w:r>
    </w:p>
    <w:p>
      <w:pPr>
        <w:pStyle w:val="Style18"/>
        <w:keepNext w:val="0"/>
        <w:keepLines w:val="0"/>
        <w:widowControl w:val="0"/>
        <w:shd w:val="clear" w:color="auto" w:fill="auto"/>
        <w:tabs>
          <w:tab w:pos="928" w:val="left"/>
        </w:tabs>
        <w:bidi w:val="0"/>
        <w:spacing w:before="0" w:after="0" w:line="467" w:lineRule="exact"/>
        <w:ind w:left="0" w:right="0" w:firstLine="440"/>
        <w:jc w:val="both"/>
      </w:pPr>
      <w:bookmarkStart w:id="745" w:name="bookmark745"/>
      <w:r>
        <w:rPr>
          <w:color w:val="000000"/>
          <w:spacing w:val="0"/>
          <w:w w:val="100"/>
          <w:position w:val="0"/>
        </w:rPr>
        <w:t>（</w:t>
      </w:r>
      <w:bookmarkEnd w:id="745"/>
      <w:r>
        <w:rPr>
          <w:color w:val="000000"/>
          <w:spacing w:val="0"/>
          <w:w w:val="100"/>
          <w:position w:val="0"/>
        </w:rPr>
        <w:t>3）</w:t>
        <w:tab/>
      </w:r>
      <w:r>
        <w:rPr>
          <w:color w:val="000000"/>
          <w:spacing w:val="0"/>
          <w:w w:val="100"/>
          <w:position w:val="0"/>
        </w:rPr>
        <w:t>金融负债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金融负债于初始确认时分类为以公允价值计量且其变动计入当期损益的金融负债及其他金融负债。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以公允价值计量且其变动计入当期损益的金融负债，包括交易性金融负债和指定为以公允价值计量且 其变动计入当期损益的金融负债。满足以下条件之一时，金融负债可在初始计量时指定为以公允价值计量 且其变动计入当期损益的金融负债：①该项指定能够消除或显著减少会计错配；②根据正式书面文件载明 的风险管理或投资策略，以公允价值为基础对金融负债组合或金融资产和金融负债组合进行管理和业绩评 价，并在公司内部以此为基础向关键管理人员报告。该指定一经作出，不得撤销。</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指定为以公允价值计量且变动计入当期损益的金融负债，由公司自身信用风险变动引起的公允价值的 变动金额，计入其他综合收益；其他公允价值变动，计入当期损益。该金融负债终止确认时，之前计入其 他综合收益的累计利得或损失从其他综合收益转出，计入留存收益。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本公司其他金融负债主要包括短期借款。对于此类金融负债，采用实际利率法，按照摊余成本进行后 续计量。</w:t>
      </w:r>
    </w:p>
    <w:p>
      <w:pPr>
        <w:pStyle w:val="Style18"/>
        <w:keepNext w:val="0"/>
        <w:keepLines w:val="0"/>
        <w:widowControl w:val="0"/>
        <w:shd w:val="clear" w:color="auto" w:fill="auto"/>
        <w:tabs>
          <w:tab w:pos="928" w:val="left"/>
        </w:tabs>
        <w:bidi w:val="0"/>
        <w:spacing w:before="0" w:after="0" w:line="467" w:lineRule="exact"/>
        <w:ind w:left="0" w:right="0" w:firstLine="440"/>
        <w:jc w:val="both"/>
      </w:pPr>
      <w:bookmarkStart w:id="746" w:name="bookmark746"/>
      <w:r>
        <w:rPr>
          <w:color w:val="000000"/>
          <w:spacing w:val="0"/>
          <w:w w:val="100"/>
          <w:position w:val="0"/>
        </w:rPr>
        <w:t>（</w:t>
      </w:r>
      <w:bookmarkEnd w:id="746"/>
      <w:r>
        <w:rPr>
          <w:color w:val="000000"/>
          <w:spacing w:val="0"/>
          <w:w w:val="100"/>
          <w:position w:val="0"/>
        </w:rPr>
        <w:t>4）</w:t>
        <w:tab/>
      </w:r>
      <w:r>
        <w:rPr>
          <w:color w:val="000000"/>
          <w:spacing w:val="0"/>
          <w:w w:val="100"/>
          <w:position w:val="0"/>
        </w:rPr>
        <w:t>金融资产和金融负债的终止确认</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金融资产满足下列条件之一的，予以终止确认：</w:t>
      </w:r>
    </w:p>
    <w:p>
      <w:pPr>
        <w:pStyle w:val="Style18"/>
        <w:keepNext w:val="0"/>
        <w:keepLines w:val="0"/>
        <w:widowControl w:val="0"/>
        <w:numPr>
          <w:ilvl w:val="0"/>
          <w:numId w:val="25"/>
        </w:numPr>
        <w:shd w:val="clear" w:color="auto" w:fill="auto"/>
        <w:tabs>
          <w:tab w:pos="832" w:val="left"/>
        </w:tabs>
        <w:bidi w:val="0"/>
        <w:spacing w:before="0" w:after="0" w:line="467" w:lineRule="exact"/>
        <w:ind w:left="0" w:right="0" w:firstLine="440"/>
        <w:jc w:val="left"/>
      </w:pPr>
      <w:bookmarkStart w:id="747" w:name="bookmark747"/>
      <w:bookmarkEnd w:id="747"/>
      <w:r>
        <w:rPr>
          <w:color w:val="000000"/>
          <w:spacing w:val="0"/>
          <w:w w:val="100"/>
          <w:position w:val="0"/>
        </w:rPr>
        <w:t>收取该金融资产现金流量的合同权利终止；</w:t>
      </w:r>
    </w:p>
    <w:p>
      <w:pPr>
        <w:pStyle w:val="Style18"/>
        <w:keepNext w:val="0"/>
        <w:keepLines w:val="0"/>
        <w:widowControl w:val="0"/>
        <w:numPr>
          <w:ilvl w:val="0"/>
          <w:numId w:val="25"/>
        </w:numPr>
        <w:shd w:val="clear" w:color="auto" w:fill="auto"/>
        <w:tabs>
          <w:tab w:pos="837" w:val="left"/>
        </w:tabs>
        <w:bidi w:val="0"/>
        <w:spacing w:before="0" w:after="0" w:line="467" w:lineRule="exact"/>
        <w:ind w:left="0" w:right="0" w:firstLine="440"/>
        <w:jc w:val="left"/>
      </w:pPr>
      <w:bookmarkStart w:id="748" w:name="bookmark748"/>
      <w:bookmarkEnd w:id="748"/>
      <w:r>
        <w:rPr>
          <w:color w:val="000000"/>
          <w:spacing w:val="0"/>
          <w:w w:val="100"/>
          <w:position w:val="0"/>
        </w:rPr>
        <w:t>该金融资产已转移，且本公司将金融资产所有权上几乎所有的风险和报酬转移给转入方；</w:t>
      </w:r>
    </w:p>
    <w:p>
      <w:pPr>
        <w:pStyle w:val="Style18"/>
        <w:keepNext w:val="0"/>
        <w:keepLines w:val="0"/>
        <w:widowControl w:val="0"/>
        <w:numPr>
          <w:ilvl w:val="0"/>
          <w:numId w:val="25"/>
        </w:numPr>
        <w:shd w:val="clear" w:color="auto" w:fill="auto"/>
        <w:tabs>
          <w:tab w:pos="814" w:val="left"/>
        </w:tabs>
        <w:bidi w:val="0"/>
        <w:spacing w:before="0" w:after="0" w:line="467" w:lineRule="exact"/>
        <w:ind w:left="0" w:right="0" w:firstLine="440"/>
        <w:jc w:val="both"/>
      </w:pPr>
      <w:bookmarkStart w:id="749" w:name="bookmark749"/>
      <w:bookmarkEnd w:id="749"/>
      <w:r>
        <w:rPr>
          <w:color w:val="000000"/>
          <w:spacing w:val="0"/>
          <w:w w:val="100"/>
          <w:position w:val="0"/>
        </w:rPr>
        <w:t>该金融资产已转移，虽然本公司既没有转移也没有保留金融资产所有权上几乎所有的风险和报酬， 但是放弃了对该金融资产的控制。</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金融负债（或其一部分）的现时义务已经解除的，本公司终止确认该金融负债（或该部分金融负债）。</w:t>
      </w:r>
    </w:p>
    <w:p>
      <w:pPr>
        <w:pStyle w:val="Style18"/>
        <w:keepNext w:val="0"/>
        <w:keepLines w:val="0"/>
        <w:widowControl w:val="0"/>
        <w:shd w:val="clear" w:color="auto" w:fill="auto"/>
        <w:tabs>
          <w:tab w:pos="928" w:val="left"/>
        </w:tabs>
        <w:bidi w:val="0"/>
        <w:spacing w:before="0" w:after="0" w:line="467" w:lineRule="exact"/>
        <w:ind w:left="0" w:right="0" w:firstLine="440"/>
        <w:jc w:val="both"/>
      </w:pPr>
      <w:bookmarkStart w:id="750" w:name="bookmark750"/>
      <w:r>
        <w:rPr>
          <w:color w:val="000000"/>
          <w:spacing w:val="0"/>
          <w:w w:val="100"/>
          <w:position w:val="0"/>
        </w:rPr>
        <w:t>（</w:t>
      </w:r>
      <w:bookmarkEnd w:id="750"/>
      <w:r>
        <w:rPr>
          <w:color w:val="000000"/>
          <w:spacing w:val="0"/>
          <w:w w:val="100"/>
          <w:position w:val="0"/>
        </w:rPr>
        <w:t>5）</w:t>
        <w:tab/>
      </w:r>
      <w:r>
        <w:rPr>
          <w:color w:val="000000"/>
          <w:spacing w:val="0"/>
          <w:w w:val="100"/>
          <w:position w:val="0"/>
        </w:rPr>
        <w:t>金融工具的减值</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本公司以预期信用损失为基础进行金融工具减值会计处理并确认损失准备。预期信用损失，是指以发 生违约的风险为权重的金融工具信用损失的加权平均值。信用损失，是指按照原实际利率折现的、根据合 同应收的所有合同现金流量与预期收取的所有现金流量之间的差额，即全部现金短缺的现值。</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去事项、当前状况以及未来经济状况预测的合理且有依据的信息。本公司按照下列方法确定相关金融工具 的预期信用损失：</w:t>
      </w:r>
    </w:p>
    <w:p>
      <w:pPr>
        <w:pStyle w:val="Style18"/>
        <w:keepNext w:val="0"/>
        <w:keepLines w:val="0"/>
        <w:widowControl w:val="0"/>
        <w:numPr>
          <w:ilvl w:val="0"/>
          <w:numId w:val="27"/>
        </w:numPr>
        <w:shd w:val="clear" w:color="auto" w:fill="auto"/>
        <w:tabs>
          <w:tab w:pos="774" w:val="left"/>
        </w:tabs>
        <w:bidi w:val="0"/>
        <w:spacing w:before="0" w:after="0" w:line="467" w:lineRule="exact"/>
        <w:ind w:left="0" w:right="0" w:firstLine="440"/>
        <w:jc w:val="both"/>
      </w:pPr>
      <w:bookmarkStart w:id="751" w:name="bookmark751"/>
      <w:bookmarkEnd w:id="751"/>
      <w:r>
        <w:rPr>
          <w:color w:val="000000"/>
          <w:spacing w:val="0"/>
          <w:w w:val="100"/>
          <w:position w:val="0"/>
        </w:rPr>
        <w:t>对于金融资产，信用损失为本公司应收取的合同现金流量与预期收取的现金流量之间差额的现值；</w:t>
      </w:r>
    </w:p>
    <w:p>
      <w:pPr>
        <w:pStyle w:val="Style18"/>
        <w:keepNext w:val="0"/>
        <w:keepLines w:val="0"/>
        <w:widowControl w:val="0"/>
        <w:numPr>
          <w:ilvl w:val="0"/>
          <w:numId w:val="27"/>
        </w:numPr>
        <w:shd w:val="clear" w:color="auto" w:fill="auto"/>
        <w:tabs>
          <w:tab w:pos="756" w:val="left"/>
        </w:tabs>
        <w:bidi w:val="0"/>
        <w:spacing w:before="0" w:after="0" w:line="467" w:lineRule="exact"/>
        <w:ind w:left="0" w:right="0" w:firstLine="440"/>
        <w:jc w:val="both"/>
      </w:pPr>
      <w:bookmarkStart w:id="752" w:name="bookmark752"/>
      <w:bookmarkEnd w:id="752"/>
      <w:r>
        <w:rPr>
          <w:color w:val="000000"/>
          <w:spacing w:val="0"/>
          <w:w w:val="100"/>
          <w:position w:val="0"/>
        </w:rPr>
        <w:t>对于租赁应收款项，信用损失为本公司应收取的合同现金流量与预期收取的现金流量之间差额的现 值；</w:t>
      </w:r>
    </w:p>
    <w:p>
      <w:pPr>
        <w:pStyle w:val="Style18"/>
        <w:keepNext w:val="0"/>
        <w:keepLines w:val="0"/>
        <w:widowControl w:val="0"/>
        <w:numPr>
          <w:ilvl w:val="0"/>
          <w:numId w:val="27"/>
        </w:numPr>
        <w:shd w:val="clear" w:color="auto" w:fill="auto"/>
        <w:tabs>
          <w:tab w:pos="756" w:val="left"/>
        </w:tabs>
        <w:bidi w:val="0"/>
        <w:spacing w:before="0" w:after="0" w:line="467" w:lineRule="exact"/>
        <w:ind w:left="0" w:right="0" w:firstLine="440"/>
        <w:jc w:val="both"/>
      </w:pPr>
      <w:bookmarkStart w:id="753" w:name="bookmark753"/>
      <w:bookmarkEnd w:id="753"/>
      <w:r>
        <w:rPr>
          <w:color w:val="000000"/>
          <w:spacing w:val="0"/>
          <w:w w:val="100"/>
          <w:position w:val="0"/>
        </w:rPr>
        <w:t>对于未提用的贷款承诺，信用损失为在贷款承诺持有人提用相应贷款的情况下，本公司应收取的合 同现金流量与预期收取的现金流量之间差额的现值。本公司对贷款承诺预期信用损失的估计，与其对该贷 款承诺提用情况的预期保持一致；</w:t>
      </w:r>
    </w:p>
    <w:p>
      <w:pPr>
        <w:pStyle w:val="Style18"/>
        <w:keepNext w:val="0"/>
        <w:keepLines w:val="0"/>
        <w:widowControl w:val="0"/>
        <w:numPr>
          <w:ilvl w:val="0"/>
          <w:numId w:val="27"/>
        </w:numPr>
        <w:shd w:val="clear" w:color="auto" w:fill="auto"/>
        <w:tabs>
          <w:tab w:pos="756" w:val="left"/>
        </w:tabs>
        <w:bidi w:val="0"/>
        <w:spacing w:before="0" w:after="0" w:line="467" w:lineRule="exact"/>
        <w:ind w:left="0" w:right="0" w:firstLine="440"/>
        <w:jc w:val="both"/>
      </w:pPr>
      <w:bookmarkStart w:id="754" w:name="bookmark754"/>
      <w:bookmarkEnd w:id="754"/>
      <w:r>
        <w:rPr>
          <w:color w:val="000000"/>
          <w:spacing w:val="0"/>
          <w:w w:val="100"/>
          <w:position w:val="0"/>
        </w:rPr>
        <w:t>对于财务担保合同，信用损失为本公司就该合同持有人发生的信用损失向其做出赔付的预计付款 额，减去本公司预期向该合同持有人、债务人或任何其他方收取的金额之间差额的现值；</w:t>
      </w:r>
    </w:p>
    <w:p>
      <w:pPr>
        <w:pStyle w:val="Style18"/>
        <w:keepNext w:val="0"/>
        <w:keepLines w:val="0"/>
        <w:widowControl w:val="0"/>
        <w:numPr>
          <w:ilvl w:val="0"/>
          <w:numId w:val="27"/>
        </w:numPr>
        <w:shd w:val="clear" w:color="auto" w:fill="auto"/>
        <w:tabs>
          <w:tab w:pos="752" w:val="left"/>
        </w:tabs>
        <w:bidi w:val="0"/>
        <w:spacing w:before="0" w:after="0" w:line="467" w:lineRule="exact"/>
        <w:ind w:left="0" w:right="0" w:firstLine="440"/>
        <w:jc w:val="both"/>
      </w:pPr>
      <w:bookmarkStart w:id="755" w:name="bookmark755"/>
      <w:bookmarkEnd w:id="755"/>
      <w:r>
        <w:rPr>
          <w:color w:val="000000"/>
          <w:spacing w:val="0"/>
          <w:w w:val="100"/>
          <w:position w:val="0"/>
        </w:rPr>
        <w:t>对于资产负债表日已发生信用减值但并非购买或源生已发生信用减值的金融资产，信用损失为该金 融资产账面余额与按原实际利率折现的估计未来现金流量的现值之间的差额。</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对于购买或源生的未发生信用减值的金融工具，每个资产负债表日，考虑合理且有依据的信息（包括 前瞻性信息），评估其信用风险自初始确认后是否显著增加，按照三阶段分别确认预期信用损失。信用风 险自初始确认后未显著增加的，处于第一阶段，按照该金融工具未来</w:t>
      </w:r>
      <w:r>
        <w:rPr>
          <w:color w:val="000000"/>
          <w:spacing w:val="0"/>
          <w:w w:val="100"/>
          <w:position w:val="0"/>
        </w:rPr>
        <w:t>12</w:t>
      </w:r>
      <w:r>
        <w:rPr>
          <w:color w:val="000000"/>
          <w:spacing w:val="0"/>
          <w:w w:val="100"/>
          <w:position w:val="0"/>
        </w:rPr>
        <w:t>个月内的预期信用损失计量损失准 备；信用风险自初始确认后已显著增加但尚未发生信用减值的，处于第二阶段，按照该金融工具整个存续 期的预期信用损失计量损失准备；自初始确认后已经发生信用减值的，处于第三阶段，按照该金融工具整 个存续期的预期信用损失计量损失准备。处于第一阶段和第二阶段的金融工具，按照其账面余额和实际利 率计算利息收入；处于第三阶段的金融工具，按照其摊余成本和实际利率计算确定利息收入。</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信用损失的累计变动确认为损失准备，其利息收入按照金融资产的摊余成本和经信用调整的实际利率计算 确定。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损失准备的增加或转回，作为减值损失或利得，计入当期损益。对于持有的以公允价值计量且其变动 计入其他综合收益的债务工具，减值损失或利得计入当期损益的同时调整其他综合收益。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本公司以单项或组合的方式对以摊余成本计量的金融资产、以公允价值计量且其变动计入其他综合收 </w:t>
      </w:r>
      <w:r>
        <w:rPr>
          <w:color w:val="000000"/>
          <w:spacing w:val="0"/>
          <w:w w:val="100"/>
          <w:position w:val="0"/>
        </w:rPr>
        <w:t>益的金融资产（债务工具）和财务担保合同等的预期信用损失进行估计。</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本公司通过比较金融工具在资产负债表日发生违约的风险与在初始确认日发生违约的风险，以确定金 融工具预计存续期内发生违约风险的相对变化，以评估金融工具的信用风险自初始确认后是否已显著增 加。通常逾期超过</w:t>
      </w:r>
      <w:r>
        <w:rPr>
          <w:color w:val="000000"/>
          <w:spacing w:val="0"/>
          <w:w w:val="100"/>
          <w:position w:val="0"/>
        </w:rPr>
        <w:t>30</w:t>
      </w:r>
      <w:r>
        <w:rPr>
          <w:color w:val="000000"/>
          <w:spacing w:val="0"/>
          <w:w w:val="100"/>
          <w:position w:val="0"/>
        </w:rPr>
        <w:t>日，本公司即认为该金融工具的信用风险已显著增加，除非有确凿证据证明该金融工 具的信用风险自初始确认后并未显著增加。</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如果金融工具于资产负债表日的信用风险较低，本公司即认为该金融工具的信用风险自初始确认后并 未显著增加。</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如果有客观证据表明某项金融资产已经发生信用减值，则本公司在单项基础上对该金融资产计提减值 准备。</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对于由《企业会计准则第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（2017）</w:t>
      </w:r>
      <w:r>
        <w:rPr>
          <w:color w:val="000000"/>
          <w:spacing w:val="0"/>
          <w:w w:val="100"/>
          <w:position w:val="0"/>
        </w:rPr>
        <w:t>规范的交易形成的应收款项和合同资产，无论是否包 含重大融资成分，本公司始终按照相当于整个存续期内预期信用损失的金额计量其损失准备。</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对于应收租赁款，本公司参考历史信用损失经验，结合当前状况以及对未来经济状况的预测，通过违 约风险敞口和整个存续期预期信用损失率，计算预期信用损失。除应收租赁款之外的划分为组合的其他应 收款和长期应收款，通过违约风险敞口和未来</w:t>
      </w:r>
      <w:r>
        <w:rPr>
          <w:color w:val="000000"/>
          <w:spacing w:val="0"/>
          <w:w w:val="100"/>
          <w:position w:val="0"/>
        </w:rPr>
        <w:t>12</w:t>
      </w:r>
      <w:r>
        <w:rPr>
          <w:color w:val="000000"/>
          <w:spacing w:val="0"/>
          <w:w w:val="100"/>
          <w:position w:val="0"/>
        </w:rPr>
        <w:t>个月内或整个存续期预期信用损失率，计算预期信用损失。</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本公司不再合理预期金融资产合同现金流量能够全部或部分收回的，直接减记该金融资产的账面余 额。</w:t>
      </w:r>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56" w:name="bookmark756"/>
      <w:r>
        <w:rPr>
          <w:color w:val="000000"/>
          <w:spacing w:val="0"/>
          <w:w w:val="100"/>
          <w:position w:val="0"/>
        </w:rPr>
        <w:t>（</w:t>
      </w:r>
      <w:bookmarkEnd w:id="756"/>
      <w:r>
        <w:rPr>
          <w:color w:val="000000"/>
          <w:spacing w:val="0"/>
          <w:w w:val="100"/>
          <w:position w:val="0"/>
        </w:rPr>
        <w:t>6）</w:t>
        <w:tab/>
      </w:r>
      <w:r>
        <w:rPr>
          <w:color w:val="000000"/>
          <w:spacing w:val="0"/>
          <w:w w:val="100"/>
          <w:position w:val="0"/>
        </w:rPr>
        <w:t>衍生工具及嵌入衍生工具</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衍生工具初始以衍生交易合同签订当日的公允价值进行计量，并以其公允价值进行后续计量。本公司 衍生工具公允价值变动而产生的利得或损失，直接计入当期损益。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嵌入衍生工具是指嵌入到非衍生工具（即主合同）中的衍生工具，与主合同构成混合合同。混合合同 包含的主合同属于金融工具准则规范的资产的，本公司不从该混合合同中分拆嵌入衍生工具，而是将该混 合合同作为一个整体适用金融工具准则关于金融资产分类的相关规定。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混合合同包含的主合同不属于金融工具准则规范的资产，且同时符合下列条件的，本公司从主合同中 分拆嵌入衍生工具，将其作为单独存在的衍生工具进行处理：</w:t>
      </w:r>
    </w:p>
    <w:p>
      <w:pPr>
        <w:pStyle w:val="Style18"/>
        <w:keepNext w:val="0"/>
        <w:keepLines w:val="0"/>
        <w:widowControl w:val="0"/>
        <w:numPr>
          <w:ilvl w:val="0"/>
          <w:numId w:val="29"/>
        </w:numPr>
        <w:shd w:val="clear" w:color="auto" w:fill="auto"/>
        <w:tabs>
          <w:tab w:pos="832" w:val="left"/>
        </w:tabs>
        <w:bidi w:val="0"/>
        <w:spacing w:before="0" w:after="0" w:line="469" w:lineRule="exact"/>
        <w:ind w:left="0" w:right="0" w:firstLine="440"/>
        <w:jc w:val="both"/>
      </w:pPr>
      <w:bookmarkStart w:id="757" w:name="bookmark757"/>
      <w:bookmarkEnd w:id="757"/>
      <w:r>
        <w:rPr>
          <w:color w:val="000000"/>
          <w:spacing w:val="0"/>
          <w:w w:val="100"/>
          <w:position w:val="0"/>
        </w:rPr>
        <w:t>嵌入衍生工具的经济特征和风险与主合同的经济特征和风险不紧密相关；</w:t>
      </w:r>
    </w:p>
    <w:p>
      <w:pPr>
        <w:pStyle w:val="Style18"/>
        <w:keepNext w:val="0"/>
        <w:keepLines w:val="0"/>
        <w:widowControl w:val="0"/>
        <w:numPr>
          <w:ilvl w:val="0"/>
          <w:numId w:val="29"/>
        </w:numPr>
        <w:shd w:val="clear" w:color="auto" w:fill="auto"/>
        <w:tabs>
          <w:tab w:pos="837" w:val="left"/>
        </w:tabs>
        <w:bidi w:val="0"/>
        <w:spacing w:before="0" w:after="0" w:line="469" w:lineRule="exact"/>
        <w:ind w:left="0" w:right="0" w:firstLine="440"/>
        <w:jc w:val="both"/>
      </w:pPr>
      <w:bookmarkStart w:id="758" w:name="bookmark758"/>
      <w:bookmarkEnd w:id="758"/>
      <w:r>
        <w:rPr>
          <w:color w:val="000000"/>
          <w:spacing w:val="0"/>
          <w:w w:val="100"/>
          <w:position w:val="0"/>
        </w:rPr>
        <w:t>与嵌入衍生工具具有相关条款的单独工具符合衍生工具的定义；</w:t>
      </w:r>
    </w:p>
    <w:p>
      <w:pPr>
        <w:pStyle w:val="Style18"/>
        <w:keepNext w:val="0"/>
        <w:keepLines w:val="0"/>
        <w:widowControl w:val="0"/>
        <w:numPr>
          <w:ilvl w:val="0"/>
          <w:numId w:val="29"/>
        </w:numPr>
        <w:shd w:val="clear" w:color="auto" w:fill="auto"/>
        <w:tabs>
          <w:tab w:pos="837" w:val="left"/>
        </w:tabs>
        <w:bidi w:val="0"/>
        <w:spacing w:before="0" w:after="0" w:line="469" w:lineRule="exact"/>
        <w:ind w:left="0" w:right="0" w:firstLine="440"/>
        <w:jc w:val="both"/>
      </w:pPr>
      <w:bookmarkStart w:id="759" w:name="bookmark759"/>
      <w:bookmarkEnd w:id="759"/>
      <w:r>
        <w:rPr>
          <w:color w:val="000000"/>
          <w:spacing w:val="0"/>
          <w:w w:val="100"/>
          <w:position w:val="0"/>
        </w:rPr>
        <w:t>该混合合同不是以公允价值计量且其变动计入当期损益进行会计处理。</w:t>
      </w:r>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60" w:name="bookmark760"/>
      <w:r>
        <w:rPr>
          <w:color w:val="000000"/>
          <w:spacing w:val="0"/>
          <w:w w:val="100"/>
          <w:position w:val="0"/>
        </w:rPr>
        <w:t>（</w:t>
      </w:r>
      <w:bookmarkEnd w:id="760"/>
      <w:r>
        <w:rPr>
          <w:color w:val="000000"/>
          <w:spacing w:val="0"/>
          <w:w w:val="100"/>
          <w:position w:val="0"/>
        </w:rPr>
        <w:t>7）</w:t>
        <w:tab/>
      </w:r>
      <w:r>
        <w:rPr>
          <w:color w:val="000000"/>
          <w:spacing w:val="0"/>
          <w:w w:val="100"/>
          <w:position w:val="0"/>
        </w:rPr>
        <w:t>金融资产和金融负债的抵销</w:t>
      </w:r>
    </w:p>
    <w:p>
      <w:pPr>
        <w:pStyle w:val="Style18"/>
        <w:keepNext w:val="0"/>
        <w:keepLines w:val="0"/>
        <w:widowControl w:val="0"/>
        <w:shd w:val="clear" w:color="auto" w:fill="auto"/>
        <w:bidi w:val="0"/>
        <w:spacing w:before="0" w:after="0" w:line="499" w:lineRule="exact"/>
        <w:ind w:left="0" w:right="0" w:firstLine="440"/>
        <w:jc w:val="both"/>
      </w:pPr>
      <w:r>
        <w:rPr>
          <w:color w:val="000000"/>
          <w:spacing w:val="0"/>
          <w:w w:val="100"/>
          <w:position w:val="0"/>
        </w:rPr>
        <w:t xml:space="preserve">当本公司具有抵销已确认金融资产和金融负债的法定权利，且目前可执行该种法定权利，同时本公司 计划以净额结算或同时变现该金融资产和清偿该金融负债时，金融资产和金融负债以相互抵销后的金额在 </w:t>
      </w:r>
      <w:r>
        <w:rPr>
          <w:color w:val="000000"/>
          <w:spacing w:val="0"/>
          <w:w w:val="100"/>
          <w:position w:val="0"/>
        </w:rPr>
        <w:t>资产负债表内列示。除此以外，金融资产和金融负债在资产负债表内分别列示，不予相互抵销。</w:t>
      </w:r>
    </w:p>
    <w:p>
      <w:pPr>
        <w:pStyle w:val="Style18"/>
        <w:keepNext w:val="0"/>
        <w:keepLines w:val="0"/>
        <w:widowControl w:val="0"/>
        <w:shd w:val="clear" w:color="auto" w:fill="auto"/>
        <w:bidi w:val="0"/>
        <w:spacing w:before="0" w:after="0" w:line="470" w:lineRule="exact"/>
        <w:ind w:left="0" w:right="0" w:firstLine="440"/>
        <w:jc w:val="both"/>
      </w:pPr>
      <w:bookmarkStart w:id="761" w:name="bookmark761"/>
      <w:r>
        <w:rPr>
          <w:color w:val="000000"/>
          <w:spacing w:val="0"/>
          <w:w w:val="100"/>
          <w:position w:val="0"/>
        </w:rPr>
        <w:t>（</w:t>
      </w:r>
      <w:bookmarkEnd w:id="761"/>
      <w:r>
        <w:rPr>
          <w:color w:val="000000"/>
          <w:spacing w:val="0"/>
          <w:w w:val="100"/>
          <w:position w:val="0"/>
        </w:rPr>
        <w:t>8）</w:t>
      </w:r>
      <w:r>
        <w:rPr>
          <w:color w:val="000000"/>
          <w:spacing w:val="0"/>
          <w:w w:val="100"/>
          <w:position w:val="0"/>
        </w:rPr>
        <w:t>金融工具的公允价值确定</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存在活跃市场的金融工具，以市场参与者在计量日发生的有序交易中，出售一项资产所能收到或者转 移一项负债所需支付的价格确定其公允价值。不存在活跃市场的金融工具，采用估值技术确定其公允价值。 在估值时，本公司采用在当前情况下适用并且有足够可利用数据和其他信息支持的估值技术，选择与市场 参与者在相关资产或负债的交易中所考虑的资产或负债特征相一致的输入值，并尽可能优先使用相关可观 察输入值。在相关可观察输入值无法取得或取得不切实可行时，使用不可观察输入值。</w:t>
      </w:r>
    </w:p>
    <w:p>
      <w:pPr>
        <w:pStyle w:val="Style30"/>
        <w:keepNext/>
        <w:keepLines/>
        <w:widowControl w:val="0"/>
        <w:shd w:val="clear" w:color="auto" w:fill="auto"/>
        <w:tabs>
          <w:tab w:pos="474" w:val="left"/>
        </w:tabs>
        <w:bidi w:val="0"/>
        <w:spacing w:before="0" w:after="0" w:line="48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存货</w:t>
      </w:r>
      <w:bookmarkEnd w:id="762"/>
      <w:bookmarkEnd w:id="763"/>
      <w:bookmarkEnd w:id="765"/>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66" w:name="bookmark766"/>
      <w:r>
        <w:rPr>
          <w:color w:val="000000"/>
          <w:spacing w:val="0"/>
          <w:w w:val="100"/>
          <w:position w:val="0"/>
        </w:rPr>
        <w:t>（</w:t>
      </w:r>
      <w:bookmarkEnd w:id="766"/>
      <w:r>
        <w:rPr>
          <w:color w:val="000000"/>
          <w:spacing w:val="0"/>
          <w:w w:val="100"/>
          <w:position w:val="0"/>
        </w:rPr>
        <w:t>1）</w:t>
        <w:tab/>
      </w:r>
      <w:r>
        <w:rPr>
          <w:color w:val="000000"/>
          <w:spacing w:val="0"/>
          <w:w w:val="100"/>
          <w:position w:val="0"/>
        </w:rPr>
        <w:t>存货的分类</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本公司存货分为库存商品、发出商品等。</w:t>
      </w:r>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67" w:name="bookmark767"/>
      <w:r>
        <w:rPr>
          <w:color w:val="000000"/>
          <w:spacing w:val="0"/>
          <w:w w:val="100"/>
          <w:position w:val="0"/>
        </w:rPr>
        <w:t>（</w:t>
      </w:r>
      <w:bookmarkEnd w:id="767"/>
      <w:r>
        <w:rPr>
          <w:color w:val="000000"/>
          <w:spacing w:val="0"/>
          <w:w w:val="100"/>
          <w:position w:val="0"/>
        </w:rPr>
        <w:t>2）</w:t>
        <w:tab/>
      </w:r>
      <w:r>
        <w:rPr>
          <w:color w:val="000000"/>
          <w:spacing w:val="0"/>
          <w:w w:val="100"/>
          <w:position w:val="0"/>
        </w:rPr>
        <w:t>存货取得和发出的计价方法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本公司存货盘存制度采用永续盘存制，存货取得时按实际成本计价。原材料、在产品、库存商品、发 出商品等发出时采用个别计价法计价；低值易耗品和包装物采用一次转销法摊销。</w:t>
      </w:r>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68" w:name="bookmark768"/>
      <w:r>
        <w:rPr>
          <w:color w:val="000000"/>
          <w:spacing w:val="0"/>
          <w:w w:val="100"/>
          <w:position w:val="0"/>
        </w:rPr>
        <w:t>（</w:t>
      </w:r>
      <w:bookmarkEnd w:id="768"/>
      <w:r>
        <w:rPr>
          <w:color w:val="000000"/>
          <w:spacing w:val="0"/>
          <w:w w:val="100"/>
          <w:position w:val="0"/>
        </w:rPr>
        <w:t>3）</w:t>
        <w:tab/>
      </w:r>
      <w:r>
        <w:rPr>
          <w:color w:val="000000"/>
          <w:spacing w:val="0"/>
          <w:w w:val="100"/>
          <w:position w:val="0"/>
        </w:rPr>
        <w:t>存货跌价准备计提方法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本公司期末存货成本高于其可变现净值的，计提存货跌价准备。本公司通常按照单个类别存货项目计 提存货跌价准备，期末，以前减记存货价值的影响因素已经消失的，存货跌价准备在原己计提的金额内转 回。</w:t>
      </w:r>
    </w:p>
    <w:p>
      <w:pPr>
        <w:pStyle w:val="Style18"/>
        <w:keepNext w:val="0"/>
        <w:keepLines w:val="0"/>
        <w:widowControl w:val="0"/>
        <w:shd w:val="clear" w:color="auto" w:fill="auto"/>
        <w:tabs>
          <w:tab w:pos="928" w:val="left"/>
        </w:tabs>
        <w:bidi w:val="0"/>
        <w:spacing w:before="0" w:after="0" w:line="469" w:lineRule="exact"/>
        <w:ind w:left="0" w:right="0" w:firstLine="440"/>
        <w:jc w:val="both"/>
      </w:pPr>
      <w:bookmarkStart w:id="769" w:name="bookmark769"/>
      <w:r>
        <w:rPr>
          <w:color w:val="000000"/>
          <w:spacing w:val="0"/>
          <w:w w:val="100"/>
          <w:position w:val="0"/>
        </w:rPr>
        <w:t>（</w:t>
      </w:r>
      <w:bookmarkEnd w:id="769"/>
      <w:r>
        <w:rPr>
          <w:color w:val="000000"/>
          <w:spacing w:val="0"/>
          <w:w w:val="100"/>
          <w:position w:val="0"/>
        </w:rPr>
        <w:t>4）</w:t>
        <w:tab/>
      </w:r>
      <w:r>
        <w:rPr>
          <w:color w:val="000000"/>
          <w:spacing w:val="0"/>
          <w:w w:val="100"/>
          <w:position w:val="0"/>
        </w:rPr>
        <w:t>存货可变现净值的确认方法</w:t>
      </w:r>
    </w:p>
    <w:p>
      <w:pPr>
        <w:pStyle w:val="Style18"/>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w:t>
      </w:r>
    </w:p>
    <w:p>
      <w:pPr>
        <w:pStyle w:val="Style30"/>
        <w:keepNext/>
        <w:keepLines/>
        <w:widowControl w:val="0"/>
        <w:shd w:val="clear" w:color="auto" w:fill="auto"/>
        <w:tabs>
          <w:tab w:pos="474" w:val="left"/>
        </w:tabs>
        <w:bidi w:val="0"/>
        <w:spacing w:before="0" w:after="0" w:line="48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70"/>
      <w:bookmarkEnd w:id="771"/>
      <w:bookmarkEnd w:id="773"/>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本公司根据履行履约义务与客户付款之间的关系在资产负债表中列示合同资产或合同负债。合同资产 是本公司已向客户转让商品而有权收取对价的权利，且该权利取决于时间流逝之外的其他因素。合同负债 是本公司已收或应收客户对价而应向客户转让商品的义务。</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1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资产负债表日，对于不同合同下的合同资产、合同负债，分别列示。对于同一合同下的合同资产、合 同负债，以净额列示，净额为借方余额的，根据其流动性分别列示为合同资产或其他非流动资产，己计提 减值准备的，减去合同资产减值准备的期末余额后列示；净额为贷方余额的，根据其流动性列示为合同负 债或其他非流动负债。</w:t>
      </w:r>
    </w:p>
    <w:p>
      <w:pPr>
        <w:pStyle w:val="Style30"/>
        <w:keepNext/>
        <w:keepLines/>
        <w:widowControl w:val="0"/>
        <w:shd w:val="clear" w:color="auto" w:fill="auto"/>
        <w:tabs>
          <w:tab w:pos="474" w:val="left"/>
        </w:tabs>
        <w:bidi w:val="0"/>
        <w:spacing w:before="0" w:after="0" w:line="492"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774"/>
      <w:bookmarkEnd w:id="775"/>
      <w:bookmarkEnd w:id="777"/>
    </w:p>
    <w:p>
      <w:pPr>
        <w:pStyle w:val="Style1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合同成本包括合同履约成本与合同取得成本。</w:t>
      </w:r>
    </w:p>
    <w:p>
      <w:pPr>
        <w:pStyle w:val="Style18"/>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本公司为履行合同而发生的成本，不属于存货、固定资产或无形资产等相关准则规范范围的，在满足 下列条件时作为合同履约成本确认为一项资产：</w:t>
      </w:r>
    </w:p>
    <w:p>
      <w:pPr>
        <w:pStyle w:val="Style18"/>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18"/>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18"/>
        <w:keepNext w:val="0"/>
        <w:keepLines w:val="0"/>
        <w:widowControl w:val="0"/>
        <w:shd w:val="clear" w:color="auto" w:fill="auto"/>
        <w:bidi w:val="0"/>
        <w:spacing w:before="0" w:after="0" w:line="492"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1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514" w:lineRule="exact"/>
        <w:ind w:left="0" w:right="0" w:firstLine="440"/>
        <w:jc w:val="both"/>
      </w:pPr>
      <w:r>
        <w:rPr>
          <w:color w:val="000000"/>
          <w:spacing w:val="0"/>
          <w:w w:val="100"/>
          <w:position w:val="0"/>
        </w:rPr>
        <w:t>与合同成本有关的资产采用与该资产相关的商品或服务收入确认相同的基础进行摊销；但是对于合同 取得成本摊销期限未超过一年的，本公司在发生时将其计入当期损益。</w:t>
      </w:r>
    </w:p>
    <w:p>
      <w:pPr>
        <w:pStyle w:val="Style18"/>
        <w:keepNext w:val="0"/>
        <w:keepLines w:val="0"/>
        <w:widowControl w:val="0"/>
        <w:shd w:val="clear" w:color="auto" w:fill="auto"/>
        <w:bidi w:val="0"/>
        <w:spacing w:before="0" w:after="0" w:line="494" w:lineRule="exact"/>
        <w:ind w:left="0" w:right="0" w:firstLine="440"/>
        <w:jc w:val="both"/>
      </w:pPr>
      <w:r>
        <w:rPr>
          <w:color w:val="000000"/>
          <w:spacing w:val="0"/>
          <w:w w:val="100"/>
          <w:position w:val="0"/>
        </w:rPr>
        <w:t>与合同成本有关的资产，其账面价值高于下列两项的差额的，本公司对超出部分计提减值准备，并确 认为资产减值损失：</w:t>
      </w:r>
    </w:p>
    <w:p>
      <w:pPr>
        <w:pStyle w:val="Style18"/>
        <w:keepNext w:val="0"/>
        <w:keepLines w:val="0"/>
        <w:widowControl w:val="0"/>
        <w:shd w:val="clear" w:color="auto" w:fill="auto"/>
        <w:tabs>
          <w:tab w:pos="928" w:val="left"/>
        </w:tabs>
        <w:bidi w:val="0"/>
        <w:spacing w:before="0" w:after="0" w:line="470" w:lineRule="exact"/>
        <w:ind w:left="0" w:right="0" w:firstLine="440"/>
        <w:jc w:val="both"/>
      </w:pPr>
      <w:bookmarkStart w:id="778" w:name="bookmark778"/>
      <w:r>
        <w:rPr>
          <w:color w:val="000000"/>
          <w:spacing w:val="0"/>
          <w:w w:val="100"/>
          <w:position w:val="0"/>
        </w:rPr>
        <w:t>（</w:t>
      </w:r>
      <w:bookmarkEnd w:id="778"/>
      <w:r>
        <w:rPr>
          <w:color w:val="000000"/>
          <w:spacing w:val="0"/>
          <w:w w:val="100"/>
          <w:position w:val="0"/>
        </w:rPr>
        <w:t>1）</w:t>
        <w:tab/>
      </w:r>
      <w:r>
        <w:rPr>
          <w:color w:val="000000"/>
          <w:spacing w:val="0"/>
          <w:w w:val="100"/>
          <w:position w:val="0"/>
        </w:rPr>
        <w:t>因转让与该资产相关的商品或服务预期能够取得的剩余对价；</w:t>
      </w:r>
    </w:p>
    <w:p>
      <w:pPr>
        <w:pStyle w:val="Style18"/>
        <w:keepNext w:val="0"/>
        <w:keepLines w:val="0"/>
        <w:widowControl w:val="0"/>
        <w:shd w:val="clear" w:color="auto" w:fill="auto"/>
        <w:tabs>
          <w:tab w:pos="928" w:val="left"/>
        </w:tabs>
        <w:bidi w:val="0"/>
        <w:spacing w:before="0" w:after="0" w:line="470" w:lineRule="exact"/>
        <w:ind w:left="0" w:right="0" w:firstLine="440"/>
        <w:jc w:val="both"/>
      </w:pPr>
      <w:bookmarkStart w:id="779" w:name="bookmark779"/>
      <w:r>
        <w:rPr>
          <w:color w:val="000000"/>
          <w:spacing w:val="0"/>
          <w:w w:val="100"/>
          <w:position w:val="0"/>
        </w:rPr>
        <w:t>（</w:t>
      </w:r>
      <w:bookmarkEnd w:id="779"/>
      <w:r>
        <w:rPr>
          <w:color w:val="000000"/>
          <w:spacing w:val="0"/>
          <w:w w:val="100"/>
          <w:position w:val="0"/>
        </w:rPr>
        <w:t>2）</w:t>
        <w:tab/>
      </w:r>
      <w:r>
        <w:rPr>
          <w:color w:val="000000"/>
          <w:spacing w:val="0"/>
          <w:w w:val="100"/>
          <w:position w:val="0"/>
        </w:rPr>
        <w:t>为转让该相关商品或服务估计将要发生的成本。</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以前期间减值的因素之后发生变化，使得前述差额高于该资产账面价值的，本公司转回原己计提的减 值准备，并计入当期损益，但转回后的资产账面价值不超过假定不计提减值准备情况下该资产在转回日的 账面价值。</w:t>
      </w:r>
    </w:p>
    <w:p>
      <w:pPr>
        <w:pStyle w:val="Style30"/>
        <w:keepNext/>
        <w:keepLines/>
        <w:widowControl w:val="0"/>
        <w:shd w:val="clear" w:color="auto" w:fill="auto"/>
        <w:tabs>
          <w:tab w:pos="474" w:val="left"/>
        </w:tabs>
        <w:bidi w:val="0"/>
        <w:spacing w:before="0" w:after="0" w:line="492"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持有待售资产</w:t>
      </w:r>
      <w:bookmarkEnd w:id="780"/>
      <w:bookmarkEnd w:id="781"/>
      <w:bookmarkEnd w:id="783"/>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本公司将通过出售（包括具有商业实质的非货币性资产交换，下同）而非持续使用一项非流动资产或 处置组收回其账面价值，并同时满足以下两个条件的，划分为持有待售类别：</w:t>
      </w:r>
      <w:r>
        <w:rPr>
          <w:color w:val="000000"/>
          <w:spacing w:val="0"/>
          <w:w w:val="100"/>
          <w:position w:val="0"/>
        </w:rPr>
        <w:t>（1）</w:t>
      </w:r>
      <w:r>
        <w:rPr>
          <w:color w:val="000000"/>
          <w:spacing w:val="0"/>
          <w:w w:val="100"/>
          <w:position w:val="0"/>
        </w:rPr>
        <w:t>某项非流动资产或处置 组根据类似交易中出售此类资产或处置组的惯例，在当前状况下即可立即出售；</w:t>
      </w:r>
      <w:r>
        <w:rPr>
          <w:color w:val="000000"/>
          <w:spacing w:val="0"/>
          <w:w w:val="100"/>
          <w:position w:val="0"/>
        </w:rPr>
        <w:t>（2</w:t>
      </w:r>
      <w:r>
        <w:rPr>
          <w:color w:val="000000"/>
          <w:spacing w:val="0"/>
          <w:w w:val="100"/>
          <w:position w:val="0"/>
        </w:rPr>
        <w:t>）本公司已经就出售计 划作出决议且获得确定的购买承诺，预计出售将在一年内完成。（有关规定要求相关权力机构或者监管部 门批准后方可出售的，已经获得批准。）</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本公司将专为转售而取得的非流动资产或处置组，在取得日满足“预计出售将在一年内完成”的规定 </w:t>
      </w:r>
      <w:r>
        <w:rPr>
          <w:color w:val="000000"/>
          <w:spacing w:val="0"/>
          <w:w w:val="100"/>
          <w:position w:val="0"/>
        </w:rPr>
        <w:t>条件，且短期（通常为</w:t>
      </w:r>
      <w:r>
        <w:rPr>
          <w:color w:val="000000"/>
          <w:spacing w:val="0"/>
          <w:w w:val="100"/>
          <w:position w:val="0"/>
        </w:rPr>
        <w:t>3</w:t>
      </w:r>
      <w:r>
        <w:rPr>
          <w:color w:val="000000"/>
          <w:spacing w:val="0"/>
          <w:w w:val="100"/>
          <w:position w:val="0"/>
        </w:rPr>
        <w:t>个月）内很可能满足持有待售类别的其他划分条件的，在取得日划分为持有待售 类别。</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认为资产减值损失，计入当期损益，同时计提持有待售资产减值准备。对于持有待售的处置组确认的资产 减值损失金额，先抵减处置组中商誉的账面价值，再根据处置组中适用《企业会计准则第</w:t>
      </w:r>
      <w:r>
        <w:rPr>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 售的非流动资产、处置组和终止经营》计量规定的各项非流动资产账面价值所占比重，按比例抵减其账面 价值。</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后续资产负债表日持有待售的非流动资产公允价值减去出售费用后的净额增加的，以前减记的金额予 以恢复，并在划分为持有待售类别后确认的资产减值损失金额内转回，转回金额计入当期损益。划分为持 有待售类别前确认的资产减值损失不转回。</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后续资产负债表日持有待售的处置组公允价值减去出售费用后的净额增加的，以前减记的金额应当予 以恢复，并在划分为持有待售类别后适用《企业会计准则第</w:t>
      </w:r>
      <w:r>
        <w:rPr>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 止经营》计量规定的非流动资产确认的资产减值损失金额内转回，转回金额计入当期损益。已抵减的商誉 账面价值，以及适用《企业会计准则第</w:t>
      </w:r>
      <w:r>
        <w:rPr>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持有待售的非流动资产、处置组和终止经营》计量规定的 非流动资产在划分为持有待售类别前确认的资产减值损失不得转回。</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非流动资产或处置组因不再满足持有待售类别的划分条件时，本公司不再将其继续划分为持有待售类 别或非流动资产从持有待售的处置组中移除，并按照以下两者孰低计量：</w:t>
      </w:r>
      <w:r>
        <w:rPr>
          <w:color w:val="000000"/>
          <w:spacing w:val="0"/>
          <w:w w:val="100"/>
          <w:position w:val="0"/>
        </w:rPr>
        <w:t>（1）</w:t>
      </w:r>
      <w:r>
        <w:rPr>
          <w:color w:val="000000"/>
          <w:spacing w:val="0"/>
          <w:w w:val="100"/>
          <w:position w:val="0"/>
        </w:rPr>
        <w:t>划分为持有待售类别前的 账面价值，按照假定不划分为持有待售类别情况下本应确认的折旧、摊销或减值等进行调整后的金额；</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w:t>
      </w:r>
      <w:r>
        <w:rPr>
          <w:color w:val="000000"/>
          <w:spacing w:val="0"/>
          <w:w w:val="100"/>
          <w:position w:val="0"/>
        </w:rPr>
        <w:t>可收回金额。</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终止确认持有待售的非流动资产或处置组时，本公司将尚未确认的利得或损失计入当期损益。</w:t>
      </w:r>
    </w:p>
    <w:p>
      <w:pPr>
        <w:pStyle w:val="Style30"/>
        <w:keepNext/>
        <w:keepLines/>
        <w:widowControl w:val="0"/>
        <w:shd w:val="clear" w:color="auto" w:fill="auto"/>
        <w:bidi w:val="0"/>
        <w:spacing w:before="0" w:after="0" w:line="480"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784"/>
      <w:bookmarkEnd w:id="785"/>
      <w:bookmarkEnd w:id="787"/>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本部分所指的长期股权投资，是指本公司对被投资单位具有控制、共同控制或重大影响的长期股权投 资。本公司对被投资单位不具有控制、共同控制或重大影响的长期股权投资，作为交易性金融资产或其他 权益工具投资核算，其会计政策详见附注五、</w:t>
      </w:r>
      <w:r>
        <w:rPr>
          <w:color w:val="000000"/>
          <w:spacing w:val="0"/>
          <w:w w:val="100"/>
          <w:position w:val="0"/>
        </w:rPr>
        <w:t xml:space="preserve">10 </w:t>
      </w:r>
      <w:r>
        <w:rPr>
          <w:color w:val="000000"/>
          <w:spacing w:val="0"/>
          <w:w w:val="100"/>
          <w:position w:val="0"/>
        </w:rPr>
        <w:t>“金融工具”。</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共同控制，是指本公司按照相关约定对某项安排所共有的控制，并且该安排的相关活动必须经过分享 控制权的参与方一致同意后才能决策。重大影响，是指本公司对被投资单位的财务和经营政策有参与决策 </w:t>
      </w:r>
      <w:r>
        <w:rPr>
          <w:color w:val="000000"/>
          <w:spacing w:val="0"/>
          <w:w w:val="100"/>
          <w:position w:val="0"/>
        </w:rPr>
        <w:t>的权力，但并不能够控制或者与其他方一起共同控制这些政策的制定。</w:t>
      </w:r>
    </w:p>
    <w:p>
      <w:pPr>
        <w:pStyle w:val="Style18"/>
        <w:keepNext w:val="0"/>
        <w:keepLines w:val="0"/>
        <w:widowControl w:val="0"/>
        <w:shd w:val="clear" w:color="auto" w:fill="auto"/>
        <w:bidi w:val="0"/>
        <w:spacing w:before="0" w:after="0" w:line="467" w:lineRule="exact"/>
        <w:ind w:left="0" w:right="0" w:firstLine="440"/>
        <w:jc w:val="both"/>
      </w:pPr>
      <w:bookmarkStart w:id="788" w:name="bookmark788"/>
      <w:r>
        <w:rPr>
          <w:color w:val="000000"/>
          <w:spacing w:val="0"/>
          <w:w w:val="100"/>
          <w:position w:val="0"/>
        </w:rPr>
        <w:t>（</w:t>
      </w:r>
      <w:bookmarkEnd w:id="788"/>
      <w:r>
        <w:rPr>
          <w:color w:val="000000"/>
          <w:spacing w:val="0"/>
          <w:w w:val="100"/>
          <w:position w:val="0"/>
        </w:rPr>
        <w:t>1）</w:t>
      </w:r>
      <w:r>
        <w:rPr>
          <w:color w:val="000000"/>
          <w:spacing w:val="0"/>
          <w:w w:val="100"/>
          <w:position w:val="0"/>
        </w:rPr>
        <w:t>投资成本的确定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对于同一控制下的企业合并取得的长期股权投资，在合并日按照被合并方所有者权益在最终控制方合 并财务报表中的账面价值的份额作为长期股权投资的初始投资成本。长期股权投资初始投资成本与支付的 现金、转让的非现金资产以及所承担债务账面价值之间的差额，调整资本公积；资本公积不足冲减的，调 整留存收益。以发行权益性证券作为合并对价的，在合并日按照被合并方所有者权益在最终控制方合并财 务报表中的账面价值的份额作为长期股权投资的初始投资成本，按照发行股份的面值总额作为股本，长期 股权投资初始投资成本与所发行股份面值总额之间的差额，调整资本公积；资本公积不足冲减的，调整留 存收益。通过多次交易分步取得同一控制下被合并方的股权，最终形成同一控制下企业合并的，应分别是 否属于“一揽子交易”进行处理：属于“一揽子交易”的，将各项交易作为一项取得控制权的交易进行会 计处理。不属于“一揽子交易”的，在合并日按照应享有被合并方所有者权益在最终控制方合并财务报表 中的账面价值的份额作为长期股权投资的初始投资成本，长期股权投资初始投资成本与达到合并前的长期 股权投资账面价值加上合并日进一步取得股份新支付对价的账面价值之和的差额，调整资本公积；资本公 积不足冲减的，调整留存收益。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过多次交易分步取得被购买方的股权，最终形成非同一控制下的企业合并的，应分别是否属于“一揽子交 易”进行处理：属于“一揽子交易”的，将各项交易作为一项取得控制权的交易进行会计处理。不属于“一 揽子交易”的，按照原持有被购买方的股权投资账面价值加上新增投资成本之和，作为改按成本法核算的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除企业合并形成的长期股权投资外的其他股权投资，按成本进行初始计量，该成本视长期股权投资取 得方式的不同，分别按照本公司实际支付的现金购买价款、本公司发行的权益性证券的公允价值、投资合 同或协议约定的价值、非货币性资产交换交易中换出资产的公允价值或原账面价值、该项长期股权投资自 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金融工具确认和计量》确定的原持有股权投资的公允价值加上新增投资成本 之和。</w:t>
      </w:r>
    </w:p>
    <w:p>
      <w:pPr>
        <w:pStyle w:val="Style18"/>
        <w:keepNext w:val="0"/>
        <w:keepLines w:val="0"/>
        <w:widowControl w:val="0"/>
        <w:shd w:val="clear" w:color="auto" w:fill="auto"/>
        <w:bidi w:val="0"/>
        <w:spacing w:before="0" w:after="100" w:line="240" w:lineRule="auto"/>
        <w:ind w:left="0" w:right="0" w:firstLine="440"/>
        <w:jc w:val="both"/>
      </w:pPr>
      <w:bookmarkStart w:id="789" w:name="bookmark789"/>
      <w:r>
        <w:rPr>
          <w:color w:val="000000"/>
          <w:spacing w:val="0"/>
          <w:w w:val="100"/>
          <w:position w:val="0"/>
        </w:rPr>
        <w:t>（</w:t>
      </w:r>
      <w:bookmarkEnd w:id="789"/>
      <w:r>
        <w:rPr>
          <w:color w:val="000000"/>
          <w:spacing w:val="0"/>
          <w:w w:val="100"/>
          <w:position w:val="0"/>
        </w:rPr>
        <w:t>2）</w:t>
      </w:r>
      <w:r>
        <w:rPr>
          <w:color w:val="000000"/>
          <w:spacing w:val="0"/>
          <w:w w:val="100"/>
          <w:position w:val="0"/>
        </w:rPr>
        <w:t>后续计量及损益确认方法</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18"/>
        <w:keepNext w:val="0"/>
        <w:keepLines w:val="0"/>
        <w:widowControl w:val="0"/>
        <w:numPr>
          <w:ilvl w:val="0"/>
          <w:numId w:val="31"/>
        </w:numPr>
        <w:shd w:val="clear" w:color="auto" w:fill="auto"/>
        <w:tabs>
          <w:tab w:pos="772" w:val="left"/>
        </w:tabs>
        <w:bidi w:val="0"/>
        <w:spacing w:before="0" w:after="0" w:line="468" w:lineRule="exact"/>
        <w:ind w:left="0" w:right="0" w:firstLine="440"/>
        <w:jc w:val="both"/>
      </w:pPr>
      <w:bookmarkStart w:id="790" w:name="bookmark790"/>
      <w:bookmarkEnd w:id="790"/>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18"/>
        <w:keepNext w:val="0"/>
        <w:keepLines w:val="0"/>
        <w:widowControl w:val="0"/>
        <w:numPr>
          <w:ilvl w:val="0"/>
          <w:numId w:val="31"/>
        </w:numPr>
        <w:shd w:val="clear" w:color="auto" w:fill="auto"/>
        <w:tabs>
          <w:tab w:pos="777" w:val="left"/>
        </w:tabs>
        <w:bidi w:val="0"/>
        <w:spacing w:before="0" w:after="0" w:line="468" w:lineRule="exact"/>
        <w:ind w:left="0" w:right="0" w:firstLine="440"/>
        <w:jc w:val="both"/>
      </w:pPr>
      <w:bookmarkStart w:id="791" w:name="bookmark791"/>
      <w:bookmarkEnd w:id="791"/>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净利润进行调整后确认。被投资单位采用的会计政策及会计期间与本公司不一致的，按照本公司的会计政 策及会计期间对被投资单位的财务报表进行调整，并据以确认投资收益和其他综合收益。对于本公司与联 营企业及合营企业之间发生的交易，投出或出售的资产不构成业务的，未实现内部交易损益按照享有的比 例计算归属于本公司的部分予以抵销，在此基础上确认投资损益。但本公司与被投资单位发生的未实现内 部交易损失，属于所转让资产减值损失的，不予以抵销。本公司向合营企业或联营企业投出的资产构成业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初始投资成本，初始投资成本与投出业务的账面价值之差，全额计入当期损益。本公司向合营企业或联营 企业出售的资产构成业务的，取得的对价与业务的账面价值之差，全额计入当期损益。本公司自联营企业 及合营企业购入的资产构成业务的，按《企业会计准则第</w:t>
      </w:r>
      <w:r>
        <w:rPr>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 确认与交易相关的利得或损失。</w:t>
      </w:r>
    </w:p>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位净投资的长期权益减记至零为限。此外，如本公司对被投资单位负有承担额外损失的义务，则按预计承 担的义务确认预计负债，计入当期投资损失。被投资单位以后期间实现净利润的，本公司在收益分享额弥 补未确认的亏损分担额后，恢复确认收益分享额。</w:t>
      </w:r>
    </w:p>
    <w:p>
      <w:pPr>
        <w:pStyle w:val="Style18"/>
        <w:keepNext w:val="0"/>
        <w:keepLines w:val="0"/>
        <w:widowControl w:val="0"/>
        <w:numPr>
          <w:ilvl w:val="0"/>
          <w:numId w:val="31"/>
        </w:numPr>
        <w:shd w:val="clear" w:color="auto" w:fill="auto"/>
        <w:bidi w:val="0"/>
        <w:spacing w:before="0" w:after="0" w:line="240" w:lineRule="auto"/>
        <w:ind w:left="0" w:right="0" w:firstLine="440"/>
        <w:jc w:val="both"/>
      </w:pPr>
      <w:bookmarkStart w:id="792" w:name="bookmark792"/>
      <w:bookmarkEnd w:id="792"/>
      <w:r>
        <w:rPr>
          <w:color w:val="000000"/>
          <w:spacing w:val="0"/>
          <w:w w:val="100"/>
          <w:position w:val="0"/>
        </w:rPr>
        <w:t>收购少数股权</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18"/>
        <w:keepNext w:val="0"/>
        <w:keepLines w:val="0"/>
        <w:widowControl w:val="0"/>
        <w:numPr>
          <w:ilvl w:val="0"/>
          <w:numId w:val="31"/>
        </w:numPr>
        <w:shd w:val="clear" w:color="auto" w:fill="auto"/>
        <w:bidi w:val="0"/>
        <w:spacing w:before="0" w:after="0" w:line="468" w:lineRule="exact"/>
        <w:ind w:left="0" w:right="0" w:firstLine="440"/>
        <w:jc w:val="both"/>
      </w:pPr>
      <w:bookmarkStart w:id="793" w:name="bookmark793"/>
      <w:bookmarkEnd w:id="793"/>
      <w:r>
        <w:rPr>
          <w:color w:val="000000"/>
          <w:spacing w:val="0"/>
          <w:w w:val="100"/>
          <w:position w:val="0"/>
        </w:rPr>
        <w:t>处置长期股权投资</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资导致丧失对子公司控制权的，按本附注五、</w:t>
      </w:r>
      <w:r>
        <w:rPr>
          <w:color w:val="000000"/>
          <w:spacing w:val="0"/>
          <w:w w:val="100"/>
          <w:position w:val="0"/>
        </w:rPr>
        <w:t xml:space="preserve">6 </w:t>
      </w:r>
      <w:r>
        <w:rPr>
          <w:color w:val="000000"/>
          <w:spacing w:val="0"/>
          <w:w w:val="100"/>
          <w:position w:val="0"/>
        </w:rPr>
        <w:t>“合并财务报表的编制方法”中所述的相关会计政策处理。</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采用权益法核算的长期股权投资，处置后的剩余股权仍采用权益法核算的，在处置时将原计入所有者 权益的其他综合收益部分按相应的比例采用与被投资单位直接处置相关资产或负债相同的基础进行会计 处理。因被投资方除净损益、其他综合收益和利润分配以外的其他所有者权益变动而确认的所有者权益， 按比例结转入当期损益。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入当期损益。对于本公司取得对被投资单位的控制之前，因采用权益法核算或金融工具确认和计量准则核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w:t>
      </w:r>
      <w:r>
        <w:rPr>
          <w:color w:val="000000"/>
          <w:spacing w:val="0"/>
          <w:w w:val="100"/>
          <w:position w:val="0"/>
        </w:rPr>
        <w:t>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本公司通过多次交易分步处置对子公司股权投资直至丧失控制权，如果上述交易属于一揽子交易的，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30"/>
        <w:keepNext/>
        <w:keepLines/>
        <w:widowControl w:val="0"/>
        <w:shd w:val="clear" w:color="auto" w:fill="auto"/>
        <w:tabs>
          <w:tab w:pos="474" w:val="left"/>
        </w:tabs>
        <w:bidi w:val="0"/>
        <w:spacing w:before="0" w:after="120" w:line="48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794"/>
      <w:bookmarkEnd w:id="795"/>
      <w:bookmarkEnd w:id="797"/>
    </w:p>
    <w:p>
      <w:pPr>
        <w:pStyle w:val="Style18"/>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投资性房地产计量模式</w:t>
      </w:r>
    </w:p>
    <w:p>
      <w:pPr>
        <w:pStyle w:val="Style18"/>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成本法计量</w:t>
      </w:r>
    </w:p>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折旧或摊销方法</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投资性房地产是指为赚取租金或资本增值，或两者兼有而持有的房地产。本公司投资性房地产包括已 出租的土地使用权、持有并准备增值后转让的土地使用权、已出租的建筑物。</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本公司投资性房地产按照取得时的成本进行初始计量，与投资性房地产有关的后续支出，如果与该资 产有关的经济利益很可能流入且其成本能可靠地计量，则计入投资性房地产成本，其他后续支出，在发生 时计入当期损益。</w:t>
      </w:r>
    </w:p>
    <w:p>
      <w:pPr>
        <w:pStyle w:val="Style1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本公司投资性房地产采用成本模式进行后续计量，并按照固定资产或无形资产的有关规定，按期计提 折旧或摊销。</w:t>
      </w:r>
    </w:p>
    <w:p>
      <w:pPr>
        <w:pStyle w:val="Style30"/>
        <w:keepNext/>
        <w:keepLines/>
        <w:widowControl w:val="0"/>
        <w:shd w:val="clear" w:color="auto" w:fill="auto"/>
        <w:tabs>
          <w:tab w:pos="474" w:val="left"/>
        </w:tabs>
        <w:bidi w:val="0"/>
        <w:spacing w:before="0" w:after="0" w:line="48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798"/>
      <w:bookmarkEnd w:id="799"/>
      <w:bookmarkEnd w:id="801"/>
    </w:p>
    <w:p>
      <w:pPr>
        <w:pStyle w:val="Style35"/>
        <w:keepNext/>
        <w:keepLines/>
        <w:widowControl w:val="0"/>
        <w:shd w:val="clear" w:color="auto" w:fill="auto"/>
        <w:tabs>
          <w:tab w:pos="493" w:val="left"/>
        </w:tabs>
        <w:bidi w:val="0"/>
        <w:spacing w:before="0" w:after="200" w:line="469" w:lineRule="exact"/>
        <w:ind w:left="0" w:right="0" w:firstLine="0"/>
        <w:jc w:val="both"/>
      </w:pPr>
      <w:bookmarkStart w:id="802" w:name="bookmark802"/>
      <w:bookmarkStart w:id="803" w:name="bookmark803"/>
      <w:bookmarkStart w:id="804" w:name="bookmark804"/>
      <w:bookmarkStart w:id="805" w:name="bookmark805"/>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确认条件</w:t>
      </w:r>
      <w:bookmarkEnd w:id="802"/>
      <w:bookmarkEnd w:id="803"/>
      <w:bookmarkEnd w:id="805"/>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本公司固定资产是指为生产商品、提供劳务、出租或经营管理而持有的，使用寿命超过一个会计年度 的有形资产。</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与该固定资产有关的经济利益很可能流入企业，并且该固定资产的成本能够可靠地计量时，固定资产 才能予以确认。</w:t>
      </w:r>
    </w:p>
    <w:p>
      <w:pPr>
        <w:pStyle w:val="Style18"/>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本公司固定资产按照取得时的实际成本进行初始计量。</w:t>
      </w:r>
    </w:p>
    <w:p>
      <w:pPr>
        <w:pStyle w:val="Style35"/>
        <w:keepNext/>
        <w:keepLines/>
        <w:widowControl w:val="0"/>
        <w:shd w:val="clear" w:color="auto" w:fill="auto"/>
        <w:tabs>
          <w:tab w:pos="493" w:val="left"/>
        </w:tabs>
        <w:bidi w:val="0"/>
        <w:spacing w:before="0" w:line="469" w:lineRule="exact"/>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折旧方法</w:t>
      </w:r>
      <w:bookmarkEnd w:id="806"/>
      <w:bookmarkEnd w:id="807"/>
      <w:bookmarkEnd w:id="80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年折旧率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1.9-4.75</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其中，己计提减值准备的固定资产，还应扣除已计提的固定资产减值准备累计金额计算确定折旧。</w:t>
      </w:r>
    </w:p>
    <w:p>
      <w:pPr>
        <w:pStyle w:val="Style18"/>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每年年度终了，本公司对固定资产的使用寿命、预计净残值和折旧方法进行复核。使用寿命预计数与 原先估计数有差异的，调整固定资产使用寿命；预计净残值预计数与原先估计数有差异的，调整预计净残 值。</w:t>
      </w:r>
    </w:p>
    <w:p>
      <w:pPr>
        <w:pStyle w:val="Style30"/>
        <w:keepNext/>
        <w:keepLines/>
        <w:widowControl w:val="0"/>
        <w:shd w:val="clear" w:color="auto" w:fill="auto"/>
        <w:tabs>
          <w:tab w:pos="451" w:val="left"/>
        </w:tabs>
        <w:bidi w:val="0"/>
        <w:spacing w:before="0" w:after="0" w:line="480" w:lineRule="auto"/>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10"/>
      <w:bookmarkEnd w:id="811"/>
      <w:bookmarkEnd w:id="813"/>
    </w:p>
    <w:p>
      <w:pPr>
        <w:pStyle w:val="Style1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本公司在建工程成本按实际工程支出确定，包括在建期间发生的各项必要工程支出、工程达到预定可 使用状态前的应予资本化的借款费用以及其他相关费用等。</w:t>
      </w:r>
    </w:p>
    <w:p>
      <w:pPr>
        <w:pStyle w:val="Style18"/>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在建工程在达到预定可使用状态时转入固定资产。</w:t>
      </w:r>
    </w:p>
    <w:p>
      <w:pPr>
        <w:pStyle w:val="Style30"/>
        <w:keepNext/>
        <w:keepLines/>
        <w:widowControl w:val="0"/>
        <w:shd w:val="clear" w:color="auto" w:fill="auto"/>
        <w:tabs>
          <w:tab w:pos="451" w:val="left"/>
        </w:tabs>
        <w:bidi w:val="0"/>
        <w:spacing w:before="0" w:after="0" w:line="48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14"/>
      <w:bookmarkEnd w:id="815"/>
      <w:bookmarkEnd w:id="817"/>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rPr>
        <w:t>3</w:t>
      </w:r>
      <w:r>
        <w:rPr>
          <w:color w:val="000000"/>
          <w:spacing w:val="0"/>
          <w:w w:val="100"/>
          <w:position w:val="0"/>
        </w:rPr>
        <w:t>个月的， 暂停借款费用的资本化，直至资产的购建或生产活动重新开始。</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对于为购建或者生产符合资本化条件的资产而借入的专门借款，以专门借款当期实际发生的借款费 用，减去尚未动用的借款资金存入银行取得的利息收入或进行暂时性投资取得的投资收益后的金额，来确 </w:t>
      </w:r>
      <w:r>
        <w:rPr>
          <w:color w:val="000000"/>
          <w:spacing w:val="0"/>
          <w:w w:val="100"/>
          <w:position w:val="0"/>
        </w:rPr>
        <w:t>定借款费用的资本化金额。对于为购建或者生产符合资本化条件的资产而占用的一般借款，根据累计资产 支出超过专门借款部分的资产支出加权平均数乘以所占用一般借款的资本化率，计算确定一般借款应予资 本化的借款费用金额。资本化率根据一般借款加权平均实际利率计算确定。</w:t>
      </w:r>
    </w:p>
    <w:p>
      <w:pPr>
        <w:pStyle w:val="Style18"/>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在资本化期间内，外币专门借款本金及利息的汇兑差额，予以资本化，计入符合资本化条件的资产的 成本。除外币专门借款之外的其他外币借款本金及其利息所产生的汇兑差额计入当期损益。</w:t>
      </w:r>
    </w:p>
    <w:p>
      <w:pPr>
        <w:pStyle w:val="Style30"/>
        <w:keepNext/>
        <w:keepLines/>
        <w:widowControl w:val="0"/>
        <w:shd w:val="clear" w:color="auto" w:fill="auto"/>
        <w:bidi w:val="0"/>
        <w:spacing w:before="0" w:after="0" w:line="480" w:lineRule="auto"/>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0</w:t>
      </w:r>
      <w:r>
        <w:rPr>
          <w:color w:val="000000"/>
          <w:spacing w:val="0"/>
          <w:w w:val="100"/>
          <w:position w:val="0"/>
        </w:rPr>
        <w:t>、使用权资产</w:t>
      </w:r>
      <w:bookmarkEnd w:id="818"/>
      <w:bookmarkEnd w:id="819"/>
      <w:bookmarkEnd w:id="821"/>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租赁，是指在一定期间内，出租人将资产的使用权让与承租人以获取对价的合同。在合同开始日，本 公司评估合同是否为租赁或者包含租赁，如果合同中一方让渡了在一定期间内控制一项或多项已识别资产 使用的权利以换取对价，则该合同为租赁或者包含租赁。除非合同条款和条件发生变化，本公司不重新评 估合同是否为租赁或者包含租赁。</w:t>
      </w:r>
    </w:p>
    <w:p>
      <w:pPr>
        <w:pStyle w:val="Style18"/>
        <w:keepNext w:val="0"/>
        <w:keepLines w:val="0"/>
        <w:widowControl w:val="0"/>
        <w:shd w:val="clear" w:color="auto" w:fill="auto"/>
        <w:bidi w:val="0"/>
        <w:spacing w:before="0" w:after="0" w:line="467" w:lineRule="exact"/>
        <w:ind w:left="0" w:right="0" w:firstLine="440"/>
        <w:jc w:val="both"/>
      </w:pPr>
      <w:bookmarkStart w:id="822" w:name="bookmark822"/>
      <w:r>
        <w:rPr>
          <w:color w:val="000000"/>
          <w:spacing w:val="0"/>
          <w:w w:val="100"/>
          <w:position w:val="0"/>
        </w:rPr>
        <w:t>（</w:t>
      </w:r>
      <w:bookmarkEnd w:id="822"/>
      <w:r>
        <w:rPr>
          <w:color w:val="000000"/>
          <w:spacing w:val="0"/>
          <w:w w:val="100"/>
          <w:position w:val="0"/>
        </w:rPr>
        <w:t>1）</w:t>
      </w:r>
      <w:r>
        <w:rPr>
          <w:color w:val="000000"/>
          <w:spacing w:val="0"/>
          <w:w w:val="100"/>
          <w:position w:val="0"/>
        </w:rPr>
        <w:t>本公司作为承租人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合同中同时包含多项单独租赁的，将合同予以分拆，分别各项单独租赁进行会计处理。合同中同时包 含租赁和非租赁部分的，将租赁和非租赁部分进行分拆，按照各租赁部分单独价格及非租赁部分的单独价 格之和的相对比例分摊合同对价。租赁期是本公司有权使用租赁资产且不可撤销的期间。</w:t>
      </w:r>
    </w:p>
    <w:p>
      <w:pPr>
        <w:pStyle w:val="Style18"/>
        <w:keepNext w:val="0"/>
        <w:keepLines w:val="0"/>
        <w:widowControl w:val="0"/>
        <w:numPr>
          <w:ilvl w:val="0"/>
          <w:numId w:val="33"/>
        </w:numPr>
        <w:shd w:val="clear" w:color="auto" w:fill="auto"/>
        <w:tabs>
          <w:tab w:pos="807" w:val="left"/>
        </w:tabs>
        <w:bidi w:val="0"/>
        <w:spacing w:before="0" w:after="0" w:line="467" w:lineRule="exact"/>
        <w:ind w:left="0" w:right="0" w:firstLine="440"/>
        <w:jc w:val="both"/>
      </w:pPr>
      <w:bookmarkStart w:id="823" w:name="bookmark823"/>
      <w:bookmarkEnd w:id="823"/>
      <w:r>
        <w:rPr>
          <w:color w:val="000000"/>
          <w:spacing w:val="0"/>
          <w:w w:val="100"/>
          <w:position w:val="0"/>
        </w:rPr>
        <w:t>使用权资产</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使用权资产是指本公司可在租赁期内使用租赁资产的权利。本公司租赁资产的类别主要包括房屋建筑 物。</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在租赁期开始日，本公司按照成本对使用权资产进行初始计量，包括：</w:t>
      </w:r>
      <w:r>
        <w:rPr>
          <w:color w:val="000000"/>
          <w:spacing w:val="0"/>
          <w:w w:val="100"/>
          <w:position w:val="0"/>
        </w:rPr>
        <w:t>A.</w:t>
      </w:r>
      <w:r>
        <w:rPr>
          <w:color w:val="000000"/>
          <w:spacing w:val="0"/>
          <w:w w:val="100"/>
          <w:position w:val="0"/>
        </w:rPr>
        <w:t xml:space="preserve">租赁负债的初始计量金额； </w:t>
      </w:r>
      <w:r>
        <w:rPr>
          <w:color w:val="000000"/>
          <w:spacing w:val="0"/>
          <w:w w:val="100"/>
          <w:position w:val="0"/>
        </w:rPr>
        <w:t>B.</w:t>
      </w:r>
      <w:r>
        <w:rPr>
          <w:color w:val="000000"/>
          <w:spacing w:val="0"/>
          <w:w w:val="100"/>
          <w:position w:val="0"/>
        </w:rPr>
        <w:t>在租赁期开始日或之前支付的租赁付款额，存在租赁激励的，扣除已享受的租赁激励相关金额；</w:t>
      </w:r>
      <w:r>
        <w:rPr>
          <w:color w:val="000000"/>
          <w:spacing w:val="0"/>
          <w:w w:val="100"/>
          <w:position w:val="0"/>
        </w:rPr>
        <w:t>C.</w:t>
      </w:r>
      <w:r>
        <w:rPr>
          <w:color w:val="000000"/>
          <w:spacing w:val="0"/>
          <w:w w:val="100"/>
          <w:position w:val="0"/>
        </w:rPr>
        <w:t>发生 的初始直接费用；</w:t>
      </w:r>
      <w:r>
        <w:rPr>
          <w:color w:val="000000"/>
          <w:spacing w:val="0"/>
          <w:w w:val="100"/>
          <w:position w:val="0"/>
        </w:rPr>
        <w:t>D.</w:t>
      </w:r>
      <w:r>
        <w:rPr>
          <w:color w:val="000000"/>
          <w:spacing w:val="0"/>
          <w:w w:val="100"/>
          <w:position w:val="0"/>
        </w:rPr>
        <w:t>为拆卸及移除租赁资产、复原租赁资产所在场地或将租赁资产恢复至租赁条款约定状 态预计将发生的成本，但属于为生产存货而发生的，适用《企业会计准则第</w:t>
      </w:r>
      <w:r>
        <w:rPr>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存货》。</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在租赁期开始日后，本公司采用成本模式对使用权资产进行后续计量，根据与使用权资产有关的经济 利益的预期实现方式作出决定，以直线法对使用权资产计提折旧，并对已识别的减值损失进行会计处理。 本公司按照租赁准则有关规定重新计量租赁负债的，相应调整使用权资产的账面价值。</w:t>
      </w:r>
    </w:p>
    <w:p>
      <w:pPr>
        <w:pStyle w:val="Style18"/>
        <w:keepNext w:val="0"/>
        <w:keepLines w:val="0"/>
        <w:widowControl w:val="0"/>
        <w:numPr>
          <w:ilvl w:val="0"/>
          <w:numId w:val="33"/>
        </w:numPr>
        <w:shd w:val="clear" w:color="auto" w:fill="auto"/>
        <w:tabs>
          <w:tab w:pos="811" w:val="left"/>
        </w:tabs>
        <w:bidi w:val="0"/>
        <w:spacing w:before="0" w:after="0" w:line="467" w:lineRule="exact"/>
        <w:ind w:left="0" w:right="0" w:firstLine="440"/>
        <w:jc w:val="both"/>
      </w:pPr>
      <w:bookmarkStart w:id="824" w:name="bookmark824"/>
      <w:bookmarkEnd w:id="824"/>
      <w:r>
        <w:rPr>
          <w:color w:val="000000"/>
          <w:spacing w:val="0"/>
          <w:w w:val="100"/>
          <w:position w:val="0"/>
        </w:rPr>
        <w:t>租赁负债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租赁负债反映本公司尚未支付的租赁付款额的现值。本公司按照租赁期开始日尚未支付的租赁付款额 的现值对租赁负债进行初始计量。</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租赁付款额，是指本公司向出租人支付的与在租赁期内使用租赁资产的权利相关的款项，包括：</w:t>
      </w:r>
      <w:r>
        <w:rPr>
          <w:color w:val="000000"/>
          <w:spacing w:val="0"/>
          <w:w w:val="100"/>
          <w:position w:val="0"/>
        </w:rPr>
        <w:t>A.</w:t>
      </w:r>
      <w:r>
        <w:rPr>
          <w:color w:val="000000"/>
          <w:spacing w:val="0"/>
          <w:w w:val="100"/>
          <w:position w:val="0"/>
        </w:rPr>
        <w:t>固 定付款额及实质固定付款额，存在租赁激励的，扣除租赁激励相关金额；</w:t>
      </w:r>
      <w:r>
        <w:rPr>
          <w:color w:val="000000"/>
          <w:spacing w:val="0"/>
          <w:w w:val="100"/>
          <w:position w:val="0"/>
        </w:rPr>
        <w:t>B.</w:t>
      </w:r>
      <w:r>
        <w:rPr>
          <w:color w:val="000000"/>
          <w:spacing w:val="0"/>
          <w:w w:val="100"/>
          <w:position w:val="0"/>
        </w:rPr>
        <w:t xml:space="preserve">取决于指数或比率的可变租赁 </w:t>
      </w:r>
      <w:r>
        <w:rPr>
          <w:color w:val="000000"/>
          <w:spacing w:val="0"/>
          <w:w w:val="100"/>
          <w:position w:val="0"/>
        </w:rPr>
        <w:t>付款额，该款项在初始计量时根据租赁期开始日的指数或比率确定；</w:t>
      </w:r>
      <w:r>
        <w:rPr>
          <w:color w:val="000000"/>
          <w:spacing w:val="0"/>
          <w:w w:val="100"/>
          <w:position w:val="0"/>
        </w:rPr>
        <w:t>C.</w:t>
      </w:r>
      <w:r>
        <w:rPr>
          <w:color w:val="000000"/>
          <w:spacing w:val="0"/>
          <w:w w:val="100"/>
          <w:position w:val="0"/>
        </w:rPr>
        <w:t>本公司合理确定将行使购买选择权 时，购买选择权的行权价格；</w:t>
      </w:r>
      <w:r>
        <w:rPr>
          <w:color w:val="000000"/>
          <w:spacing w:val="0"/>
          <w:w w:val="100"/>
          <w:position w:val="0"/>
        </w:rPr>
        <w:t>D.</w:t>
      </w:r>
      <w:r>
        <w:rPr>
          <w:color w:val="000000"/>
          <w:spacing w:val="0"/>
          <w:w w:val="100"/>
          <w:position w:val="0"/>
        </w:rPr>
        <w:t>租赁期反映出本公司将行使终止租赁选择权时，行使终止租赁选择权需支 付的款项；</w:t>
      </w:r>
      <w:r>
        <w:rPr>
          <w:color w:val="000000"/>
          <w:spacing w:val="0"/>
          <w:w w:val="100"/>
          <w:position w:val="0"/>
        </w:rPr>
        <w:t>E.</w:t>
      </w:r>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在计算租赁付款额的现值时，本公司采用租赁内含利率作为折现率；无法确定租赁内含利率时，采用 增量借款利率作为折现率，以同期银行贷款利率为基础，考虑相关因素调整得出增量借款利率。</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本公司按照固定的周期性利率计算租赁负债在租赁期内各期间的利息费用，并计入当期损益，但应当 资本化的计入相关资产成本。</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当购买选择权、续租选择权、终止租赁选择权的评估结果发生变化，续租选择权、终止租赁选择权实 际行使情况与原评估结果不一致，根据担保余值预计的应付金额发生变动，用于确定租赁付款额的指数或 比率发生变动，或者实质固定付款额发生变动时，重新计量租赁负债。</w:t>
      </w:r>
    </w:p>
    <w:p>
      <w:pPr>
        <w:pStyle w:val="Style18"/>
        <w:keepNext w:val="0"/>
        <w:keepLines w:val="0"/>
        <w:widowControl w:val="0"/>
        <w:numPr>
          <w:ilvl w:val="0"/>
          <w:numId w:val="33"/>
        </w:numPr>
        <w:shd w:val="clear" w:color="auto" w:fill="auto"/>
        <w:tabs>
          <w:tab w:pos="805" w:val="left"/>
        </w:tabs>
        <w:bidi w:val="0"/>
        <w:spacing w:before="0" w:after="0" w:line="469" w:lineRule="exact"/>
        <w:ind w:left="0" w:right="0" w:firstLine="440"/>
        <w:jc w:val="both"/>
      </w:pPr>
      <w:bookmarkStart w:id="825" w:name="bookmark825"/>
      <w:bookmarkEnd w:id="825"/>
      <w:r>
        <w:rPr>
          <w:color w:val="000000"/>
          <w:spacing w:val="0"/>
          <w:w w:val="100"/>
          <w:position w:val="0"/>
        </w:rPr>
        <w:t>租赁的变更</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当租赁变更通过增加一项或多项租赁资产的使用权而扩大了租赁范围，且增加的对价与租赁范围扩大 部分的单独价格按该合同情况调整后的金额相当时，该租赁变更作为一项单独租赁进行会计处理。未作为 单独租赁进行会计处理的，分摊变更后合同的对价，重新确定租赁期，重新计量租赁负债。</w:t>
      </w:r>
    </w:p>
    <w:p>
      <w:pPr>
        <w:pStyle w:val="Style18"/>
        <w:keepNext w:val="0"/>
        <w:keepLines w:val="0"/>
        <w:widowControl w:val="0"/>
        <w:numPr>
          <w:ilvl w:val="0"/>
          <w:numId w:val="33"/>
        </w:numPr>
        <w:shd w:val="clear" w:color="auto" w:fill="auto"/>
        <w:tabs>
          <w:tab w:pos="805" w:val="left"/>
        </w:tabs>
        <w:bidi w:val="0"/>
        <w:spacing w:before="0" w:after="0" w:line="469" w:lineRule="exact"/>
        <w:ind w:left="0" w:right="0" w:firstLine="440"/>
        <w:jc w:val="both"/>
      </w:pPr>
      <w:bookmarkStart w:id="826" w:name="bookmark826"/>
      <w:bookmarkEnd w:id="826"/>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本公司将在租赁期开始日租赁期不超过</w:t>
      </w:r>
      <w:r>
        <w:rPr>
          <w:color w:val="000000"/>
          <w:spacing w:val="0"/>
          <w:w w:val="100"/>
          <w:position w:val="0"/>
        </w:rPr>
        <w:t>12</w:t>
      </w:r>
      <w:r>
        <w:rPr>
          <w:color w:val="000000"/>
          <w:spacing w:val="0"/>
          <w:w w:val="100"/>
          <w:position w:val="0"/>
        </w:rPr>
        <w:t>个月，且不包含购买选择权的租赁认定为短期租赁；将单项 租赁资产为全新资产时价值不超过</w:t>
      </w:r>
      <w:r>
        <w:rPr>
          <w:color w:val="000000"/>
          <w:spacing w:val="0"/>
          <w:w w:val="100"/>
          <w:position w:val="0"/>
        </w:rPr>
        <w:t>40,000</w:t>
      </w:r>
      <w:r>
        <w:rPr>
          <w:color w:val="000000"/>
          <w:spacing w:val="0"/>
          <w:w w:val="100"/>
          <w:position w:val="0"/>
        </w:rPr>
        <w:t>元的租赁认定为低价值资产租赁。本公司转租或预期转租租赁资 产的，原租赁不认定为低价值资产租赁。本公司对短期租赁和低价值资产租赁选择不确认使用权资产和租 赁负债，将租赁付款额在租赁期内各个期间按照直线法或其他系统合理的方法计入相关的资产成本或当期 损益。</w:t>
      </w:r>
    </w:p>
    <w:p>
      <w:pPr>
        <w:pStyle w:val="Style18"/>
        <w:keepNext w:val="0"/>
        <w:keepLines w:val="0"/>
        <w:widowControl w:val="0"/>
        <w:numPr>
          <w:ilvl w:val="0"/>
          <w:numId w:val="33"/>
        </w:numPr>
        <w:shd w:val="clear" w:color="auto" w:fill="auto"/>
        <w:tabs>
          <w:tab w:pos="805" w:val="left"/>
        </w:tabs>
        <w:bidi w:val="0"/>
        <w:spacing w:before="0" w:after="0" w:line="469" w:lineRule="exact"/>
        <w:ind w:left="0" w:right="0" w:firstLine="440"/>
        <w:jc w:val="both"/>
      </w:pPr>
      <w:bookmarkStart w:id="827" w:name="bookmark827"/>
      <w:bookmarkEnd w:id="827"/>
      <w:r>
        <w:rPr>
          <w:color w:val="000000"/>
          <w:spacing w:val="0"/>
          <w:w w:val="100"/>
          <w:position w:val="0"/>
        </w:rPr>
        <w:t>售后租回交易</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对于售后租回交易，本公司按照《企业会计准则第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 的资产转让是否属于销售，属于销售的，按原资产账面价值中与租回获得的使用权有关的部分，计量售后 租回所形成的使用权资产，并仅就转让至出租人的权利确认相关利得或损失；不属于销售的，继续确认被 转让资产，同时确认一项与转让收入等额的金融负债。</w:t>
      </w:r>
    </w:p>
    <w:p>
      <w:pPr>
        <w:pStyle w:val="Style18"/>
        <w:keepNext w:val="0"/>
        <w:keepLines w:val="0"/>
        <w:widowControl w:val="0"/>
        <w:shd w:val="clear" w:color="auto" w:fill="auto"/>
        <w:bidi w:val="0"/>
        <w:spacing w:before="0" w:after="0" w:line="469" w:lineRule="exact"/>
        <w:ind w:left="0" w:right="0" w:firstLine="440"/>
        <w:jc w:val="both"/>
      </w:pPr>
      <w:bookmarkStart w:id="828" w:name="bookmark828"/>
      <w:r>
        <w:rPr>
          <w:color w:val="000000"/>
          <w:spacing w:val="0"/>
          <w:w w:val="100"/>
          <w:position w:val="0"/>
        </w:rPr>
        <w:t>（</w:t>
      </w:r>
      <w:bookmarkEnd w:id="828"/>
      <w:r>
        <w:rPr>
          <w:color w:val="000000"/>
          <w:spacing w:val="0"/>
          <w:w w:val="100"/>
          <w:position w:val="0"/>
        </w:rPr>
        <w:t>2）</w:t>
      </w:r>
      <w:r>
        <w:rPr>
          <w:color w:val="000000"/>
          <w:spacing w:val="0"/>
          <w:w w:val="100"/>
          <w:position w:val="0"/>
        </w:rPr>
        <w:t>本公司作为出租人</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本公司在租赁开始日将租赁分为融资租赁和经营租赁，实质上转移了与租赁资产所有权有关的几乎全 部风险和报酬的租赁为融资租赁，此外为经营租赁。本公司作为转租出租人时，基于原租赁产生的使用权 资产对转租赁进行分类。</w:t>
      </w:r>
    </w:p>
    <w:p>
      <w:pPr>
        <w:pStyle w:val="Style18"/>
        <w:keepNext w:val="0"/>
        <w:keepLines w:val="0"/>
        <w:widowControl w:val="0"/>
        <w:numPr>
          <w:ilvl w:val="0"/>
          <w:numId w:val="35"/>
        </w:numPr>
        <w:shd w:val="clear" w:color="auto" w:fill="auto"/>
        <w:bidi w:val="0"/>
        <w:spacing w:before="0" w:after="0" w:line="469" w:lineRule="exact"/>
        <w:ind w:left="0" w:right="0" w:firstLine="440"/>
        <w:jc w:val="both"/>
      </w:pPr>
      <w:bookmarkStart w:id="829" w:name="bookmark829"/>
      <w:bookmarkEnd w:id="829"/>
      <w:r>
        <w:rPr>
          <w:color w:val="000000"/>
          <w:spacing w:val="0"/>
          <w:w w:val="100"/>
          <w:position w:val="0"/>
        </w:rPr>
        <w:t>融资租赁</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在租赁期开始日，本公司对融资租赁确认应收融资租赁款，并终止确认融资租赁资产。对应收融资租 赁款进行初始计量时，以租赁投资净额作为应收融资租赁款的入账价值。租赁投资净额为未担保余值和租 赁期开始日尚未收到的租赁收款额按照租赁内含利率折现的现值之和。</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租赁收款额，是指本公司因让渡在租赁期内使用租赁资产的权利而应向承租人收取的款项，包括：</w:t>
      </w:r>
      <w:r>
        <w:rPr>
          <w:color w:val="000000"/>
          <w:spacing w:val="0"/>
          <w:w w:val="100"/>
          <w:position w:val="0"/>
        </w:rPr>
        <w:t xml:space="preserve">A. </w:t>
      </w:r>
      <w:r>
        <w:rPr>
          <w:color w:val="000000"/>
          <w:spacing w:val="0"/>
          <w:w w:val="100"/>
          <w:position w:val="0"/>
        </w:rPr>
        <w:t>承租人需支付的固定付款额及实质固定付款额，存在租赁激励的，扣除租赁激励相关金额；</w:t>
      </w:r>
      <w:r>
        <w:rPr>
          <w:color w:val="000000"/>
          <w:spacing w:val="0"/>
          <w:w w:val="100"/>
          <w:position w:val="0"/>
        </w:rPr>
        <w:t>B.</w:t>
      </w:r>
      <w:r>
        <w:rPr>
          <w:color w:val="000000"/>
          <w:spacing w:val="0"/>
          <w:w w:val="100"/>
          <w:position w:val="0"/>
        </w:rPr>
        <w:t>取决于指数 或比率的可变租赁付款额；</w:t>
      </w:r>
      <w:r>
        <w:rPr>
          <w:color w:val="000000"/>
          <w:spacing w:val="0"/>
          <w:w w:val="100"/>
          <w:position w:val="0"/>
        </w:rPr>
        <w:t>C.</w:t>
      </w:r>
      <w:r>
        <w:rPr>
          <w:color w:val="000000"/>
          <w:spacing w:val="0"/>
          <w:w w:val="100"/>
          <w:position w:val="0"/>
        </w:rPr>
        <w:t>购买选择权的行权价格，前提是合理确定承租人将行使该选择权；</w:t>
      </w:r>
      <w:r>
        <w:rPr>
          <w:color w:val="000000"/>
          <w:spacing w:val="0"/>
          <w:w w:val="100"/>
          <w:position w:val="0"/>
        </w:rPr>
        <w:t>D.</w:t>
      </w:r>
      <w:r>
        <w:rPr>
          <w:color w:val="000000"/>
          <w:spacing w:val="0"/>
          <w:w w:val="100"/>
          <w:position w:val="0"/>
        </w:rPr>
        <w:t>承租人 行使终止租赁选择权需支付的款项，前提是租赁期反映出承租人将行使终止租赁选择权；</w:t>
      </w:r>
      <w:r>
        <w:rPr>
          <w:color w:val="000000"/>
          <w:spacing w:val="0"/>
          <w:w w:val="100"/>
          <w:position w:val="0"/>
        </w:rPr>
        <w:t>E.</w:t>
      </w:r>
      <w:r>
        <w:rPr>
          <w:color w:val="000000"/>
          <w:spacing w:val="0"/>
          <w:w w:val="100"/>
          <w:position w:val="0"/>
        </w:rPr>
        <w:t>由承租人、与 承租人有关的一方以及有经济能力履行担保义务的独立第三方向本公司提供的担保余值。</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本公司按照固定的周期性利率计算并确认租赁期内各个期间的利息收入。本公司取得的未纳入租赁投 资净额计量的可变租赁付款额在实际发生时计入当期损益。</w:t>
      </w:r>
    </w:p>
    <w:p>
      <w:pPr>
        <w:pStyle w:val="Style18"/>
        <w:keepNext w:val="0"/>
        <w:keepLines w:val="0"/>
        <w:widowControl w:val="0"/>
        <w:numPr>
          <w:ilvl w:val="0"/>
          <w:numId w:val="35"/>
        </w:numPr>
        <w:shd w:val="clear" w:color="auto" w:fill="auto"/>
        <w:bidi w:val="0"/>
        <w:spacing w:before="0" w:after="0" w:line="470" w:lineRule="exact"/>
        <w:ind w:left="0" w:right="0" w:firstLine="440"/>
        <w:jc w:val="both"/>
      </w:pPr>
      <w:bookmarkStart w:id="830" w:name="bookmark830"/>
      <w:bookmarkEnd w:id="830"/>
      <w:r>
        <w:rPr>
          <w:color w:val="000000"/>
          <w:spacing w:val="0"/>
          <w:w w:val="100"/>
          <w:position w:val="0"/>
        </w:rPr>
        <w:t>经营租赁</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租赁期内各个期间，本公司采用直线法，将经营租赁的租赁收款额确认为租金收入。未计入租赁收款 额的可变租赁付款额在实际发生时计入当期损益。</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经营租赁发生变更的，本公司自变更生效日起将其作为一项新租赁进行会计处理，与变更前租赁有关 的预收或应收租赁收款额视为新租赁的收款额。</w:t>
      </w:r>
    </w:p>
    <w:p>
      <w:pPr>
        <w:pStyle w:val="Style18"/>
        <w:keepNext w:val="0"/>
        <w:keepLines w:val="0"/>
        <w:widowControl w:val="0"/>
        <w:shd w:val="clear" w:color="auto" w:fill="auto"/>
        <w:bidi w:val="0"/>
        <w:spacing w:before="0" w:after="0" w:line="470" w:lineRule="exact"/>
        <w:ind w:left="0" w:right="0" w:firstLine="440"/>
        <w:jc w:val="both"/>
      </w:pPr>
      <w:bookmarkStart w:id="831" w:name="bookmark831"/>
      <w:r>
        <w:rPr>
          <w:color w:val="000000"/>
          <w:spacing w:val="0"/>
          <w:w w:val="100"/>
          <w:position w:val="0"/>
        </w:rPr>
        <w:t>（</w:t>
      </w:r>
      <w:bookmarkEnd w:id="831"/>
      <w:r>
        <w:rPr>
          <w:color w:val="000000"/>
          <w:spacing w:val="0"/>
          <w:w w:val="100"/>
          <w:position w:val="0"/>
        </w:rPr>
        <w:t>3）</w:t>
      </w:r>
      <w:r>
        <w:rPr>
          <w:color w:val="000000"/>
          <w:spacing w:val="0"/>
          <w:w w:val="100"/>
          <w:position w:val="0"/>
        </w:rPr>
        <w:t>售后租回交易</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对于售后租回交易，本公司按照《企业会计准则第</w:t>
      </w:r>
      <w:r>
        <w:rPr>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 的资产转让是否属于销售，属于销售的，根据适用的会计准则对资产购买和资产处置进行会计处理；不属 于销售的，不确认被转让资产，但确认一项与转让收入等额的金融资产。</w:t>
      </w:r>
    </w:p>
    <w:p>
      <w:pPr>
        <w:pStyle w:val="Style30"/>
        <w:keepNext/>
        <w:keepLines/>
        <w:widowControl w:val="0"/>
        <w:shd w:val="clear" w:color="auto" w:fill="auto"/>
        <w:bidi w:val="0"/>
        <w:spacing w:before="0" w:after="0" w:line="492"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832"/>
      <w:bookmarkEnd w:id="833"/>
      <w:bookmarkEnd w:id="835"/>
    </w:p>
    <w:p>
      <w:pPr>
        <w:pStyle w:val="Style35"/>
        <w:keepNext/>
        <w:keepLines/>
        <w:widowControl w:val="0"/>
        <w:shd w:val="clear" w:color="auto" w:fill="auto"/>
        <w:bidi w:val="0"/>
        <w:spacing w:before="0" w:after="200" w:line="470" w:lineRule="exact"/>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6"/>
      <w:bookmarkEnd w:id="837"/>
      <w:bookmarkEnd w:id="839"/>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本公司无形资产按照成本进行初始计量，并于取得无形资产时分析判断其使用寿命。使用寿命为有限 的，自无形资产可供使用时起，采用能反映与该资产有关的经济利益的预期实现方式的摊销方法，在预计 使用年限内摊销；无法可靠确定预期实现方式的，采用直线法摊销；使用寿命不确定的无形资产，不作摊 销。</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本公司于每年年度终了，对使用寿命有限的无形资产的使用寿命及摊销方法进行复核，与以前估计不 同的，调整原先估计数，并按会计估计变更处理。</w:t>
      </w:r>
    </w:p>
    <w:p>
      <w:pPr>
        <w:pStyle w:val="Style18"/>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本公司期末预计某项无形资产已经不能给企业带来未来经济利益的，将该项无形资产的账面价值全部</w:t>
      </w:r>
    </w:p>
    <w:p>
      <w:pPr>
        <w:pStyle w:val="Style18"/>
        <w:keepNext w:val="0"/>
        <w:keepLines w:val="0"/>
        <w:widowControl w:val="0"/>
        <w:shd w:val="clear" w:color="auto" w:fill="auto"/>
        <w:bidi w:val="0"/>
        <w:spacing w:before="0" w:after="220" w:line="240" w:lineRule="auto"/>
        <w:ind w:left="0" w:right="0" w:firstLine="0"/>
        <w:jc w:val="both"/>
      </w:pPr>
      <w:r>
        <w:rPr>
          <w:color w:val="000000"/>
          <w:spacing w:val="0"/>
          <w:w w:val="100"/>
          <w:position w:val="0"/>
        </w:rPr>
        <w:t>转入当期损益。</w:t>
      </w:r>
    </w:p>
    <w:p>
      <w:pPr>
        <w:pStyle w:val="Style1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使用寿命有限的无形资产的使用寿命估计情况:</w:t>
      </w:r>
    </w:p>
    <w:tbl>
      <w:tblPr>
        <w:tblOverlap w:val="never"/>
        <w:jc w:val="center"/>
        <w:tblLayout w:type="fixed"/>
      </w:tblPr>
      <w:tblGrid>
        <w:gridCol w:w="2520"/>
        <w:gridCol w:w="1536"/>
        <w:gridCol w:w="245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预计使用寿命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依据</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预计受益年限</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土地使用权证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专利权有效期限</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10</w:t>
            </w:r>
            <w:r>
              <w:rPr>
                <w:rFonts w:ascii="SimSun" w:eastAsia="SimSun" w:hAnsi="SimSun" w:cs="SimSun"/>
                <w:color w:val="000000"/>
                <w:spacing w:val="0"/>
                <w:w w:val="100"/>
                <w:position w:val="0"/>
                <w:sz w:val="16"/>
                <w:szCs w:val="16"/>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预计受益年限</w:t>
            </w:r>
          </w:p>
        </w:tc>
      </w:tr>
    </w:tbl>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使用寿命不确定的无形资产的判断依据以及对其使用寿命进行复核的程序截至资产负债表日，公司无 使用寿命不确定的无形资产。</w:t>
      </w:r>
    </w:p>
    <w:p>
      <w:pPr>
        <w:pStyle w:val="Style35"/>
        <w:keepNext/>
        <w:keepLines/>
        <w:widowControl w:val="0"/>
        <w:shd w:val="clear" w:color="auto" w:fill="auto"/>
        <w:bidi w:val="0"/>
        <w:spacing w:before="0" w:after="220" w:line="471" w:lineRule="exact"/>
        <w:ind w:left="0" w:right="0" w:firstLine="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0"/>
      <w:bookmarkEnd w:id="841"/>
      <w:bookmarkEnd w:id="843"/>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公司内部研究开发项目的支出分为研究阶段支出和开发阶段支出。</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公司制定了研发项目管理制度，明确每个研发项目均需要经过项目调研、立项申请、立项评审、项目 启动、项目过程管理、项目阶段评估和项目验收阶段。研发费用的会计处理方式为：</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将研究阶段和不符合资本化条件的开发阶段的费用计入“研发费用”科目进行核算，计入当期损益；</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将符合资本化条件的开发阶段的费用计入“开发支出”科目进行核算，具体操作过程如下：</w:t>
      </w:r>
    </w:p>
    <w:p>
      <w:pPr>
        <w:pStyle w:val="Style18"/>
        <w:keepNext w:val="0"/>
        <w:keepLines w:val="0"/>
        <w:widowControl w:val="0"/>
        <w:numPr>
          <w:ilvl w:val="0"/>
          <w:numId w:val="37"/>
        </w:numPr>
        <w:shd w:val="clear" w:color="auto" w:fill="auto"/>
        <w:tabs>
          <w:tab w:pos="832" w:val="left"/>
        </w:tabs>
        <w:bidi w:val="0"/>
        <w:spacing w:before="0" w:after="0" w:line="471" w:lineRule="exact"/>
        <w:ind w:left="0" w:right="0" w:firstLine="440"/>
        <w:jc w:val="both"/>
      </w:pPr>
      <w:bookmarkStart w:id="844" w:name="bookmark844"/>
      <w:bookmarkEnd w:id="844"/>
      <w:r>
        <w:rPr>
          <w:color w:val="000000"/>
          <w:spacing w:val="0"/>
          <w:w w:val="100"/>
          <w:position w:val="0"/>
        </w:rPr>
        <w:t>研发费用资本化开始时点：</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在形成《项目可行性研究报告》后由公司组织项目评审组对项目的技术可行性、方案可行性、研发产 品未来市场情况、投资收益、投资风险、预算的合理性和项目资金的落实情况进行评审。通过评审形成立 项通知书，此时为研发费用资本化开始时点。项目资本化开始后产生的相关费用在“开发支出”科目进行 核算。</w:t>
      </w:r>
    </w:p>
    <w:p>
      <w:pPr>
        <w:pStyle w:val="Style18"/>
        <w:keepNext w:val="0"/>
        <w:keepLines w:val="0"/>
        <w:widowControl w:val="0"/>
        <w:numPr>
          <w:ilvl w:val="0"/>
          <w:numId w:val="37"/>
        </w:numPr>
        <w:shd w:val="clear" w:color="auto" w:fill="auto"/>
        <w:tabs>
          <w:tab w:pos="837" w:val="left"/>
        </w:tabs>
        <w:bidi w:val="0"/>
        <w:spacing w:before="0" w:after="0" w:line="471" w:lineRule="exact"/>
        <w:ind w:left="0" w:right="0" w:firstLine="440"/>
        <w:jc w:val="both"/>
      </w:pPr>
      <w:bookmarkStart w:id="845" w:name="bookmark845"/>
      <w:bookmarkEnd w:id="845"/>
      <w:r>
        <w:rPr>
          <w:color w:val="000000"/>
          <w:spacing w:val="0"/>
          <w:w w:val="100"/>
          <w:position w:val="0"/>
        </w:rPr>
        <w:t>研发项目成果结转</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研发项目达到研发目标后，项目开发组、相关专家、业务部门及财务管理部、审计部等组成研发项目 验收组，对项目成果进行验收，形成《验收报告》和《结项报告》。对研发成果申请专利或计算机软件著 作权，取得著作权登记证书当月，将“开发支出”归集的费用转入无形资产进行核算。</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研究阶段的支出，于发生时计入当期损益。开发阶段的支出同时满足下列条件的，确认为无形资产， 不能满足下述条件的开发阶段的支出计入当期损益：</w:t>
      </w:r>
    </w:p>
    <w:p>
      <w:pPr>
        <w:pStyle w:val="Style18"/>
        <w:keepNext w:val="0"/>
        <w:keepLines w:val="0"/>
        <w:widowControl w:val="0"/>
        <w:numPr>
          <w:ilvl w:val="0"/>
          <w:numId w:val="39"/>
        </w:numPr>
        <w:shd w:val="clear" w:color="auto" w:fill="auto"/>
        <w:tabs>
          <w:tab w:pos="832" w:val="left"/>
        </w:tabs>
        <w:bidi w:val="0"/>
        <w:spacing w:before="0" w:after="0" w:line="471" w:lineRule="exact"/>
        <w:ind w:left="0" w:right="0" w:firstLine="440"/>
        <w:jc w:val="both"/>
      </w:pPr>
      <w:bookmarkStart w:id="846" w:name="bookmark846"/>
      <w:bookmarkEnd w:id="846"/>
      <w:r>
        <w:rPr>
          <w:color w:val="000000"/>
          <w:spacing w:val="0"/>
          <w:w w:val="100"/>
          <w:position w:val="0"/>
        </w:rPr>
        <w:t>完成该无形资产以使其能够使用或出售在技术上具有可行性；</w:t>
      </w:r>
    </w:p>
    <w:p>
      <w:pPr>
        <w:pStyle w:val="Style18"/>
        <w:keepNext w:val="0"/>
        <w:keepLines w:val="0"/>
        <w:widowControl w:val="0"/>
        <w:numPr>
          <w:ilvl w:val="0"/>
          <w:numId w:val="39"/>
        </w:numPr>
        <w:shd w:val="clear" w:color="auto" w:fill="auto"/>
        <w:tabs>
          <w:tab w:pos="837" w:val="left"/>
        </w:tabs>
        <w:bidi w:val="0"/>
        <w:spacing w:before="0" w:after="0" w:line="471" w:lineRule="exact"/>
        <w:ind w:left="0" w:right="0" w:firstLine="440"/>
        <w:jc w:val="both"/>
      </w:pPr>
      <w:bookmarkStart w:id="847" w:name="bookmark847"/>
      <w:bookmarkEnd w:id="847"/>
      <w:r>
        <w:rPr>
          <w:color w:val="000000"/>
          <w:spacing w:val="0"/>
          <w:w w:val="100"/>
          <w:position w:val="0"/>
        </w:rPr>
        <w:t>具有完成该无形资产并使用或出售的意图；</w:t>
      </w:r>
    </w:p>
    <w:p>
      <w:pPr>
        <w:pStyle w:val="Style18"/>
        <w:keepNext w:val="0"/>
        <w:keepLines w:val="0"/>
        <w:widowControl w:val="0"/>
        <w:numPr>
          <w:ilvl w:val="0"/>
          <w:numId w:val="39"/>
        </w:numPr>
        <w:shd w:val="clear" w:color="auto" w:fill="auto"/>
        <w:tabs>
          <w:tab w:pos="814" w:val="left"/>
        </w:tabs>
        <w:bidi w:val="0"/>
        <w:spacing w:before="0" w:after="220" w:line="471" w:lineRule="exact"/>
        <w:ind w:left="0" w:right="0" w:firstLine="440"/>
        <w:jc w:val="both"/>
      </w:pPr>
      <w:bookmarkStart w:id="848" w:name="bookmark848"/>
      <w:bookmarkEnd w:id="848"/>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18"/>
        <w:keepNext w:val="0"/>
        <w:keepLines w:val="0"/>
        <w:widowControl w:val="0"/>
        <w:numPr>
          <w:ilvl w:val="0"/>
          <w:numId w:val="39"/>
        </w:numPr>
        <w:shd w:val="clear" w:color="auto" w:fill="auto"/>
        <w:tabs>
          <w:tab w:pos="749" w:val="left"/>
        </w:tabs>
        <w:bidi w:val="0"/>
        <w:spacing w:before="0" w:after="0" w:line="470" w:lineRule="exact"/>
        <w:ind w:left="0" w:right="0" w:firstLine="440"/>
        <w:jc w:val="both"/>
      </w:pPr>
      <w:bookmarkStart w:id="849" w:name="bookmark849"/>
      <w:bookmarkEnd w:id="849"/>
      <w:r>
        <w:rPr>
          <w:color w:val="000000"/>
          <w:spacing w:val="0"/>
          <w:w w:val="100"/>
          <w:position w:val="0"/>
        </w:rPr>
        <w:t>有足够的技术、财务资源和其他资源支持，以完成该无形资产的开发，并有能力使用或出售该无形 资产；</w:t>
      </w:r>
    </w:p>
    <w:p>
      <w:pPr>
        <w:pStyle w:val="Style18"/>
        <w:keepNext w:val="0"/>
        <w:keepLines w:val="0"/>
        <w:widowControl w:val="0"/>
        <w:numPr>
          <w:ilvl w:val="0"/>
          <w:numId w:val="39"/>
        </w:numPr>
        <w:shd w:val="clear" w:color="auto" w:fill="auto"/>
        <w:tabs>
          <w:tab w:pos="781" w:val="left"/>
        </w:tabs>
        <w:bidi w:val="0"/>
        <w:spacing w:before="0" w:after="0" w:line="470" w:lineRule="exact"/>
        <w:ind w:left="0" w:right="0" w:firstLine="440"/>
        <w:jc w:val="both"/>
      </w:pPr>
      <w:bookmarkStart w:id="850" w:name="bookmark850"/>
      <w:bookmarkEnd w:id="850"/>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0"/>
        <w:keepNext/>
        <w:keepLines/>
        <w:widowControl w:val="0"/>
        <w:shd w:val="clear" w:color="auto" w:fill="auto"/>
        <w:tabs>
          <w:tab w:pos="428" w:val="left"/>
        </w:tabs>
        <w:bidi w:val="0"/>
        <w:spacing w:before="0" w:after="0" w:line="48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51"/>
      <w:bookmarkEnd w:id="852"/>
      <w:bookmarkEnd w:id="854"/>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对于固定资产、在建工程、使用权资产、使用寿命有限的无形资产、以成本模式计量的投资性房地产 及对子公司、合营企业、联营企业的长期股权投资等非流动非金融资产，本公司于资产负债表日判断是否 存在减值迹象。如存在减值迹象的，则估计其可收回金额，进行减值测试。商誉、使用寿命不确定的无形 资产和尚未达到可使用状态的无形资产，无论是否存在减值迹象，每年均进行减值测试。</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1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上述资产减值损失一经确认，以后期间不予转回价值得以恢复的部分。</w:t>
      </w:r>
    </w:p>
    <w:p>
      <w:pPr>
        <w:pStyle w:val="Style30"/>
        <w:keepNext/>
        <w:keepLines/>
        <w:widowControl w:val="0"/>
        <w:shd w:val="clear" w:color="auto" w:fill="auto"/>
        <w:tabs>
          <w:tab w:pos="428" w:val="left"/>
        </w:tabs>
        <w:bidi w:val="0"/>
        <w:spacing w:before="0" w:after="0" w:line="48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55"/>
      <w:bookmarkEnd w:id="856"/>
      <w:bookmarkEnd w:id="858"/>
    </w:p>
    <w:p>
      <w:pPr>
        <w:pStyle w:val="Style18"/>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本公司发生的长期待摊费用按实际成本计价，并按预计受益期限平均摊销。对不能使以后会计期间受 益的长期待摊费用项目，其摊余价值全部计入当期损益。</w:t>
      </w:r>
    </w:p>
    <w:p>
      <w:pPr>
        <w:pStyle w:val="Style30"/>
        <w:keepNext/>
        <w:keepLines/>
        <w:widowControl w:val="0"/>
        <w:shd w:val="clear" w:color="auto" w:fill="auto"/>
        <w:tabs>
          <w:tab w:pos="459" w:val="left"/>
        </w:tabs>
        <w:bidi w:val="0"/>
        <w:spacing w:before="0" w:after="200" w:line="469" w:lineRule="exact"/>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859"/>
      <w:bookmarkEnd w:id="860"/>
      <w:bookmarkEnd w:id="862"/>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本公司根据履行履约义务与客户付款之间的关系在资产负债表中列示合同资产或合同负债。合同资产 是本公司已向客户转让商品而有权收取对价的权利，且该权利取决于时间流逝之外的其他因素。合同负债 是本公司已收或应收客户对价而应向客户转让商品的义务。</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合同资产按照预期信用损失法计提减值准备。无论是否包含重大融资成分，本公司在资产负债表日均 按照整个存续期内预期信用损失的金额计量其损失准备，如果该预期信用损失大于当前合同资产减值准备 的账面金额，将其差额确认为减值损失，反之则确认为减值利得。实际发生减值损失，认定相关合同资产 无法收回，经批准予以核销。</w:t>
      </w:r>
    </w:p>
    <w:p>
      <w:pPr>
        <w:pStyle w:val="Style18"/>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资产负债表日，对于不同合同下的合同资产、合同负债，分别列示。对于同一合同下的合同资产、合 同负债，以净额列示，净额为借方余额的，根据其流动性分别列示为合同资产或其他非流动资产，己计提 减值准备的，减去合同资产减值准备的期末余额后列示；净额为贷方余额的，根据其流动性列示为合同负 债或其他非流动负债。</w:t>
      </w:r>
    </w:p>
    <w:p>
      <w:pPr>
        <w:pStyle w:val="Style30"/>
        <w:keepNext/>
        <w:keepLines/>
        <w:widowControl w:val="0"/>
        <w:shd w:val="clear" w:color="auto" w:fill="auto"/>
        <w:tabs>
          <w:tab w:pos="459" w:val="left"/>
        </w:tabs>
        <w:bidi w:val="0"/>
        <w:spacing w:before="0" w:after="140" w:line="469" w:lineRule="exact"/>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863"/>
      <w:bookmarkEnd w:id="864"/>
      <w:bookmarkEnd w:id="866"/>
    </w:p>
    <w:p>
      <w:pPr>
        <w:pStyle w:val="Style35"/>
        <w:keepNext/>
        <w:keepLines/>
        <w:widowControl w:val="0"/>
        <w:shd w:val="clear" w:color="auto" w:fill="auto"/>
        <w:tabs>
          <w:tab w:pos="469" w:val="left"/>
        </w:tabs>
        <w:bidi w:val="0"/>
        <w:spacing w:before="0" w:after="200" w:line="469" w:lineRule="exact"/>
        <w:ind w:left="0" w:right="0" w:firstLine="0"/>
        <w:jc w:val="both"/>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7"/>
      <w:bookmarkEnd w:id="868"/>
      <w:bookmarkEnd w:id="870"/>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本公司职工薪酬主要包括短期职工薪酬、离职后福利、辞退福利。其中：</w:t>
      </w:r>
    </w:p>
    <w:p>
      <w:pPr>
        <w:pStyle w:val="Style18"/>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短期薪酬主要包括工资、奖金、津贴和补贴、职工福利费、医疗保险费、生育保险费、工伤保险费、 住房公积金、工会经费和职工教育经费、非货币性福利等。本公司在职工为本公司提供服务的会计期间将 实际发生的短期职工薪酬确认为负债，并计入当期损益或相关资产成本。其中非货币性福利按公允价值计 量。</w:t>
      </w:r>
    </w:p>
    <w:p>
      <w:pPr>
        <w:pStyle w:val="Style35"/>
        <w:keepNext/>
        <w:keepLines/>
        <w:widowControl w:val="0"/>
        <w:shd w:val="clear" w:color="auto" w:fill="auto"/>
        <w:tabs>
          <w:tab w:pos="469" w:val="left"/>
        </w:tabs>
        <w:bidi w:val="0"/>
        <w:spacing w:before="0" w:after="200" w:line="469" w:lineRule="exact"/>
        <w:ind w:left="0" w:right="0" w:firstLine="0"/>
        <w:jc w:val="both"/>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1"/>
      <w:bookmarkEnd w:id="872"/>
      <w:bookmarkEnd w:id="874"/>
    </w:p>
    <w:p>
      <w:pPr>
        <w:pStyle w:val="Style18"/>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离职后福利主要包括设定提存计划。其中设定提存计划主要包括基本养老保险、失业保险，相应的应 缴存金额于发生时计入相关资产成本或当期损益。</w:t>
      </w:r>
    </w:p>
    <w:p>
      <w:pPr>
        <w:pStyle w:val="Style35"/>
        <w:keepNext/>
        <w:keepLines/>
        <w:widowControl w:val="0"/>
        <w:shd w:val="clear" w:color="auto" w:fill="auto"/>
        <w:tabs>
          <w:tab w:pos="469" w:val="left"/>
        </w:tabs>
        <w:bidi w:val="0"/>
        <w:spacing w:before="0" w:after="200" w:line="469" w:lineRule="exact"/>
        <w:ind w:left="0" w:right="0" w:firstLine="0"/>
        <w:jc w:val="both"/>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5"/>
      <w:bookmarkEnd w:id="876"/>
      <w:bookmarkEnd w:id="878"/>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在职工劳动合同到期之前解除与职工的劳动关系，或为鼓励职工自愿接受裁减而提出给予补偿的建 议，在本公司不能单方面撤回因解除劳动关系计划或裁减建议所提供的辞退福利时，和本公司确认与涉及 支付辞退福利的重组相关的成本两者孰早日，确认辞退福利产生的职工薪酬负债，并计入当期损益。但辞 </w:t>
      </w:r>
      <w:r>
        <w:rPr>
          <w:color w:val="000000"/>
          <w:spacing w:val="0"/>
          <w:w w:val="100"/>
          <w:position w:val="0"/>
        </w:rPr>
        <w:t>退福利预期在年度报告期结束后十二个月不能完全支付的，按照其他长期职工薪酬处理。</w:t>
      </w:r>
    </w:p>
    <w:p>
      <w:pPr>
        <w:pStyle w:val="Style18"/>
        <w:keepNext w:val="0"/>
        <w:keepLines w:val="0"/>
        <w:widowControl w:val="0"/>
        <w:shd w:val="clear" w:color="auto" w:fill="auto"/>
        <w:bidi w:val="0"/>
        <w:spacing w:before="0" w:after="460" w:line="461" w:lineRule="exact"/>
        <w:ind w:left="0" w:right="0" w:firstLine="440"/>
        <w:jc w:val="both"/>
      </w:pPr>
      <w:r>
        <w:rPr>
          <w:color w:val="000000"/>
          <w:spacing w:val="0"/>
          <w:w w:val="100"/>
          <w:position w:val="0"/>
        </w:rPr>
        <w:t>职工内部退休计划采用上述辞退福利相同的原则处理。本公司将自职工停止提供服务日至正常退休日 的期间拟支付的内退人员工资和缴纳的社会保险费等，在符合预计负债确认条件时，计入当期损益（辞退 福利）。</w:t>
      </w:r>
    </w:p>
    <w:p>
      <w:pPr>
        <w:pStyle w:val="Style30"/>
        <w:keepNext/>
        <w:keepLines/>
        <w:widowControl w:val="0"/>
        <w:shd w:val="clear" w:color="auto" w:fill="auto"/>
        <w:tabs>
          <w:tab w:pos="483" w:val="left"/>
        </w:tabs>
        <w:bidi w:val="0"/>
        <w:spacing w:before="0" w:after="0" w:line="480" w:lineRule="auto"/>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2</w:t>
      </w:r>
      <w:bookmarkEnd w:id="881"/>
      <w:r>
        <w:rPr>
          <w:rFonts w:ascii="Times New Roman" w:eastAsia="Times New Roman" w:hAnsi="Times New Roman" w:cs="Times New Roman"/>
          <w:color w:val="000000"/>
          <w:spacing w:val="0"/>
          <w:w w:val="100"/>
          <w:position w:val="0"/>
        </w:rPr>
        <w:t>6</w:t>
      </w:r>
      <w:r>
        <w:rPr>
          <w:color w:val="000000"/>
          <w:spacing w:val="0"/>
          <w:w w:val="100"/>
          <w:position w:val="0"/>
        </w:rPr>
        <w:t>、</w:t>
        <w:tab/>
        <w:t>租赁负债</w:t>
      </w:r>
      <w:bookmarkEnd w:id="879"/>
      <w:bookmarkEnd w:id="880"/>
      <w:bookmarkEnd w:id="882"/>
    </w:p>
    <w:p>
      <w:pPr>
        <w:pStyle w:val="Style1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租赁负债反映本公司尚未支付的租赁付款额的现值。本公司按照租赁期开始日尚未支付的租赁付款额 的现值对租赁负债进行初始计量。</w:t>
      </w:r>
    </w:p>
    <w:p>
      <w:pPr>
        <w:pStyle w:val="Style1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租赁付款额，是指本公司向出租人支付的与在租赁期内使用租赁资产的权利相关的款项，包括：</w:t>
      </w:r>
      <w:r>
        <w:rPr>
          <w:color w:val="000000"/>
          <w:spacing w:val="0"/>
          <w:w w:val="100"/>
          <w:position w:val="0"/>
        </w:rPr>
        <w:t>A.</w:t>
      </w:r>
      <w:r>
        <w:rPr>
          <w:color w:val="000000"/>
          <w:spacing w:val="0"/>
          <w:w w:val="100"/>
          <w:position w:val="0"/>
        </w:rPr>
        <w:t>固 定付款额及实质固定付款额，存在租赁激励的，扣除租赁激励相关金额；</w:t>
      </w:r>
      <w:r>
        <w:rPr>
          <w:color w:val="000000"/>
          <w:spacing w:val="0"/>
          <w:w w:val="100"/>
          <w:position w:val="0"/>
        </w:rPr>
        <w:t>B.</w:t>
      </w:r>
      <w:r>
        <w:rPr>
          <w:color w:val="000000"/>
          <w:spacing w:val="0"/>
          <w:w w:val="100"/>
          <w:position w:val="0"/>
        </w:rPr>
        <w:t>取决于指数或比率的可变租赁 付款额，该款项在初始计量时根据租赁期开始日的指数或比率确定；</w:t>
      </w:r>
      <w:r>
        <w:rPr>
          <w:color w:val="000000"/>
          <w:spacing w:val="0"/>
          <w:w w:val="100"/>
          <w:position w:val="0"/>
        </w:rPr>
        <w:t>C.</w:t>
      </w:r>
      <w:r>
        <w:rPr>
          <w:color w:val="000000"/>
          <w:spacing w:val="0"/>
          <w:w w:val="100"/>
          <w:position w:val="0"/>
        </w:rPr>
        <w:t>本公司合理确定将行使购买选择权 时，购买选择权的行权价格；</w:t>
      </w:r>
      <w:r>
        <w:rPr>
          <w:color w:val="000000"/>
          <w:spacing w:val="0"/>
          <w:w w:val="100"/>
          <w:position w:val="0"/>
        </w:rPr>
        <w:t>D.</w:t>
      </w:r>
      <w:r>
        <w:rPr>
          <w:color w:val="000000"/>
          <w:spacing w:val="0"/>
          <w:w w:val="100"/>
          <w:position w:val="0"/>
        </w:rPr>
        <w:t>租赁期反映出本公司将行使终止租赁选择权时，行使终止租赁选择权需支 付的款项；</w:t>
      </w:r>
      <w:r>
        <w:rPr>
          <w:color w:val="000000"/>
          <w:spacing w:val="0"/>
          <w:w w:val="100"/>
          <w:position w:val="0"/>
        </w:rPr>
        <w:t>E.</w:t>
      </w:r>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在计算租赁付款额的现值时，本公司采用租赁内含利率作为折现率；无法确定租赁内含利率时，采用 增量借款利率作为折现率，以同期银行贷款利率为基础，考虑相关因素调整得出增量借款利率。</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本公司按照固定的周期性利率计算租赁负债在租赁期内各期间的利息费用，并计入当期损益，但应当 资本化的计入相关资产成本。</w:t>
      </w:r>
    </w:p>
    <w:p>
      <w:pPr>
        <w:pStyle w:val="Style18"/>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当购买选择权、续租选择权、终止租赁选择权的评估结果发生变化，续租选择权、终止租赁选择权实 际行使情况与原评估结果不一致，根据担保余值预计的应付金额发生变动，用于确定租赁付款额的指数或 比率发生变动，或者实质固定付款额发生变动时，重新计量租赁负债。</w:t>
      </w:r>
    </w:p>
    <w:p>
      <w:pPr>
        <w:pStyle w:val="Style30"/>
        <w:keepNext/>
        <w:keepLines/>
        <w:widowControl w:val="0"/>
        <w:shd w:val="clear" w:color="auto" w:fill="auto"/>
        <w:tabs>
          <w:tab w:pos="483" w:val="left"/>
        </w:tabs>
        <w:bidi w:val="0"/>
        <w:spacing w:before="0" w:after="0" w:line="48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7</w:t>
      </w:r>
      <w:r>
        <w:rPr>
          <w:color w:val="000000"/>
          <w:spacing w:val="0"/>
          <w:w w:val="100"/>
          <w:position w:val="0"/>
        </w:rPr>
        <w:t>、</w:t>
        <w:tab/>
        <w:t>预计负债</w:t>
      </w:r>
      <w:bookmarkEnd w:id="883"/>
      <w:bookmarkEnd w:id="884"/>
      <w:bookmarkEnd w:id="886"/>
    </w:p>
    <w:p>
      <w:pPr>
        <w:pStyle w:val="Style1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如果与或有事项相关的义务同时符合以下条件，本公司将其确认为预计负债：</w:t>
      </w:r>
    </w:p>
    <w:p>
      <w:pPr>
        <w:pStyle w:val="Style18"/>
        <w:keepNext w:val="0"/>
        <w:keepLines w:val="0"/>
        <w:widowControl w:val="0"/>
        <w:shd w:val="clear" w:color="auto" w:fill="auto"/>
        <w:tabs>
          <w:tab w:pos="928" w:val="left"/>
        </w:tabs>
        <w:bidi w:val="0"/>
        <w:spacing w:before="0" w:after="0" w:line="466" w:lineRule="exact"/>
        <w:ind w:left="0" w:right="0" w:firstLine="440"/>
        <w:jc w:val="left"/>
      </w:pPr>
      <w:bookmarkStart w:id="887" w:name="bookmark887"/>
      <w:r>
        <w:rPr>
          <w:color w:val="000000"/>
          <w:spacing w:val="0"/>
          <w:w w:val="100"/>
          <w:position w:val="0"/>
        </w:rPr>
        <w:t>（</w:t>
      </w:r>
      <w:bookmarkEnd w:id="887"/>
      <w:r>
        <w:rPr>
          <w:color w:val="000000"/>
          <w:spacing w:val="0"/>
          <w:w w:val="100"/>
          <w:position w:val="0"/>
        </w:rPr>
        <w:t>1）</w:t>
        <w:tab/>
      </w:r>
      <w:r>
        <w:rPr>
          <w:color w:val="000000"/>
          <w:spacing w:val="0"/>
          <w:w w:val="100"/>
          <w:position w:val="0"/>
        </w:rPr>
        <w:t>该义务是本公司承担的现时义务；</w:t>
      </w:r>
    </w:p>
    <w:p>
      <w:pPr>
        <w:pStyle w:val="Style18"/>
        <w:keepNext w:val="0"/>
        <w:keepLines w:val="0"/>
        <w:widowControl w:val="0"/>
        <w:shd w:val="clear" w:color="auto" w:fill="auto"/>
        <w:tabs>
          <w:tab w:pos="928" w:val="left"/>
        </w:tabs>
        <w:bidi w:val="0"/>
        <w:spacing w:before="0" w:after="0" w:line="466" w:lineRule="exact"/>
        <w:ind w:left="0" w:right="0" w:firstLine="440"/>
        <w:jc w:val="left"/>
      </w:pPr>
      <w:bookmarkStart w:id="888" w:name="bookmark888"/>
      <w:r>
        <w:rPr>
          <w:color w:val="000000"/>
          <w:spacing w:val="0"/>
          <w:w w:val="100"/>
          <w:position w:val="0"/>
        </w:rPr>
        <w:t>（</w:t>
      </w:r>
      <w:bookmarkEnd w:id="888"/>
      <w:r>
        <w:rPr>
          <w:color w:val="000000"/>
          <w:spacing w:val="0"/>
          <w:w w:val="100"/>
          <w:position w:val="0"/>
        </w:rPr>
        <w:t>2）</w:t>
        <w:tab/>
      </w:r>
      <w:r>
        <w:rPr>
          <w:color w:val="000000"/>
          <w:spacing w:val="0"/>
          <w:w w:val="100"/>
          <w:position w:val="0"/>
        </w:rPr>
        <w:t>该义务的履行很可能导致经济利益流出本公司；</w:t>
      </w:r>
    </w:p>
    <w:p>
      <w:pPr>
        <w:pStyle w:val="Style18"/>
        <w:keepNext w:val="0"/>
        <w:keepLines w:val="0"/>
        <w:widowControl w:val="0"/>
        <w:shd w:val="clear" w:color="auto" w:fill="auto"/>
        <w:tabs>
          <w:tab w:pos="928" w:val="left"/>
        </w:tabs>
        <w:bidi w:val="0"/>
        <w:spacing w:before="0" w:after="0" w:line="466" w:lineRule="exact"/>
        <w:ind w:left="0" w:right="0" w:firstLine="440"/>
        <w:jc w:val="both"/>
      </w:pPr>
      <w:bookmarkStart w:id="889" w:name="bookmark889"/>
      <w:r>
        <w:rPr>
          <w:color w:val="000000"/>
          <w:spacing w:val="0"/>
          <w:w w:val="100"/>
          <w:position w:val="0"/>
        </w:rPr>
        <w:t>（</w:t>
      </w:r>
      <w:bookmarkEnd w:id="889"/>
      <w:r>
        <w:rPr>
          <w:color w:val="000000"/>
          <w:spacing w:val="0"/>
          <w:w w:val="100"/>
          <w:position w:val="0"/>
        </w:rPr>
        <w:t>3）</w:t>
        <w:tab/>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预计负债按照履行相关现时义务所需支出的最佳估计数进行初始计量，综合考虑与或有事项有关的风 险、不确定性和货币时间价值等因素。货币时间价值影响重大的，通过对相关未来现金流出进行折现后确 定最佳估计数。</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如果清偿已确认预计负债所需支出全部或部分预期由第三方或其他方补偿，则补偿金额只能在基本确</w:t>
      </w:r>
    </w:p>
    <w:p>
      <w:pPr>
        <w:pStyle w:val="Style18"/>
        <w:keepNext w:val="0"/>
        <w:keepLines w:val="0"/>
        <w:widowControl w:val="0"/>
        <w:shd w:val="clear" w:color="auto" w:fill="auto"/>
        <w:bidi w:val="0"/>
        <w:spacing w:before="0" w:after="460" w:line="469" w:lineRule="exact"/>
        <w:ind w:left="0" w:right="0" w:firstLine="0"/>
        <w:jc w:val="left"/>
      </w:pPr>
      <w:r>
        <w:rPr>
          <w:color w:val="000000"/>
          <w:spacing w:val="0"/>
          <w:w w:val="100"/>
          <w:position w:val="0"/>
        </w:rPr>
        <w:t>定能收到时，作为资产单独确认。确认的补偿金额不超过所确认负债的账面价值。</w:t>
      </w:r>
    </w:p>
    <w:p>
      <w:pPr>
        <w:pStyle w:val="Style30"/>
        <w:keepNext/>
        <w:keepLines/>
        <w:widowControl w:val="0"/>
        <w:shd w:val="clear" w:color="auto" w:fill="auto"/>
        <w:bidi w:val="0"/>
        <w:spacing w:before="0" w:after="0" w:line="480" w:lineRule="auto"/>
        <w:ind w:left="0" w:right="0" w:firstLine="0"/>
        <w:jc w:val="left"/>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890"/>
      <w:bookmarkEnd w:id="891"/>
      <w:bookmarkEnd w:id="892"/>
    </w:p>
    <w:p>
      <w:pPr>
        <w:pStyle w:val="Style18"/>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收入是本公司在日常活动中形成的、会导致股东权益增加且与股东投入资本无关的经济利益的总流 入。本公司在履行了合同中的履约义务，即在客户取得相关商品或服务（简称商品）的控制权时确认收入。</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合同中包含两项或多项履约义务的，本公司在合同开始日，按照各单项履约义务所承诺商品的单独售 价的相对比例，将交易价格分摊至各单项履约义务，按照分摊至各单项履约义务的交易价格计量收入。</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交易价格是本公司因向客户转让商品而预期有权收取的对价金额，不包括代第三方收取的款项。本公 司确认的交易价格不超过在相关不确定性消除时累计已确认收入极可能不会发生重大转回的金额。合同中 存在重大融资成分的，本公司按照假定客户在取得商品控制权时即以现金支付的应付金额确定交易价格， 该交易价格与合同承诺的对价之间的差额，在合同期间内采用实际利率法摊销。</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满足下列条件之一时，属于在某一时段内履行履约义务，否则，属于在某一时点履行履约义务：①客 户在本公司履约的同时即取得并消耗本公司履约所带来的经济利益；②客户能够控制本公司履约过程中在 建的商品；③本公司履约过程中所产出的商品具有不可替代用途，且本公司在整个合同期间内有权就累计 至今已完成的履约部分收取款项。</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对于在某一时段内履行的履约义务，本公司在该时段内按照履约进度确认收入。履约进度不能合理确 定时，本公司已经发生的成本预计能够得到补偿的，按照已经发生的成本金额确认收入，直至履约进度能 够合理确定。对于在某一时点履行的履约义务，本公司在客户取得相关商品控制权时点确认收入。</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公司主营业务为应用软件开发、技术服务及相关的计算机信息系统集成服务。包括集成服务、技术服 务和软件产品销售，各类业务销售收入确认的具体方法如下：</w:t>
      </w:r>
    </w:p>
    <w:p>
      <w:pPr>
        <w:pStyle w:val="Style18"/>
        <w:keepNext w:val="0"/>
        <w:keepLines w:val="0"/>
        <w:widowControl w:val="0"/>
        <w:shd w:val="clear" w:color="auto" w:fill="auto"/>
        <w:tabs>
          <w:tab w:pos="916" w:val="left"/>
        </w:tabs>
        <w:bidi w:val="0"/>
        <w:spacing w:before="0" w:after="0" w:line="469" w:lineRule="exact"/>
        <w:ind w:left="0" w:right="0" w:firstLine="440"/>
        <w:jc w:val="both"/>
      </w:pPr>
      <w:bookmarkStart w:id="893" w:name="bookmark893"/>
      <w:r>
        <w:rPr>
          <w:color w:val="000000"/>
          <w:spacing w:val="0"/>
          <w:w w:val="100"/>
          <w:position w:val="0"/>
        </w:rPr>
        <w:t>（</w:t>
      </w:r>
      <w:bookmarkEnd w:id="893"/>
      <w:r>
        <w:rPr>
          <w:color w:val="000000"/>
          <w:spacing w:val="0"/>
          <w:w w:val="100"/>
          <w:position w:val="0"/>
        </w:rPr>
        <w:t>1）</w:t>
        <w:tab/>
      </w:r>
      <w:r>
        <w:rPr>
          <w:color w:val="000000"/>
          <w:spacing w:val="0"/>
          <w:w w:val="100"/>
          <w:position w:val="0"/>
        </w:rPr>
        <w:t>集成服务收入：按合同约定在产品交付购货方，并经客户验收合格后确认收入。</w:t>
      </w:r>
    </w:p>
    <w:p>
      <w:pPr>
        <w:pStyle w:val="Style18"/>
        <w:keepNext w:val="0"/>
        <w:keepLines w:val="0"/>
        <w:widowControl w:val="0"/>
        <w:shd w:val="clear" w:color="auto" w:fill="auto"/>
        <w:tabs>
          <w:tab w:pos="1002" w:val="left"/>
        </w:tabs>
        <w:bidi w:val="0"/>
        <w:spacing w:before="0" w:after="0" w:line="469" w:lineRule="exact"/>
        <w:ind w:left="0" w:right="0" w:firstLine="440"/>
        <w:jc w:val="both"/>
      </w:pPr>
      <w:bookmarkStart w:id="894" w:name="bookmark894"/>
      <w:r>
        <w:rPr>
          <w:color w:val="000000"/>
          <w:spacing w:val="0"/>
          <w:w w:val="100"/>
          <w:position w:val="0"/>
        </w:rPr>
        <w:t>（</w:t>
      </w:r>
      <w:bookmarkEnd w:id="894"/>
      <w:r>
        <w:rPr>
          <w:color w:val="000000"/>
          <w:spacing w:val="0"/>
          <w:w w:val="100"/>
          <w:position w:val="0"/>
        </w:rPr>
        <w:t>2）</w:t>
        <w:tab/>
      </w:r>
      <w:r>
        <w:rPr>
          <w:color w:val="000000"/>
          <w:spacing w:val="0"/>
          <w:w w:val="100"/>
          <w:position w:val="0"/>
        </w:rPr>
        <w:t>技术服务收入：技术咨询、技术服务、技术培训按合同约定提供服务完成并经客户验收合格后， 或服务期满后确认收入。技术开发收入按合同约定开发进度，并经客户阶段验收合格后按进度确认收入。</w:t>
      </w:r>
    </w:p>
    <w:p>
      <w:pPr>
        <w:pStyle w:val="Style18"/>
        <w:keepNext w:val="0"/>
        <w:keepLines w:val="0"/>
        <w:widowControl w:val="0"/>
        <w:shd w:val="clear" w:color="auto" w:fill="auto"/>
        <w:tabs>
          <w:tab w:pos="1007" w:val="left"/>
        </w:tabs>
        <w:bidi w:val="0"/>
        <w:spacing w:before="0" w:after="0" w:line="469" w:lineRule="exact"/>
        <w:ind w:left="0" w:right="0" w:firstLine="440"/>
        <w:jc w:val="both"/>
      </w:pPr>
      <w:bookmarkStart w:id="895" w:name="bookmark895"/>
      <w:r>
        <w:rPr>
          <w:color w:val="000000"/>
          <w:spacing w:val="0"/>
          <w:w w:val="100"/>
          <w:position w:val="0"/>
        </w:rPr>
        <w:t>（</w:t>
      </w:r>
      <w:bookmarkEnd w:id="895"/>
      <w:r>
        <w:rPr>
          <w:color w:val="000000"/>
          <w:spacing w:val="0"/>
          <w:w w:val="100"/>
          <w:position w:val="0"/>
        </w:rPr>
        <w:t>3）</w:t>
        <w:tab/>
      </w:r>
      <w:r>
        <w:rPr>
          <w:color w:val="000000"/>
          <w:spacing w:val="0"/>
          <w:w w:val="100"/>
          <w:position w:val="0"/>
        </w:rPr>
        <w:t>软件产品销售收入：按合同约定，需安装调试的，在安装调试完成、投入运行并经客户验收合 格后确认收入；不需安装的，于产品发出且到货验收合格后确认收入。</w:t>
      </w:r>
    </w:p>
    <w:p>
      <w:pPr>
        <w:pStyle w:val="Style18"/>
        <w:keepNext w:val="0"/>
        <w:keepLines w:val="0"/>
        <w:widowControl w:val="0"/>
        <w:shd w:val="clear" w:color="auto" w:fill="auto"/>
        <w:tabs>
          <w:tab w:pos="1007" w:val="left"/>
        </w:tabs>
        <w:bidi w:val="0"/>
        <w:spacing w:before="0" w:after="0" w:line="469" w:lineRule="exact"/>
        <w:ind w:left="0" w:right="0" w:firstLine="440"/>
        <w:jc w:val="both"/>
      </w:pPr>
      <w:bookmarkStart w:id="896" w:name="bookmark896"/>
      <w:r>
        <w:rPr>
          <w:color w:val="000000"/>
          <w:spacing w:val="0"/>
          <w:w w:val="100"/>
          <w:position w:val="0"/>
        </w:rPr>
        <w:t>（</w:t>
      </w:r>
      <w:bookmarkEnd w:id="896"/>
      <w:r>
        <w:rPr>
          <w:color w:val="000000"/>
          <w:spacing w:val="0"/>
          <w:w w:val="100"/>
          <w:position w:val="0"/>
        </w:rPr>
        <w:t>4）</w:t>
        <w:tab/>
      </w:r>
      <w:r>
        <w:rPr>
          <w:color w:val="000000"/>
          <w:spacing w:val="0"/>
          <w:w w:val="100"/>
          <w:position w:val="0"/>
        </w:rPr>
        <w:t>自助设备（硬件销售）收入：按合同约定，需开通上线的，在设备开通上线，经客户验收后确 认收入；不需开通上线的，于产品发出且到货验收合格后确认收入。</w:t>
      </w:r>
    </w:p>
    <w:p>
      <w:pPr>
        <w:pStyle w:val="Style18"/>
        <w:keepNext w:val="0"/>
        <w:keepLines w:val="0"/>
        <w:widowControl w:val="0"/>
        <w:shd w:val="clear" w:color="auto" w:fill="auto"/>
        <w:tabs>
          <w:tab w:pos="916" w:val="left"/>
        </w:tabs>
        <w:bidi w:val="0"/>
        <w:spacing w:before="0" w:after="0" w:line="469" w:lineRule="exact"/>
        <w:ind w:left="0" w:right="0" w:firstLine="440"/>
        <w:jc w:val="both"/>
      </w:pPr>
      <w:bookmarkStart w:id="897" w:name="bookmark897"/>
      <w:r>
        <w:rPr>
          <w:color w:val="000000"/>
          <w:spacing w:val="0"/>
          <w:w w:val="100"/>
          <w:position w:val="0"/>
        </w:rPr>
        <w:t>（</w:t>
      </w:r>
      <w:bookmarkEnd w:id="897"/>
      <w:r>
        <w:rPr>
          <w:color w:val="000000"/>
          <w:spacing w:val="0"/>
          <w:w w:val="100"/>
          <w:position w:val="0"/>
        </w:rPr>
        <w:t>5）</w:t>
        <w:tab/>
      </w:r>
      <w:r>
        <w:rPr>
          <w:color w:val="000000"/>
          <w:spacing w:val="0"/>
          <w:w w:val="100"/>
          <w:position w:val="0"/>
        </w:rPr>
        <w:t>合作运营：在每个运营期，依据合同约定比例以及经确认的交易金额确认收入。</w:t>
      </w:r>
    </w:p>
    <w:p>
      <w:pPr>
        <w:pStyle w:val="Style30"/>
        <w:keepNext/>
        <w:keepLines/>
        <w:widowControl w:val="0"/>
        <w:shd w:val="clear" w:color="auto" w:fill="auto"/>
        <w:tabs>
          <w:tab w:pos="435" w:val="left"/>
        </w:tabs>
        <w:bidi w:val="0"/>
        <w:spacing w:before="0" w:after="220" w:line="467"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898"/>
      <w:bookmarkEnd w:id="899"/>
      <w:bookmarkEnd w:id="901"/>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政府补助是指本公司从政府无偿取得货币性资产或非货币性资产，不包括政府以投资者身份并享有相 应所有者权益而投入的资本。政府补助为货币性资产的，按照收到或应收的金额计量。政府补助为非货币 性资产的，应当按照公允价值计量；公允价值不能可靠取得的，按照名义金额计量。按照名义金额计量的 政府补助，直接计入当期损益。</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当本公司能够满足政府补助所附条件，且能够收到政府补助时，才能确认政府补助。</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政府补助分为与资产相关的政府补助和与收益相关的政府补助。与资产相关的政府补助，是指公司取 得的、用于购建或以其他方式形成长期资产的政府补助。与收益相关的政府补助，是指除与资产相关的政 府补助之外的政府补助。对于政府文件未明确规定补助对象的，本公司将该政府补助划分为与资产相关或 与收益相关的判断依据为：是否用于购建或以其他方式形成长期资产。</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与资产相关的政府补助，冲减相关资产账面价值或确认为递延收益。确认为递延收益的，在相关资产 使用寿命内按照合理、系统的方法分期计入当期损益（与本公司日常活动相关的，计入其他收益；与本公 司日常活动无关的，计入营业外收入）。</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与收益相关的政府补助，用于补偿本公司以后期间的相关成本费用或损失的，确认为递延收益，并在 确认相关成本费用或损失的期间，计入当期损益（与本公司日常活动相关的，计入其他收益；与本公司日 常活动无关的，计入营业外收入）或冲减相关成本费用或损失；用于补偿本公司已发生的相关成本费用或 损失的，直接计入当期损益（与本公司日常活动相关的，计入其他收益；与本公司日常活动无关的，计入 营业外收入）或冲减相关成本费用或损失。</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对于同时包含与资产相关部分和与收益相关部分的政府补助，区分不同部分分别进行会计处理；难以 区分的，整体归类为与收益相关的政府补助。</w:t>
      </w:r>
    </w:p>
    <w:p>
      <w:pPr>
        <w:pStyle w:val="Style18"/>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与公司日常活动相关的政府补助，按照经济业务实质，计入其他收益或冲减相关成本费用。与公司日 常活动无关的政府补助，计入营业外收支。</w:t>
      </w:r>
    </w:p>
    <w:p>
      <w:pPr>
        <w:pStyle w:val="Style30"/>
        <w:keepNext/>
        <w:keepLines/>
        <w:widowControl w:val="0"/>
        <w:shd w:val="clear" w:color="auto" w:fill="auto"/>
        <w:tabs>
          <w:tab w:pos="435" w:val="left"/>
        </w:tabs>
        <w:bidi w:val="0"/>
        <w:spacing w:before="0" w:after="220" w:line="467"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2"/>
      <w:bookmarkEnd w:id="903"/>
      <w:bookmarkEnd w:id="905"/>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 xml:space="preserve">与商誉的初始确认有关，以及与既不是企业合并、发生时也不影响会计利润和应纳税所得额（或可抵 扣亏损）的交易中产生的资产或负债的初始确认有关的应纳税暂时性差异，不予确认有关的递延所得税负 </w:t>
      </w:r>
      <w:r>
        <w:rPr>
          <w:color w:val="000000"/>
          <w:spacing w:val="0"/>
          <w:w w:val="100"/>
          <w:position w:val="0"/>
        </w:rPr>
        <w:t>债。此外，对与子公司、联营企业及合营企业投资相关的应纳税暂时性差异，如果本公司能够控制暂时性 差异转回的时间，而且该暂时性差异在可预见的未来很可能不会转回，也不予确认有关的递延所得税负债。 除上述例外情况，本公司确认其他所有应纳税暂时性差异产生的递延所得税负债。</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例外情况，本公司以很可能取得用来抵扣可抵扣暂时性差异的应纳税所得额为限，确认其他可抵扣暂时性 差异产生的递延所得税资产。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1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0"/>
        <w:keepNext/>
        <w:keepLines/>
        <w:widowControl w:val="0"/>
        <w:shd w:val="clear" w:color="auto" w:fill="auto"/>
        <w:bidi w:val="0"/>
        <w:spacing w:before="0" w:after="0" w:line="480" w:lineRule="auto"/>
        <w:ind w:left="0" w:right="0" w:firstLine="0"/>
        <w:jc w:val="both"/>
      </w:pPr>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06"/>
      <w:bookmarkEnd w:id="907"/>
      <w:bookmarkEnd w:id="908"/>
    </w:p>
    <w:p>
      <w:pPr>
        <w:pStyle w:val="Style35"/>
        <w:keepNext/>
        <w:keepLines/>
        <w:widowControl w:val="0"/>
        <w:shd w:val="clear" w:color="auto" w:fill="auto"/>
        <w:bidi w:val="0"/>
        <w:spacing w:before="0" w:after="200" w:line="469" w:lineRule="exact"/>
        <w:ind w:left="0" w:right="0" w:firstLine="0"/>
        <w:jc w:val="both"/>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09"/>
      <w:bookmarkEnd w:id="910"/>
      <w:bookmarkEnd w:id="912"/>
    </w:p>
    <w:p>
      <w:pPr>
        <w:pStyle w:val="Style18"/>
        <w:keepNext w:val="0"/>
        <w:keepLines w:val="0"/>
        <w:widowControl w:val="0"/>
        <w:numPr>
          <w:ilvl w:val="0"/>
          <w:numId w:val="41"/>
        </w:numPr>
        <w:shd w:val="clear" w:color="auto" w:fill="auto"/>
        <w:tabs>
          <w:tab w:pos="764" w:val="left"/>
        </w:tabs>
        <w:bidi w:val="0"/>
        <w:spacing w:before="0" w:after="0" w:line="467" w:lineRule="exact"/>
        <w:ind w:left="0" w:right="0" w:firstLine="440"/>
        <w:jc w:val="both"/>
      </w:pPr>
      <w:bookmarkStart w:id="913" w:name="bookmark913"/>
      <w:bookmarkEnd w:id="913"/>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18"/>
        <w:keepNext w:val="0"/>
        <w:keepLines w:val="0"/>
        <w:widowControl w:val="0"/>
        <w:numPr>
          <w:ilvl w:val="0"/>
          <w:numId w:val="41"/>
        </w:numPr>
        <w:shd w:val="clear" w:color="auto" w:fill="auto"/>
        <w:tabs>
          <w:tab w:pos="764" w:val="left"/>
        </w:tabs>
        <w:bidi w:val="0"/>
        <w:spacing w:before="0" w:after="320" w:line="467" w:lineRule="exact"/>
        <w:ind w:left="0" w:right="0" w:firstLine="440"/>
        <w:jc w:val="both"/>
      </w:pPr>
      <w:bookmarkStart w:id="914" w:name="bookmark914"/>
      <w:bookmarkEnd w:id="914"/>
      <w:r>
        <w:rPr>
          <w:color w:val="000000"/>
          <w:spacing w:val="0"/>
          <w:w w:val="100"/>
          <w:position w:val="0"/>
        </w:rPr>
        <w:t>公司出租资产所收取的租赁费，在不扣除免租期的整个租赁期内，按直线法进行分摊，确认为租赁 相关收入。公司支付的与租赁交易相关的初始直接费用，计入当期费用；如金额较大的，则予以资本化， 在整个租赁期间内按照与租赁相关收入确认相同的基础分期计入当期收益。公司承担了应由承租方承担的 与租赁相关的费用时，公司将该部分费用从租金收入总额中扣除，按扣除后的租金费用在租赁期内分配。</w:t>
      </w:r>
    </w:p>
    <w:p>
      <w:pPr>
        <w:pStyle w:val="Style35"/>
        <w:keepNext/>
        <w:keepLines/>
        <w:widowControl w:val="0"/>
        <w:shd w:val="clear" w:color="auto" w:fill="auto"/>
        <w:bidi w:val="0"/>
        <w:spacing w:before="0" w:after="220" w:line="466" w:lineRule="exact"/>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15"/>
      <w:bookmarkEnd w:id="916"/>
      <w:bookmarkEnd w:id="918"/>
    </w:p>
    <w:p>
      <w:pPr>
        <w:pStyle w:val="Style18"/>
        <w:keepNext w:val="0"/>
        <w:keepLines w:val="0"/>
        <w:widowControl w:val="0"/>
        <w:numPr>
          <w:ilvl w:val="0"/>
          <w:numId w:val="43"/>
        </w:numPr>
        <w:shd w:val="clear" w:color="auto" w:fill="auto"/>
        <w:tabs>
          <w:tab w:pos="777" w:val="left"/>
        </w:tabs>
        <w:bidi w:val="0"/>
        <w:spacing w:before="0" w:after="0" w:line="466" w:lineRule="exact"/>
        <w:ind w:left="0" w:right="0" w:firstLine="440"/>
        <w:jc w:val="both"/>
      </w:pPr>
      <w:bookmarkStart w:id="919" w:name="bookmark919"/>
      <w:bookmarkEnd w:id="919"/>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18"/>
        <w:keepNext w:val="0"/>
        <w:keepLines w:val="0"/>
        <w:widowControl w:val="0"/>
        <w:numPr>
          <w:ilvl w:val="0"/>
          <w:numId w:val="43"/>
        </w:numPr>
        <w:shd w:val="clear" w:color="auto" w:fill="auto"/>
        <w:tabs>
          <w:tab w:pos="777" w:val="left"/>
        </w:tabs>
        <w:bidi w:val="0"/>
        <w:spacing w:before="0" w:after="220" w:line="466" w:lineRule="exact"/>
        <w:ind w:left="0" w:right="0" w:firstLine="440"/>
        <w:jc w:val="both"/>
      </w:pPr>
      <w:bookmarkStart w:id="920" w:name="bookmark920"/>
      <w:bookmarkEnd w:id="920"/>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0"/>
        <w:keepNext/>
        <w:keepLines/>
        <w:widowControl w:val="0"/>
        <w:shd w:val="clear" w:color="auto" w:fill="auto"/>
        <w:bidi w:val="0"/>
        <w:spacing w:before="0" w:after="160" w:line="466" w:lineRule="exact"/>
        <w:ind w:left="0" w:right="0" w:firstLine="0"/>
        <w:jc w:val="left"/>
      </w:pPr>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32</w:t>
      </w:r>
      <w:r>
        <w:rPr>
          <w:color w:val="000000"/>
          <w:spacing w:val="0"/>
          <w:w w:val="100"/>
          <w:position w:val="0"/>
        </w:rPr>
        <w:t>、重要会计政策和会计估计变更</w:t>
      </w:r>
      <w:bookmarkEnd w:id="921"/>
      <w:bookmarkEnd w:id="922"/>
      <w:bookmarkEnd w:id="923"/>
    </w:p>
    <w:p>
      <w:pPr>
        <w:pStyle w:val="Style35"/>
        <w:keepNext/>
        <w:keepLines/>
        <w:widowControl w:val="0"/>
        <w:shd w:val="clear" w:color="auto" w:fill="auto"/>
        <w:bidi w:val="0"/>
        <w:spacing w:before="0" w:after="320" w:line="466" w:lineRule="exact"/>
        <w:ind w:left="0" w:right="0" w:firstLine="0"/>
        <w:jc w:val="left"/>
      </w:pPr>
      <w:bookmarkStart w:id="924" w:name="bookmark924"/>
      <w:bookmarkStart w:id="925" w:name="bookmark925"/>
      <w:bookmarkStart w:id="926" w:name="bookmark9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4"/>
      <w:bookmarkEnd w:id="925"/>
      <w:bookmarkEnd w:id="92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4</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财政部</w:t>
            </w:r>
            <w:r>
              <w:rPr>
                <w:color w:val="000000"/>
                <w:spacing w:val="0"/>
                <w:w w:val="100"/>
                <w:position w:val="0"/>
                <w:sz w:val="18"/>
                <w:szCs w:val="18"/>
              </w:rPr>
              <w:t>2018</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7</w:t>
            </w:r>
            <w:r>
              <w:rPr>
                <w:rFonts w:ascii="SimSun" w:eastAsia="SimSun" w:hAnsi="SimSun" w:cs="SimSun"/>
                <w:color w:val="000000"/>
                <w:spacing w:val="0"/>
                <w:w w:val="100"/>
                <w:position w:val="0"/>
                <w:sz w:val="16"/>
                <w:szCs w:val="16"/>
              </w:rPr>
              <w:t>日发布了修订后 的《企业会计准则第</w:t>
            </w:r>
            <w:r>
              <w:rPr>
                <w:color w:val="000000"/>
                <w:spacing w:val="0"/>
                <w:w w:val="100"/>
                <w:position w:val="0"/>
                <w:sz w:val="18"/>
                <w:szCs w:val="18"/>
              </w:rPr>
              <w:t>21</w:t>
            </w:r>
            <w:r>
              <w:rPr>
                <w:rFonts w:ascii="SimSun" w:eastAsia="SimSun" w:hAnsi="SimSun" w:cs="SimSun"/>
                <w:color w:val="000000"/>
                <w:spacing w:val="0"/>
                <w:w w:val="100"/>
                <w:position w:val="0"/>
                <w:sz w:val="16"/>
                <w:szCs w:val="16"/>
              </w:rPr>
              <w:t>号</w:t>
            </w:r>
            <w:r>
              <w:rPr>
                <w:color w:val="000000"/>
                <w:spacing w:val="0"/>
                <w:w w:val="100"/>
                <w:position w:val="0"/>
                <w:sz w:val="18"/>
                <w:szCs w:val="18"/>
              </w:rPr>
              <w:t>—</w:t>
            </w:r>
            <w:r>
              <w:rPr>
                <w:rFonts w:ascii="SimSun" w:eastAsia="SimSun" w:hAnsi="SimSun" w:cs="SimSun"/>
                <w:color w:val="000000"/>
                <w:spacing w:val="0"/>
                <w:w w:val="100"/>
                <w:position w:val="0"/>
                <w:sz w:val="16"/>
                <w:szCs w:val="16"/>
              </w:rPr>
              <w:t>租赁》（财 会</w:t>
            </w:r>
            <w:r>
              <w:rPr>
                <w:color w:val="000000"/>
                <w:spacing w:val="0"/>
                <w:w w:val="100"/>
                <w:position w:val="0"/>
                <w:sz w:val="18"/>
                <w:szCs w:val="18"/>
              </w:rPr>
              <w:t>[2018]35</w:t>
            </w:r>
            <w:r>
              <w:rPr>
                <w:rFonts w:ascii="SimSun" w:eastAsia="SimSun" w:hAnsi="SimSun" w:cs="SimSun"/>
                <w:color w:val="000000"/>
                <w:spacing w:val="0"/>
                <w:w w:val="100"/>
                <w:position w:val="0"/>
                <w:sz w:val="16"/>
                <w:szCs w:val="16"/>
              </w:rPr>
              <w:t>号）（以下简称</w:t>
            </w:r>
            <w:r>
              <w:rPr>
                <w:color w:val="000000"/>
                <w:spacing w:val="0"/>
                <w:w w:val="100"/>
                <w:position w:val="0"/>
                <w:sz w:val="18"/>
                <w:szCs w:val="18"/>
              </w:rPr>
              <w:t>“</w:t>
            </w:r>
            <w:r>
              <w:rPr>
                <w:rFonts w:ascii="SimSun" w:eastAsia="SimSun" w:hAnsi="SimSun" w:cs="SimSun"/>
                <w:color w:val="000000"/>
                <w:spacing w:val="0"/>
                <w:w w:val="100"/>
                <w:position w:val="0"/>
                <w:sz w:val="16"/>
                <w:szCs w:val="16"/>
              </w:rPr>
              <w:t>新租赁准 则</w:t>
            </w:r>
            <w:r>
              <w:rPr>
                <w:color w:val="000000"/>
                <w:spacing w:val="0"/>
                <w:w w:val="100"/>
                <w:position w:val="0"/>
                <w:sz w:val="18"/>
                <w:szCs w:val="18"/>
              </w:rPr>
              <w:t>”</w:t>
            </w:r>
            <w:r>
              <w:rPr>
                <w:rFonts w:ascii="SimSun" w:eastAsia="SimSun" w:hAnsi="SimSun" w:cs="SimSun"/>
                <w:color w:val="000000"/>
                <w:spacing w:val="0"/>
                <w:w w:val="100"/>
                <w:position w:val="0"/>
                <w:sz w:val="16"/>
                <w:szCs w:val="16"/>
              </w:rPr>
              <w:t>），本公司</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日起执行新 租赁准则。根据新租赁准则的相关规定， 本公司对于首次执行本准则的累积影响 数，调整首次执行本准则当年年初留存 收益及财务报表其他相关项目金额，不 调整可比期间信息。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财政部</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日发布了修订后的《企业会计准则第</w:t>
      </w:r>
      <w:r>
        <w:rPr>
          <w:color w:val="000000"/>
          <w:spacing w:val="0"/>
          <w:w w:val="100"/>
          <w:position w:val="0"/>
        </w:rPr>
        <w:t>21</w:t>
      </w:r>
      <w:r>
        <w:rPr>
          <w:color w:val="000000"/>
          <w:spacing w:val="0"/>
          <w:w w:val="100"/>
          <w:position w:val="0"/>
        </w:rPr>
        <w:t>号一租赁》（财会</w:t>
      </w:r>
      <w:r>
        <w:rPr>
          <w:color w:val="000000"/>
          <w:spacing w:val="0"/>
          <w:w w:val="100"/>
          <w:position w:val="0"/>
        </w:rPr>
        <w:t>[2018]35</w:t>
      </w:r>
      <w:r>
        <w:rPr>
          <w:color w:val="000000"/>
          <w:spacing w:val="0"/>
          <w:w w:val="100"/>
          <w:position w:val="0"/>
        </w:rPr>
        <w:t>号</w:t>
      </w:r>
      <w:r>
        <w:rPr>
          <w:color w:val="000000"/>
          <w:spacing w:val="0"/>
          <w:w w:val="100"/>
          <w:position w:val="0"/>
        </w:rPr>
        <w:t>）（</w:t>
      </w:r>
      <w:r>
        <w:rPr>
          <w:color w:val="000000"/>
          <w:spacing w:val="0"/>
          <w:w w:val="100"/>
          <w:position w:val="0"/>
        </w:rPr>
        <w:t>以下简 称“新租赁准则”</w:t>
      </w:r>
      <w:r>
        <w:rPr>
          <w:color w:val="000000"/>
          <w:spacing w:val="0"/>
          <w:w w:val="100"/>
          <w:position w:val="0"/>
        </w:rPr>
        <w:t>），</w:t>
      </w:r>
      <w:r>
        <w:rPr>
          <w:color w:val="000000"/>
          <w:spacing w:val="0"/>
          <w:w w:val="100"/>
          <w:position w:val="0"/>
        </w:rPr>
        <w:t>本公司</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日起执行新租赁准则。根据新租赁准则的相关规定，本公司对于 首次执行本准则的累积影响数，调整首次执行本准则当年年初留存收益及财务报表其他相关项目金额，不 调整可比期间信息。执行新租赁准则对</w:t>
      </w:r>
      <w:r>
        <w:rPr>
          <w:color w:val="000000"/>
          <w:spacing w:val="0"/>
          <w:w w:val="100"/>
          <w:position w:val="0"/>
        </w:rPr>
        <w:t>2021</w:t>
      </w:r>
      <w:r>
        <w:rPr>
          <w:color w:val="000000"/>
          <w:spacing w:val="0"/>
          <w:w w:val="100"/>
          <w:position w:val="0"/>
        </w:rPr>
        <w:t>年期初报表项目影响如下：</w:t>
      </w:r>
    </w:p>
    <w:tbl>
      <w:tblPr>
        <w:tblOverlap w:val="never"/>
        <w:jc w:val="center"/>
        <w:tblLayout w:type="fixed"/>
      </w:tblPr>
      <w:tblGrid>
        <w:gridCol w:w="3566"/>
        <w:gridCol w:w="2064"/>
        <w:gridCol w:w="2299"/>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b/>
                <w:bCs/>
                <w:color w:val="000000"/>
                <w:spacing w:val="0"/>
                <w:w w:val="100"/>
                <w:position w:val="0"/>
                <w:sz w:val="18"/>
                <w:szCs w:val="18"/>
              </w:rPr>
              <w:t>2020</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12</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31</w:t>
            </w:r>
            <w:r>
              <w:rPr>
                <w:rFonts w:ascii="SimSun" w:eastAsia="SimSun" w:hAnsi="SimSun" w:cs="SimSun"/>
                <w:b/>
                <w:bCs/>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8"/>
                <w:szCs w:val="18"/>
              </w:rPr>
              <w:t>2021</w:t>
            </w:r>
            <w:r>
              <w:rPr>
                <w:rFonts w:ascii="SimSun" w:eastAsia="SimSun" w:hAnsi="SimSun" w:cs="SimSun"/>
                <w:b/>
                <w:bCs/>
                <w:color w:val="000000"/>
                <w:spacing w:val="0"/>
                <w:w w:val="100"/>
                <w:position w:val="0"/>
                <w:sz w:val="16"/>
                <w:szCs w:val="16"/>
              </w:rPr>
              <w:t>年</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月</w:t>
            </w:r>
            <w:r>
              <w:rPr>
                <w:b/>
                <w:bCs/>
                <w:color w:val="000000"/>
                <w:spacing w:val="0"/>
                <w:w w:val="100"/>
                <w:position w:val="0"/>
                <w:sz w:val="18"/>
                <w:szCs w:val="18"/>
              </w:rPr>
              <w:t>1</w:t>
            </w:r>
            <w:r>
              <w:rPr>
                <w:rFonts w:ascii="SimSun" w:eastAsia="SimSun" w:hAnsi="SimSun" w:cs="SimSun"/>
                <w:b/>
                <w:bCs/>
                <w:color w:val="000000"/>
                <w:spacing w:val="0"/>
                <w:w w:val="100"/>
                <w:position w:val="0"/>
                <w:sz w:val="16"/>
                <w:szCs w:val="16"/>
              </w:rPr>
              <w:t>日（元）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2,693,484.79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8,377,383.46</w:t>
            </w:r>
          </w:p>
        </w:tc>
      </w:tr>
    </w:tbl>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首次执行日计入资产负债表的租赁负债采用的承租人增量借款利率的加权平均值为</w:t>
      </w:r>
      <w:r>
        <w:rPr>
          <w:color w:val="000000"/>
          <w:spacing w:val="0"/>
          <w:w w:val="100"/>
          <w:position w:val="0"/>
          <w:sz w:val="20"/>
          <w:szCs w:val="20"/>
        </w:rPr>
        <w:t>4.30%：</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4646"/>
        <w:gridCol w:w="3283"/>
      </w:tblGrid>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日合并财务报告中的重大经营租赁的尚未支付 的最低租赁付款额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12,129,160.44</w:t>
            </w:r>
          </w:p>
        </w:tc>
      </w:tr>
    </w:tbl>
    <w:p>
      <w:pPr>
        <w:widowControl w:val="0"/>
        <w:spacing w:line="1" w:lineRule="exact"/>
      </w:pPr>
      <w:r>
        <w:br w:type="page"/>
      </w:r>
    </w:p>
    <w:tbl>
      <w:tblPr>
        <w:tblOverlap w:val="never"/>
        <w:jc w:val="center"/>
        <w:tblLayout w:type="fixed"/>
      </w:tblPr>
      <w:tblGrid>
        <w:gridCol w:w="4646"/>
        <w:gridCol w:w="328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日本公司增量借款利率折现的现值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11,151,058.25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日新租赁准则下的租赁负债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11,151,058.25</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上述折现的现值与租赁负债之间的差额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5"/>
        <w:keepNext/>
        <w:keepLines/>
        <w:widowControl w:val="0"/>
        <w:numPr>
          <w:ilvl w:val="0"/>
          <w:numId w:val="45"/>
        </w:numPr>
        <w:shd w:val="clear" w:color="auto" w:fill="auto"/>
        <w:tabs>
          <w:tab w:pos="493" w:val="left"/>
        </w:tabs>
        <w:bidi w:val="0"/>
        <w:spacing w:before="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重要会计估计变更</w:t>
      </w:r>
      <w:bookmarkEnd w:id="927"/>
      <w:bookmarkEnd w:id="928"/>
      <w:bookmarkEnd w:id="930"/>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5"/>
        <w:keepNext/>
        <w:keepLines/>
        <w:widowControl w:val="0"/>
        <w:numPr>
          <w:ilvl w:val="0"/>
          <w:numId w:val="45"/>
        </w:numPr>
        <w:shd w:val="clear" w:color="auto" w:fill="auto"/>
        <w:tabs>
          <w:tab w:pos="493" w:val="left"/>
        </w:tabs>
        <w:bidi w:val="0"/>
        <w:spacing w:before="0" w:line="240" w:lineRule="auto"/>
        <w:ind w:left="0" w:right="0" w:firstLine="0"/>
        <w:jc w:val="left"/>
      </w:pPr>
      <w:bookmarkStart w:id="931" w:name="bookmark931"/>
      <w:bookmarkStart w:id="932" w:name="bookmark932"/>
      <w:bookmarkStart w:id="933" w:name="bookmark933"/>
      <w:bookmarkStart w:id="934" w:name="bookmark934"/>
      <w:bookmarkEnd w:id="93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31"/>
      <w:bookmarkEnd w:id="932"/>
      <w:bookmarkEnd w:id="934"/>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是否需要调整年初资产负债表科目</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否</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合并资产负债表</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402,805,176.91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402,805,176.91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253,760,054.51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253,760,054.51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124,869,859.37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124,869,859.37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14,849,053.60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14,849,053.60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20,661,318.76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20,661,318.76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31,258,030.42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31,258,030.42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505,158,894.33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505,158,894.33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59,629,843.40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59,629,843.40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267,240,600.00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267,240,600.00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28,740,626.34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28,740,626.34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1,708,973,457.64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1,708,973,457.64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782,336,061.12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782,336,061.12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62,602,124.63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62,602,124.63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193,578,999.56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193,578,999.56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3,378,129.41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3,378,129.41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26,058,818.66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26,058,818.66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67,664,896.53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67,664,896.53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1,433,402,643.51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1,433,402,643.51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3,142,376,101.15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3,153,527,159.40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408,413,250.13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408,413,250.13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389,183,581.91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389,183,581.91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15,041,901.69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9,750,677.43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9,750,677.43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10,568,575.81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10,568,575.81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2,773,674.79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2,773,674.79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3,087,039.00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3,087,039.00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885,920,025.97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888,693,700.76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2,773,674.79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1,203,699.87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1,203,699.87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1,203,699.87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1,203,699.87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887,123,725.84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897,071,084.22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337,576,686.00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337,576,686.00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1,772,795,539.99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1,772,795,539.99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2,441,469.71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71,454,134.78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73,893,407.42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2,255,202,219.10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2,255,202,219.10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50,156.21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2,255,252,375.31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2,255,252,375.31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3,142,376,101.15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3,142,376,101.15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numPr>
          <w:ilvl w:val="0"/>
          <w:numId w:val="47"/>
        </w:numPr>
        <w:shd w:val="clear" w:color="auto" w:fill="auto"/>
        <w:tabs>
          <w:tab w:pos="757" w:val="left"/>
        </w:tabs>
        <w:bidi w:val="0"/>
        <w:spacing w:before="0" w:after="0" w:line="467" w:lineRule="exact"/>
        <w:ind w:left="0" w:right="0" w:firstLine="440"/>
        <w:jc w:val="both"/>
      </w:pPr>
      <w:bookmarkStart w:id="935" w:name="bookmark935"/>
      <w:bookmarkEnd w:id="935"/>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的规定，使用权资产调增</w:t>
      </w:r>
      <w:r>
        <w:rPr>
          <w:rFonts w:ascii="Times New Roman" w:eastAsia="Times New Roman" w:hAnsi="Times New Roman" w:cs="Times New Roman"/>
          <w:color w:val="000000"/>
          <w:spacing w:val="0"/>
          <w:w w:val="100"/>
          <w:position w:val="0"/>
        </w:rPr>
        <w:t>11,151,058.25</w:t>
      </w:r>
      <w:r>
        <w:rPr>
          <w:color w:val="000000"/>
          <w:spacing w:val="0"/>
          <w:w w:val="100"/>
          <w:position w:val="0"/>
        </w:rPr>
        <w:t xml:space="preserve">, </w:t>
      </w:r>
      <w:r>
        <w:rPr>
          <w:color w:val="000000"/>
          <w:spacing w:val="0"/>
          <w:w w:val="100"/>
          <w:position w:val="0"/>
        </w:rPr>
        <w:t>一年内到期的非流动负债调增</w:t>
      </w:r>
      <w:r>
        <w:rPr>
          <w:rFonts w:ascii="Times New Roman" w:eastAsia="Times New Roman" w:hAnsi="Times New Roman" w:cs="Times New Roman"/>
          <w:color w:val="000000"/>
          <w:spacing w:val="0"/>
          <w:w w:val="100"/>
          <w:position w:val="0"/>
        </w:rPr>
        <w:t xml:space="preserve">2,773,674.79 </w:t>
      </w:r>
      <w:r>
        <w:rPr>
          <w:color w:val="000000"/>
          <w:spacing w:val="0"/>
          <w:w w:val="100"/>
          <w:position w:val="0"/>
        </w:rPr>
        <w:t>元，租赁负债调增</w:t>
      </w:r>
      <w:r>
        <w:rPr>
          <w:rFonts w:ascii="Times New Roman" w:eastAsia="Times New Roman" w:hAnsi="Times New Roman" w:cs="Times New Roman"/>
          <w:color w:val="000000"/>
          <w:spacing w:val="0"/>
          <w:w w:val="100"/>
          <w:position w:val="0"/>
        </w:rPr>
        <w:t>8,377,383.46</w:t>
      </w:r>
      <w:r>
        <w:rPr>
          <w:color w:val="000000"/>
          <w:spacing w:val="0"/>
          <w:w w:val="100"/>
          <w:position w:val="0"/>
        </w:rPr>
        <w:t>元。</w:t>
      </w:r>
    </w:p>
    <w:p>
      <w:pPr>
        <w:pStyle w:val="Style18"/>
        <w:keepNext w:val="0"/>
        <w:keepLines w:val="0"/>
        <w:widowControl w:val="0"/>
        <w:numPr>
          <w:ilvl w:val="0"/>
          <w:numId w:val="47"/>
        </w:numPr>
        <w:shd w:val="clear" w:color="auto" w:fill="auto"/>
        <w:tabs>
          <w:tab w:pos="762" w:val="left"/>
        </w:tabs>
        <w:bidi w:val="0"/>
        <w:spacing w:before="0" w:after="500" w:line="467" w:lineRule="exact"/>
        <w:ind w:left="0" w:right="0" w:firstLine="440"/>
        <w:jc w:val="both"/>
      </w:pPr>
      <w:bookmarkStart w:id="936" w:name="bookmark936"/>
      <w:bookmarkEnd w:id="936"/>
      <w:r>
        <w:rPr>
          <w:color w:val="000000"/>
          <w:spacing w:val="0"/>
          <w:w w:val="100"/>
          <w:position w:val="0"/>
        </w:rPr>
        <w:t>本公司联营企业安粮期货股份有限公司于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日执行新金融工具准则，对金融工具的分类和 计量（含减值）进行追溯调整，将金融工具原账面价值和在新金融工具准则施行日（即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 新账面价值之间的差额计入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日的留存收益，同时，安粮期货股份有限公司未对比较财务报表数 据进行调整。根据财政部会计司发布的《</w:t>
      </w:r>
      <w:r>
        <w:rPr>
          <w:rFonts w:ascii="Times New Roman" w:eastAsia="Times New Roman" w:hAnsi="Times New Roman" w:cs="Times New Roman"/>
          <w:color w:val="000000"/>
          <w:spacing w:val="0"/>
          <w:w w:val="100"/>
          <w:position w:val="0"/>
        </w:rPr>
        <w:t>2021</w:t>
      </w:r>
      <w:r>
        <w:rPr>
          <w:color w:val="000000"/>
          <w:spacing w:val="0"/>
          <w:w w:val="100"/>
          <w:position w:val="0"/>
        </w:rPr>
        <w:t>年第五批企业会计准则实施问答》相关规定，本公司采用权 益法核算时应当相应调整披露其</w:t>
      </w:r>
      <w:r>
        <w:rPr>
          <w:rFonts w:ascii="Times New Roman" w:eastAsia="Times New Roman" w:hAnsi="Times New Roman" w:cs="Times New Roman"/>
          <w:color w:val="000000"/>
          <w:spacing w:val="0"/>
          <w:w w:val="100"/>
          <w:position w:val="0"/>
        </w:rPr>
        <w:t>2021</w:t>
      </w:r>
      <w:r>
        <w:rPr>
          <w:color w:val="000000"/>
          <w:spacing w:val="0"/>
          <w:w w:val="100"/>
          <w:position w:val="0"/>
        </w:rPr>
        <w:t>年财务报表的期初数。其他综合收益调减</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,439,272.64</w:t>
      </w:r>
      <w:r>
        <w:rPr>
          <w:color w:val="000000"/>
          <w:spacing w:val="0"/>
          <w:w w:val="100"/>
          <w:position w:val="0"/>
        </w:rPr>
        <w:t>元，未分配利润 调增</w:t>
      </w:r>
      <w:r>
        <w:rPr>
          <w:rFonts w:ascii="Times New Roman" w:eastAsia="Times New Roman" w:hAnsi="Times New Roman" w:cs="Times New Roman"/>
          <w:color w:val="000000"/>
          <w:spacing w:val="0"/>
          <w:w w:val="100"/>
          <w:position w:val="0"/>
        </w:rPr>
        <w:t>2,439,272.64</w:t>
      </w:r>
      <w:r>
        <w:rPr>
          <w:color w:val="000000"/>
          <w:spacing w:val="0"/>
          <w:w w:val="100"/>
          <w:position w:val="0"/>
        </w:rPr>
        <w:t>元。</w:t>
      </w:r>
    </w:p>
    <w:p>
      <w:pPr>
        <w:pStyle w:val="Style18"/>
        <w:keepNext w:val="0"/>
        <w:keepLines w:val="0"/>
        <w:widowControl w:val="0"/>
        <w:shd w:val="clear" w:color="auto" w:fill="auto"/>
        <w:bidi w:val="0"/>
        <w:spacing w:before="0" w:after="140" w:line="240" w:lineRule="auto"/>
        <w:ind w:left="0" w:right="0" w:firstLine="0"/>
        <w:jc w:val="both"/>
        <w:rPr>
          <w:sz w:val="19"/>
          <w:szCs w:val="19"/>
        </w:rPr>
      </w:pPr>
      <w:r>
        <w:rPr>
          <w:color w:val="000000"/>
          <w:spacing w:val="0"/>
          <w:w w:val="100"/>
          <w:position w:val="0"/>
          <w:sz w:val="19"/>
          <w:szCs w:val="19"/>
        </w:rPr>
        <w:t>母公司资产负债表</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198,425,705.06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198,425,705.06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136,318,688.42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136,318,688.42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114,944,147.30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114,944,147.30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14,849,053.60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14,849,053.60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15,699,963.78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15,699,963.78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65,373,186.69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65,373,186.69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402,694,998.31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402,694,998.31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59,510,143.40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59,510,143.40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1,007,815,886.56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1,007,815,886.56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2,530,290,313.76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2,530,290,313.76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13,941,275.15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13,941,275.15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49,492,909.91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49,492,909.91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3,187,756.50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20,299,841.23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20,299,841.23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66,840,121.67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66,840,121.67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2,684,052,218.22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2,691,997,017.13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3,691,868,104.78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3,699,812,903.69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340,640,718.71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340,640,718.71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308,399,261.49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308,399,261.49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7,462,110.35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7,462,110.35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3,487,946.38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3,487,946.38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222,127,011.67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222,127,011.67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1,802,912.22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1,802,912.22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1,170,025.22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1,170,025.22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933,162,073.82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934,964,986.04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1,802,912.22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6,141,886.69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6,141,886.69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6,190,445.98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6,141,886.69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933,210,633.11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941,155,432.02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337,576,686.00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337,576,686.00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1,775,334,793.52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1,775,334,793.52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70,934,388.62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572,372,330.89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574,811,603.53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2,758,657,471.67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2,758,657,471.67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3,691,868,104.78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3,699,812,903.69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7,944,798.91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8"/>
        <w:keepNext w:val="0"/>
        <w:keepLines w:val="0"/>
        <w:widowControl w:val="0"/>
        <w:numPr>
          <w:ilvl w:val="0"/>
          <w:numId w:val="49"/>
        </w:numPr>
        <w:shd w:val="clear" w:color="auto" w:fill="auto"/>
        <w:tabs>
          <w:tab w:pos="809" w:val="left"/>
        </w:tabs>
        <w:bidi w:val="0"/>
        <w:spacing w:before="0" w:after="0" w:line="467" w:lineRule="exact"/>
        <w:ind w:left="0" w:right="0" w:firstLine="440"/>
        <w:jc w:val="both"/>
      </w:pPr>
      <w:bookmarkStart w:id="937" w:name="bookmark937"/>
      <w:bookmarkEnd w:id="937"/>
      <w:r>
        <w:rPr>
          <w:color w:val="000000"/>
          <w:spacing w:val="0"/>
          <w:w w:val="100"/>
          <w:position w:val="0"/>
        </w:rPr>
        <w:t>根据</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的规定，使用权资产调增</w:t>
      </w:r>
      <w:r>
        <w:rPr>
          <w:rFonts w:ascii="Times New Roman" w:eastAsia="Times New Roman" w:hAnsi="Times New Roman" w:cs="Times New Roman"/>
          <w:color w:val="000000"/>
          <w:spacing w:val="0"/>
          <w:w w:val="100"/>
          <w:position w:val="0"/>
        </w:rPr>
        <w:t>7,944,798.91</w:t>
      </w:r>
      <w:r>
        <w:rPr>
          <w:color w:val="000000"/>
          <w:spacing w:val="0"/>
          <w:w w:val="100"/>
          <w:position w:val="0"/>
        </w:rPr>
        <w:t>，</w:t>
      </w:r>
      <w:r>
        <w:rPr>
          <w:color w:val="000000"/>
          <w:spacing w:val="0"/>
          <w:w w:val="100"/>
          <w:position w:val="0"/>
        </w:rPr>
        <w:t>一年内到期的非流动负债调增</w:t>
      </w:r>
      <w:r>
        <w:rPr>
          <w:rFonts w:ascii="Times New Roman" w:eastAsia="Times New Roman" w:hAnsi="Times New Roman" w:cs="Times New Roman"/>
          <w:color w:val="000000"/>
          <w:spacing w:val="0"/>
          <w:w w:val="100"/>
          <w:position w:val="0"/>
        </w:rPr>
        <w:t xml:space="preserve">1,802,912.22 </w:t>
      </w:r>
      <w:r>
        <w:rPr>
          <w:color w:val="000000"/>
          <w:spacing w:val="0"/>
          <w:w w:val="100"/>
          <w:position w:val="0"/>
        </w:rPr>
        <w:t>元，租赁负债调增</w:t>
      </w:r>
      <w:r>
        <w:rPr>
          <w:rFonts w:ascii="Times New Roman" w:eastAsia="Times New Roman" w:hAnsi="Times New Roman" w:cs="Times New Roman"/>
          <w:color w:val="000000"/>
          <w:spacing w:val="0"/>
          <w:w w:val="100"/>
          <w:position w:val="0"/>
        </w:rPr>
        <w:t>6,141,886.69</w:t>
      </w:r>
      <w:r>
        <w:rPr>
          <w:color w:val="000000"/>
          <w:spacing w:val="0"/>
          <w:w w:val="100"/>
          <w:position w:val="0"/>
        </w:rPr>
        <w:t>元。</w:t>
      </w:r>
    </w:p>
    <w:p>
      <w:pPr>
        <w:pStyle w:val="Style18"/>
        <w:keepNext w:val="0"/>
        <w:keepLines w:val="0"/>
        <w:widowControl w:val="0"/>
        <w:numPr>
          <w:ilvl w:val="0"/>
          <w:numId w:val="49"/>
        </w:numPr>
        <w:shd w:val="clear" w:color="auto" w:fill="auto"/>
        <w:tabs>
          <w:tab w:pos="814" w:val="left"/>
        </w:tabs>
        <w:bidi w:val="0"/>
        <w:spacing w:before="0" w:after="220" w:line="467" w:lineRule="exact"/>
        <w:ind w:left="0" w:right="0" w:firstLine="440"/>
        <w:jc w:val="both"/>
      </w:pPr>
      <w:bookmarkStart w:id="938" w:name="bookmark938"/>
      <w:bookmarkEnd w:id="938"/>
      <w:r>
        <w:rPr>
          <w:color w:val="000000"/>
          <w:spacing w:val="0"/>
          <w:w w:val="100"/>
          <w:position w:val="0"/>
        </w:rPr>
        <w:t>本公司联营企业安粮期货股份有限公司于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日执行新金融工具准则，对金融工具的分类和 计量（含减值）进行追溯调整，将金融工具原账面价值和在新金融工具准则施行日（即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 新账面价值之间的差额计入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日的留存收益，同时，安粮期货股份有限公司未对比较财务报表数 据进行调整。根据财政部会计司发布的《</w:t>
      </w:r>
      <w:r>
        <w:rPr>
          <w:rFonts w:ascii="Times New Roman" w:eastAsia="Times New Roman" w:hAnsi="Times New Roman" w:cs="Times New Roman"/>
          <w:color w:val="000000"/>
          <w:spacing w:val="0"/>
          <w:w w:val="100"/>
          <w:position w:val="0"/>
        </w:rPr>
        <w:t>2021</w:t>
      </w:r>
      <w:r>
        <w:rPr>
          <w:color w:val="000000"/>
          <w:spacing w:val="0"/>
          <w:w w:val="100"/>
          <w:position w:val="0"/>
        </w:rPr>
        <w:t>年第五批企业会计准则实施问答》相关规定，本公司采用权 益法核算时应当相应调整披露其</w:t>
      </w:r>
      <w:r>
        <w:rPr>
          <w:rFonts w:ascii="Times New Roman" w:eastAsia="Times New Roman" w:hAnsi="Times New Roman" w:cs="Times New Roman"/>
          <w:color w:val="000000"/>
          <w:spacing w:val="0"/>
          <w:w w:val="100"/>
          <w:position w:val="0"/>
        </w:rPr>
        <w:t>2021</w:t>
      </w:r>
      <w:r>
        <w:rPr>
          <w:color w:val="000000"/>
          <w:spacing w:val="0"/>
          <w:w w:val="100"/>
          <w:position w:val="0"/>
        </w:rPr>
        <w:t>年财务报表的期初数。其他综合收益调减</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,439,272.64</w:t>
      </w:r>
      <w:r>
        <w:rPr>
          <w:color w:val="000000"/>
          <w:spacing w:val="0"/>
          <w:w w:val="100"/>
          <w:position w:val="0"/>
        </w:rPr>
        <w:t>元，未分配利润 调增</w:t>
      </w:r>
      <w:r>
        <w:rPr>
          <w:rFonts w:ascii="Times New Roman" w:eastAsia="Times New Roman" w:hAnsi="Times New Roman" w:cs="Times New Roman"/>
          <w:color w:val="000000"/>
          <w:spacing w:val="0"/>
          <w:w w:val="100"/>
          <w:position w:val="0"/>
        </w:rPr>
        <w:t>2,439,272.64</w:t>
      </w:r>
      <w:r>
        <w:rPr>
          <w:color w:val="000000"/>
          <w:spacing w:val="0"/>
          <w:w w:val="100"/>
          <w:position w:val="0"/>
        </w:rPr>
        <w:t>元。</w:t>
      </w:r>
    </w:p>
    <w:p>
      <w:pPr>
        <w:pStyle w:val="Style35"/>
        <w:keepNext/>
        <w:keepLines/>
        <w:widowControl w:val="0"/>
        <w:shd w:val="clear" w:color="auto" w:fill="auto"/>
        <w:bidi w:val="0"/>
        <w:spacing w:before="0" w:after="140" w:line="467" w:lineRule="exact"/>
        <w:ind w:left="0" w:right="0" w:firstLine="0"/>
        <w:jc w:val="both"/>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39"/>
      <w:bookmarkEnd w:id="940"/>
      <w:bookmarkEnd w:id="942"/>
    </w:p>
    <w:p>
      <w:pPr>
        <w:pStyle w:val="Style18"/>
        <w:keepNext w:val="0"/>
        <w:keepLines w:val="0"/>
        <w:widowControl w:val="0"/>
        <w:shd w:val="clear" w:color="auto" w:fill="auto"/>
        <w:bidi w:val="0"/>
        <w:spacing w:before="0" w:after="320" w:line="467" w:lineRule="exact"/>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140" w:line="240" w:lineRule="auto"/>
        <w:ind w:left="0" w:right="0" w:firstLine="0"/>
        <w:jc w:val="both"/>
      </w:pPr>
      <w:bookmarkStart w:id="943" w:name="bookmark943"/>
      <w:bookmarkStart w:id="944" w:name="bookmark944"/>
      <w:bookmarkStart w:id="945" w:name="bookmark945"/>
      <w:bookmarkStart w:id="946" w:name="bookmark946"/>
      <w:r>
        <w:rPr>
          <w:color w:val="000000"/>
          <w:spacing w:val="0"/>
          <w:w w:val="100"/>
          <w:position w:val="0"/>
          <w:sz w:val="24"/>
          <w:szCs w:val="24"/>
        </w:rPr>
        <w:t>六</w:t>
      </w:r>
      <w:bookmarkEnd w:id="945"/>
      <w:r>
        <w:rPr>
          <w:color w:val="000000"/>
          <w:spacing w:val="0"/>
          <w:w w:val="100"/>
          <w:position w:val="0"/>
          <w:sz w:val="24"/>
          <w:szCs w:val="24"/>
        </w:rPr>
        <w:t>、税项</w:t>
      </w:r>
      <w:bookmarkEnd w:id="943"/>
      <w:bookmarkEnd w:id="944"/>
      <w:bookmarkEnd w:id="946"/>
    </w:p>
    <w:p>
      <w:pPr>
        <w:pStyle w:val="Style30"/>
        <w:keepNext/>
        <w:keepLines/>
        <w:widowControl w:val="0"/>
        <w:shd w:val="clear" w:color="auto" w:fill="auto"/>
        <w:bidi w:val="0"/>
        <w:spacing w:before="0" w:after="320" w:line="467" w:lineRule="exact"/>
        <w:ind w:left="0" w:right="0" w:firstLine="0"/>
        <w:jc w:val="both"/>
      </w:pPr>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7"/>
      <w:bookmarkEnd w:id="948"/>
      <w:bookmarkEnd w:id="94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6"/>
                <w:szCs w:val="16"/>
              </w:rPr>
              <w:t>、</w:t>
            </w:r>
            <w:r>
              <w:rPr>
                <w:color w:val="000000"/>
                <w:spacing w:val="0"/>
                <w:w w:val="100"/>
                <w:position w:val="0"/>
              </w:rPr>
              <w:t>9%</w:t>
            </w:r>
            <w:r>
              <w:rPr>
                <w:rFonts w:ascii="SimSun" w:eastAsia="SimSun" w:hAnsi="SimSun" w:cs="SimSun"/>
                <w:color w:val="000000"/>
                <w:spacing w:val="0"/>
                <w:w w:val="100"/>
                <w:position w:val="0"/>
                <w:sz w:val="16"/>
                <w:szCs w:val="16"/>
              </w:rPr>
              <w:t>、</w:t>
            </w:r>
            <w:r>
              <w:rPr>
                <w:color w:val="000000"/>
                <w:spacing w:val="0"/>
                <w:w w:val="100"/>
                <w:position w:val="0"/>
              </w:rPr>
              <w:t>6%</w:t>
            </w:r>
            <w:r>
              <w:rPr>
                <w:rFonts w:ascii="SimSun" w:eastAsia="SimSun" w:hAnsi="SimSun" w:cs="SimSun"/>
                <w:color w:val="000000"/>
                <w:spacing w:val="0"/>
                <w:w w:val="100"/>
                <w:position w:val="0"/>
                <w:sz w:val="16"/>
                <w:szCs w:val="16"/>
              </w:rPr>
              <w:t>、</w:t>
            </w:r>
            <w:r>
              <w:rPr>
                <w:color w:val="000000"/>
                <w:spacing w:val="0"/>
                <w:w w:val="100"/>
                <w:position w:val="0"/>
              </w:rPr>
              <w:t>5%</w:t>
            </w:r>
            <w:r>
              <w:rPr>
                <w:rFonts w:ascii="SimSun" w:eastAsia="SimSun" w:hAnsi="SimSun" w:cs="SimSun"/>
                <w:color w:val="000000"/>
                <w:spacing w:val="0"/>
                <w:w w:val="100"/>
                <w:position w:val="0"/>
                <w:sz w:val="16"/>
                <w:szCs w:val="16"/>
              </w:rPr>
              <w:t>、</w:t>
            </w:r>
            <w:r>
              <w:rPr>
                <w:color w:val="000000"/>
                <w:spacing w:val="0"/>
                <w:w w:val="100"/>
                <w:position w:val="0"/>
              </w:rPr>
              <w:t>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按实际缴纳的增值税计缴</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w:t>
            </w:r>
            <w:r>
              <w:rPr>
                <w:rFonts w:ascii="SimSun" w:eastAsia="SimSun" w:hAnsi="SimSun" w:cs="SimSun"/>
                <w:color w:val="000000"/>
                <w:spacing w:val="0"/>
                <w:w w:val="100"/>
                <w:position w:val="0"/>
                <w:sz w:val="16"/>
                <w:szCs w:val="16"/>
              </w:rPr>
              <w:t>、</w:t>
            </w:r>
            <w:r>
              <w:rPr>
                <w:color w:val="000000"/>
                <w:spacing w:val="0"/>
                <w:w w:val="100"/>
                <w:position w:val="0"/>
              </w:rPr>
              <w:t>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按照应纳税所得额计缴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天津中科金财科技有限公司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金财数金（上海）智能科技有限公司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天津壬辰软件开发有限公司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大连鼎运企业管理有限公司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中科金财保险经纪有限公司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深圳中金财富科技有限公司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深圳前海中科金财金控投资有限公司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北京志东方科技有限责任公司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widowControl w:val="0"/>
        <w:spacing w:after="79" w:line="1" w:lineRule="exact"/>
      </w:pPr>
    </w:p>
    <w:p>
      <w:pPr>
        <w:pStyle w:val="Style30"/>
        <w:keepNext/>
        <w:keepLines/>
        <w:widowControl w:val="0"/>
        <w:shd w:val="clear" w:color="auto" w:fill="auto"/>
        <w:bidi w:val="0"/>
        <w:spacing w:before="0" w:after="220" w:line="468" w:lineRule="exact"/>
        <w:ind w:left="0" w:right="0" w:firstLine="0"/>
        <w:jc w:val="left"/>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50"/>
      <w:bookmarkEnd w:id="951"/>
      <w:bookmarkEnd w:id="952"/>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）企业所得税减免</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日取得北京市科学技术委员会、北京市财政局、国家税务总局北京市税务局核发 的编号为</w:t>
      </w:r>
      <w:r>
        <w:rPr>
          <w:rFonts w:ascii="Times New Roman" w:eastAsia="Times New Roman" w:hAnsi="Times New Roman" w:cs="Times New Roman"/>
          <w:color w:val="000000"/>
          <w:spacing w:val="0"/>
          <w:w w:val="100"/>
          <w:position w:val="0"/>
        </w:rPr>
        <w:t>GR20201100342</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年。根据《中华人民共和国企业所得税法》 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子公司北京中科金财信息科技有限公司于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日取得北京市科学技术委员会、北京市财政局、 国家税务总局北京市税务局核发的编号为</w:t>
      </w:r>
      <w:r>
        <w:rPr>
          <w:rFonts w:ascii="Times New Roman" w:eastAsia="Times New Roman" w:hAnsi="Times New Roman" w:cs="Times New Roman"/>
          <w:color w:val="000000"/>
          <w:spacing w:val="0"/>
          <w:w w:val="100"/>
          <w:position w:val="0"/>
        </w:rPr>
        <w:t>GR202011005749</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 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18"/>
        <w:keepNext w:val="0"/>
        <w:keepLines w:val="0"/>
        <w:widowControl w:val="0"/>
        <w:shd w:val="clear" w:color="auto" w:fill="auto"/>
        <w:bidi w:val="0"/>
        <w:spacing w:before="0" w:after="80" w:line="468" w:lineRule="exact"/>
        <w:ind w:left="0" w:right="0" w:firstLine="440"/>
        <w:jc w:val="both"/>
      </w:pPr>
      <w:r>
        <w:rPr>
          <w:color w:val="000000"/>
          <w:spacing w:val="0"/>
          <w:w w:val="100"/>
          <w:position w:val="0"/>
        </w:rPr>
        <w:t>子公司北京志东方科技有限责任公司于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日取得北京市科学技术委员会、北京市财政局、 国家税务总局北京市税务局核发的编号为</w:t>
      </w:r>
      <w:r>
        <w:rPr>
          <w:rFonts w:ascii="Times New Roman" w:eastAsia="Times New Roman" w:hAnsi="Times New Roman" w:cs="Times New Roman"/>
          <w:color w:val="000000"/>
          <w:spacing w:val="0"/>
          <w:w w:val="100"/>
          <w:position w:val="0"/>
        </w:rPr>
        <w:t>GR202111004511</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 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2021</w:t>
      </w:r>
      <w:r>
        <w:rPr>
          <w:color w:val="000000"/>
          <w:spacing w:val="0"/>
          <w:w w:val="100"/>
          <w:position w:val="0"/>
        </w:rPr>
        <w:t>年前三季度按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的税率缴纳企业所得税。根据《北京 市</w:t>
      </w:r>
      <w:r>
        <w:rPr>
          <w:rFonts w:ascii="Times New Roman" w:eastAsia="Times New Roman" w:hAnsi="Times New Roman" w:cs="Times New Roman"/>
          <w:color w:val="000000"/>
          <w:spacing w:val="0"/>
          <w:w w:val="100"/>
          <w:position w:val="0"/>
        </w:rPr>
        <w:t>2021</w:t>
      </w:r>
      <w:r>
        <w:rPr>
          <w:color w:val="000000"/>
          <w:spacing w:val="0"/>
          <w:w w:val="100"/>
          <w:position w:val="0"/>
        </w:rPr>
        <w:t>年认定的第三批高新技术企业备案公示名单》，北京志东方科技有限责任公司于</w:t>
      </w:r>
      <w:r>
        <w:rPr>
          <w:rFonts w:ascii="Times New Roman" w:eastAsia="Times New Roman" w:hAnsi="Times New Roman" w:cs="Times New Roman"/>
          <w:color w:val="000000"/>
          <w:spacing w:val="0"/>
          <w:w w:val="100"/>
          <w:position w:val="0"/>
        </w:rPr>
        <w:t>2021</w:t>
      </w:r>
      <w:r>
        <w:rPr>
          <w:color w:val="000000"/>
          <w:spacing w:val="0"/>
          <w:w w:val="100"/>
          <w:position w:val="0"/>
        </w:rPr>
        <w:t>年度取得了高 新技术企业备案，</w:t>
      </w:r>
      <w:r>
        <w:rPr>
          <w:rFonts w:ascii="Times New Roman" w:eastAsia="Times New Roman" w:hAnsi="Times New Roman" w:cs="Times New Roman"/>
          <w:color w:val="000000"/>
          <w:spacing w:val="0"/>
          <w:w w:val="100"/>
          <w:position w:val="0"/>
        </w:rPr>
        <w:t>2021</w:t>
      </w:r>
      <w:r>
        <w:rPr>
          <w:color w:val="000000"/>
          <w:spacing w:val="0"/>
          <w:w w:val="100"/>
          <w:position w:val="0"/>
        </w:rPr>
        <w:t>年第四季度按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子公司北京中科金财软件技术有限公司于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日取得北京市科学技术委员会、北京市财政 局、国家税务总局北京市税务局核发的编号为</w:t>
      </w:r>
      <w:r>
        <w:rPr>
          <w:rFonts w:ascii="Times New Roman" w:eastAsia="Times New Roman" w:hAnsi="Times New Roman" w:cs="Times New Roman"/>
          <w:color w:val="000000"/>
          <w:spacing w:val="0"/>
          <w:w w:val="100"/>
          <w:position w:val="0"/>
        </w:rPr>
        <w:t>GR202111003253</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 据《中华人民共和国企业所得税法》第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子公司天津中科金财科技有限公司于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日取得天津市科学技术局、天津市财政局、国家税 务总局天津市税务局核发的编号为</w:t>
      </w:r>
      <w:r>
        <w:rPr>
          <w:rFonts w:ascii="Times New Roman" w:eastAsia="Times New Roman" w:hAnsi="Times New Roman" w:cs="Times New Roman"/>
          <w:color w:val="000000"/>
          <w:spacing w:val="0"/>
          <w:w w:val="100"/>
          <w:position w:val="0"/>
        </w:rPr>
        <w:t>GR201912001178</w:t>
      </w:r>
      <w:r>
        <w:rPr>
          <w:color w:val="000000"/>
          <w:spacing w:val="0"/>
          <w:w w:val="100"/>
          <w:position w:val="0"/>
        </w:rPr>
        <w:t>的《高新技术企业证书》，有效期</w:t>
      </w:r>
      <w:r>
        <w:rPr>
          <w:rFonts w:ascii="Times New Roman" w:eastAsia="Times New Roman" w:hAnsi="Times New Roman" w:cs="Times New Roman"/>
          <w:color w:val="000000"/>
          <w:spacing w:val="0"/>
          <w:w w:val="100"/>
          <w:position w:val="0"/>
        </w:rPr>
        <w:t>3</w:t>
      </w:r>
      <w:r>
        <w:rPr>
          <w:color w:val="000000"/>
          <w:spacing w:val="0"/>
          <w:w w:val="100"/>
          <w:position w:val="0"/>
        </w:rPr>
        <w:t>年。根据《中华人 民共和国企业所得税法》第</w:t>
      </w:r>
      <w:r>
        <w:rPr>
          <w:rFonts w:ascii="Times New Roman" w:eastAsia="Times New Roman" w:hAnsi="Times New Roman" w:cs="Times New Roman"/>
          <w:color w:val="000000"/>
          <w:spacing w:val="0"/>
          <w:w w:val="100"/>
          <w:position w:val="0"/>
        </w:rPr>
        <w:t>28</w:t>
      </w:r>
      <w:r>
        <w:rPr>
          <w:color w:val="000000"/>
          <w:spacing w:val="0"/>
          <w:w w:val="100"/>
          <w:position w:val="0"/>
        </w:rPr>
        <w:t>条的规定，</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15%</w:t>
      </w:r>
      <w:r>
        <w:rPr>
          <w:color w:val="000000"/>
          <w:spacing w:val="0"/>
          <w:w w:val="100"/>
          <w:position w:val="0"/>
        </w:rPr>
        <w:t>的优惠税率缴纳企业所得税。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[2019]13</w:t>
      </w:r>
      <w:r>
        <w:rPr>
          <w:color w:val="000000"/>
          <w:spacing w:val="0"/>
          <w:w w:val="100"/>
          <w:position w:val="0"/>
        </w:rPr>
        <w:t>号及国家税务总局公告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号文的有关规定，对小型微利企业年应纳税所得额 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 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的税率缴纳企业所得税。子公 司杭州中科金财科技有限公司、北京中科金财软件技术有限公司、孙公司北京中科金财投资管理有限公司、 天津壬辰软件开发有限公司，下属控股企业大连鼎运企业管理有限公司</w:t>
      </w:r>
      <w:r>
        <w:rPr>
          <w:rFonts w:ascii="Times New Roman" w:eastAsia="Times New Roman" w:hAnsi="Times New Roman" w:cs="Times New Roman"/>
          <w:color w:val="000000"/>
          <w:spacing w:val="0"/>
          <w:w w:val="100"/>
          <w:position w:val="0"/>
        </w:rPr>
        <w:t>2021</w:t>
      </w:r>
      <w:r>
        <w:rPr>
          <w:color w:val="000000"/>
          <w:spacing w:val="0"/>
          <w:w w:val="100"/>
          <w:position w:val="0"/>
        </w:rPr>
        <w:t>年满足小型微利企业的要求， 以上公司</w:t>
      </w:r>
      <w:r>
        <w:rPr>
          <w:rFonts w:ascii="Times New Roman" w:eastAsia="Times New Roman" w:hAnsi="Times New Roman" w:cs="Times New Roman"/>
          <w:color w:val="000000"/>
          <w:spacing w:val="0"/>
          <w:w w:val="100"/>
          <w:position w:val="0"/>
        </w:rPr>
        <w:t>2021</w:t>
      </w:r>
      <w:r>
        <w:rPr>
          <w:color w:val="000000"/>
          <w:spacing w:val="0"/>
          <w:w w:val="100"/>
          <w:position w:val="0"/>
        </w:rPr>
        <w:t>年度按</w:t>
      </w:r>
      <w:r>
        <w:rPr>
          <w:rFonts w:ascii="Times New Roman" w:eastAsia="Times New Roman" w:hAnsi="Times New Roman" w:cs="Times New Roman"/>
          <w:color w:val="000000"/>
          <w:spacing w:val="0"/>
          <w:w w:val="100"/>
          <w:position w:val="0"/>
        </w:rPr>
        <w:t>12.5%</w:t>
      </w:r>
      <w:r>
        <w:rPr>
          <w:color w:val="000000"/>
          <w:spacing w:val="0"/>
          <w:w w:val="100"/>
          <w:position w:val="0"/>
        </w:rPr>
        <w:t>计入应纳税额所得额，按</w:t>
      </w:r>
      <w:r>
        <w:rPr>
          <w:rFonts w:ascii="Times New Roman" w:eastAsia="Times New Roman" w:hAnsi="Times New Roman" w:cs="Times New Roman"/>
          <w:color w:val="000000"/>
          <w:spacing w:val="0"/>
          <w:w w:val="100"/>
          <w:position w:val="0"/>
        </w:rPr>
        <w:t>20%</w:t>
      </w:r>
      <w:r>
        <w:rPr>
          <w:color w:val="000000"/>
          <w:spacing w:val="0"/>
          <w:w w:val="100"/>
          <w:position w:val="0"/>
        </w:rPr>
        <w:t>的优惠税率缴纳企业所得税。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）增值税减免及退税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号规定，本公 司</w:t>
      </w:r>
      <w:r>
        <w:rPr>
          <w:rFonts w:ascii="Times New Roman" w:eastAsia="Times New Roman" w:hAnsi="Times New Roman" w:cs="Times New Roman"/>
          <w:color w:val="000000"/>
          <w:spacing w:val="0"/>
          <w:w w:val="100"/>
          <w:position w:val="0"/>
        </w:rPr>
        <w:t>2021</w:t>
      </w:r>
      <w:r>
        <w:rPr>
          <w:color w:val="000000"/>
          <w:spacing w:val="0"/>
          <w:w w:val="100"/>
          <w:position w:val="0"/>
        </w:rPr>
        <w:t>年度提供技术转让、技术开发业务和与之相关的技术咨询、技术服务业务取得的收入免征增值税。</w:t>
      </w:r>
    </w:p>
    <w:p>
      <w:pPr>
        <w:pStyle w:val="Style1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日，国务院颁发《进一步鼓励软件产业和集成电路产业发展的若干政策》（国发</w:t>
      </w:r>
      <w:r>
        <w:rPr>
          <w:rFonts w:ascii="Times New Roman" w:eastAsia="Times New Roman" w:hAnsi="Times New Roman" w:cs="Times New Roman"/>
          <w:color w:val="000000"/>
          <w:spacing w:val="0"/>
          <w:w w:val="100"/>
          <w:position w:val="0"/>
        </w:rPr>
        <w:t xml:space="preserve">[2011]4 </w:t>
      </w:r>
      <w:r>
        <w:rPr>
          <w:color w:val="000000"/>
          <w:spacing w:val="0"/>
          <w:w w:val="100"/>
          <w:position w:val="0"/>
        </w:rPr>
        <w:t>号），规定明确了</w:t>
      </w:r>
      <w:r>
        <w:rPr>
          <w:rFonts w:ascii="Times New Roman" w:eastAsia="Times New Roman" w:hAnsi="Times New Roman" w:cs="Times New Roman"/>
          <w:color w:val="000000"/>
          <w:spacing w:val="0"/>
          <w:w w:val="100"/>
          <w:position w:val="0"/>
        </w:rPr>
        <w:t>“</w:t>
      </w:r>
      <w:r>
        <w:rPr>
          <w:color w:val="000000"/>
          <w:spacing w:val="0"/>
          <w:w w:val="100"/>
          <w:position w:val="0"/>
        </w:rPr>
        <w:t>继续实施软件增值税优惠政策</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号）明确了增值税一般纳税人销售其自行开 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根据《财政部税务总局关于明确增值税小规模纳税人免征增值税政策的公告》（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11</w:t>
      </w:r>
      <w:r>
        <w:rPr>
          <w:color w:val="000000"/>
          <w:spacing w:val="0"/>
          <w:w w:val="100"/>
          <w:position w:val="0"/>
        </w:rPr>
        <w:t>号），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日，对月销售额</w:t>
      </w:r>
      <w:r>
        <w:rPr>
          <w:rFonts w:ascii="Times New Roman" w:eastAsia="Times New Roman" w:hAnsi="Times New Roman" w:cs="Times New Roman"/>
          <w:color w:val="000000"/>
          <w:spacing w:val="0"/>
          <w:w w:val="100"/>
          <w:position w:val="0"/>
        </w:rPr>
        <w:t>15</w:t>
      </w:r>
      <w:r>
        <w:rPr>
          <w:color w:val="000000"/>
          <w:spacing w:val="0"/>
          <w:w w:val="100"/>
          <w:position w:val="0"/>
        </w:rPr>
        <w:t>万元以下（含本数）的增值税小规模纳税人，免征增值 税。</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根据《财政部国家税务总局关于扩大有关政府性基金免征范围的通知》（财税（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 xml:space="preserve">号）规定: </w:t>
      </w:r>
      <w:r>
        <w:rPr>
          <w:rFonts w:ascii="Times New Roman" w:eastAsia="Times New Roman" w:hAnsi="Times New Roman" w:cs="Times New Roman"/>
          <w:color w:val="000000"/>
          <w:spacing w:val="0"/>
          <w:w w:val="100"/>
          <w:position w:val="0"/>
        </w:rPr>
        <w:t>“</w:t>
      </w:r>
      <w:r>
        <w:rPr>
          <w:color w:val="000000"/>
          <w:spacing w:val="0"/>
          <w:w w:val="100"/>
          <w:position w:val="0"/>
        </w:rPr>
        <w:t>将免征教育费附加、地方教育附加、水利建设基金的范围，由现行按月纳税的月销售额或营业额不超过</w:t>
      </w:r>
      <w:r>
        <w:rPr>
          <w:rFonts w:ascii="Times New Roman" w:eastAsia="Times New Roman" w:hAnsi="Times New Roman" w:cs="Times New Roman"/>
          <w:color w:val="000000"/>
          <w:spacing w:val="0"/>
          <w:w w:val="100"/>
          <w:position w:val="0"/>
        </w:rPr>
        <w:t xml:space="preserve">3 </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rPr>
        <w:t>9</w:t>
      </w:r>
      <w:r>
        <w:rPr>
          <w:color w:val="000000"/>
          <w:spacing w:val="0"/>
          <w:w w:val="100"/>
          <w:position w:val="0"/>
        </w:rPr>
        <w:t>万元）的缴纳义务人，扩大到按月纳税的月销售额或营 业额不超过</w:t>
      </w:r>
      <w:r>
        <w:rPr>
          <w:rFonts w:ascii="Times New Roman" w:eastAsia="Times New Roman" w:hAnsi="Times New Roman" w:cs="Times New Roman"/>
          <w:color w:val="000000"/>
          <w:spacing w:val="0"/>
          <w:w w:val="100"/>
          <w:position w:val="0"/>
        </w:rPr>
        <w:t>10</w:t>
      </w:r>
      <w:r>
        <w:rPr>
          <w:color w:val="000000"/>
          <w:spacing w:val="0"/>
          <w:w w:val="100"/>
          <w:position w:val="0"/>
        </w:rPr>
        <w:t>万元（按季度纳税的季度销售额或营业额不超过</w:t>
      </w:r>
      <w:r>
        <w:rPr>
          <w:rFonts w:ascii="Times New Roman" w:eastAsia="Times New Roman" w:hAnsi="Times New Roman" w:cs="Times New Roman"/>
          <w:color w:val="000000"/>
          <w:spacing w:val="0"/>
          <w:w w:val="100"/>
          <w:position w:val="0"/>
        </w:rPr>
        <w:t>30</w:t>
      </w:r>
      <w:r>
        <w:rPr>
          <w:color w:val="000000"/>
          <w:spacing w:val="0"/>
          <w:w w:val="100"/>
          <w:position w:val="0"/>
        </w:rPr>
        <w:t>万元）的缴纳义务人。</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号《关于深化增值税改革有关政策的公告》规定， 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日，允许生产、生活性服务业纳税人按照当期可抵扣进项税额加计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 抵减应纳税额。子公司北京中科金财软件技术有限公司、金财数金（上海）智能科技有限公司符合该项规 定的条件，</w:t>
      </w:r>
      <w:r>
        <w:rPr>
          <w:rFonts w:ascii="Times New Roman" w:eastAsia="Times New Roman" w:hAnsi="Times New Roman" w:cs="Times New Roman"/>
          <w:color w:val="000000"/>
          <w:spacing w:val="0"/>
          <w:w w:val="100"/>
          <w:position w:val="0"/>
        </w:rPr>
        <w:t>2021</w:t>
      </w:r>
      <w:r>
        <w:rPr>
          <w:color w:val="000000"/>
          <w:spacing w:val="0"/>
          <w:w w:val="100"/>
          <w:position w:val="0"/>
        </w:rPr>
        <w:t>年度适用加计抵减政策。</w:t>
      </w:r>
      <w:r>
        <w:br w:type="page"/>
      </w:r>
    </w:p>
    <w:p>
      <w:pPr>
        <w:pStyle w:val="Style18"/>
        <w:keepNext w:val="0"/>
        <w:keepLines w:val="0"/>
        <w:widowControl w:val="0"/>
        <w:shd w:val="clear" w:color="auto" w:fill="auto"/>
        <w:bidi w:val="0"/>
        <w:spacing w:before="0" w:after="360" w:line="322" w:lineRule="exact"/>
        <w:ind w:left="0" w:right="0" w:firstLine="0"/>
        <w:jc w:val="left"/>
        <w:rPr>
          <w:sz w:val="19"/>
          <w:szCs w:val="19"/>
        </w:rPr>
      </w:pPr>
      <w:r>
        <w:rPr>
          <w:color w:val="000000"/>
          <w:spacing w:val="0"/>
          <w:w w:val="100"/>
          <w:position w:val="0"/>
          <w:sz w:val="19"/>
          <w:szCs w:val="19"/>
        </w:rPr>
        <w:t>公司需遵守《深圳证券交易所上市公司自律监管指引第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号——行业信息披露》中软件与信息技术服务业的披 露要求</w:t>
      </w:r>
    </w:p>
    <w:p>
      <w:pPr>
        <w:pStyle w:val="Style22"/>
        <w:keepNext/>
        <w:keepLines/>
        <w:widowControl w:val="0"/>
        <w:shd w:val="clear" w:color="auto" w:fill="auto"/>
        <w:bidi w:val="0"/>
        <w:spacing w:before="0" w:after="36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sz w:val="24"/>
          <w:szCs w:val="24"/>
        </w:rPr>
        <w:t>七</w:t>
      </w:r>
      <w:bookmarkEnd w:id="955"/>
      <w:r>
        <w:rPr>
          <w:color w:val="000000"/>
          <w:spacing w:val="0"/>
          <w:w w:val="100"/>
          <w:position w:val="0"/>
          <w:sz w:val="24"/>
          <w:szCs w:val="24"/>
        </w:rPr>
        <w:t>、合并财务报表项目注释</w:t>
      </w:r>
      <w:bookmarkEnd w:id="953"/>
      <w:bookmarkEnd w:id="954"/>
      <w:bookmarkEnd w:id="956"/>
    </w:p>
    <w:p>
      <w:pPr>
        <w:pStyle w:val="Style30"/>
        <w:keepNext/>
        <w:keepLines/>
        <w:widowControl w:val="0"/>
        <w:shd w:val="clear" w:color="auto" w:fill="auto"/>
        <w:bidi w:val="0"/>
        <w:spacing w:before="0" w:after="280" w:line="336" w:lineRule="auto"/>
        <w:ind w:left="0" w:right="0" w:firstLine="0"/>
        <w:jc w:val="left"/>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7"/>
      <w:bookmarkEnd w:id="958"/>
      <w:bookmarkEnd w:id="95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252,625.37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436,491,934.73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369,889,977.89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35,567,239.44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32,662,573.65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472,260,715.82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402,805,176.91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7,831.06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rPr>
                <w:sz w:val="16"/>
                <w:szCs w:val="16"/>
              </w:rPr>
            </w:pPr>
            <w:r>
              <w:rPr>
                <w:rFonts w:ascii="SimSun" w:eastAsia="SimSun" w:hAnsi="SimSun" w:cs="SimSun"/>
                <w:color w:val="000000"/>
                <w:spacing w:val="0"/>
                <w:w w:val="100"/>
                <w:position w:val="0"/>
                <w:sz w:val="16"/>
                <w:szCs w:val="16"/>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36,421,249.90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32,467,493.51</w:t>
            </w:r>
          </w:p>
        </w:tc>
      </w:tr>
    </w:tbl>
    <w:p>
      <w:pPr>
        <w:widowControl w:val="0"/>
        <w:spacing w:after="79" w:line="1" w:lineRule="exact"/>
      </w:pPr>
    </w:p>
    <w:p>
      <w:pPr>
        <w:pStyle w:val="Style18"/>
        <w:keepNext w:val="0"/>
        <w:keepLines w:val="0"/>
        <w:widowControl w:val="0"/>
        <w:shd w:val="clear" w:color="auto" w:fill="auto"/>
        <w:bidi w:val="0"/>
        <w:spacing w:before="0" w:after="220" w:line="240" w:lineRule="auto"/>
        <w:ind w:left="0" w:right="0" w:firstLine="0"/>
        <w:jc w:val="left"/>
        <w:rPr>
          <w:sz w:val="19"/>
          <w:szCs w:val="19"/>
        </w:rPr>
      </w:pPr>
      <w:r>
        <w:rPr>
          <w:color w:val="000000"/>
          <w:spacing w:val="0"/>
          <w:w w:val="100"/>
          <w:position w:val="0"/>
          <w:sz w:val="19"/>
          <w:szCs w:val="19"/>
        </w:rPr>
        <w:t>其他说明</w:t>
      </w:r>
    </w:p>
    <w:p>
      <w:pPr>
        <w:pStyle w:val="Style18"/>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其中因抵押、质押或冻结等对使用有限制，以及放在境外且资金汇回受到限制的货币资金明细如下:</w:t>
      </w:r>
    </w:p>
    <w:tbl>
      <w:tblPr>
        <w:tblOverlap w:val="never"/>
        <w:jc w:val="center"/>
        <w:tblLayout w:type="fixed"/>
      </w:tblPr>
      <w:tblGrid>
        <w:gridCol w:w="2669"/>
        <w:gridCol w:w="2021"/>
        <w:gridCol w:w="234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35,547,489.30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31,758,821.00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信托托管金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699,548.13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33,672.51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冻结资金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174,212.47</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36,421,249.90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32,467,493.51</w:t>
            </w:r>
          </w:p>
        </w:tc>
      </w:tr>
    </w:tbl>
    <w:p>
      <w:pPr>
        <w:pStyle w:val="Style18"/>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日，其他货币资金中</w:t>
      </w:r>
      <w:r>
        <w:rPr>
          <w:color w:val="000000"/>
          <w:spacing w:val="0"/>
          <w:w w:val="100"/>
          <w:position w:val="0"/>
        </w:rPr>
        <w:t xml:space="preserve">35,547,489. </w:t>
      </w:r>
      <w:r>
        <w:rPr>
          <w:color w:val="000000"/>
          <w:spacing w:val="0"/>
          <w:w w:val="100"/>
          <w:position w:val="0"/>
        </w:rPr>
        <w:t>30</w:t>
      </w:r>
      <w:r>
        <w:rPr>
          <w:color w:val="000000"/>
          <w:spacing w:val="0"/>
          <w:w w:val="100"/>
          <w:position w:val="0"/>
        </w:rPr>
        <w:t>元系本公司向银行申请开具无条件、不可撤销 的担保函所存入的保证金存款，</w:t>
      </w:r>
      <w:r>
        <w:rPr>
          <w:color w:val="000000"/>
          <w:spacing w:val="0"/>
          <w:w w:val="100"/>
          <w:position w:val="0"/>
        </w:rPr>
        <w:t>699,548.13</w:t>
      </w:r>
      <w:r>
        <w:rPr>
          <w:color w:val="000000"/>
          <w:spacing w:val="0"/>
          <w:w w:val="100"/>
          <w:position w:val="0"/>
        </w:rPr>
        <w:t>元系纳入合并范围的信托计划存放于信托公司的资金账户余 额，</w:t>
      </w:r>
      <w:r>
        <w:rPr>
          <w:color w:val="000000"/>
          <w:spacing w:val="0"/>
          <w:w w:val="100"/>
          <w:position w:val="0"/>
        </w:rPr>
        <w:t>174,212.4</w:t>
      </w:r>
      <w:r>
        <w:rPr>
          <w:color w:val="000000"/>
          <w:spacing w:val="0"/>
          <w:w w:val="100"/>
          <w:position w:val="0"/>
        </w:rPr>
        <w:t>7</w:t>
      </w:r>
      <w:r>
        <w:rPr>
          <w:color w:val="000000"/>
          <w:spacing w:val="0"/>
          <w:w w:val="100"/>
          <w:position w:val="0"/>
        </w:rPr>
        <w:t>元系期末本公司未进行银企对账导致的银行账户冻结，截至报告日该账户已解冻。</w:t>
      </w:r>
    </w:p>
    <w:p>
      <w:pPr>
        <w:pStyle w:val="Style30"/>
        <w:keepNext/>
        <w:keepLines/>
        <w:widowControl w:val="0"/>
        <w:shd w:val="clear" w:color="auto" w:fill="auto"/>
        <w:bidi w:val="0"/>
        <w:spacing w:before="0" w:after="360" w:line="468" w:lineRule="exact"/>
        <w:ind w:left="0" w:right="0" w:firstLine="0"/>
        <w:jc w:val="left"/>
      </w:pPr>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960"/>
      <w:bookmarkEnd w:id="961"/>
      <w:bookmarkEnd w:id="962"/>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373,297,802.81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253,760,054.51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373,297,802.81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253,760,054.51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373,297,802.81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253,760,054.51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3</w:t>
      </w:r>
      <w:bookmarkEnd w:id="965"/>
      <w:r>
        <w:rPr>
          <w:color w:val="000000"/>
          <w:spacing w:val="0"/>
          <w:w w:val="100"/>
          <w:position w:val="0"/>
        </w:rPr>
        <w:t>、应收票据</w:t>
      </w:r>
      <w:bookmarkEnd w:id="963"/>
      <w:bookmarkEnd w:id="964"/>
      <w:bookmarkEnd w:id="966"/>
    </w:p>
    <w:p>
      <w:pPr>
        <w:pStyle w:val="Style35"/>
        <w:keepNext/>
        <w:keepLines/>
        <w:widowControl w:val="0"/>
        <w:shd w:val="clear" w:color="auto" w:fill="auto"/>
        <w:bidi w:val="0"/>
        <w:spacing w:before="0" w:after="380" w:line="240" w:lineRule="auto"/>
        <w:ind w:left="0" w:right="0" w:firstLine="0"/>
        <w:jc w:val="both"/>
      </w:pPr>
      <w:bookmarkStart w:id="967" w:name="bookmark967"/>
      <w:bookmarkStart w:id="968" w:name="bookmark968"/>
      <w:bookmarkStart w:id="969" w:name="bookmark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67"/>
      <w:bookmarkEnd w:id="968"/>
      <w:bookmarkEnd w:id="96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6,989,176.72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7,573,776.72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如是按照预期信用损失一般模型计提应收票据坏账准备，请参照其他应收款的披露方式披露坏账准备的相关信</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息：</w:t>
      </w:r>
    </w:p>
    <w:p>
      <w:pPr>
        <w:pStyle w:val="Style18"/>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5"/>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970"/>
      <w:bookmarkEnd w:id="971"/>
      <w:bookmarkEnd w:id="972"/>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3,567,305.87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3,567,305.87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4</w:t>
      </w:r>
      <w:bookmarkEnd w:id="975"/>
      <w:r>
        <w:rPr>
          <w:color w:val="000000"/>
          <w:spacing w:val="0"/>
          <w:w w:val="100"/>
          <w:position w:val="0"/>
        </w:rPr>
        <w:t>、应收账款</w:t>
      </w:r>
      <w:bookmarkEnd w:id="973"/>
      <w:bookmarkEnd w:id="974"/>
      <w:bookmarkEnd w:id="976"/>
    </w:p>
    <w:p>
      <w:pPr>
        <w:pStyle w:val="Style35"/>
        <w:keepNext/>
        <w:keepLines/>
        <w:widowControl w:val="0"/>
        <w:shd w:val="clear" w:color="auto" w:fill="auto"/>
        <w:bidi w:val="0"/>
        <w:spacing w:before="0" w:after="380" w:line="240" w:lineRule="auto"/>
        <w:ind w:left="0" w:right="0" w:firstLine="0"/>
        <w:jc w:val="both"/>
      </w:pPr>
      <w:bookmarkStart w:id="977" w:name="bookmark977"/>
      <w:bookmarkStart w:id="978" w:name="bookmark978"/>
      <w:bookmarkStart w:id="979" w:name="bookmark9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77"/>
      <w:bookmarkEnd w:id="978"/>
      <w:bookmarkEnd w:id="979"/>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4,201,962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4,201,962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129,766,</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141,194,3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16,324,47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124,869,85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129,766,</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19,707,7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141,194,3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16,324,47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124,869,85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131,144,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21,086,0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110,058,5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145,396,2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20,526,43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124,869,85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按单项计提坏账准备:</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按单项计提坏账准备的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1,378,346.15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1,378,346.15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收回可能性较小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1,378,346.15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1,378,346.15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按组合计提坏账准备：账龄组合</w:t>
      </w: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81,845,027.32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4,092,251.37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23,026,882.34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2,302,688.25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10,721,420.50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2,144,284.10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6,008,931.84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3,004,465.93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8,164,031.74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8,164,031.74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129,766,293.74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19,707,721.39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如是按照预期信用损失一般模型计提应收账款坏账准备，请参照其他应收款的披露方式披露坏账准备的相关信</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息：</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按账龄披露</w:t>
      </w: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81,845,027.32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23,026,882.34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10,721,420.50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15,551,309.73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6,008,931.84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3,562,556.38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5,979,821.51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131,144,639.89</w:t>
            </w:r>
          </w:p>
        </w:tc>
      </w:tr>
    </w:tbl>
    <w:p>
      <w:pPr>
        <w:pStyle w:val="Style18"/>
        <w:keepNext w:val="0"/>
        <w:keepLines w:val="0"/>
        <w:widowControl w:val="0"/>
        <w:shd w:val="clear" w:color="auto" w:fill="auto"/>
        <w:bidi w:val="0"/>
        <w:spacing w:before="0" w:after="80" w:line="317" w:lineRule="exact"/>
        <w:ind w:left="0" w:right="0" w:firstLine="0"/>
        <w:jc w:val="both"/>
        <w:rPr>
          <w:sz w:val="19"/>
          <w:szCs w:val="19"/>
        </w:rPr>
      </w:pPr>
      <w:r>
        <w:rPr>
          <w:color w:val="000000"/>
          <w:spacing w:val="0"/>
          <w:w w:val="100"/>
          <w:position w:val="0"/>
          <w:sz w:val="19"/>
          <w:szCs w:val="19"/>
        </w:rPr>
        <w:t>公司需要遵守《深圳证券交易所上市公司自律监管指引第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19"/>
          <w:szCs w:val="19"/>
        </w:rPr>
        <w:t>号——行业信息披露》中软件与信息技术服务业的 披露要求</w:t>
      </w:r>
      <w:r>
        <w:br w:type="page"/>
      </w:r>
    </w:p>
    <w:p>
      <w:pPr>
        <w:pStyle w:val="Style35"/>
        <w:keepNext/>
        <w:keepLines/>
        <w:widowControl w:val="0"/>
        <w:shd w:val="clear" w:color="auto" w:fill="auto"/>
        <w:bidi w:val="0"/>
        <w:spacing w:before="0" w:after="380" w:line="240" w:lineRule="auto"/>
        <w:ind w:left="0" w:right="0" w:firstLine="0"/>
        <w:jc w:val="left"/>
      </w:pPr>
      <w:bookmarkStart w:id="980" w:name="bookmark980"/>
      <w:bookmarkStart w:id="981" w:name="bookmark981"/>
      <w:bookmarkStart w:id="982" w:name="bookmark9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80"/>
      <w:bookmarkEnd w:id="981"/>
      <w:bookmarkEnd w:id="982"/>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本期计提坏账准备情况：</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按单项计提坏账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4,201,962.49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2,823,616.34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1,378,346.15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16,324,473.18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4,576,157.87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1,192,909.66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19,707,721.39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20,526,435.67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4,576,157.87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4,016,526.00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21,086,067.54</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83" w:name="bookmark983"/>
      <w:bookmarkStart w:id="984" w:name="bookmark984"/>
      <w:bookmarkStart w:id="985" w:name="bookmark985"/>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83"/>
      <w:bookmarkEnd w:id="984"/>
      <w:bookmarkEnd w:id="985"/>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4,016,526.00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款项是否由关联交 易产生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河北清河农村商业 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622,002.00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廊坊市城郊农村信 用联社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299,355.00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成安县农村信用合 作联社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广平县农村信用合 作联社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368,490.00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威县农村信用合作 联社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232,242.00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滁州皖东农村商业 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213,788.00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账龄时间长，确认无 法收回款项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总经理办公会审批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1,925,377.00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86"/>
      <w:bookmarkEnd w:id="987"/>
      <w:bookmarkEnd w:id="989"/>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占应收账款期末余额合计数的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坏账准备期末余额</w:t>
            </w:r>
          </w:p>
        </w:tc>
      </w:tr>
    </w:tbl>
    <w:p>
      <w:pPr>
        <w:widowControl w:val="0"/>
        <w:spacing w:line="1" w:lineRule="exact"/>
      </w:pPr>
      <w:r>
        <w:br w:type="page"/>
      </w: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571,546.95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5,023,850.58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502,385.06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4,805,660.22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240,283.01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4,771,544.43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238,577.22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4,564,883.79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488,027.69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29,819,127.95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990"/>
      <w:bookmarkEnd w:id="991"/>
      <w:bookmarkEnd w:id="993"/>
    </w:p>
    <w:tbl>
      <w:tblPr>
        <w:tblOverlap w:val="never"/>
        <w:jc w:val="center"/>
        <w:tblLayout w:type="fixed"/>
      </w:tblPr>
      <w:tblGrid>
        <w:gridCol w:w="2232"/>
        <w:gridCol w:w="2621"/>
        <w:gridCol w:w="312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金融资产转移方式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终止确认的应收账款金额（元）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与终止确认相关的利得或损失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无追索权保理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2,245,939.00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2,245,939.00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5</w:t>
      </w:r>
      <w:bookmarkEnd w:id="996"/>
      <w:r>
        <w:rPr>
          <w:color w:val="000000"/>
          <w:spacing w:val="0"/>
          <w:w w:val="100"/>
          <w:position w:val="0"/>
        </w:rPr>
        <w:t>、应收款项融资</w:t>
      </w:r>
      <w:bookmarkEnd w:id="994"/>
      <w:bookmarkEnd w:id="995"/>
      <w:bookmarkEnd w:id="997"/>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以公允价值计量且其变动计入其他综合 收益的应收票据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14,849,053.60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1,358,223.80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14,849,053.60</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应收款项融资本期增减变动及公允价值变动情况</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80" w:line="312" w:lineRule="exact"/>
        <w:ind w:left="0" w:right="0" w:firstLine="0"/>
        <w:jc w:val="left"/>
        <w:rPr>
          <w:sz w:val="19"/>
          <w:szCs w:val="19"/>
        </w:rPr>
      </w:pPr>
      <w:r>
        <w:rPr>
          <w:color w:val="000000"/>
          <w:spacing w:val="0"/>
          <w:w w:val="100"/>
          <w:position w:val="0"/>
          <w:sz w:val="19"/>
          <w:szCs w:val="19"/>
        </w:rPr>
        <w:t>如是按照预期信用损失一般模型计提应收款项融资减值准备，请参照其他应收款的披露方式披露减值准备的相 关信息：</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其他说明：</w:t>
      </w:r>
    </w:p>
    <w:p>
      <w:pPr>
        <w:pStyle w:val="Style18"/>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本公司在日常资金管理中将部分银行承兑汇票贴现或背书，管理的业务模式既以收取合同现金流量为 目标又以出售为目标，分类为以公允价值计量且其变动计入其他综合收益的金融资产，列报为应收款项融 资。</w:t>
      </w:r>
    </w:p>
    <w:p>
      <w:pPr>
        <w:pStyle w:val="Style30"/>
        <w:keepNext/>
        <w:keepLines/>
        <w:widowControl w:val="0"/>
        <w:shd w:val="clear" w:color="auto" w:fill="auto"/>
        <w:bidi w:val="0"/>
        <w:spacing w:before="0" w:after="0" w:line="494"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6</w:t>
      </w:r>
      <w:bookmarkEnd w:id="1000"/>
      <w:r>
        <w:rPr>
          <w:color w:val="000000"/>
          <w:spacing w:val="0"/>
          <w:w w:val="100"/>
          <w:position w:val="0"/>
        </w:rPr>
        <w:t>、预付款项</w:t>
      </w:r>
      <w:bookmarkEnd w:id="1001"/>
      <w:bookmarkEnd w:id="998"/>
      <w:bookmarkEnd w:id="999"/>
    </w:p>
    <w:p>
      <w:pPr>
        <w:pStyle w:val="Style35"/>
        <w:keepNext/>
        <w:keepLines/>
        <w:widowControl w:val="0"/>
        <w:shd w:val="clear" w:color="auto" w:fill="auto"/>
        <w:bidi w:val="0"/>
        <w:spacing w:before="0" w:after="380" w:line="473" w:lineRule="exact"/>
        <w:ind w:left="0" w:right="0" w:firstLine="0"/>
        <w:jc w:val="left"/>
      </w:pPr>
      <w:bookmarkStart w:id="1002" w:name="bookmark1002"/>
      <w:bookmarkStart w:id="1003" w:name="bookmark1003"/>
      <w:bookmarkStart w:id="1004" w:name="bookmark1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2"/>
      <w:bookmarkEnd w:id="1003"/>
      <w:bookmarkEnd w:id="1004"/>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20,661,318.76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494,770.97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20,661,318.76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460" w:line="240" w:lineRule="auto"/>
        <w:ind w:left="0" w:right="0" w:firstLine="0"/>
        <w:jc w:val="left"/>
      </w:pPr>
      <w:bookmarkStart w:id="1005" w:name="bookmark1005"/>
      <w:bookmarkStart w:id="1006" w:name="bookmark1006"/>
      <w:bookmarkStart w:id="1007" w:name="bookmark1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5"/>
      <w:bookmarkEnd w:id="1006"/>
      <w:bookmarkEnd w:id="1007"/>
    </w:p>
    <w:p>
      <w:pPr>
        <w:pStyle w:val="Style18"/>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本报告期按预付对象归集的期末余额前五名的预付款汇总金额</w:t>
      </w:r>
      <w:r>
        <w:rPr>
          <w:color w:val="000000"/>
          <w:spacing w:val="0"/>
          <w:w w:val="100"/>
          <w:position w:val="0"/>
        </w:rPr>
        <w:t xml:space="preserve">336, </w:t>
      </w:r>
      <w:r>
        <w:rPr>
          <w:color w:val="000000"/>
          <w:spacing w:val="0"/>
          <w:w w:val="100"/>
          <w:position w:val="0"/>
        </w:rPr>
        <w:t xml:space="preserve">713. </w:t>
      </w:r>
      <w:r>
        <w:rPr>
          <w:color w:val="000000"/>
          <w:spacing w:val="0"/>
          <w:w w:val="100"/>
          <w:position w:val="0"/>
        </w:rPr>
        <w:t>43</w:t>
      </w:r>
      <w:r>
        <w:rPr>
          <w:color w:val="000000"/>
          <w:spacing w:val="0"/>
          <w:w w:val="100"/>
          <w:position w:val="0"/>
        </w:rPr>
        <w:t>元，占预付款项期末余额合</w:t>
      </w:r>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计数的比例</w:t>
      </w:r>
      <w:r>
        <w:rPr>
          <w:color w:val="000000"/>
          <w:spacing w:val="0"/>
          <w:w w:val="100"/>
          <w:position w:val="0"/>
        </w:rPr>
        <w:t>68.05%</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7</w:t>
      </w:r>
      <w:bookmarkEnd w:id="1010"/>
      <w:r>
        <w:rPr>
          <w:color w:val="000000"/>
          <w:spacing w:val="0"/>
          <w:w w:val="100"/>
          <w:position w:val="0"/>
        </w:rPr>
        <w:t>、其他应收款</w:t>
      </w:r>
      <w:bookmarkEnd w:id="1008"/>
      <w:bookmarkEnd w:id="1009"/>
      <w:bookmarkEnd w:id="1011"/>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28,135,685.97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31,258,030.42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28,135,685.97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31,258,030.42</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012"/>
      <w:bookmarkEnd w:id="1013"/>
      <w:bookmarkEnd w:id="1014"/>
    </w:p>
    <w:p>
      <w:pPr>
        <w:pStyle w:val="Style62"/>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color w:val="000000"/>
          <w:spacing w:val="0"/>
          <w:w w:val="100"/>
          <w:position w:val="0"/>
        </w:rPr>
        <w:t>）其他应收款按款项性质分类情况</w:t>
      </w:r>
      <w:bookmarkEnd w:id="1015"/>
      <w:bookmarkEnd w:id="1016"/>
      <w:bookmarkEnd w:id="1018"/>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42,362,475.54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41,913,777.59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1,629,256.02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1,693,781.62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房租物业押金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592,206.18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2,680,112.60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1,307,000.00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922,949.96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183,827.91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1,005,229.50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46,074,765.65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48,215,851.27</w:t>
            </w:r>
          </w:p>
        </w:tc>
      </w:tr>
    </w:tbl>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color w:val="000000"/>
          <w:spacing w:val="0"/>
          <w:w w:val="100"/>
          <w:position w:val="0"/>
        </w:rPr>
        <w:t>）坏账准备计提情况</w:t>
      </w:r>
      <w:bookmarkEnd w:id="1019"/>
      <w:bookmarkEnd w:id="1020"/>
      <w:bookmarkEnd w:id="1022"/>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14,687,973.61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2,269,847.24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16,957,820.85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1,808,023.07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1,808,023.07</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826,764.24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16,497,996.68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1,445,083.00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17,939,079.68</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损失准备本期变动金额重大的账面余额变动情况</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按账龄披露</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14,827,744.76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6,237,013.32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5,926,751.24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19,083,256.33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7,389,230.95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8,580,702.79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3,113,322.59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46,074,765.65</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color w:val="000000"/>
          <w:spacing w:val="0"/>
          <w:w w:val="100"/>
          <w:position w:val="0"/>
        </w:rPr>
        <w:t>）本期计提、收回或转回的坏账准备情况</w:t>
      </w:r>
      <w:bookmarkEnd w:id="1023"/>
      <w:bookmarkEnd w:id="1024"/>
      <w:bookmarkEnd w:id="1026"/>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本期计提坏账准备情况：</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2,269,847.24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824,764.24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1,445,083.00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14,687,973.61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1,808,023.07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16,493,996.68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16,957,820.85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1,808,023.07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826,764.24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17,939,079.68</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4</w:t>
      </w:r>
      <w:bookmarkEnd w:id="1029"/>
      <w:r>
        <w:rPr>
          <w:color w:val="000000"/>
          <w:spacing w:val="0"/>
          <w:w w:val="100"/>
          <w:position w:val="0"/>
        </w:rPr>
        <w:t>）本期实际核销的其他应收款情况</w:t>
      </w:r>
      <w:bookmarkEnd w:id="1027"/>
      <w:bookmarkEnd w:id="1028"/>
      <w:bookmarkEnd w:id="1030"/>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826,764.24</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5</w:t>
      </w:r>
      <w:bookmarkEnd w:id="1033"/>
      <w:r>
        <w:rPr>
          <w:color w:val="000000"/>
          <w:spacing w:val="0"/>
          <w:w w:val="100"/>
          <w:position w:val="0"/>
        </w:rPr>
        <w:t>）按欠款方归集的期末余额前五名的其他应收款情况</w:t>
      </w:r>
      <w:bookmarkEnd w:id="1031"/>
      <w:bookmarkEnd w:id="1032"/>
      <w:bookmarkEnd w:id="1034"/>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占其他应收款期末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坏账准备期末余额</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8,871,351.65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3,227,714.41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中科软科技股份有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6,818,833.65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2-3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3-4 </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4-5 </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3,353,572.73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北京锐安科技有限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1,269,000.00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重庆银行股份有限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1,884,619.60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r>
              <w:rPr>
                <w:color w:val="000000"/>
                <w:spacing w:val="0"/>
                <w:w w:val="100"/>
                <w:position w:val="0"/>
                <w:sz w:val="18"/>
                <w:szCs w:val="18"/>
              </w:rPr>
              <w:t>1-2</w:t>
            </w:r>
            <w:r>
              <w:rPr>
                <w:rFonts w:ascii="SimSun" w:eastAsia="SimSun" w:hAnsi="SimSun" w:cs="SimSun"/>
                <w:color w:val="000000"/>
                <w:spacing w:val="0"/>
                <w:w w:val="100"/>
                <w:position w:val="0"/>
                <w:sz w:val="16"/>
                <w:szCs w:val="16"/>
              </w:rPr>
              <w:t>年、</w:t>
            </w:r>
            <w:r>
              <w:rPr>
                <w:color w:val="000000"/>
                <w:spacing w:val="0"/>
                <w:w w:val="100"/>
                <w:position w:val="0"/>
                <w:sz w:val="18"/>
                <w:szCs w:val="18"/>
              </w:rPr>
              <w:t xml:space="preserve">5 </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321,911.46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淄博市康华医院管</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3-4</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21,906,804.90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9,069,198.60</w:t>
            </w:r>
          </w:p>
        </w:tc>
      </w:tr>
    </w:tbl>
    <w:p>
      <w:pPr>
        <w:widowControl w:val="0"/>
        <w:spacing w:after="219" w:line="1" w:lineRule="exact"/>
      </w:pPr>
    </w:p>
    <w:p>
      <w:pPr>
        <w:pStyle w:val="Style30"/>
        <w:keepNext/>
        <w:keepLines/>
        <w:widowControl w:val="0"/>
        <w:shd w:val="clear" w:color="auto" w:fill="auto"/>
        <w:bidi w:val="0"/>
        <w:spacing w:before="0" w:after="220" w:line="355" w:lineRule="exact"/>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8</w:t>
      </w:r>
      <w:bookmarkEnd w:id="1037"/>
      <w:r>
        <w:rPr>
          <w:color w:val="000000"/>
          <w:spacing w:val="0"/>
          <w:w w:val="100"/>
          <w:position w:val="0"/>
        </w:rPr>
        <w:t>、存货</w:t>
      </w:r>
      <w:bookmarkEnd w:id="1035"/>
      <w:bookmarkEnd w:id="1036"/>
      <w:bookmarkEnd w:id="1038"/>
    </w:p>
    <w:p>
      <w:pPr>
        <w:pStyle w:val="Style18"/>
        <w:keepNext w:val="0"/>
        <w:keepLines w:val="0"/>
        <w:widowControl w:val="0"/>
        <w:shd w:val="clear" w:color="auto" w:fill="auto"/>
        <w:bidi w:val="0"/>
        <w:spacing w:before="0" w:after="280" w:line="355" w:lineRule="exact"/>
        <w:ind w:left="0" w:right="0" w:firstLine="0"/>
        <w:jc w:val="left"/>
        <w:rPr>
          <w:sz w:val="19"/>
          <w:szCs w:val="19"/>
        </w:rPr>
      </w:pPr>
      <w:r>
        <w:rPr>
          <w:color w:val="000000"/>
          <w:spacing w:val="0"/>
          <w:w w:val="100"/>
          <w:position w:val="0"/>
          <w:sz w:val="19"/>
          <w:szCs w:val="19"/>
        </w:rPr>
        <w:t>公司是否需要遵守房地产行业的披露要求 否</w:t>
      </w:r>
    </w:p>
    <w:p>
      <w:pPr>
        <w:pStyle w:val="Style35"/>
        <w:keepNext/>
        <w:keepLines/>
        <w:widowControl w:val="0"/>
        <w:shd w:val="clear" w:color="auto" w:fill="auto"/>
        <w:bidi w:val="0"/>
        <w:spacing w:before="0" w:line="355" w:lineRule="exact"/>
        <w:ind w:left="0" w:right="0" w:firstLine="0"/>
        <w:jc w:val="left"/>
      </w:pPr>
      <w:bookmarkStart w:id="1039" w:name="bookmark1039"/>
      <w:bookmarkStart w:id="1040" w:name="bookmark1040"/>
      <w:bookmarkStart w:id="1041" w:name="bookmark10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9"/>
      <w:bookmarkEnd w:id="1040"/>
      <w:bookmarkEnd w:id="1041"/>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合同履约成本减</w:t>
            </w:r>
          </w:p>
          <w:p>
            <w:pPr>
              <w:pStyle w:val="Style2"/>
              <w:keepNext w:val="0"/>
              <w:keepLines w:val="0"/>
              <w:widowControl w:val="0"/>
              <w:shd w:val="clear" w:color="auto" w:fill="auto"/>
              <w:bidi w:val="0"/>
              <w:spacing w:before="0" w:after="120" w:line="240" w:lineRule="auto"/>
              <w:ind w:left="0" w:right="0" w:firstLine="380"/>
              <w:jc w:val="left"/>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存货跌价准备或</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合同履约成本减</w:t>
            </w:r>
          </w:p>
          <w:p>
            <w:pPr>
              <w:pStyle w:val="Style2"/>
              <w:keepNext w:val="0"/>
              <w:keepLines w:val="0"/>
              <w:widowControl w:val="0"/>
              <w:shd w:val="clear" w:color="auto" w:fill="auto"/>
              <w:bidi w:val="0"/>
              <w:spacing w:before="0" w:after="120" w:line="240" w:lineRule="auto"/>
              <w:ind w:left="0" w:right="0" w:firstLine="380"/>
              <w:jc w:val="left"/>
              <w:rPr>
                <w:sz w:val="16"/>
                <w:szCs w:val="16"/>
              </w:rPr>
            </w:pPr>
            <w:r>
              <w:rPr>
                <w:rFonts w:ascii="SimSun" w:eastAsia="SimSun" w:hAnsi="SimSun" w:cs="SimSun"/>
                <w:color w:val="000000"/>
                <w:spacing w:val="0"/>
                <w:w w:val="100"/>
                <w:position w:val="0"/>
                <w:sz w:val="16"/>
                <w:szCs w:val="16"/>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82,368,073.99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57,258,214.82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25,109,859.17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81,202,625.22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34,152,953.98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47,049,671.24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581,271,264.27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1,312,337.91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579,958,926.36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459,421,561.00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1,312,337.91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458,109,223.09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663,639,338.26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58,570,552.73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605,068,785.53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540,624,186.22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35,465,291.89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505,158,894.33</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42"/>
      <w:bookmarkEnd w:id="1043"/>
      <w:bookmarkEnd w:id="1044"/>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34,152,953.98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24,373,126.34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1,267,865.50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57,258,214.82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1,312,337.91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1,312,337.91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35,465,291.89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24,373,126.34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1,267,865.50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58,570,552.73</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9</w:t>
      </w:r>
      <w:bookmarkEnd w:id="1047"/>
      <w:r>
        <w:rPr>
          <w:color w:val="000000"/>
          <w:spacing w:val="0"/>
          <w:w w:val="100"/>
          <w:position w:val="0"/>
        </w:rPr>
        <w:t>、合同资产</w:t>
      </w:r>
      <w:bookmarkEnd w:id="1045"/>
      <w:bookmarkEnd w:id="1046"/>
      <w:bookmarkEnd w:id="1048"/>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未到期质保金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18,702,881.01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944,235.97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17,758,645.04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62,768,256.21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3,138,412.81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59,629,843.40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18,702,881.01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944,235.97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17,758,645.04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62,768,256.21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3,138,412.81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59,629,843.40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如是按照预期信用损失一般模型计提合同资产坏账准备，请参照其他应收款的披露方式披露坏账准备的相关信</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息：</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本期合同资产计提减值准备情况</w:t>
      </w:r>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本期转销</w:t>
            </w:r>
            <w:r>
              <w:rPr>
                <w:color w:val="000000"/>
                <w:spacing w:val="0"/>
                <w:w w:val="100"/>
                <w:position w:val="0"/>
                <w:sz w:val="18"/>
                <w:szCs w:val="18"/>
              </w:rPr>
              <w:t>/</w:t>
            </w:r>
            <w:r>
              <w:rPr>
                <w:rFonts w:ascii="SimSun" w:eastAsia="SimSun" w:hAnsi="SimSun" w:cs="SimSun"/>
                <w:color w:val="000000"/>
                <w:spacing w:val="0"/>
                <w:w w:val="100"/>
                <w:position w:val="0"/>
                <w:sz w:val="16"/>
                <w:szCs w:val="16"/>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2,194,176.84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项目已回款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2,194,176.84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、一年内到期的非流动资产</w:t>
      </w:r>
      <w:bookmarkEnd w:id="1049"/>
      <w:bookmarkEnd w:id="1050"/>
      <w:bookmarkEnd w:id="105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267,230,700.00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267,240,600.00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267,230,700.00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267,240,600.00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到期日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46</w:t>
            </w:r>
            <w:r>
              <w:rPr>
                <w:rFonts w:ascii="SimSun" w:eastAsia="SimSun" w:hAnsi="SimSun" w:cs="SimSun"/>
                <w:color w:val="000000"/>
                <w:spacing w:val="0"/>
                <w:w w:val="100"/>
                <w:position w:val="0"/>
                <w:sz w:val="16"/>
                <w:szCs w:val="16"/>
              </w:rPr>
              <w:t>号单 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64</w:t>
            </w:r>
            <w:r>
              <w:rPr>
                <w:rFonts w:ascii="SimSun" w:eastAsia="SimSun" w:hAnsi="SimSun" w:cs="SimSun"/>
                <w:color w:val="000000"/>
                <w:spacing w:val="0"/>
                <w:w w:val="100"/>
                <w:position w:val="0"/>
                <w:sz w:val="16"/>
                <w:szCs w:val="16"/>
              </w:rPr>
              <w:t>号单 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69,940,000.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18</w:t>
            </w:r>
            <w:r>
              <w:rPr>
                <w:rFonts w:ascii="SimSun" w:eastAsia="SimSun" w:hAnsi="SimSun" w:cs="SimSun"/>
                <w:color w:val="000000"/>
                <w:spacing w:val="0"/>
                <w:w w:val="100"/>
                <w:position w:val="0"/>
                <w:sz w:val="16"/>
                <w:szCs w:val="16"/>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123</w:t>
            </w:r>
            <w:r>
              <w:rPr>
                <w:rFonts w:ascii="SimSun" w:eastAsia="SimSun" w:hAnsi="SimSun" w:cs="SimSun"/>
                <w:color w:val="000000"/>
                <w:spacing w:val="0"/>
                <w:w w:val="100"/>
                <w:position w:val="0"/>
                <w:sz w:val="16"/>
                <w:szCs w:val="16"/>
              </w:rPr>
              <w:t>号单 一资金信托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269,930,000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269,930,000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269,940,000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w:t>
            </w:r>
          </w:p>
        </w:tc>
      </w:tr>
    </w:tbl>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其他说明:</w:t>
      </w:r>
    </w:p>
    <w:p>
      <w:pPr>
        <w:pStyle w:val="Style18"/>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一年内到期的债权投资系公司纳入结构化主体的信托产品，其中本金</w:t>
      </w:r>
      <w:r>
        <w:rPr>
          <w:rFonts w:ascii="Times New Roman" w:eastAsia="Times New Roman" w:hAnsi="Times New Roman" w:cs="Times New Roman"/>
          <w:color w:val="000000"/>
          <w:spacing w:val="0"/>
          <w:w w:val="100"/>
          <w:position w:val="0"/>
        </w:rPr>
        <w:t>269,930,000.00</w:t>
      </w:r>
      <w:r>
        <w:rPr>
          <w:color w:val="000000"/>
          <w:spacing w:val="0"/>
          <w:w w:val="100"/>
          <w:position w:val="0"/>
        </w:rPr>
        <w:t xml:space="preserve">元，减值 </w:t>
      </w:r>
      <w:r>
        <w:rPr>
          <w:rFonts w:ascii="Times New Roman" w:eastAsia="Times New Roman" w:hAnsi="Times New Roman" w:cs="Times New Roman"/>
          <w:color w:val="000000"/>
          <w:spacing w:val="0"/>
          <w:w w:val="100"/>
          <w:position w:val="0"/>
        </w:rPr>
        <w:t>2,699,300.00</w:t>
      </w:r>
      <w:r>
        <w:rPr>
          <w:color w:val="000000"/>
          <w:spacing w:val="0"/>
          <w:w w:val="100"/>
          <w:position w:val="0"/>
        </w:rPr>
        <w:t>元。</w:t>
      </w:r>
      <w:r>
        <w:br w:type="page"/>
      </w:r>
    </w:p>
    <w:p>
      <w:pPr>
        <w:pStyle w:val="Style30"/>
        <w:keepNext/>
        <w:keepLines/>
        <w:widowControl w:val="0"/>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、其他流动资产</w:t>
      </w:r>
      <w:bookmarkEnd w:id="1053"/>
      <w:bookmarkEnd w:id="1054"/>
      <w:bookmarkEnd w:id="1056"/>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11,032,288.10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2,194,821.06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预缴税金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1,621,401.88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10,916,141.36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26,545,805.28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23,569,831.34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28,740,626.34</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2</w:t>
      </w:r>
      <w:r>
        <w:rPr>
          <w:color w:val="000000"/>
          <w:spacing w:val="0"/>
          <w:w w:val="100"/>
          <w:position w:val="0"/>
        </w:rPr>
        <w:t>、债权投资</w:t>
      </w:r>
      <w:bookmarkEnd w:id="1057"/>
      <w:bookmarkEnd w:id="1058"/>
      <w:bookmarkEnd w:id="1060"/>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297,020,000.00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267,300,000.00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重要的债权投资</w:t>
      </w: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实际利率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到期日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123</w:t>
            </w:r>
            <w:r>
              <w:rPr>
                <w:rFonts w:ascii="SimSun" w:eastAsia="SimSun" w:hAnsi="SimSun" w:cs="SimSun"/>
                <w:color w:val="000000"/>
                <w:spacing w:val="0"/>
                <w:w w:val="100"/>
                <w:position w:val="0"/>
                <w:sz w:val="16"/>
                <w:szCs w:val="16"/>
              </w:rPr>
              <w:t>号单 一资金信托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04</w:t>
            </w:r>
            <w:r>
              <w:rPr>
                <w:rFonts w:ascii="SimSun" w:eastAsia="SimSun" w:hAnsi="SimSun" w:cs="SimSun"/>
                <w:color w:val="000000"/>
                <w:spacing w:val="0"/>
                <w:w w:val="100"/>
                <w:position w:val="0"/>
                <w:sz w:val="16"/>
                <w:szCs w:val="16"/>
              </w:rPr>
              <w:t>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192</w:t>
            </w:r>
            <w:r>
              <w:rPr>
                <w:rFonts w:ascii="SimSun" w:eastAsia="SimSun" w:hAnsi="SimSun" w:cs="SimSun"/>
                <w:color w:val="000000"/>
                <w:spacing w:val="0"/>
                <w:w w:val="100"/>
                <w:position w:val="0"/>
                <w:sz w:val="16"/>
                <w:szCs w:val="16"/>
              </w:rPr>
              <w:t>号</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（事务管理类）集合资 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6"/>
                <w:szCs w:val="16"/>
              </w:rPr>
              <w:t>月</w:t>
            </w:r>
            <w:r>
              <w:rPr>
                <w:color w:val="000000"/>
                <w:spacing w:val="0"/>
                <w:w w:val="100"/>
                <w:position w:val="0"/>
                <w:sz w:val="18"/>
                <w:szCs w:val="18"/>
              </w:rPr>
              <w:t>22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SimSun" w:eastAsia="SimSun" w:hAnsi="SimSun" w:cs="SimSun"/>
                <w:color w:val="000000"/>
                <w:spacing w:val="0"/>
                <w:w w:val="100"/>
                <w:position w:val="0"/>
                <w:sz w:val="16"/>
                <w:szCs w:val="16"/>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减值准备计提情况</w:t>
      </w:r>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-2,700,000.00</w:t>
            </w: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2,980,000.00</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损失准备本期变动金额重大的账面余额变动情况</w:t>
      </w:r>
    </w:p>
    <w:p>
      <w:pPr>
        <w:pStyle w:val="Style18"/>
        <w:keepNext w:val="0"/>
        <w:keepLines w:val="0"/>
        <w:widowControl w:val="0"/>
        <w:shd w:val="clear" w:color="auto" w:fill="auto"/>
        <w:bidi w:val="0"/>
        <w:spacing w:before="0" w:after="36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after="3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061"/>
      <w:bookmarkEnd w:id="1062"/>
      <w:bookmarkEnd w:id="1064"/>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00" w:right="0" w:hanging="300"/>
              <w:jc w:val="both"/>
              <w:rPr>
                <w:sz w:val="16"/>
                <w:szCs w:val="16"/>
              </w:rPr>
            </w:pPr>
            <w:r>
              <w:rPr>
                <w:rFonts w:ascii="SimSun" w:eastAsia="SimSun" w:hAnsi="SimSun" w:cs="SimSun"/>
                <w:color w:val="000000"/>
                <w:spacing w:val="0"/>
                <w:w w:val="100"/>
                <w:position w:val="0"/>
                <w:sz w:val="16"/>
                <w:szCs w:val="16"/>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期末余额</w:t>
            </w:r>
          </w:p>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260" w:firstLine="0"/>
              <w:jc w:val="right"/>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确认的投</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中科环嘉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1,597,006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1,569,518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北京中关 村科技金 融息服务 中心有限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2,861,174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2,062,335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安粮期货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288,899,2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296,640,2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深圳市金</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方达信息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630,680.8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-630,680.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大连金融 资产交易 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96,351,98</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79,083,88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上海惬昶 信息科技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146,993,0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深圳市金</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源兴信息 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245,002,9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2,264,058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782,336,0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379,356,0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782,336,0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379,356,0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4</w:t>
      </w:r>
      <w:r>
        <w:rPr>
          <w:color w:val="000000"/>
          <w:spacing w:val="0"/>
          <w:w w:val="100"/>
          <w:position w:val="0"/>
        </w:rPr>
        <w:t>、其他非流动金融资产</w:t>
      </w:r>
      <w:bookmarkEnd w:id="1065"/>
      <w:bookmarkEnd w:id="1066"/>
      <w:bookmarkEnd w:id="1068"/>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以公允价值计量且其变动计入当期损益</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460" w:line="456" w:lineRule="exact"/>
        <w:ind w:left="0" w:right="0" w:firstLine="440"/>
        <w:jc w:val="both"/>
      </w:pPr>
      <w:r>
        <w:rPr>
          <w:color w:val="000000"/>
          <w:spacing w:val="0"/>
          <w:w w:val="100"/>
          <w:position w:val="0"/>
        </w:rPr>
        <w:t>以公允价值计量且其变动计入当期损益的金融资产</w:t>
      </w:r>
      <w:r>
        <w:rPr>
          <w:rFonts w:ascii="Times New Roman" w:eastAsia="Times New Roman" w:hAnsi="Times New Roman" w:cs="Times New Roman"/>
          <w:color w:val="000000"/>
          <w:spacing w:val="0"/>
          <w:w w:val="100"/>
          <w:position w:val="0"/>
        </w:rPr>
        <w:t>13,448,400.00</w:t>
      </w:r>
      <w:r>
        <w:rPr>
          <w:color w:val="000000"/>
          <w:spacing w:val="0"/>
          <w:w w:val="100"/>
          <w:position w:val="0"/>
        </w:rPr>
        <w:t>元系公司投资佛山南海新华村镇银行 股份有限公司</w:t>
      </w:r>
      <w:r>
        <w:rPr>
          <w:rFonts w:ascii="Times New Roman" w:eastAsia="Times New Roman" w:hAnsi="Times New Roman" w:cs="Times New Roman"/>
          <w:color w:val="000000"/>
          <w:spacing w:val="0"/>
          <w:w w:val="100"/>
          <w:position w:val="0"/>
        </w:rPr>
        <w:t>4,900,000.00</w:t>
      </w:r>
      <w:r>
        <w:rPr>
          <w:color w:val="000000"/>
          <w:spacing w:val="0"/>
          <w:w w:val="100"/>
          <w:position w:val="0"/>
        </w:rPr>
        <w:t>元、大连鼎金企业管理中心（有限合伙）</w:t>
      </w:r>
      <w:r>
        <w:rPr>
          <w:rFonts w:ascii="Times New Roman" w:eastAsia="Times New Roman" w:hAnsi="Times New Roman" w:cs="Times New Roman"/>
          <w:color w:val="000000"/>
          <w:spacing w:val="0"/>
          <w:w w:val="100"/>
          <w:position w:val="0"/>
        </w:rPr>
        <w:t>8,548,400.00</w:t>
      </w:r>
      <w:r>
        <w:rPr>
          <w:color w:val="000000"/>
          <w:spacing w:val="0"/>
          <w:w w:val="100"/>
          <w:position w:val="0"/>
        </w:rPr>
        <w:t>元。</w:t>
      </w:r>
    </w:p>
    <w:p>
      <w:pPr>
        <w:pStyle w:val="Style30"/>
        <w:keepNext/>
        <w:keepLines/>
        <w:widowControl w:val="0"/>
        <w:shd w:val="clear" w:color="auto" w:fill="auto"/>
        <w:bidi w:val="0"/>
        <w:spacing w:before="0" w:after="0" w:line="480" w:lineRule="auto"/>
        <w:ind w:left="0" w:right="0" w:firstLine="0"/>
        <w:jc w:val="both"/>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069"/>
      <w:bookmarkEnd w:id="1070"/>
      <w:bookmarkEnd w:id="1072"/>
    </w:p>
    <w:p>
      <w:pPr>
        <w:pStyle w:val="Style35"/>
        <w:keepNext/>
        <w:keepLines/>
        <w:widowControl w:val="0"/>
        <w:shd w:val="clear" w:color="auto" w:fill="auto"/>
        <w:bidi w:val="0"/>
        <w:spacing w:before="0" w:after="320" w:line="456" w:lineRule="exact"/>
        <w:ind w:left="0" w:right="0" w:firstLine="0"/>
        <w:jc w:val="both"/>
      </w:pPr>
      <w:bookmarkStart w:id="1073" w:name="bookmark1073"/>
      <w:bookmarkStart w:id="1074" w:name="bookmark1074"/>
      <w:bookmarkStart w:id="1075" w:name="bookmark1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73"/>
      <w:bookmarkEnd w:id="1074"/>
      <w:bookmarkEnd w:id="1075"/>
    </w:p>
    <w:p>
      <w:pPr>
        <w:pStyle w:val="Style18"/>
        <w:keepNext w:val="0"/>
        <w:keepLines w:val="0"/>
        <w:widowControl w:val="0"/>
        <w:shd w:val="clear" w:color="auto" w:fill="auto"/>
        <w:bidi w:val="0"/>
        <w:spacing w:before="0" w:after="0" w:line="396"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）存货</w:t>
            </w:r>
            <w:r>
              <w:rPr>
                <w:color w:val="000000"/>
                <w:spacing w:val="0"/>
                <w:w w:val="100"/>
                <w:position w:val="0"/>
                <w:sz w:val="18"/>
                <w:szCs w:val="18"/>
              </w:rPr>
              <w:t>'</w:t>
            </w:r>
            <w:r>
              <w:rPr>
                <w:rFonts w:ascii="SimSun" w:eastAsia="SimSun" w:hAnsi="SimSun" w:cs="SimSun"/>
                <w:color w:val="000000"/>
                <w:spacing w:val="0"/>
                <w:w w:val="100"/>
                <w:position w:val="0"/>
                <w:sz w:val="16"/>
                <w:szCs w:val="16"/>
              </w:rPr>
              <w:t>固定资产</w:t>
            </w:r>
          </w:p>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10,560,398.69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二、累计折旧和累计摊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）计提或摊销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9,602,634.87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9,602,634.87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both"/>
      </w:pPr>
      <w:bookmarkStart w:id="1076" w:name="bookmark1076"/>
      <w:bookmarkStart w:id="1077" w:name="bookmark1077"/>
      <w:bookmarkStart w:id="1078" w:name="bookmark10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076"/>
      <w:bookmarkEnd w:id="1077"/>
      <w:bookmarkEnd w:id="1078"/>
    </w:p>
    <w:p>
      <w:pPr>
        <w:pStyle w:val="Style18"/>
        <w:keepNext w:val="0"/>
        <w:keepLines w:val="0"/>
        <w:widowControl w:val="0"/>
        <w:shd w:val="clear" w:color="auto" w:fill="auto"/>
        <w:bidi w:val="0"/>
        <w:spacing w:before="0" w:after="34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30"/>
        <w:keepNext/>
        <w:keepLines/>
        <w:widowControl w:val="0"/>
        <w:shd w:val="clear" w:color="auto" w:fill="auto"/>
        <w:bidi w:val="0"/>
        <w:spacing w:before="0" w:after="380" w:line="240" w:lineRule="auto"/>
        <w:ind w:left="0" w:right="0" w:firstLine="0"/>
        <w:jc w:val="both"/>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079"/>
      <w:bookmarkEnd w:id="1080"/>
      <w:bookmarkEnd w:id="1082"/>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59,397,486.79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59,397,486.79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083" w:name="bookmark1083"/>
      <w:bookmarkStart w:id="1084" w:name="bookmark1084"/>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83"/>
      <w:bookmarkEnd w:id="1084"/>
      <w:bookmarkEnd w:id="108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13,220,484.94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56,822,481.47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14,596,210.26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18,906,056.94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103,545,233.61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1,588,074.34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55,319,443.65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56,907,517.99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1,588,074.34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55,319,443.65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56,907,517.99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10,560,398.69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56,822,481.47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1,354,992.71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962,459.42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69,700,332.29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56,822,481.47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1,354,992.71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962,459.42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59,139,933.60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0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）自用转 为经营租赁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10,560,398.69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10,560,398.69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2,660,086.25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14,829,291.89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73,263,041.17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90,752,419.31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1,589,544.78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56,689,593.23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11,911,141.39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16,030,802.07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86,221,081.47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480,023.88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1,037,721.55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3,171,496.94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4,785,944.63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480,023.88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96,702.26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1,037,721.55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3,171,496.94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4,785,944.63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668,825.28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56,786,295.49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1,287,243.07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909,729.74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59,652,093.58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56,786,295.49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1,287,243.07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909,729.74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59,652,093.58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both"/>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）自用转为经 营租赁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668,825.28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668,825.28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1,400,743.38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11,661,619.87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18,292,569.27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31,354,932.52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288,938.54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）自用转为经营 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1,259,342.87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3,167,672.02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54,970,471.90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59,397,486.79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11,342,001.62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132,888.24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2,685,068.87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2,875,254.87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17,035,213.60</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086"/>
      <w:bookmarkEnd w:id="1087"/>
      <w:bookmarkEnd w:id="1089"/>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346,821.27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346,821.27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11,497,879.52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11,497,879.52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3,196,179.44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3,196,179.44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3,196,179.44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3,196,179.44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3,196,179.44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3,196,179.44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8,301,700.08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8,301,700.08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11,151,058.25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090"/>
      <w:bookmarkEnd w:id="1091"/>
      <w:bookmarkEnd w:id="1093"/>
    </w:p>
    <w:p>
      <w:pPr>
        <w:pStyle w:val="Style35"/>
        <w:keepNext/>
        <w:keepLines/>
        <w:widowControl w:val="0"/>
        <w:shd w:val="clear" w:color="auto" w:fill="auto"/>
        <w:bidi w:val="0"/>
        <w:spacing w:before="0" w:after="380" w:line="240" w:lineRule="auto"/>
        <w:ind w:left="0" w:right="0" w:firstLine="0"/>
        <w:jc w:val="left"/>
      </w:pPr>
      <w:bookmarkStart w:id="1094" w:name="bookmark1094"/>
      <w:bookmarkStart w:id="1095" w:name="bookmark1095"/>
      <w:bookmarkStart w:id="1096" w:name="bookmark10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4"/>
      <w:bookmarkEnd w:id="1095"/>
      <w:bookmarkEnd w:id="109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149,706,711.33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149,706,711.33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6,099,815.91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6,099,815.91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6,099,815.91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6,099,815.91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103,811,585.17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103,811,585.17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103,811,585.17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103,811,585.17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51,994,942.07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51,994,942.07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87,104,586.70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87,104,586.70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19,026,869.64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19,026,869.64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19,026,869.64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19,026,869.64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68,196,651.39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68,196,651.39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68,196,651.39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68,196,651.39</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37,934,804.95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37,934,804.95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14,060,137.12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14,060,137.12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62,602,124.63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62,602,124.63</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19"/>
          <w:szCs w:val="19"/>
        </w:rPr>
        <w:t>本期末通过公司内部研发形成的无形资产占无形资产余额的比例</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w:t>
      </w:r>
    </w:p>
    <w:p>
      <w:pPr>
        <w:pStyle w:val="Style30"/>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19</w:t>
      </w:r>
      <w:r>
        <w:rPr>
          <w:color w:val="000000"/>
          <w:spacing w:val="0"/>
          <w:w w:val="100"/>
          <w:position w:val="0"/>
        </w:rPr>
        <w:t>、商誉</w:t>
      </w:r>
      <w:bookmarkEnd w:id="1097"/>
      <w:bookmarkEnd w:id="1098"/>
      <w:bookmarkEnd w:id="1099"/>
    </w:p>
    <w:p>
      <w:pPr>
        <w:pStyle w:val="Style3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0"/>
      <w:bookmarkEnd w:id="1101"/>
      <w:bookmarkEnd w:id="1102"/>
    </w:p>
    <w:p>
      <w:pPr>
        <w:pStyle w:val="Style3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被投资单位名称</w:t>
            </w:r>
          </w:p>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624,031,391.94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624,031,391.94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4,278,710.43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4,278,710.43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华缔资产管理</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120,690.97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120,690.97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193,578,999.56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193,578,999.56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822,009,792.90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822,009,792.90</w:t>
            </w:r>
          </w:p>
        </w:tc>
      </w:tr>
    </w:tbl>
    <w:p>
      <w:pPr>
        <w:pStyle w:val="Style35"/>
        <w:keepNext/>
        <w:keepLines/>
        <w:widowControl w:val="0"/>
        <w:shd w:val="clear" w:color="auto" w:fill="auto"/>
        <w:bidi w:val="0"/>
        <w:spacing w:before="0" w:after="360" w:line="240" w:lineRule="auto"/>
        <w:ind w:left="0" w:right="0" w:firstLine="0"/>
        <w:jc w:val="both"/>
      </w:pPr>
      <w:bookmarkStart w:id="1103" w:name="bookmark1103"/>
      <w:bookmarkStart w:id="1104" w:name="bookmark1104"/>
      <w:bookmarkStart w:id="1105" w:name="bookmark11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3"/>
      <w:bookmarkEnd w:id="1104"/>
      <w:bookmarkEnd w:id="1105"/>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被投资单位名称</w:t>
            </w:r>
          </w:p>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624,031,391.94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624,031,391.94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4,278,710.43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4,278,710.43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华缔资产管理</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120,690.97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120,690.97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628,430,793.34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628,430,793.34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上述公司商誉减值测试的资产组的构成为形成商誉的资产组涉及的资产，组成资产组的资产包括固定 资产、无形资产等。</w:t>
      </w:r>
    </w:p>
    <w:p>
      <w:pPr>
        <w:pStyle w:val="Style1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说明商誉减值测试过程、关键参数（如预计未来现金流量现值时的预测期增长率、稳定期增长率、利润率、折 现率、预测期等）及商誉减值损失的确认方法：</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包含商誉的资产组可收回金额按照预计未来现金流量的现值计算，其预计现金流量根据公司批准的</w:t>
      </w:r>
      <w:r>
        <w:rPr>
          <w:color w:val="000000"/>
          <w:spacing w:val="0"/>
          <w:w w:val="100"/>
          <w:position w:val="0"/>
        </w:rPr>
        <w:t xml:space="preserve">5 </w:t>
      </w:r>
      <w:r>
        <w:rPr>
          <w:color w:val="000000"/>
          <w:spacing w:val="0"/>
          <w:w w:val="100"/>
          <w:position w:val="0"/>
        </w:rPr>
        <w:t>年期现金流量预测为基础，公司根据历史实际经营数据、行业发展趋势、预期收入增长率、毛利率等指标 编制预测未来</w:t>
      </w:r>
      <w:r>
        <w:rPr>
          <w:color w:val="000000"/>
          <w:spacing w:val="0"/>
          <w:w w:val="100"/>
          <w:position w:val="0"/>
        </w:rPr>
        <w:t>5</w:t>
      </w:r>
      <w:r>
        <w:rPr>
          <w:color w:val="000000"/>
          <w:spacing w:val="0"/>
          <w:w w:val="100"/>
          <w:position w:val="0"/>
        </w:rPr>
        <w:t>年现金流量，预测期以后的现金流量维持不变。</w:t>
      </w:r>
    </w:p>
    <w:p>
      <w:pPr>
        <w:pStyle w:val="Style1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减值测试中采用的其他关键数据包括：产品预计售价、成本及其他相关费用。公司根据历史经验及对 市场发展的预测确定上述关键数据。公司采用合理的折现率作为计算未来现金流量现值的税前折现率，采 用的折现率已考虑了公司的资本成本、市场预期报酬率等因素，反映了各资产组的特定风险。</w:t>
      </w:r>
    </w:p>
    <w:p>
      <w:pPr>
        <w:pStyle w:val="Style18"/>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商誉减值测试的影响</w:t>
      </w:r>
    </w:p>
    <w:p>
      <w:pPr>
        <w:pStyle w:val="Style18"/>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经测试后</w:t>
      </w:r>
      <w:r>
        <w:rPr>
          <w:color w:val="000000"/>
          <w:spacing w:val="0"/>
          <w:w w:val="100"/>
          <w:position w:val="0"/>
        </w:rPr>
        <w:t>2021</w:t>
      </w:r>
      <w:r>
        <w:rPr>
          <w:color w:val="000000"/>
          <w:spacing w:val="0"/>
          <w:w w:val="100"/>
          <w:position w:val="0"/>
        </w:rPr>
        <w:t>年度对北京志东方科技有限责任公司无需计提商誉减值准备。北京志东方科技有限责任 公司系公司</w:t>
      </w:r>
      <w:r>
        <w:rPr>
          <w:color w:val="000000"/>
          <w:spacing w:val="0"/>
          <w:w w:val="100"/>
          <w:position w:val="0"/>
        </w:rPr>
        <w:t>2019</w:t>
      </w:r>
      <w:r>
        <w:rPr>
          <w:color w:val="000000"/>
          <w:spacing w:val="0"/>
          <w:w w:val="100"/>
          <w:position w:val="0"/>
        </w:rPr>
        <w:t>年新纳入合并范围的子公司，确认商誉</w:t>
      </w:r>
      <w:r>
        <w:rPr>
          <w:color w:val="000000"/>
          <w:spacing w:val="0"/>
          <w:w w:val="100"/>
          <w:position w:val="0"/>
        </w:rPr>
        <w:t>193,578,999.56</w:t>
      </w:r>
      <w:r>
        <w:rPr>
          <w:color w:val="000000"/>
          <w:spacing w:val="0"/>
          <w:w w:val="100"/>
          <w:position w:val="0"/>
        </w:rPr>
        <w:t>元，其原股东承诺</w:t>
      </w:r>
      <w:r>
        <w:rPr>
          <w:color w:val="000000"/>
          <w:spacing w:val="0"/>
          <w:w w:val="100"/>
          <w:position w:val="0"/>
        </w:rPr>
        <w:t>2021</w:t>
      </w:r>
      <w:r>
        <w:rPr>
          <w:color w:val="000000"/>
          <w:spacing w:val="0"/>
          <w:w w:val="100"/>
          <w:position w:val="0"/>
        </w:rPr>
        <w:t>年扣除非经 常性损益后实现</w:t>
      </w:r>
      <w:r>
        <w:rPr>
          <w:color w:val="000000"/>
          <w:spacing w:val="0"/>
          <w:w w:val="100"/>
          <w:position w:val="0"/>
        </w:rPr>
        <w:t>2,700</w:t>
      </w:r>
      <w:r>
        <w:rPr>
          <w:color w:val="000000"/>
          <w:spacing w:val="0"/>
          <w:w w:val="100"/>
          <w:position w:val="0"/>
        </w:rPr>
        <w:t>万元，北京志东方科技有限责任公司扣除非经常性损益后</w:t>
      </w:r>
      <w:r>
        <w:rPr>
          <w:color w:val="000000"/>
          <w:spacing w:val="0"/>
          <w:w w:val="100"/>
          <w:position w:val="0"/>
        </w:rPr>
        <w:t>2021</w:t>
      </w:r>
      <w:r>
        <w:rPr>
          <w:color w:val="000000"/>
          <w:spacing w:val="0"/>
          <w:w w:val="100"/>
          <w:position w:val="0"/>
        </w:rPr>
        <w:t xml:space="preserve">年实际实现净利润 </w:t>
      </w:r>
      <w:r>
        <w:rPr>
          <w:color w:val="000000"/>
          <w:spacing w:val="0"/>
          <w:w w:val="100"/>
          <w:position w:val="0"/>
        </w:rPr>
        <w:t xml:space="preserve">2, </w:t>
      </w:r>
      <w:r>
        <w:rPr>
          <w:color w:val="000000"/>
          <w:spacing w:val="0"/>
          <w:w w:val="100"/>
          <w:position w:val="0"/>
        </w:rPr>
        <w:t xml:space="preserve">737. </w:t>
      </w:r>
      <w:r>
        <w:rPr>
          <w:color w:val="000000"/>
          <w:spacing w:val="0"/>
          <w:w w:val="100"/>
          <w:position w:val="0"/>
        </w:rPr>
        <w:t>28</w:t>
      </w:r>
      <w:r>
        <w:rPr>
          <w:color w:val="000000"/>
          <w:spacing w:val="0"/>
          <w:w w:val="100"/>
          <w:position w:val="0"/>
        </w:rPr>
        <w:t>万元。</w:t>
      </w:r>
    </w:p>
    <w:p>
      <w:pPr>
        <w:pStyle w:val="Style30"/>
        <w:keepNext/>
        <w:keepLines/>
        <w:widowControl w:val="0"/>
        <w:shd w:val="clear" w:color="auto" w:fill="auto"/>
        <w:bidi w:val="0"/>
        <w:spacing w:before="0" w:after="140" w:line="492" w:lineRule="auto"/>
        <w:ind w:left="0" w:right="0" w:firstLine="0"/>
        <w:jc w:val="both"/>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106"/>
      <w:bookmarkEnd w:id="1107"/>
      <w:bookmarkEnd w:id="1109"/>
    </w:p>
    <w:p>
      <w:pPr>
        <w:pStyle w:val="Style33"/>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经营租入固定资产 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3,378,129.41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795,634.45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2,582,494.96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3,378,129.41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795,634.45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2,582,494.96</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0"/>
      <w:bookmarkEnd w:id="1111"/>
      <w:bookmarkEnd w:id="1113"/>
    </w:p>
    <w:p>
      <w:pPr>
        <w:pStyle w:val="Style35"/>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14"/>
      <w:bookmarkEnd w:id="1115"/>
      <w:bookmarkEnd w:id="1116"/>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62,727,283.74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9,409,092.56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75,201,557.80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13,510,099.87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39,697,939.55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5,954,928.85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83,623,642.38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12,548,718.79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72,660,785.98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10,906,359.28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446,901.49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175,532,910.76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26,337,415.91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158,825,200.18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26,058,818.66</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17" w:name="bookmark1117"/>
      <w:bookmarkStart w:id="1118" w:name="bookmark1118"/>
      <w:bookmarkStart w:id="1119" w:name="bookmark11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17"/>
      <w:bookmarkEnd w:id="1118"/>
      <w:bookmarkEnd w:id="1119"/>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非同一控制企业合并资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5,148,430.54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7,013,241.56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1,051,986.23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3,297,802.81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494,670.42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151,713.64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8,446,233.35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1,266,935.01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7,773,296.07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1,203,699.87</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20"/>
      <w:bookmarkEnd w:id="1121"/>
      <w:bookmarkEnd w:id="1123"/>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26,337,415.91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26,337,415.91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26,058,818.66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26,058,818.66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1,266,935.01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1,266,935.01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1,099,254.30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1,203,699.87</w:t>
            </w:r>
          </w:p>
        </w:tc>
      </w:tr>
    </w:tbl>
    <w:p>
      <w:pPr>
        <w:spacing w:lineRule="exact" w:line="1"/>
        <w:rPr>
          <w:sz w:val="2"/>
          <w:szCs w:val="2"/>
        </w:rPr>
      </w:pPr>
      <w:r>
        <w:br w:type="page"/>
      </w:r>
    </w:p>
    <w:p>
      <w:pPr>
        <w:pStyle w:val="Style35"/>
        <w:keepNext/>
        <w:keepLines/>
        <w:widowControl w:val="0"/>
        <w:numPr>
          <w:ilvl w:val="0"/>
          <w:numId w:val="51"/>
        </w:numPr>
        <w:shd w:val="clear" w:color="auto" w:fill="auto"/>
        <w:bidi w:val="0"/>
        <w:spacing w:before="0" w:after="40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未确认递延所得税资产明细</w:t>
      </w:r>
      <w:bookmarkEnd w:id="1124"/>
      <w:bookmarkEnd w:id="1125"/>
      <w:bookmarkEnd w:id="1127"/>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28,905,097.69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31,139,015.51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377,768,736.90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143,307,237.78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628,430,793.34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1,035,104,627.93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174,446,253.29</w:t>
            </w:r>
          </w:p>
        </w:tc>
      </w:tr>
    </w:tbl>
    <w:p>
      <w:pPr>
        <w:widowControl w:val="0"/>
        <w:spacing w:after="319" w:line="1" w:lineRule="exact"/>
      </w:pPr>
    </w:p>
    <w:p>
      <w:pPr>
        <w:pStyle w:val="Style35"/>
        <w:keepNext/>
        <w:keepLines/>
        <w:widowControl w:val="0"/>
        <w:numPr>
          <w:ilvl w:val="0"/>
          <w:numId w:val="51"/>
        </w:numPr>
        <w:shd w:val="clear" w:color="auto" w:fill="auto"/>
        <w:bidi w:val="0"/>
        <w:spacing w:before="0" w:after="40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未确认递延所得税资产的可抵扣亏损将于以下年度到期</w:t>
      </w:r>
      <w:bookmarkEnd w:id="1128"/>
      <w:bookmarkEnd w:id="1129"/>
      <w:bookmarkEnd w:id="113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1,335,966.30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1,335,966.30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2023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27,430,362.07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11,408,000.92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2024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954,529.37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12,278,252.44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2025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16,731,640.75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32,079,533.26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2026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13,720,387.71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2028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3,678,261.53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2029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47,334,606.02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36,098,903.36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2030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65,185,555.26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50,106,581.50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2031 </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201,397,427.89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高新技术企业未弥补亏损可</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在未来</w:t>
            </w:r>
            <w:r>
              <w:rPr>
                <w:color w:val="000000"/>
                <w:spacing w:val="0"/>
                <w:w w:val="100"/>
                <w:position w:val="0"/>
                <w:sz w:val="18"/>
                <w:szCs w:val="18"/>
              </w:rPr>
              <w:t>10</w:t>
            </w:r>
            <w:r>
              <w:rPr>
                <w:rFonts w:ascii="SimSun" w:eastAsia="SimSun" w:hAnsi="SimSun" w:cs="SimSun"/>
                <w:color w:val="000000"/>
                <w:spacing w:val="0"/>
                <w:w w:val="100"/>
                <w:position w:val="0"/>
                <w:sz w:val="16"/>
                <w:szCs w:val="16"/>
              </w:rPr>
              <w:t>年内弥补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377,768,736.90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143,307,237.78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132"/>
      <w:bookmarkEnd w:id="1133"/>
      <w:bookmarkEnd w:id="113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19,896,531.2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2,923,556.50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16,972,974.7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11,203,115.1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1,353,269.83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9,849,845.35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将于</w:t>
            </w:r>
            <w:r>
              <w:rPr>
                <w:color w:val="000000"/>
                <w:spacing w:val="0"/>
                <w:w w:val="100"/>
                <w:position w:val="0"/>
                <w:sz w:val="18"/>
                <w:szCs w:val="18"/>
              </w:rPr>
              <w:t>1</w:t>
            </w:r>
            <w:r>
              <w:rPr>
                <w:rFonts w:ascii="SimSun" w:eastAsia="SimSun" w:hAnsi="SimSun" w:cs="SimSun"/>
                <w:color w:val="000000"/>
                <w:spacing w:val="0"/>
                <w:w w:val="100"/>
                <w:position w:val="0"/>
                <w:sz w:val="16"/>
                <w:szCs w:val="16"/>
              </w:rPr>
              <w:t>年以后到期的履约保证金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10,871,425.1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1,791,134.68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9,080,290.45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16,861,166.2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2,992,424.76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13,868,741.5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设备购置款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43,946,309.6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43,946,309.6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30,767,956.4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4,714,691.18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26,053,265.2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72,010,591.1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4,345,694.59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67,664,896.5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136"/>
      <w:bookmarkEnd w:id="1137"/>
      <w:bookmarkEnd w:id="1139"/>
    </w:p>
    <w:p>
      <w:pPr>
        <w:pStyle w:val="Style35"/>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40"/>
      <w:bookmarkEnd w:id="1141"/>
      <w:bookmarkEnd w:id="1142"/>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40,200,000.00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bookmarkEnd w:id="1145"/>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143"/>
      <w:bookmarkEnd w:id="1144"/>
      <w:bookmarkEnd w:id="1146"/>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9,675,000.00</w:t>
            </w:r>
          </w:p>
        </w:tc>
      </w:tr>
    </w:tbl>
    <w:p>
      <w:pPr>
        <w:widowControl w:val="0"/>
        <w:spacing w:after="59" w:line="1" w:lineRule="exact"/>
      </w:pPr>
    </w:p>
    <w:p>
      <w:pPr>
        <w:pStyle w:val="Style18"/>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本期末已到期未支付的应付票据总额为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元。</w:t>
      </w:r>
    </w:p>
    <w:p>
      <w:pPr>
        <w:pStyle w:val="Style30"/>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2</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147"/>
      <w:bookmarkEnd w:id="1148"/>
      <w:bookmarkEnd w:id="1150"/>
    </w:p>
    <w:p>
      <w:pPr>
        <w:pStyle w:val="Style35"/>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51"/>
      <w:bookmarkEnd w:id="1152"/>
      <w:bookmarkEnd w:id="1153"/>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266,221,721.72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317,294,012.51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38,843,690.25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63,438,522.90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21,324,712.43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10,581,798.49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21,334,478.81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17,098,916.23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347,724,603.21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408,413,250.13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54"/>
      <w:bookmarkEnd w:id="1155"/>
      <w:bookmarkEnd w:id="1156"/>
    </w:p>
    <w:p>
      <w:pPr>
        <w:pStyle w:val="Style33"/>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3,500,174.66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2,820,523.83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项目未完成</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2,661,920.00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项目未完成</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2,454,226.64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项目未完成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1,886,308.00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项目未完成</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13,323,153.13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157"/>
      <w:bookmarkEnd w:id="1158"/>
      <w:bookmarkEnd w:id="1160"/>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360,072,931.50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389,183,581.91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360,072,931.50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389,183,581.91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161"/>
      <w:bookmarkEnd w:id="1162"/>
      <w:bookmarkEnd w:id="1164"/>
    </w:p>
    <w:p>
      <w:pPr>
        <w:pStyle w:val="Style35"/>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65"/>
      <w:bookmarkEnd w:id="1166"/>
      <w:bookmarkEnd w:id="1167"/>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15,041,901.69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214,142,967.46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212,402,362.36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16,782,506.79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18,881,081.96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18,841,176.66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39,905.30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15,041,901.69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233,024,049.42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231,243,539.02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16,822,412.09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8"/>
      <w:bookmarkEnd w:id="1169"/>
      <w:bookmarkEnd w:id="1170"/>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14,219,861.10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180,741,526.89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179,185,895.88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15,775,492.11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3,783,375.66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3,783,375.66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12,011,585.75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12,006,208.85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20,404.40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10,822,033.31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10,817,043.41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25,394.30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378,893.62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378,506.62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810,658.82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810,658.82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47,027.55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13,223,679.08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13,221,814.08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48,892.55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754,608.64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4,382,800.08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4,205,067.89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932,340.83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15,041,901.69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214,142,967.46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212,402,362.36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16,782,506.79</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both"/>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71"/>
      <w:bookmarkEnd w:id="1172"/>
      <w:bookmarkEnd w:id="1174"/>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18,200,170.50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18,161,474.50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38,696.00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680,911.46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679,702.16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1,209.30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18,881,081.96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18,841,176.66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39,905.30</w:t>
            </w: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both"/>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175"/>
      <w:bookmarkEnd w:id="1176"/>
      <w:bookmarkEnd w:id="1178"/>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2,795,129.23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4,645,777.34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207,906.12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4,167,364.56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749,684.08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430,617.38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107,192.91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293,516.72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199,535.11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10,119.69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3,746.63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3,936,476.41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9,750,677.43</w:t>
            </w: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179"/>
      <w:bookmarkEnd w:id="1180"/>
      <w:bookmarkEnd w:id="1182"/>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16,157,591.88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10,568,575.81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16,157,591.88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10,568,575.81</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183" w:name="bookmark1183"/>
      <w:bookmarkStart w:id="1184" w:name="bookmark1184"/>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83"/>
      <w:bookmarkEnd w:id="1184"/>
      <w:bookmarkEnd w:id="1185"/>
    </w:p>
    <w:p>
      <w:pPr>
        <w:pStyle w:val="Style62"/>
        <w:keepNext/>
        <w:keepLines/>
        <w:widowControl w:val="0"/>
        <w:shd w:val="clear" w:color="auto" w:fill="auto"/>
        <w:bidi w:val="0"/>
        <w:spacing w:before="0" w:after="34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w:t>
      </w:r>
      <w:bookmarkEnd w:id="1188"/>
      <w:r>
        <w:rPr>
          <w:color w:val="000000"/>
          <w:spacing w:val="0"/>
          <w:w w:val="100"/>
          <w:position w:val="0"/>
        </w:rPr>
        <w:t>）按款项性质列示其他应付款</w:t>
      </w:r>
      <w:bookmarkEnd w:id="1186"/>
      <w:bookmarkEnd w:id="1187"/>
      <w:bookmarkEnd w:id="1189"/>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8,487,156.68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9,348,163.36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7,670,435.20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1,220,412.45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16,157,591.88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10,568,575.81</w:t>
            </w:r>
          </w:p>
        </w:tc>
      </w:tr>
    </w:tbl>
    <w:p>
      <w:pPr>
        <w:spacing w:lineRule="exact" w:line="1"/>
        <w:rPr>
          <w:sz w:val="2"/>
          <w:szCs w:val="2"/>
        </w:rPr>
      </w:pPr>
      <w:r>
        <w:br w:type="page"/>
      </w:r>
    </w:p>
    <w:p>
      <w:pPr>
        <w:pStyle w:val="Style62"/>
        <w:keepNext/>
        <w:keepLines/>
        <w:widowControl w:val="0"/>
        <w:shd w:val="clear" w:color="auto" w:fill="auto"/>
        <w:bidi w:val="0"/>
        <w:spacing w:before="0" w:after="40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2</w:t>
      </w:r>
      <w:bookmarkEnd w:id="1192"/>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90"/>
      <w:bookmarkEnd w:id="1191"/>
      <w:bookmarkEnd w:id="1193"/>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2,167,688.14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履约期内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779,490.00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履约期内</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项目五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433,843.45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履约期内</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6,337,021.59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3</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194"/>
      <w:bookmarkEnd w:id="1195"/>
      <w:bookmarkEnd w:id="1197"/>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2,841,224.24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2,773,674.79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2,841,224.24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2,773,674.79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3</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198"/>
      <w:bookmarkEnd w:id="1199"/>
      <w:bookmarkEnd w:id="1201"/>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1,301,077.26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3,087,039.00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建信融通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9,730,520.00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11,031,597.26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3,087,039.00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2</w:t>
      </w:r>
      <w:r>
        <w:rPr>
          <w:color w:val="000000"/>
          <w:spacing w:val="0"/>
          <w:w w:val="100"/>
          <w:position w:val="0"/>
        </w:rPr>
        <w:t>、租赁负债</w:t>
      </w:r>
      <w:bookmarkEnd w:id="1202"/>
      <w:bookmarkEnd w:id="1203"/>
      <w:bookmarkEnd w:id="1205"/>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5,711,402.24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5,711,402.24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8,377,383.46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06"/>
      <w:bookmarkEnd w:id="1207"/>
      <w:bookmarkEnd w:id="1209"/>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形成原因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7,434,250.00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7,434,250.00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年工业互联网</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创新发展工程</w:t>
            </w:r>
            <w:r>
              <w:rPr>
                <w:color w:val="000000"/>
                <w:spacing w:val="0"/>
                <w:w w:val="100"/>
                <w:position w:val="0"/>
                <w:sz w:val="18"/>
                <w:szCs w:val="18"/>
              </w:rPr>
              <w:t>-</w:t>
            </w:r>
            <w:r>
              <w:rPr>
                <w:rFonts w:ascii="SimSun" w:eastAsia="SimSun" w:hAnsi="SimSun" w:cs="SimSun"/>
                <w:color w:val="000000"/>
                <w:spacing w:val="0"/>
                <w:w w:val="100"/>
                <w:position w:val="0"/>
                <w:sz w:val="16"/>
                <w:szCs w:val="16"/>
              </w:rPr>
              <w:t>区块 链公共服务平台项 目</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7,434,250.00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6"/>
                <w:szCs w:val="16"/>
              </w:rPr>
            </w:pPr>
            <w:r>
              <w:rPr>
                <w:rFonts w:ascii="SimSun" w:eastAsia="SimSun" w:hAnsi="SimSun" w:cs="SimSun"/>
                <w:color w:val="000000"/>
                <w:spacing w:val="0"/>
                <w:w w:val="100"/>
                <w:position w:val="0"/>
                <w:sz w:val="16"/>
                <w:szCs w:val="16"/>
              </w:rPr>
              <w:t>本期计入营 业外收入金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本期计入其</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本期冲减成</w:t>
            </w:r>
          </w:p>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与收益相关</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年工业 互联网创新 发展工程</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区块链公共 服务平台项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7,434,250.00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7,434,250.00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与资产相关</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3</w:t>
      </w:r>
      <w:bookmarkEnd w:id="1212"/>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210"/>
      <w:bookmarkEnd w:id="1211"/>
      <w:bookmarkEnd w:id="1213"/>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信托产品其他投资者权益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35</w:t>
      </w:r>
      <w:r>
        <w:rPr>
          <w:color w:val="000000"/>
          <w:spacing w:val="0"/>
          <w:w w:val="100"/>
          <w:position w:val="0"/>
        </w:rPr>
        <w:t>、股本</w:t>
      </w:r>
      <w:bookmarkEnd w:id="1214"/>
      <w:bookmarkEnd w:id="1215"/>
      <w:bookmarkEnd w:id="1216"/>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本次变动增减（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337,576,686.00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337,576,686.00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17"/>
      <w:bookmarkEnd w:id="1218"/>
      <w:bookmarkEnd w:id="1220"/>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1,773,201,926.11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1,773,201,926.11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-406,386.12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1,772,795,539.99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1,772,795,539.99</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21"/>
      <w:bookmarkEnd w:id="1222"/>
      <w:bookmarkEnd w:id="1224"/>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期末余 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本期所得</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税前发生</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税后归属</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于少数股</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-2,197.07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3</w:t>
      </w:r>
      <w:bookmarkEnd w:id="1227"/>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25"/>
      <w:bookmarkEnd w:id="1226"/>
      <w:bookmarkEnd w:id="1228"/>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70,934,388.62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70,934,388.62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70,934,388.62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29"/>
      <w:bookmarkEnd w:id="1230"/>
      <w:bookmarkEnd w:id="1232"/>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71,454,134.78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65,826,227.25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6"/>
                <w:szCs w:val="16"/>
              </w:rPr>
              <w:t>，调减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2,439,272.64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73,893,407.42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65,826,227.25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-92,693,694.24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6,900,120.48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1,272,279.21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1,080,240.76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70,389.29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-19,810,138.29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color w:val="000000"/>
                <w:spacing w:val="0"/>
                <w:w w:val="100"/>
                <w:position w:val="0"/>
              </w:rPr>
              <w:t>71,454,134.78</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调整期初未分配利润明细：</w:t>
      </w:r>
    </w:p>
    <w:p>
      <w:pPr>
        <w:pStyle w:val="Style18"/>
        <w:keepNext w:val="0"/>
        <w:keepLines w:val="0"/>
        <w:widowControl w:val="0"/>
        <w:shd w:val="clear" w:color="auto" w:fill="auto"/>
        <w:tabs>
          <w:tab w:pos="334" w:val="left"/>
        </w:tabs>
        <w:bidi w:val="0"/>
        <w:spacing w:before="0" w:after="80" w:line="240" w:lineRule="auto"/>
        <w:ind w:left="0" w:right="0" w:firstLine="0"/>
        <w:jc w:val="left"/>
        <w:rPr>
          <w:sz w:val="19"/>
          <w:szCs w:val="19"/>
        </w:rPr>
      </w:pPr>
      <w:bookmarkStart w:id="1233" w:name="bookmark1233"/>
      <w:r>
        <w:rPr>
          <w:rFonts w:ascii="Times New Roman" w:eastAsia="Times New Roman" w:hAnsi="Times New Roman" w:cs="Times New Roman"/>
          <w:color w:val="000000"/>
          <w:spacing w:val="0"/>
          <w:w w:val="100"/>
          <w:position w:val="0"/>
          <w:sz w:val="24"/>
          <w:szCs w:val="24"/>
        </w:rPr>
        <w:t>1</w:t>
      </w:r>
      <w:bookmarkEnd w:id="1233"/>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19"/>
          <w:szCs w:val="19"/>
        </w:rPr>
        <w:t>、由于《企业会计准则》及其相关新规定进行追溯调整，影响期初未分配利润</w:t>
      </w:r>
      <w:r>
        <w:rPr>
          <w:rFonts w:ascii="Times New Roman" w:eastAsia="Times New Roman" w:hAnsi="Times New Roman" w:cs="Times New Roman"/>
          <w:color w:val="000000"/>
          <w:spacing w:val="0"/>
          <w:w w:val="100"/>
          <w:position w:val="0"/>
          <w:sz w:val="24"/>
          <w:szCs w:val="24"/>
        </w:rPr>
        <w:t>2,439,272.64</w:t>
      </w:r>
      <w:r>
        <w:rPr>
          <w:color w:val="000000"/>
          <w:spacing w:val="0"/>
          <w:w w:val="100"/>
          <w:position w:val="0"/>
          <w:sz w:val="19"/>
          <w:szCs w:val="19"/>
        </w:rPr>
        <w:t>元。</w:t>
      </w:r>
    </w:p>
    <w:p>
      <w:pPr>
        <w:pStyle w:val="Style18"/>
        <w:keepNext w:val="0"/>
        <w:keepLines w:val="0"/>
        <w:widowControl w:val="0"/>
        <w:shd w:val="clear" w:color="auto" w:fill="auto"/>
        <w:tabs>
          <w:tab w:pos="354" w:val="left"/>
        </w:tabs>
        <w:bidi w:val="0"/>
        <w:spacing w:before="0" w:after="80" w:line="240" w:lineRule="auto"/>
        <w:ind w:left="0" w:right="0" w:firstLine="0"/>
        <w:jc w:val="left"/>
        <w:rPr>
          <w:sz w:val="19"/>
          <w:szCs w:val="19"/>
        </w:rPr>
      </w:pPr>
      <w:bookmarkStart w:id="1234" w:name="bookmark1234"/>
      <w:r>
        <w:rPr>
          <w:rFonts w:ascii="Times New Roman" w:eastAsia="Times New Roman" w:hAnsi="Times New Roman" w:cs="Times New Roman"/>
          <w:color w:val="000000"/>
          <w:spacing w:val="0"/>
          <w:w w:val="100"/>
          <w:position w:val="0"/>
          <w:sz w:val="24"/>
          <w:szCs w:val="24"/>
        </w:rPr>
        <w:t>2</w:t>
      </w:r>
      <w:bookmarkEnd w:id="1234"/>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19"/>
          <w:szCs w:val="19"/>
        </w:rPr>
        <w:t>、由于会计政策变更，影响期初未分配利润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元。</w:t>
      </w:r>
    </w:p>
    <w:p>
      <w:pPr>
        <w:pStyle w:val="Style18"/>
        <w:keepNext w:val="0"/>
        <w:keepLines w:val="0"/>
        <w:widowControl w:val="0"/>
        <w:shd w:val="clear" w:color="auto" w:fill="auto"/>
        <w:tabs>
          <w:tab w:pos="354" w:val="left"/>
        </w:tabs>
        <w:bidi w:val="0"/>
        <w:spacing w:before="0" w:after="80" w:line="240" w:lineRule="auto"/>
        <w:ind w:left="0" w:right="0" w:firstLine="0"/>
        <w:jc w:val="left"/>
        <w:rPr>
          <w:sz w:val="19"/>
          <w:szCs w:val="19"/>
        </w:rPr>
      </w:pPr>
      <w:bookmarkStart w:id="1235" w:name="bookmark1235"/>
      <w:r>
        <w:rPr>
          <w:rFonts w:ascii="Times New Roman" w:eastAsia="Times New Roman" w:hAnsi="Times New Roman" w:cs="Times New Roman"/>
          <w:color w:val="000000"/>
          <w:spacing w:val="0"/>
          <w:w w:val="100"/>
          <w:position w:val="0"/>
          <w:sz w:val="24"/>
          <w:szCs w:val="24"/>
        </w:rPr>
        <w:t>3</w:t>
      </w:r>
      <w:bookmarkEnd w:id="1235"/>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19"/>
          <w:szCs w:val="19"/>
        </w:rPr>
        <w:t>、由于重大会计差错更正，影响期初未分配利润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元。</w:t>
      </w:r>
    </w:p>
    <w:p>
      <w:pPr>
        <w:pStyle w:val="Style18"/>
        <w:keepNext w:val="0"/>
        <w:keepLines w:val="0"/>
        <w:widowControl w:val="0"/>
        <w:shd w:val="clear" w:color="auto" w:fill="auto"/>
        <w:tabs>
          <w:tab w:pos="354" w:val="left"/>
        </w:tabs>
        <w:bidi w:val="0"/>
        <w:spacing w:before="0" w:after="80" w:line="240" w:lineRule="auto"/>
        <w:ind w:left="0" w:right="0" w:firstLine="0"/>
        <w:jc w:val="left"/>
        <w:rPr>
          <w:sz w:val="19"/>
          <w:szCs w:val="19"/>
        </w:rPr>
      </w:pPr>
      <w:bookmarkStart w:id="1236" w:name="bookmark1236"/>
      <w:r>
        <w:rPr>
          <w:rFonts w:ascii="Times New Roman" w:eastAsia="Times New Roman" w:hAnsi="Times New Roman" w:cs="Times New Roman"/>
          <w:color w:val="000000"/>
          <w:spacing w:val="0"/>
          <w:w w:val="100"/>
          <w:position w:val="0"/>
          <w:sz w:val="24"/>
          <w:szCs w:val="24"/>
        </w:rPr>
        <w:t>4</w:t>
      </w:r>
      <w:bookmarkEnd w:id="1236"/>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19"/>
          <w:szCs w:val="19"/>
        </w:rPr>
        <w:t>、由于同一控制导致的合并范围变更，影响期初未分配利润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元。</w:t>
      </w:r>
      <w:r>
        <w:br w:type="page"/>
      </w:r>
    </w:p>
    <w:p>
      <w:pPr>
        <w:pStyle w:val="Style18"/>
        <w:keepNext w:val="0"/>
        <w:keepLines w:val="0"/>
        <w:widowControl w:val="0"/>
        <w:shd w:val="clear" w:color="auto" w:fill="auto"/>
        <w:bidi w:val="0"/>
        <w:spacing w:before="0" w:after="360" w:line="240" w:lineRule="auto"/>
        <w:ind w:left="0" w:right="0" w:firstLine="0"/>
        <w:jc w:val="left"/>
        <w:rPr>
          <w:sz w:val="19"/>
          <w:szCs w:val="19"/>
        </w:rPr>
      </w:pPr>
      <w:bookmarkStart w:id="1237" w:name="bookmark1237"/>
      <w:r>
        <w:rPr>
          <w:rFonts w:ascii="Times New Roman" w:eastAsia="Times New Roman" w:hAnsi="Times New Roman" w:cs="Times New Roman"/>
          <w:color w:val="000000"/>
          <w:spacing w:val="0"/>
          <w:w w:val="100"/>
          <w:position w:val="0"/>
          <w:sz w:val="24"/>
          <w:szCs w:val="24"/>
        </w:rPr>
        <w:t>5</w:t>
      </w:r>
      <w:bookmarkEnd w:id="1237"/>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、其他调整合计影响期初未分配利润</w:t>
      </w:r>
      <w:r>
        <w:rPr>
          <w:rFonts w:ascii="Times New Roman" w:eastAsia="Times New Roman" w:hAnsi="Times New Roman" w:cs="Times New Roman"/>
          <w:color w:val="000000"/>
          <w:spacing w:val="0"/>
          <w:w w:val="100"/>
          <w:position w:val="0"/>
          <w:sz w:val="24"/>
          <w:szCs w:val="24"/>
        </w:rPr>
        <w:t>0.00</w:t>
      </w:r>
      <w:r>
        <w:rPr>
          <w:color w:val="000000"/>
          <w:spacing w:val="0"/>
          <w:w w:val="100"/>
          <w:position w:val="0"/>
          <w:sz w:val="19"/>
          <w:szCs w:val="19"/>
        </w:rPr>
        <w:t>元。</w:t>
      </w:r>
    </w:p>
    <w:p>
      <w:pPr>
        <w:pStyle w:val="Style30"/>
        <w:keepNext/>
        <w:keepLines/>
        <w:widowControl w:val="0"/>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4</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38"/>
      <w:bookmarkEnd w:id="1239"/>
      <w:bookmarkEnd w:id="1241"/>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1,553,980,012.26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1,259,517,626.28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1,728,398,786.84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1,461,411,392.07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52,114,985.15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47,401,320.37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27,463,696.53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1,606,094,997.41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1,306,918,946.65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1,758,402,676.54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1,488,875,088.60</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经审计扣除非经常损益前后净利润孰低是否为负值</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否</w:t>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本年度（万元）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上年度（万元）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1,606,094,997.41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1,758,402,676.54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营业收入扣除项目合</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52,114,985.15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w:t>
            </w:r>
          </w:p>
        </w:tc>
      </w:tr>
      <w:tr>
        <w:trPr>
          <w:trHeight w:val="352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52,114,985.15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52,114,985.15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不具备商业实质的收</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bl>
    <w:p>
      <w:pPr>
        <w:widowControl w:val="0"/>
        <w:spacing w:line="1" w:lineRule="exact"/>
      </w:pPr>
      <w:r>
        <w:br w:type="page"/>
      </w:r>
    </w:p>
    <w:tbl>
      <w:tblPr>
        <w:tblOverlap w:val="never"/>
        <w:jc w:val="center"/>
        <w:tblLayout w:type="fixed"/>
      </w:tblPr>
      <w:tblGrid>
        <w:gridCol w:w="1728"/>
        <w:gridCol w:w="2078"/>
        <w:gridCol w:w="2030"/>
        <w:gridCol w:w="2030"/>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1,553,980,012.26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1,728,398,786.84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主营业务收入</w:t>
            </w:r>
          </w:p>
        </w:tc>
      </w:tr>
    </w:tbl>
    <w:p>
      <w:pPr>
        <w:pStyle w:val="Style18"/>
        <w:keepNext w:val="0"/>
        <w:keepLines w:val="0"/>
        <w:widowControl w:val="0"/>
        <w:shd w:val="clear" w:color="auto" w:fill="auto"/>
        <w:bidi w:val="0"/>
        <w:spacing w:before="0" w:after="0" w:line="469" w:lineRule="exact"/>
        <w:ind w:left="0" w:right="0" w:firstLine="0"/>
        <w:jc w:val="left"/>
        <w:rPr>
          <w:sz w:val="19"/>
          <w:szCs w:val="19"/>
        </w:rPr>
      </w:pPr>
      <w:r>
        <w:rPr>
          <w:color w:val="000000"/>
          <w:spacing w:val="0"/>
          <w:w w:val="100"/>
          <w:position w:val="0"/>
          <w:sz w:val="19"/>
          <w:szCs w:val="19"/>
        </w:rPr>
        <w:t>与履约义务相关的信息：</w:t>
      </w:r>
    </w:p>
    <w:p>
      <w:pPr>
        <w:pStyle w:val="Style18"/>
        <w:keepNext w:val="0"/>
        <w:keepLines w:val="0"/>
        <w:widowControl w:val="0"/>
        <w:shd w:val="clear" w:color="auto" w:fill="auto"/>
        <w:bidi w:val="0"/>
        <w:spacing w:before="0" w:after="180" w:line="469" w:lineRule="exact"/>
        <w:ind w:left="0" w:right="0" w:firstLine="440"/>
        <w:jc w:val="both"/>
      </w:pPr>
      <w:r>
        <w:rPr>
          <w:color w:val="000000"/>
          <w:spacing w:val="0"/>
          <w:w w:val="100"/>
          <w:position w:val="0"/>
        </w:rPr>
        <w:t>公司主营业务为应用软件开发、技术服务及相关的计算机信息系统集成服务。集成服务在产品交付购 货方，技术服务按合同约定提供服务完成，并经客户验收合格后客户验收，软件产品销售按合同约定，需 安装调试的，在安装调试完成、投入运行并经客户验收合格；不需安装的，于产品发出且到货验收合格时 客户取得相关商品及服务的控制权时确认收入实现。按照合同约定履行履约义务，并按照合同约定的收款 进度收款。</w:t>
      </w:r>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与分摊至剩余履约义务的交易价格相关的信息：</w:t>
      </w:r>
    </w:p>
    <w:p>
      <w:pPr>
        <w:pStyle w:val="Style18"/>
        <w:keepNext w:val="0"/>
        <w:keepLines w:val="0"/>
        <w:widowControl w:val="0"/>
        <w:shd w:val="clear" w:color="auto" w:fill="auto"/>
        <w:bidi w:val="0"/>
        <w:spacing w:before="0" w:after="480" w:line="456" w:lineRule="exact"/>
        <w:ind w:left="0" w:right="0" w:firstLine="44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 xml:space="preserve">1,755, 633, </w:t>
      </w:r>
      <w:r>
        <w:rPr>
          <w:color w:val="000000"/>
          <w:spacing w:val="0"/>
          <w:w w:val="100"/>
          <w:position w:val="0"/>
        </w:rPr>
        <w:t xml:space="preserve">604. </w:t>
      </w:r>
      <w:r>
        <w:rPr>
          <w:color w:val="000000"/>
          <w:spacing w:val="0"/>
          <w:w w:val="100"/>
          <w:position w:val="0"/>
        </w:rPr>
        <w:t>84</w:t>
      </w:r>
      <w:r>
        <w:rPr>
          <w:color w:val="000000"/>
          <w:spacing w:val="0"/>
          <w:w w:val="100"/>
          <w:position w:val="0"/>
        </w:rPr>
        <w:t>元。</w:t>
      </w:r>
    </w:p>
    <w:p>
      <w:pPr>
        <w:pStyle w:val="Style30"/>
        <w:keepNext/>
        <w:keepLines/>
        <w:widowControl w:val="0"/>
        <w:shd w:val="clear" w:color="auto" w:fill="auto"/>
        <w:bidi w:val="0"/>
        <w:spacing w:before="0" w:after="180" w:line="48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42"/>
      <w:bookmarkEnd w:id="1243"/>
      <w:bookmarkEnd w:id="124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977,938.66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2,554,633.35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699,452.34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1,825,040.55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51,825.66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47,343.66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1,219,184.30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888,995.10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水利行政事业性收费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2,226.61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2,965,789.79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5,330,559.39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4</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46"/>
      <w:bookmarkEnd w:id="1247"/>
      <w:bookmarkEnd w:id="124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34,706,680.72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35,817,668.41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186,150.52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2,285,004.08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1,935,607.43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1,346,801.23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1,858,615.58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1,275,831.91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1,542,427.30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4,973,532.98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5,928,133.86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实施费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3,994,051.58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3,455,051.36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周转材料摊销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213,196.90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888,826.96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505,696.30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164,199.25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303,869.33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49,555,441.76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51,954,010.75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4</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50"/>
      <w:bookmarkEnd w:id="1251"/>
      <w:bookmarkEnd w:id="1253"/>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62,974,872.92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60,952,924.62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26,251,186.25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15,553,584.21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1,971,061.75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2,303,294.41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3,336,916.65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3,988,436.61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1,843,029.32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2,034,341.30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4,244,605.10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2,699,829.89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4,259,989.95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4,958,698.98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11,946,450.11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8,126,963.84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982,510.64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628,148.45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2,959,402.57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686,500.02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2,522,369.68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2,217,524.10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1,109,258.30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1,746,463.00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1,515,208.85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126,148,116.24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105,665,455.28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4</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254"/>
      <w:bookmarkEnd w:id="1255"/>
      <w:bookmarkEnd w:id="1257"/>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136,231,155.26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90,736,101.16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17,183,840.32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27,998,182.60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2,444,054.52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5,103,502.83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4,368,386.71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4,147,607.49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3,765,743.15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2,200,068.57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会议费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1,551,701.60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30,187.83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19,294,754.21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3,026,994.58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554,879.81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453,315.60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2,718,180.61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224,491.89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1,581,224.84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522,790.44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285,748.94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190,216,711.47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134,206,201.49</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4</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58"/>
      <w:bookmarkEnd w:id="1259"/>
      <w:bookmarkEnd w:id="1261"/>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1,844,339.28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8,738,250.37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2,187,811.36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2,356,213.32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承兑汇票贴息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353,356.69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2,831,356.85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11,077.10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9,213,401.74</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rPr>
          <w:sz w:val="19"/>
          <w:szCs w:val="19"/>
        </w:rPr>
      </w:pPr>
      <w:r>
        <w:rPr>
          <w:color w:val="000000"/>
          <w:spacing w:val="0"/>
          <w:w w:val="100"/>
          <w:position w:val="0"/>
          <w:sz w:val="19"/>
          <w:szCs w:val="19"/>
        </w:rPr>
        <w:t>其他说明：</w:t>
      </w:r>
    </w:p>
    <w:p>
      <w:pPr>
        <w:pStyle w:val="Style18"/>
        <w:keepNext w:val="0"/>
        <w:keepLines w:val="0"/>
        <w:widowControl w:val="0"/>
        <w:shd w:val="clear" w:color="auto" w:fill="auto"/>
        <w:bidi w:val="0"/>
        <w:spacing w:before="0" w:after="340" w:line="240" w:lineRule="auto"/>
        <w:ind w:left="0" w:right="0" w:firstLine="0"/>
        <w:jc w:val="both"/>
        <w:rPr>
          <w:sz w:val="19"/>
          <w:szCs w:val="19"/>
        </w:rPr>
      </w:pPr>
      <w:r>
        <w:rPr>
          <w:color w:val="000000"/>
          <w:spacing w:val="0"/>
          <w:w w:val="100"/>
          <w:position w:val="0"/>
          <w:sz w:val="19"/>
          <w:szCs w:val="19"/>
        </w:rPr>
        <w:t>财务费用中本年度确认租赁负债利息费用为</w:t>
      </w:r>
      <w:r>
        <w:rPr>
          <w:rFonts w:ascii="Times New Roman" w:eastAsia="Times New Roman" w:hAnsi="Times New Roman" w:cs="Times New Roman"/>
          <w:color w:val="000000"/>
          <w:spacing w:val="0"/>
          <w:w w:val="100"/>
          <w:position w:val="0"/>
          <w:sz w:val="24"/>
          <w:szCs w:val="24"/>
        </w:rPr>
        <w:t>418,355.36</w:t>
      </w:r>
      <w:r>
        <w:rPr>
          <w:color w:val="000000"/>
          <w:spacing w:val="0"/>
          <w:w w:val="100"/>
          <w:position w:val="0"/>
          <w:sz w:val="19"/>
          <w:szCs w:val="19"/>
        </w:rPr>
        <w:t>元。</w:t>
      </w:r>
    </w:p>
    <w:p>
      <w:pPr>
        <w:pStyle w:val="Style30"/>
        <w:keepNext/>
        <w:keepLines/>
        <w:widowControl w:val="0"/>
        <w:shd w:val="clear" w:color="auto" w:fill="auto"/>
        <w:bidi w:val="0"/>
        <w:spacing w:before="0" w:after="38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4</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262"/>
      <w:bookmarkEnd w:id="1263"/>
      <w:bookmarkEnd w:id="126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150,450.25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404,396.21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204,773.61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472,281.71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101,606.32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110,404.66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29,440.14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291,123.19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知识产权专项资金补贴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杭州市职业能力建设指导服务中心促进 就业专项资金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102,288.00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高新技术企业补贴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150,000.00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中关村科学城管委会支持资金补贴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4,277,100.00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收滨江区科技局产业扶持资金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109,997.00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6,286.93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66"/>
      <w:bookmarkEnd w:id="1267"/>
      <w:bookmarkEnd w:id="1269"/>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14,901,596.42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1,601,510.06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-50,219.06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12,225,448.28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21,868,667.79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以摊余成本计量的金融资产持有期间取得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28,547,815.62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34,923,827.05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以公允价值计量其变动计入当期损益金融 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43,822,262.04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71,643,872.20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4</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270"/>
      <w:bookmarkEnd w:id="1271"/>
      <w:bookmarkEnd w:id="1273"/>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2,537,748.30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2,537,748.30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4</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274"/>
      <w:bookmarkEnd w:id="1275"/>
      <w:bookmarkEnd w:id="1277"/>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-606,732.99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-5,260,034.05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-4,576,157.87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-6,643,126.28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其他流动资产（信托产品）信用减值损 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3,094,736.08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1,599,334.61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-2,368,054.78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-9,703,225.72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5</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78"/>
      <w:bookmarkEnd w:id="1279"/>
      <w:bookmarkEnd w:id="1281"/>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-24,373,126.34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-2,996,867.82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-288,938.54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623,890.16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-1,210,018.86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-23,749,236.18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-4,495,825.22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5</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282"/>
      <w:bookmarkEnd w:id="1283"/>
      <w:bookmarkEnd w:id="1285"/>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75,663.90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-2,084,657.54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无形资产处置收益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-35,614,933.78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5</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286"/>
      <w:bookmarkEnd w:id="1287"/>
      <w:bookmarkEnd w:id="1289"/>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281,534.80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281,534.80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281,534.80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317,222.88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5</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290"/>
      <w:bookmarkEnd w:id="1291"/>
      <w:bookmarkEnd w:id="1293"/>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1,171,299.18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3,022,125.38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1,171,299.18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380,359.67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380,359.67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424,528.30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424,528.30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320,087.98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320,087.98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6,296,275.13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5,022,125.38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5</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294"/>
      <w:bookmarkEnd w:id="1295"/>
      <w:bookmarkEnd w:id="1297"/>
    </w:p>
    <w:p>
      <w:pPr>
        <w:pStyle w:val="Style35"/>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8"/>
      <w:bookmarkEnd w:id="1299"/>
      <w:bookmarkEnd w:id="1300"/>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6,809,322.74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9,658,793.68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-215,362.11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192,100.73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6,593,960.63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9,850,894.41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01"/>
      <w:bookmarkEnd w:id="1302"/>
      <w:bookmarkEnd w:id="1303"/>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-86,099,722.18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-12,914,958.33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-671,175.76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-1,525,725.00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1,612,726.39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20,093,093.32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6,593,960.63</w:t>
            </w:r>
          </w:p>
        </w:tc>
      </w:tr>
    </w:tbl>
    <w:p>
      <w:pPr>
        <w:widowControl w:val="0"/>
        <w:spacing w:after="31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5</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04"/>
      <w:bookmarkEnd w:id="1305"/>
      <w:bookmarkEnd w:id="1307"/>
    </w:p>
    <w:p>
      <w:pPr>
        <w:pStyle w:val="Style18"/>
        <w:keepNext w:val="0"/>
        <w:keepLines w:val="0"/>
        <w:widowControl w:val="0"/>
        <w:shd w:val="clear" w:color="auto" w:fill="auto"/>
        <w:bidi w:val="0"/>
        <w:spacing w:before="0" w:after="380" w:line="240" w:lineRule="auto"/>
        <w:ind w:left="0" w:right="0" w:firstLine="0"/>
        <w:jc w:val="left"/>
        <w:rPr>
          <w:sz w:val="19"/>
          <w:szCs w:val="19"/>
        </w:rPr>
      </w:pPr>
      <w:r>
        <w:rPr>
          <w:color w:val="000000"/>
          <w:spacing w:val="0"/>
          <w:w w:val="100"/>
          <w:position w:val="0"/>
          <w:sz w:val="19"/>
          <w:szCs w:val="19"/>
        </w:rPr>
        <w:t>详见附注</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19"/>
          <w:szCs w:val="19"/>
        </w:rPr>
        <w:t>。</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5</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08"/>
      <w:bookmarkEnd w:id="1309"/>
      <w:bookmarkEnd w:id="1311"/>
    </w:p>
    <w:p>
      <w:pPr>
        <w:pStyle w:val="Style35"/>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12"/>
      <w:bookmarkEnd w:id="1313"/>
      <w:bookmarkEnd w:id="1314"/>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政府及其他奖励资金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12,204,609.67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1,586,534.07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114,968,256.42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147,664,195.35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4,407,142.24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1,065,576.40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2,652,850.25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2,219,694.26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1,052,405.38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1,961,165.23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135,285,263.96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154,497,165.31</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15"/>
      <w:bookmarkEnd w:id="1316"/>
      <w:bookmarkEnd w:id="1317"/>
    </w:p>
    <w:p>
      <w:pPr>
        <w:pStyle w:val="Style33"/>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108,792,675.78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146,462,217.24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3,229,895.33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699,786.11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106,108,983.57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77,193,030.42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1,171,299.18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223,302,853.86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226,355,033.77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）支付的其他与投资活动有关的现金</w:t>
      </w:r>
      <w:bookmarkEnd w:id="1318"/>
      <w:bookmarkEnd w:id="1319"/>
      <w:bookmarkEnd w:id="1321"/>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原纳入合并范围的合伙企业退伙收回的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824,602.03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824,602.03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22"/>
      <w:bookmarkEnd w:id="1323"/>
      <w:bookmarkEnd w:id="1325"/>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偿还租赁负债本金和利息所支付的现金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3,283,418.40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3,283,418.40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5</w:t>
      </w:r>
      <w:bookmarkEnd w:id="1328"/>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26"/>
      <w:bookmarkEnd w:id="1327"/>
      <w:bookmarkEnd w:id="1329"/>
    </w:p>
    <w:p>
      <w:pPr>
        <w:pStyle w:val="Style35"/>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30"/>
      <w:bookmarkEnd w:id="1331"/>
      <w:bookmarkEnd w:id="1332"/>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-92,693,682.81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6,900,174.38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26,117,290.96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14,199,050.94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rPr>
                <w:sz w:val="16"/>
                <w:szCs w:val="16"/>
              </w:rPr>
            </w:pPr>
            <w:r>
              <w:rPr>
                <w:rFonts w:ascii="SimSun" w:eastAsia="SimSun" w:hAnsi="SimSun" w:cs="SimSun"/>
                <w:color w:val="000000"/>
                <w:spacing w:val="0"/>
                <w:w w:val="100"/>
                <w:position w:val="0"/>
                <w:sz w:val="16"/>
                <w:szCs w:val="16"/>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4,785,944.63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2,925,996.79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3,196,179.44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19,026,869.64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30,053,278.62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795,634.45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469,110.91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rPr>
                <w:sz w:val="16"/>
                <w:szCs w:val="16"/>
              </w:rPr>
            </w:pPr>
            <w:r>
              <w:rPr>
                <w:rFonts w:ascii="SimSun" w:eastAsia="SimSun" w:hAnsi="SimSun" w:cs="SimSun"/>
                <w:color w:val="000000"/>
                <w:spacing w:val="0"/>
                <w:w w:val="100"/>
                <w:position w:val="0"/>
                <w:sz w:val="16"/>
                <w:szCs w:val="16"/>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35,539,269.88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2,084,657.54</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-2,537,748.30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1,336,051.07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11,056,707.76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-43,822,262.04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-71,643,872.20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递延所得税资产减少（增加以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-278,597.25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644,507.15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递延所得税负债增加（减少以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-452,406.42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-124,283,017.54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-15,222,197.01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-54,905,853.08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-157,120,057.01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rPr>
                <w:sz w:val="16"/>
                <w:szCs w:val="16"/>
              </w:rPr>
            </w:pPr>
            <w:r>
              <w:rPr>
                <w:rFonts w:ascii="SimSun" w:eastAsia="SimSun" w:hAnsi="SimSun" w:cs="SimSun"/>
                <w:color w:val="000000"/>
                <w:spacing w:val="0"/>
                <w:w w:val="100"/>
                <w:position w:val="0"/>
                <w:sz w:val="16"/>
                <w:szCs w:val="16"/>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39,520,209.56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208,633,408.55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-188,140,476.25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31,768,305.49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435,839,465.92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370,337,683.40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370,337,683.40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593,840,074.89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65,501,782.52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-223,502,391.49</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33"/>
      <w:bookmarkEnd w:id="1334"/>
      <w:bookmarkEnd w:id="1335"/>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435,839,465.92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370,337,683.40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252,625.37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435,618,174.13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369,889,977.89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19,750.14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195,080.14</w:t>
            </w:r>
          </w:p>
        </w:tc>
      </w:tr>
    </w:tbl>
    <w:p>
      <w:pPr>
        <w:widowControl w:val="0"/>
        <w:spacing w:line="1" w:lineRule="exact"/>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435,839,465.92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370,337,683.40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36"/>
      <w:bookmarkEnd w:id="1337"/>
      <w:bookmarkEnd w:id="133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36,421,249.90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保证金、代管资金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36,421,249.90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5</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340"/>
      <w:bookmarkEnd w:id="1341"/>
      <w:bookmarkEnd w:id="1343"/>
    </w:p>
    <w:p>
      <w:pPr>
        <w:pStyle w:val="Style35"/>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44"/>
      <w:bookmarkEnd w:id="1345"/>
      <w:bookmarkEnd w:id="1346"/>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计入当期损益的金额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年工业互联网创新发展 工程</w:t>
            </w:r>
            <w:r>
              <w:rPr>
                <w:color w:val="000000"/>
                <w:spacing w:val="0"/>
                <w:w w:val="100"/>
                <w:position w:val="0"/>
                <w:sz w:val="18"/>
                <w:szCs w:val="18"/>
              </w:rPr>
              <w:t>-</w:t>
            </w:r>
            <w:r>
              <w:rPr>
                <w:rFonts w:ascii="SimSun" w:eastAsia="SimSun" w:hAnsi="SimSun" w:cs="SimSun"/>
                <w:color w:val="000000"/>
                <w:spacing w:val="0"/>
                <w:w w:val="100"/>
                <w:position w:val="0"/>
                <w:sz w:val="16"/>
                <w:szCs w:val="16"/>
              </w:rPr>
              <w:t>区块链公共服务平台项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7,434,250.00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与资产相关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中关村科学城管委会支持资 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4,277,100.00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社会保险稳岗补贴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204,773.61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204,773.61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社保中心技能提升培训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滨江区科技局产业扶持资金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109,997.00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109,997.00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增值税先征后返、即征即退等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150,450.25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150,450.25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知识产权贯标补贴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47"/>
      <w:bookmarkEnd w:id="1348"/>
      <w:bookmarkEnd w:id="1349"/>
    </w:p>
    <w:p>
      <w:pPr>
        <w:pStyle w:val="Style18"/>
        <w:keepNext w:val="0"/>
        <w:keepLines w:val="0"/>
        <w:widowControl w:val="0"/>
        <w:shd w:val="clear" w:color="auto" w:fill="auto"/>
        <w:bidi w:val="0"/>
        <w:spacing w:before="0" w:after="32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22"/>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sz w:val="24"/>
          <w:szCs w:val="24"/>
        </w:rPr>
        <w:t>八</w:t>
      </w:r>
      <w:bookmarkEnd w:id="1352"/>
      <w:r>
        <w:rPr>
          <w:color w:val="000000"/>
          <w:spacing w:val="0"/>
          <w:w w:val="100"/>
          <w:position w:val="0"/>
          <w:sz w:val="24"/>
          <w:szCs w:val="24"/>
        </w:rPr>
        <w:t>、合并范围的变更</w:t>
      </w:r>
      <w:bookmarkEnd w:id="1350"/>
      <w:bookmarkEnd w:id="1351"/>
      <w:bookmarkEnd w:id="1353"/>
    </w:p>
    <w:p>
      <w:pPr>
        <w:pStyle w:val="Style30"/>
        <w:keepNext/>
        <w:keepLines/>
        <w:widowControl w:val="0"/>
        <w:shd w:val="clear" w:color="auto" w:fill="auto"/>
        <w:bidi w:val="0"/>
        <w:spacing w:before="0" w:after="32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54"/>
      <w:bookmarkEnd w:id="1355"/>
      <w:bookmarkEnd w:id="1356"/>
    </w:p>
    <w:p>
      <w:pPr>
        <w:pStyle w:val="Style18"/>
        <w:keepNext w:val="0"/>
        <w:keepLines w:val="0"/>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rPr>
        <w:t>说明其他原因导致的合并范围变动（如，新设子公司、清算子公司等）及其相关情况：</w:t>
      </w:r>
    </w:p>
    <w:p>
      <w:pPr>
        <w:pStyle w:val="Style18"/>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本期公司的全资子公司香港中科金财科技有限公司已于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日核准注销。</w:t>
      </w:r>
      <w:r>
        <w:br w:type="page"/>
      </w:r>
    </w:p>
    <w:p>
      <w:pPr>
        <w:pStyle w:val="Style22"/>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sz w:val="24"/>
          <w:szCs w:val="24"/>
        </w:rPr>
        <w:t>九</w:t>
      </w:r>
      <w:bookmarkEnd w:id="1359"/>
      <w:r>
        <w:rPr>
          <w:color w:val="000000"/>
          <w:spacing w:val="0"/>
          <w:w w:val="100"/>
          <w:position w:val="0"/>
          <w:sz w:val="24"/>
          <w:szCs w:val="24"/>
        </w:rPr>
        <w:t>、在其他主体中的权益</w:t>
      </w:r>
      <w:bookmarkEnd w:id="1357"/>
      <w:bookmarkEnd w:id="1358"/>
      <w:bookmarkEnd w:id="1360"/>
    </w:p>
    <w:p>
      <w:pPr>
        <w:pStyle w:val="Style30"/>
        <w:keepNext/>
        <w:keepLines/>
        <w:widowControl w:val="0"/>
        <w:shd w:val="clear" w:color="auto" w:fill="auto"/>
        <w:bidi w:val="0"/>
        <w:spacing w:before="0" w:after="36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1"/>
      <w:bookmarkEnd w:id="1362"/>
      <w:bookmarkEnd w:id="1363"/>
    </w:p>
    <w:p>
      <w:pPr>
        <w:pStyle w:val="Style35"/>
        <w:keepNext/>
        <w:keepLines/>
        <w:widowControl w:val="0"/>
        <w:shd w:val="clear" w:color="auto" w:fill="auto"/>
        <w:bidi w:val="0"/>
        <w:spacing w:before="0" w:after="32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64"/>
      <w:bookmarkEnd w:id="1365"/>
      <w:bookmarkEnd w:id="136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天津中科金财科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技术开发服务、 电子产品销售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北京中科金财信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移动支付、移动 电子商务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北京中科金财软 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6"/>
                <w:szCs w:val="16"/>
              </w:rPr>
            </w:pPr>
            <w:r>
              <w:rPr>
                <w:rFonts w:ascii="SimSun" w:eastAsia="SimSun" w:hAnsi="SimSun" w:cs="SimSun"/>
                <w:color w:val="000000"/>
                <w:spacing w:val="0"/>
                <w:w w:val="100"/>
                <w:position w:val="0"/>
                <w:sz w:val="16"/>
                <w:szCs w:val="16"/>
              </w:rPr>
              <w:t>技术开发及服 务，计算机软、 硬件及电子产品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北京中科金财投</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投资管理；资产 管理；项目投资； 技术转让、技术 服务、技术咨询； 计算机技术培训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天津壬辰软件开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技术开发服务、 电子产品销售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大连鼎运企业管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辽宁省大连市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辽宁省大连市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企业管理及咨询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6"/>
                <w:szCs w:val="16"/>
              </w:rPr>
            </w:pPr>
            <w:r>
              <w:rPr>
                <w:rFonts w:ascii="SimSun" w:eastAsia="SimSun" w:hAnsi="SimSun" w:cs="SimSun"/>
                <w:color w:val="000000"/>
                <w:spacing w:val="0"/>
                <w:w w:val="100"/>
                <w:position w:val="0"/>
                <w:sz w:val="16"/>
                <w:szCs w:val="16"/>
              </w:rPr>
              <w:t>金财数金（上海） 智能科技有限公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金融信息服务、</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金融应用软件开</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华缔资产管理</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投资管理；资产 管理等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深圳中金财富科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金融信息咨询、</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金融软件的技术</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开发及相关技术</w:t>
            </w:r>
          </w:p>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非同一控制合并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中科金财保险经 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河南省郑州市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为投保人拟定投 保方案、选择保 险公司以及办理 投保手续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深圳前海中科金 财金控投资有限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投资兴办实业、</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企业收购兼并策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划咨询等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北京志东方科技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技术开发、技术 推广、技术转让 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非同一控制合并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北京中科金财智 能技术有限公司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技术开发、技术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杭州中科金财科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杭州市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技术开发、技术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投资设立</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对于纳入合并范围的重要的结构化主体，控制的依据:</w:t>
      </w:r>
    </w:p>
    <w:p>
      <w:pPr>
        <w:widowControl w:val="0"/>
        <w:spacing w:after="59" w:line="1" w:lineRule="exact"/>
      </w:pPr>
    </w:p>
    <w:p>
      <w:pPr>
        <w:widowControl w:val="0"/>
        <w:spacing w:line="1" w:lineRule="exact"/>
      </w:pPr>
    </w:p>
    <w:tbl>
      <w:tblPr>
        <w:tblOverlap w:val="never"/>
        <w:jc w:val="center"/>
        <w:tblLayout w:type="fixed"/>
      </w:tblPr>
      <w:tblGrid>
        <w:gridCol w:w="2702"/>
        <w:gridCol w:w="2270"/>
        <w:gridCol w:w="1982"/>
        <w:gridCol w:w="1277"/>
        <w:gridCol w:w="1646"/>
      </w:tblGrid>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持有信托产品子公司名称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信托产品名称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信托公司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信托产品存续</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截止</w:t>
            </w:r>
            <w:r>
              <w:rPr>
                <w:color w:val="000000"/>
                <w:spacing w:val="0"/>
                <w:w w:val="100"/>
                <w:position w:val="0"/>
                <w:sz w:val="18"/>
                <w:szCs w:val="18"/>
              </w:rPr>
              <w:t>2021.12.3</w:t>
            </w:r>
            <w:r>
              <w:rPr>
                <w:color w:val="000000"/>
                <w:spacing w:val="0"/>
                <w:w w:val="100"/>
                <w:position w:val="0"/>
                <w:sz w:val="18"/>
                <w:szCs w:val="18"/>
              </w:rPr>
              <w:t>1</w:t>
            </w:r>
            <w:r>
              <w:rPr>
                <w:rFonts w:ascii="SimSun" w:eastAsia="SimSun" w:hAnsi="SimSun" w:cs="SimSun"/>
                <w:color w:val="000000"/>
                <w:spacing w:val="0"/>
                <w:w w:val="100"/>
                <w:position w:val="0"/>
                <w:sz w:val="16"/>
                <w:szCs w:val="16"/>
              </w:rPr>
              <w:t>信托</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产品余额（元）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西藏信托</w:t>
            </w:r>
            <w:r>
              <w:rPr>
                <w:color w:val="000000"/>
                <w:spacing w:val="0"/>
                <w:w w:val="100"/>
                <w:position w:val="0"/>
                <w:sz w:val="18"/>
                <w:szCs w:val="18"/>
              </w:rPr>
              <w:t>-</w:t>
            </w:r>
            <w:r>
              <w:rPr>
                <w:rFonts w:ascii="SimSun" w:eastAsia="SimSun" w:hAnsi="SimSun" w:cs="SimSun"/>
                <w:color w:val="000000"/>
                <w:spacing w:val="0"/>
                <w:w w:val="100"/>
                <w:position w:val="0"/>
                <w:sz w:val="16"/>
                <w:szCs w:val="16"/>
              </w:rPr>
              <w:t>乐家</w:t>
            </w:r>
            <w:r>
              <w:rPr>
                <w:color w:val="000000"/>
                <w:spacing w:val="0"/>
                <w:w w:val="100"/>
                <w:position w:val="0"/>
                <w:sz w:val="18"/>
                <w:szCs w:val="18"/>
              </w:rPr>
              <w:t>1</w:t>
            </w:r>
            <w:r>
              <w:rPr>
                <w:rFonts w:ascii="SimSun" w:eastAsia="SimSun" w:hAnsi="SimSun" w:cs="SimSun"/>
                <w:color w:val="000000"/>
                <w:spacing w:val="0"/>
                <w:w w:val="100"/>
                <w:position w:val="0"/>
                <w:sz w:val="16"/>
                <w:szCs w:val="16"/>
              </w:rPr>
              <w:t>号单一资金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28,037,366.47</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西藏信托</w:t>
            </w:r>
            <w:r>
              <w:rPr>
                <w:color w:val="000000"/>
                <w:spacing w:val="0"/>
                <w:w w:val="100"/>
                <w:position w:val="0"/>
                <w:sz w:val="18"/>
                <w:szCs w:val="18"/>
              </w:rPr>
              <w:t>-</w:t>
            </w:r>
            <w:r>
              <w:rPr>
                <w:rFonts w:ascii="SimSun" w:eastAsia="SimSun" w:hAnsi="SimSun" w:cs="SimSun"/>
                <w:color w:val="000000"/>
                <w:spacing w:val="0"/>
                <w:w w:val="100"/>
                <w:position w:val="0"/>
                <w:sz w:val="16"/>
                <w:szCs w:val="16"/>
              </w:rPr>
              <w:t>乐家</w:t>
            </w:r>
            <w:r>
              <w:rPr>
                <w:color w:val="000000"/>
                <w:spacing w:val="0"/>
                <w:w w:val="100"/>
                <w:position w:val="0"/>
                <w:sz w:val="18"/>
                <w:szCs w:val="18"/>
              </w:rPr>
              <w:t>2</w:t>
            </w:r>
            <w:r>
              <w:rPr>
                <w:rFonts w:ascii="SimSun" w:eastAsia="SimSun" w:hAnsi="SimSun" w:cs="SimSun"/>
                <w:color w:val="000000"/>
                <w:spacing w:val="0"/>
                <w:w w:val="100"/>
                <w:position w:val="0"/>
                <w:sz w:val="16"/>
                <w:szCs w:val="16"/>
              </w:rPr>
              <w:t>号单一资金 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4,440,000.00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123</w:t>
            </w:r>
            <w:r>
              <w:rPr>
                <w:rFonts w:ascii="SimSun" w:eastAsia="SimSun" w:hAnsi="SimSun" w:cs="SimSun"/>
                <w:color w:val="000000"/>
                <w:spacing w:val="0"/>
                <w:w w:val="100"/>
                <w:position w:val="0"/>
                <w:sz w:val="16"/>
                <w:szCs w:val="16"/>
              </w:rPr>
              <w:t>号单一资 金信托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华鑫国际信托有限公司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269,930,000.00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华缔资产管理（北京）有限公司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华鑫信托</w:t>
            </w:r>
            <w:r>
              <w:rPr>
                <w:color w:val="000000"/>
                <w:spacing w:val="0"/>
                <w:w w:val="100"/>
                <w:position w:val="0"/>
                <w:sz w:val="18"/>
                <w:szCs w:val="18"/>
              </w:rPr>
              <w:t>•</w:t>
            </w:r>
            <w:r>
              <w:rPr>
                <w:rFonts w:ascii="SimSun" w:eastAsia="SimSun" w:hAnsi="SimSun" w:cs="SimSun"/>
                <w:color w:val="000000"/>
                <w:spacing w:val="0"/>
                <w:w w:val="100"/>
                <w:position w:val="0"/>
                <w:sz w:val="16"/>
                <w:szCs w:val="16"/>
              </w:rPr>
              <w:t>睿科</w:t>
            </w:r>
            <w:r>
              <w:rPr>
                <w:color w:val="000000"/>
                <w:spacing w:val="0"/>
                <w:w w:val="100"/>
                <w:position w:val="0"/>
                <w:sz w:val="18"/>
                <w:szCs w:val="18"/>
              </w:rPr>
              <w:t>192</w:t>
            </w:r>
            <w:r>
              <w:rPr>
                <w:rFonts w:ascii="SimSun" w:eastAsia="SimSun" w:hAnsi="SimSun" w:cs="SimSun"/>
                <w:color w:val="000000"/>
                <w:spacing w:val="0"/>
                <w:w w:val="100"/>
                <w:position w:val="0"/>
                <w:sz w:val="16"/>
                <w:szCs w:val="16"/>
              </w:rPr>
              <w:t>号（事务管 理类）集合资金信托计划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华鑫国际信托有限公司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300,000,000.00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602,407,366.47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日，本公司子公司深圳中金财富科技有限公司正在申请工商注销中，并于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日完成工商注销。</w:t>
      </w:r>
    </w:p>
    <w:p>
      <w:pPr>
        <w:pStyle w:val="Style30"/>
        <w:keepNext/>
        <w:keepLines/>
        <w:widowControl w:val="0"/>
        <w:shd w:val="clear" w:color="auto" w:fill="auto"/>
        <w:bidi w:val="0"/>
        <w:spacing w:before="0" w:after="380" w:line="470" w:lineRule="exact"/>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7"/>
      <w:bookmarkEnd w:id="1368"/>
      <w:bookmarkEnd w:id="1369"/>
    </w:p>
    <w:p>
      <w:pPr>
        <w:pStyle w:val="Style35"/>
        <w:keepNext/>
        <w:keepLines/>
        <w:widowControl w:val="0"/>
        <w:shd w:val="clear" w:color="auto" w:fill="auto"/>
        <w:bidi w:val="0"/>
        <w:spacing w:before="0" w:after="32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70"/>
      <w:bookmarkEnd w:id="1371"/>
      <w:bookmarkEnd w:id="137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合营企业或联营</w:t>
            </w:r>
          </w:p>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安粮期货股份有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安徽省合肥市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安徽省合肥市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商品、金融期货</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大连金融资产交 易所有限公司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大连市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6"/>
                <w:szCs w:val="16"/>
              </w:rPr>
            </w:pPr>
            <w:r>
              <w:rPr>
                <w:rFonts w:ascii="SimSun" w:eastAsia="SimSun" w:hAnsi="SimSun" w:cs="SimSun"/>
                <w:color w:val="000000"/>
                <w:spacing w:val="0"/>
                <w:w w:val="100"/>
                <w:position w:val="0"/>
                <w:sz w:val="16"/>
                <w:szCs w:val="16"/>
              </w:rPr>
              <w:t>各类金融资产交</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易及相关服务等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权益法</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73"/>
      <w:bookmarkEnd w:id="1374"/>
      <w:bookmarkEnd w:id="1375"/>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925"/>
        <w:gridCol w:w="3826"/>
        <w:gridCol w:w="384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安粮期货股份有限公司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大连金融资产交易所有 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安粮期货股份有限公司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大连金融资产交易所有 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4,194,527,411.93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563,934,872.10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3,514,080,609.50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668,686,191.25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51,105,628.03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20,635,969.04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291,854,024.16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12,720,949.79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4,245,633,039.96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584,570,841.14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3,805,934,633.66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681,407,141.04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3,534,552,710.91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36,918,923.74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2,958,254,713.22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44,158,593.93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11,048,252.95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24,610,360.28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167,000,326.14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3,545,600,963.86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61,529,284.02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3,125,255,039.36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44,158,593.93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637,248,547.11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700,032,076.10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523,041,557.12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680,679,594.30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637,248,547.11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280,012,830.44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79,083,883.43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272,271,837.72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96,351,980.32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16,672,454.92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13,551,245.27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16,672,454.92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13,551,245.27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15,024,745.50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15,024,745.50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13,551,245.27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1,602,709.42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13,551,245.27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296,640,285.37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92,635,128.70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288,899,292.65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color w:val="000000"/>
                <w:spacing w:val="0"/>
                <w:w w:val="100"/>
                <w:position w:val="0"/>
              </w:rPr>
              <w:t>109,903,225.59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存在公开报价的联营企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2,031,599,839.98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68,763,848.13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2,210,777,195.76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78,956,936.91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44,352,481.80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-114,206,989.99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32,317,431.53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19,090,518.99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5,435,230.24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44,352,481.80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-114,206,989.99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37,752,661.77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19,090,518.99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6"/>
                <w:szCs w:val="16"/>
              </w:rPr>
            </w:pPr>
            <w:r>
              <w:rPr>
                <w:rFonts w:ascii="SimSun" w:eastAsia="SimSun" w:hAnsi="SimSun" w:cs="SimSun"/>
                <w:color w:val="000000"/>
                <w:spacing w:val="0"/>
                <w:w w:val="100"/>
                <w:position w:val="0"/>
                <w:sz w:val="16"/>
                <w:szCs w:val="16"/>
              </w:rPr>
              <w:t>本年度收到的来自联营 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53"/>
        </w:numPr>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不重要的合营企业和联营企业的汇总财务信息</w:t>
      </w:r>
      <w:bookmarkEnd w:id="1376"/>
      <w:bookmarkEnd w:id="1377"/>
      <w:bookmarkEnd w:id="1379"/>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3,631,854.14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101,440,841.83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-1,457,007.37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1,978,697.17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-1,457,007.37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1,978,697.17</w:t>
            </w:r>
          </w:p>
        </w:tc>
      </w:tr>
    </w:tbl>
    <w:p>
      <w:pPr>
        <w:pStyle w:val="Style27"/>
        <w:keepNext w:val="0"/>
        <w:keepLines w:val="0"/>
        <w:widowControl w:val="0"/>
        <w:shd w:val="clear" w:color="auto" w:fill="auto"/>
        <w:bidi w:val="0"/>
        <w:spacing w:before="0" w:after="0" w:line="240" w:lineRule="auto"/>
        <w:ind w:left="10" w:right="0" w:firstLine="0"/>
        <w:jc w:val="left"/>
        <w:rPr>
          <w:sz w:val="20"/>
          <w:szCs w:val="20"/>
        </w:rPr>
      </w:pPr>
      <w:bookmarkStart w:id="1380" w:name="bookmark138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）合营企业或联营企业发生的超额亏损</w:t>
      </w:r>
      <w:bookmarkEnd w:id="1380"/>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本期末累积未确认的损失</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深圳市金方达信息技术有限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139,811.56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139,811.56</w:t>
            </w:r>
          </w:p>
        </w:tc>
      </w:tr>
    </w:tbl>
    <w:p>
      <w:pPr>
        <w:widowControl w:val="0"/>
        <w:spacing w:after="319" w:line="1" w:lineRule="exact"/>
      </w:pPr>
    </w:p>
    <w:p>
      <w:pPr>
        <w:pStyle w:val="Style22"/>
        <w:keepNext/>
        <w:keepLines/>
        <w:widowControl w:val="0"/>
        <w:shd w:val="clear" w:color="auto" w:fill="auto"/>
        <w:bidi w:val="0"/>
        <w:spacing w:before="0" w:after="220" w:line="240" w:lineRule="auto"/>
        <w:ind w:left="0" w:right="0" w:firstLine="0"/>
        <w:jc w:val="left"/>
      </w:pPr>
      <w:bookmarkStart w:id="1381" w:name="bookmark1381"/>
      <w:bookmarkStart w:id="1382" w:name="bookmark1382"/>
      <w:bookmarkStart w:id="1383" w:name="bookmark1383"/>
      <w:r>
        <w:rPr>
          <w:color w:val="000000"/>
          <w:spacing w:val="0"/>
          <w:w w:val="100"/>
          <w:position w:val="0"/>
          <w:sz w:val="24"/>
          <w:szCs w:val="24"/>
        </w:rPr>
        <w:t>十、与金融工具相关的风险</w:t>
      </w:r>
      <w:bookmarkEnd w:id="1381"/>
      <w:bookmarkEnd w:id="1382"/>
      <w:bookmarkEnd w:id="1383"/>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本公司的经营活动会面临各种金融风险：信用风险、市场风险和流动性风险。本公司已制定风险管理 政策，力求减少各种风险对财务业绩的潜在不利影响。</w:t>
      </w:r>
    </w:p>
    <w:p>
      <w:pPr>
        <w:pStyle w:val="Style18"/>
        <w:keepNext w:val="0"/>
        <w:keepLines w:val="0"/>
        <w:widowControl w:val="0"/>
        <w:shd w:val="clear" w:color="auto" w:fill="auto"/>
        <w:tabs>
          <w:tab w:pos="794" w:val="left"/>
        </w:tabs>
        <w:bidi w:val="0"/>
        <w:spacing w:before="0" w:after="0"/>
        <w:ind w:left="0" w:right="0" w:firstLine="440"/>
        <w:jc w:val="both"/>
      </w:pPr>
      <w:bookmarkStart w:id="1384" w:name="bookmark1384"/>
      <w:r>
        <w:rPr>
          <w:rFonts w:ascii="Times New Roman" w:eastAsia="Times New Roman" w:hAnsi="Times New Roman" w:cs="Times New Roman"/>
          <w:color w:val="000000"/>
          <w:spacing w:val="0"/>
          <w:w w:val="100"/>
          <w:position w:val="0"/>
        </w:rPr>
        <w:t>1</w:t>
      </w:r>
      <w:bookmarkEnd w:id="1384"/>
      <w:r>
        <w:rPr>
          <w:color w:val="000000"/>
          <w:spacing w:val="0"/>
          <w:w w:val="100"/>
          <w:position w:val="0"/>
        </w:rPr>
        <w:t>、</w:t>
        <w:tab/>
        <w:t>信用风险</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本公司对信用风险按组合分类进行管理。信用风险主要产生于银行存款、应收账款、其他应收款、应 收票据等。</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本公司银行存款主要存放于国有银行和其它大中型上市银行，本公司认为其不存在重大的信用风险， 不会产生因对方单位违约而导致的任何重大损失。</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对于应收账款、其他应收款和应收票据，本公司设定相关政策以控制信用风险敞口。在签订新合同之 前，本公司会对新客户的信用风险进行评估，包括外部信用评级和在某些情况下的银行资信证明（当此信 息可获取时）。公司对每一客户均设置了赊销限额，该限额为无需获得额外批准的最大额度。</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公司通过对已有客户信用评级的季度监控以及应收账款账龄分析的月度审核来确保公司的整体信用 风险在可控的范围内。在监控客户的信用风险时，按照客户的信用特征对其分组。被评为</w:t>
      </w:r>
      <w:r>
        <w:rPr>
          <w:rFonts w:ascii="Times New Roman" w:eastAsia="Times New Roman" w:hAnsi="Times New Roman" w:cs="Times New Roman"/>
          <w:color w:val="000000"/>
          <w:spacing w:val="0"/>
          <w:w w:val="100"/>
          <w:position w:val="0"/>
        </w:rPr>
        <w:t>“</w:t>
      </w:r>
      <w:r>
        <w:rPr>
          <w:color w:val="000000"/>
          <w:spacing w:val="0"/>
          <w:w w:val="100"/>
          <w:position w:val="0"/>
        </w:rPr>
        <w:t>高风险</w:t>
      </w:r>
      <w:r>
        <w:rPr>
          <w:rFonts w:ascii="Times New Roman" w:eastAsia="Times New Roman" w:hAnsi="Times New Roman" w:cs="Times New Roman"/>
          <w:color w:val="000000"/>
          <w:spacing w:val="0"/>
          <w:w w:val="100"/>
          <w:position w:val="0"/>
        </w:rPr>
        <w:t>”</w:t>
      </w:r>
      <w:r>
        <w:rPr>
          <w:color w:val="000000"/>
          <w:spacing w:val="0"/>
          <w:w w:val="100"/>
          <w:position w:val="0"/>
        </w:rPr>
        <w:t>级别的 客户会放在受限制客户名单里，并且只有在额外批准的前提下，公司才可在未来期间内对其赊销，否则必 须要求其提前支付相应款项。</w:t>
      </w:r>
    </w:p>
    <w:p>
      <w:pPr>
        <w:pStyle w:val="Style18"/>
        <w:keepNext w:val="0"/>
        <w:keepLines w:val="0"/>
        <w:widowControl w:val="0"/>
        <w:shd w:val="clear" w:color="auto" w:fill="auto"/>
        <w:tabs>
          <w:tab w:pos="813" w:val="left"/>
        </w:tabs>
        <w:bidi w:val="0"/>
        <w:spacing w:before="0" w:after="0"/>
        <w:ind w:left="0" w:right="0" w:firstLine="440"/>
        <w:jc w:val="both"/>
      </w:pPr>
      <w:bookmarkStart w:id="1385" w:name="bookmark1385"/>
      <w:r>
        <w:rPr>
          <w:rFonts w:ascii="Times New Roman" w:eastAsia="Times New Roman" w:hAnsi="Times New Roman" w:cs="Times New Roman"/>
          <w:color w:val="000000"/>
          <w:spacing w:val="0"/>
          <w:w w:val="100"/>
          <w:position w:val="0"/>
        </w:rPr>
        <w:t>2</w:t>
      </w:r>
      <w:bookmarkEnd w:id="1385"/>
      <w:r>
        <w:rPr>
          <w:color w:val="000000"/>
          <w:spacing w:val="0"/>
          <w:w w:val="100"/>
          <w:position w:val="0"/>
        </w:rPr>
        <w:t>、</w:t>
        <w:tab/>
        <w:t>市场风险</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18"/>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利率风险，是指金融工具的公允价值或未来现金流量因市场利率变动而发生波动的风险。</w:t>
      </w:r>
      <w:r>
        <w:br w:type="page"/>
      </w:r>
    </w:p>
    <w:p>
      <w:pPr>
        <w:pStyle w:val="Style18"/>
        <w:keepNext w:val="0"/>
        <w:keepLines w:val="0"/>
        <w:widowControl w:val="0"/>
        <w:shd w:val="clear" w:color="auto" w:fill="auto"/>
        <w:tabs>
          <w:tab w:pos="928" w:val="left"/>
        </w:tabs>
        <w:bidi w:val="0"/>
        <w:spacing w:before="0" w:after="220" w:line="240" w:lineRule="auto"/>
        <w:ind w:left="0" w:right="0" w:firstLine="440"/>
        <w:jc w:val="both"/>
      </w:pPr>
      <w:bookmarkStart w:id="1386" w:name="bookmark1386"/>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w:t>
        <w:tab/>
        <w:t>汇率风险</w:t>
      </w:r>
    </w:p>
    <w:p>
      <w:pPr>
        <w:pStyle w:val="Style18"/>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汇率风险，是指金融工具的公允价值或未来现金流量因外汇汇率变动而发生波动的风险。</w:t>
      </w:r>
    </w:p>
    <w:p>
      <w:pPr>
        <w:pStyle w:val="Style18"/>
        <w:keepNext w:val="0"/>
        <w:keepLines w:val="0"/>
        <w:widowControl w:val="0"/>
        <w:shd w:val="clear" w:color="auto" w:fill="auto"/>
        <w:tabs>
          <w:tab w:pos="928" w:val="left"/>
        </w:tabs>
        <w:bidi w:val="0"/>
        <w:spacing w:before="0" w:after="220" w:line="240" w:lineRule="auto"/>
        <w:ind w:left="0" w:right="0" w:firstLine="440"/>
        <w:jc w:val="both"/>
      </w:pPr>
      <w:bookmarkStart w:id="1387" w:name="bookmark1387"/>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其他价格风险</w:t>
      </w:r>
    </w:p>
    <w:p>
      <w:pPr>
        <w:pStyle w:val="Style18"/>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本公司持有的权益投资列示如下：</w:t>
      </w:r>
    </w:p>
    <w:tbl>
      <w:tblPr>
        <w:tblOverlap w:val="never"/>
        <w:jc w:val="center"/>
        <w:tblLayout w:type="fixed"/>
      </w:tblPr>
      <w:tblGrid>
        <w:gridCol w:w="2712"/>
        <w:gridCol w:w="2333"/>
        <w:gridCol w:w="249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13,448,400.00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13,448,400.00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13,448,400.00</w:t>
            </w:r>
          </w:p>
        </w:tc>
      </w:tr>
    </w:tbl>
    <w:p>
      <w:pPr>
        <w:pStyle w:val="Style18"/>
        <w:keepNext w:val="0"/>
        <w:keepLines w:val="0"/>
        <w:widowControl w:val="0"/>
        <w:shd w:val="clear" w:color="auto" w:fill="auto"/>
        <w:bidi w:val="0"/>
        <w:spacing w:before="0" w:after="0" w:line="468" w:lineRule="exact"/>
        <w:ind w:left="0" w:right="0" w:firstLine="440"/>
        <w:jc w:val="both"/>
      </w:pPr>
      <w:bookmarkStart w:id="1388" w:name="bookmark1388"/>
      <w:r>
        <w:rPr>
          <w:color w:val="000000"/>
          <w:spacing w:val="0"/>
          <w:w w:val="100"/>
          <w:position w:val="0"/>
        </w:rPr>
        <w:t>3</w:t>
      </w:r>
      <w:bookmarkEnd w:id="1388"/>
      <w:r>
        <w:rPr>
          <w:color w:val="000000"/>
          <w:spacing w:val="0"/>
          <w:w w:val="100"/>
          <w:position w:val="0"/>
        </w:rPr>
        <w:t>、流动性风险</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流动性风险，是指本公司在履行以交付现金或其他金融资产的方式结算的义务时发生资金短缺的风 险。</w:t>
      </w:r>
    </w:p>
    <w:p>
      <w:pPr>
        <w:pStyle w:val="Style18"/>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管理流动风险时，本公司保持管理层认为充分的现金及现金等价物并对其进行监控，以满足本公司的 经营需要，并降低现金流量波动的影响。流动性风险由本公司的财务部门集中控制。财务部门通过监控现 金余额、可随时变现的有价证券以及对未来</w:t>
      </w:r>
      <w:r>
        <w:rPr>
          <w:color w:val="000000"/>
          <w:spacing w:val="0"/>
          <w:w w:val="100"/>
          <w:position w:val="0"/>
        </w:rPr>
        <w:t>12</w:t>
      </w:r>
      <w:r>
        <w:rPr>
          <w:color w:val="000000"/>
          <w:spacing w:val="0"/>
          <w:w w:val="100"/>
          <w:position w:val="0"/>
        </w:rPr>
        <w:t>个月现金流量的滚动预测，确保公司在所有合理预测的情况 下拥有充足的资金偿还债务。于资产负债表日，各项金融负债以未折现的合同现金流量按到期日列示如下:</w:t>
      </w:r>
    </w:p>
    <w:p>
      <w:pPr>
        <w:pStyle w:val="Style27"/>
        <w:keepNext w:val="0"/>
        <w:keepLines w:val="0"/>
        <w:widowControl w:val="0"/>
        <w:shd w:val="clear" w:color="auto" w:fill="auto"/>
        <w:bidi w:val="0"/>
        <w:spacing w:before="0" w:after="0" w:line="240" w:lineRule="auto"/>
        <w:ind w:left="8131"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1546"/>
        <w:gridCol w:w="1680"/>
        <w:gridCol w:w="1579"/>
        <w:gridCol w:w="1800"/>
        <w:gridCol w:w="1080"/>
        <w:gridCol w:w="1752"/>
      </w:tblGrid>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项目</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一到二年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二到五年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五年以上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347,724,603.21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347,724,603.21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16,157,591.88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16,157,591.88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2,841,224.24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2,192,269.38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3,519,132.86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8,552,626.48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366,723,419.33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2,192,269.38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3,519,132.86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372,434,821.57</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389" w:name="bookmark1389"/>
      <w:bookmarkStart w:id="1390" w:name="bookmark1390"/>
      <w:bookmarkStart w:id="1391" w:name="bookmark1391"/>
      <w:r>
        <w:rPr>
          <w:color w:val="000000"/>
          <w:spacing w:val="0"/>
          <w:w w:val="100"/>
          <w:position w:val="0"/>
          <w:sz w:val="24"/>
          <w:szCs w:val="24"/>
        </w:rPr>
        <w:t>十一、公允价值的披露</w:t>
      </w:r>
      <w:bookmarkEnd w:id="1389"/>
      <w:bookmarkEnd w:id="1390"/>
      <w:bookmarkEnd w:id="1391"/>
    </w:p>
    <w:p>
      <w:pPr>
        <w:pStyle w:val="Style30"/>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92"/>
      <w:bookmarkEnd w:id="1393"/>
      <w:bookmarkEnd w:id="1394"/>
    </w:p>
    <w:p>
      <w:pPr>
        <w:pStyle w:val="Style27"/>
        <w:keepNext w:val="0"/>
        <w:keepLines w:val="0"/>
        <w:widowControl w:val="0"/>
        <w:shd w:val="clear" w:color="auto" w:fill="auto"/>
        <w:bidi w:val="0"/>
        <w:spacing w:before="0" w:after="0" w:line="240" w:lineRule="auto"/>
        <w:ind w:left="8914" w:right="0" w:firstLine="0"/>
        <w:jc w:val="left"/>
        <w:rPr>
          <w:sz w:val="16"/>
          <w:szCs w:val="16"/>
        </w:rPr>
      </w:pPr>
      <w:r>
        <w:rPr>
          <w:color w:val="000000"/>
          <w:spacing w:val="0"/>
          <w:w w:val="100"/>
          <w:position w:val="0"/>
          <w:sz w:val="16"/>
          <w:szCs w:val="16"/>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373,297,802.81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374,656,026.61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13,448,400.00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13,448,400.00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持续以公允价值计量的</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373,297,802.81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14,806,623.80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388,104,426.61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二、非持续的公允价值计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line="1" w:lineRule="exact"/>
      </w:pPr>
    </w:p>
    <w:tbl>
      <w:tblPr>
        <w:tblOverlap w:val="never"/>
        <w:jc w:val="center"/>
        <w:tblLayout w:type="fixed"/>
      </w:tblPr>
      <w:tblGrid>
        <w:gridCol w:w="2002"/>
        <w:gridCol w:w="1838"/>
        <w:gridCol w:w="1910"/>
        <w:gridCol w:w="1915"/>
        <w:gridCol w:w="192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30"/>
        <w:keepNext/>
        <w:keepLines/>
        <w:widowControl w:val="0"/>
        <w:shd w:val="clear" w:color="auto" w:fill="auto"/>
        <w:tabs>
          <w:tab w:pos="378" w:val="left"/>
        </w:tabs>
        <w:bidi w:val="0"/>
        <w:spacing w:before="0" w:after="200" w:line="472" w:lineRule="exact"/>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color w:val="000000"/>
          <w:spacing w:val="0"/>
          <w:w w:val="100"/>
          <w:position w:val="0"/>
        </w:rPr>
        <w:t>、</w:t>
        <w:tab/>
        <w:t>持续和非持续第一层次公允价值计量项目市价的确定依据</w:t>
      </w:r>
      <w:bookmarkEnd w:id="1395"/>
      <w:bookmarkEnd w:id="1396"/>
      <w:bookmarkEnd w:id="1398"/>
    </w:p>
    <w:p>
      <w:pPr>
        <w:pStyle w:val="Style18"/>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是在计量能够取得的相同资产或负债在活跃市场上未经调整的报价。</w:t>
      </w:r>
    </w:p>
    <w:p>
      <w:pPr>
        <w:pStyle w:val="Style30"/>
        <w:keepNext/>
        <w:keepLines/>
        <w:widowControl w:val="0"/>
        <w:shd w:val="clear" w:color="auto" w:fill="auto"/>
        <w:tabs>
          <w:tab w:pos="378" w:val="left"/>
        </w:tabs>
        <w:bidi w:val="0"/>
        <w:spacing w:before="0" w:after="200" w:line="472" w:lineRule="exact"/>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color w:val="000000"/>
          <w:spacing w:val="0"/>
          <w:w w:val="100"/>
          <w:position w:val="0"/>
        </w:rPr>
        <w:t>、</w:t>
        <w:tab/>
        <w:t>持续和非持续第二层次公允价值计量项目，采用的估值技术和重要参数的定性及定量信息</w:t>
      </w:r>
      <w:bookmarkEnd w:id="1399"/>
      <w:bookmarkEnd w:id="1400"/>
      <w:bookmarkEnd w:id="1402"/>
    </w:p>
    <w:p>
      <w:pPr>
        <w:pStyle w:val="Style18"/>
        <w:keepNext w:val="0"/>
        <w:keepLines w:val="0"/>
        <w:widowControl w:val="0"/>
        <w:shd w:val="clear" w:color="auto" w:fill="auto"/>
        <w:bidi w:val="0"/>
        <w:spacing w:before="0" w:after="200" w:line="472" w:lineRule="exact"/>
        <w:ind w:left="0" w:right="0" w:firstLine="440"/>
        <w:jc w:val="left"/>
      </w:pPr>
      <w:r>
        <w:rPr>
          <w:color w:val="000000"/>
          <w:spacing w:val="0"/>
          <w:w w:val="100"/>
          <w:position w:val="0"/>
        </w:rPr>
        <w:t>是除第一层次输入值外相关资产或负债直接或间接可观察的输入值，包括</w:t>
      </w:r>
      <w:r>
        <w:rPr>
          <w:color w:val="000000"/>
          <w:spacing w:val="0"/>
          <w:w w:val="100"/>
          <w:position w:val="0"/>
        </w:rPr>
        <w:t>（1）</w:t>
      </w:r>
      <w:r>
        <w:rPr>
          <w:color w:val="000000"/>
          <w:spacing w:val="0"/>
          <w:w w:val="100"/>
          <w:position w:val="0"/>
        </w:rPr>
        <w:t>活跃市场中类似资产 或负债的报价；</w:t>
      </w:r>
      <w:r>
        <w:rPr>
          <w:color w:val="000000"/>
          <w:spacing w:val="0"/>
          <w:w w:val="100"/>
          <w:position w:val="0"/>
        </w:rPr>
        <w:t>（2）</w:t>
      </w:r>
      <w:r>
        <w:rPr>
          <w:color w:val="000000"/>
          <w:spacing w:val="0"/>
          <w:w w:val="100"/>
          <w:position w:val="0"/>
        </w:rPr>
        <w:t>非活跃市场中相同或类似资产或负债的报价：</w:t>
      </w:r>
      <w:r>
        <w:rPr>
          <w:color w:val="000000"/>
          <w:spacing w:val="0"/>
          <w:w w:val="100"/>
          <w:position w:val="0"/>
        </w:rPr>
        <w:t>（3）</w:t>
      </w:r>
      <w:r>
        <w:rPr>
          <w:color w:val="000000"/>
          <w:spacing w:val="0"/>
          <w:w w:val="100"/>
          <w:position w:val="0"/>
        </w:rPr>
        <w:t>除报价以外的其他可观察输入值， 包括在正常报价间隔期间可观察的利率和收益率曲线、隐含波动率和信用利差等；</w:t>
      </w:r>
      <w:r>
        <w:rPr>
          <w:color w:val="000000"/>
          <w:spacing w:val="0"/>
          <w:w w:val="100"/>
          <w:position w:val="0"/>
        </w:rPr>
        <w:t>（4）</w:t>
      </w:r>
      <w:r>
        <w:rPr>
          <w:color w:val="000000"/>
          <w:spacing w:val="0"/>
          <w:w w:val="100"/>
          <w:position w:val="0"/>
        </w:rPr>
        <w:t>市场验证的输入 值等。</w:t>
      </w:r>
    </w:p>
    <w:p>
      <w:pPr>
        <w:pStyle w:val="Style30"/>
        <w:keepNext/>
        <w:keepLines/>
        <w:widowControl w:val="0"/>
        <w:shd w:val="clear" w:color="auto" w:fill="auto"/>
        <w:tabs>
          <w:tab w:pos="378" w:val="left"/>
        </w:tabs>
        <w:bidi w:val="0"/>
        <w:spacing w:before="0" w:after="200" w:line="472" w:lineRule="exact"/>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color w:val="000000"/>
          <w:spacing w:val="0"/>
          <w:w w:val="100"/>
          <w:position w:val="0"/>
        </w:rPr>
        <w:t>、</w:t>
        <w:tab/>
        <w:t>持续和非持续第三层次公允价值计量项目，采用的估值技术和重要参数的定性及定量信息</w:t>
      </w:r>
      <w:bookmarkEnd w:id="1403"/>
      <w:bookmarkEnd w:id="1404"/>
      <w:bookmarkEnd w:id="1406"/>
    </w:p>
    <w:p>
      <w:pPr>
        <w:pStyle w:val="Style18"/>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是相关资产或负债的不可观察输入值。</w:t>
      </w:r>
    </w:p>
    <w:p>
      <w:pPr>
        <w:pStyle w:val="Style30"/>
        <w:keepNext/>
        <w:keepLines/>
        <w:widowControl w:val="0"/>
        <w:shd w:val="clear" w:color="auto" w:fill="auto"/>
        <w:tabs>
          <w:tab w:pos="378" w:val="left"/>
        </w:tabs>
        <w:bidi w:val="0"/>
        <w:spacing w:before="0" w:after="200" w:line="472" w:lineRule="exact"/>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5</w:t>
      </w:r>
      <w:bookmarkEnd w:id="1409"/>
      <w:r>
        <w:rPr>
          <w:color w:val="000000"/>
          <w:spacing w:val="0"/>
          <w:w w:val="100"/>
          <w:position w:val="0"/>
        </w:rPr>
        <w:t>、</w:t>
        <w:tab/>
        <w:t>不以公允价值计量的金融资产和金融负债的公允价值情况</w:t>
      </w:r>
      <w:bookmarkEnd w:id="1407"/>
      <w:bookmarkEnd w:id="1408"/>
      <w:bookmarkEnd w:id="1410"/>
    </w:p>
    <w:p>
      <w:pPr>
        <w:pStyle w:val="Style18"/>
        <w:keepNext w:val="0"/>
        <w:keepLines w:val="0"/>
        <w:widowControl w:val="0"/>
        <w:shd w:val="clear" w:color="auto" w:fill="auto"/>
        <w:bidi w:val="0"/>
        <w:spacing w:before="0" w:after="400" w:line="480" w:lineRule="exact"/>
        <w:ind w:left="0" w:right="0" w:firstLine="440"/>
        <w:jc w:val="both"/>
      </w:pPr>
      <w:r>
        <w:rPr>
          <w:color w:val="000000"/>
          <w:spacing w:val="0"/>
          <w:w w:val="100"/>
          <w:position w:val="0"/>
        </w:rPr>
        <w:t>本公司以摊余成本计量的金融资产和金融负债主要包括：应收票据、应收账款、其他应收款、应付账 款、租赁负债、其他应付款、一年内到期的非流动负债等。其账面价值与公允价值差异很小。</w:t>
      </w:r>
    </w:p>
    <w:p>
      <w:pPr>
        <w:pStyle w:val="Style22"/>
        <w:keepNext/>
        <w:keepLines/>
        <w:widowControl w:val="0"/>
        <w:shd w:val="clear" w:color="auto" w:fill="auto"/>
        <w:bidi w:val="0"/>
        <w:spacing w:before="0" w:after="120" w:line="240" w:lineRule="auto"/>
        <w:ind w:left="0" w:right="0" w:firstLine="0"/>
        <w:jc w:val="left"/>
      </w:pPr>
      <w:bookmarkStart w:id="1411" w:name="bookmark1411"/>
      <w:bookmarkStart w:id="1412" w:name="bookmark1412"/>
      <w:bookmarkStart w:id="1413" w:name="bookmark1413"/>
      <w:r>
        <w:rPr>
          <w:color w:val="000000"/>
          <w:spacing w:val="0"/>
          <w:w w:val="100"/>
          <w:position w:val="0"/>
          <w:sz w:val="24"/>
          <w:szCs w:val="24"/>
        </w:rPr>
        <w:t>十二、关联方及关联交易</w:t>
      </w:r>
      <w:bookmarkEnd w:id="1411"/>
      <w:bookmarkEnd w:id="1412"/>
      <w:bookmarkEnd w:id="1413"/>
    </w:p>
    <w:p>
      <w:pPr>
        <w:pStyle w:val="Style30"/>
        <w:keepNext/>
        <w:keepLines/>
        <w:widowControl w:val="0"/>
        <w:shd w:val="clear" w:color="auto" w:fill="auto"/>
        <w:tabs>
          <w:tab w:pos="368" w:val="left"/>
        </w:tabs>
        <w:bidi w:val="0"/>
        <w:spacing w:before="0" w:after="360" w:line="472" w:lineRule="exact"/>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1</w:t>
      </w:r>
      <w:bookmarkEnd w:id="1416"/>
      <w:r>
        <w:rPr>
          <w:color w:val="000000"/>
          <w:spacing w:val="0"/>
          <w:w w:val="100"/>
          <w:position w:val="0"/>
        </w:rPr>
        <w:t>、</w:t>
        <w:tab/>
        <w:t>本企业的母公司情况</w:t>
      </w:r>
      <w:bookmarkEnd w:id="1414"/>
      <w:bookmarkEnd w:id="1415"/>
      <w:bookmarkEnd w:id="1417"/>
    </w:p>
    <w:p>
      <w:pPr>
        <w:pStyle w:val="Style1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本企业最终控制方是沈飒、朱烨东夫妇。</w:t>
      </w:r>
    </w:p>
    <w:p>
      <w:pPr>
        <w:pStyle w:val="Style18"/>
        <w:keepNext w:val="0"/>
        <w:keepLines w:val="0"/>
        <w:widowControl w:val="0"/>
        <w:shd w:val="clear" w:color="auto" w:fill="auto"/>
        <w:bidi w:val="0"/>
        <w:spacing w:before="0" w:after="0" w:line="451" w:lineRule="exact"/>
        <w:ind w:left="0" w:right="0" w:firstLine="0"/>
        <w:jc w:val="left"/>
        <w:rPr>
          <w:sz w:val="19"/>
          <w:szCs w:val="19"/>
        </w:rPr>
      </w:pPr>
      <w:r>
        <w:rPr>
          <w:color w:val="000000"/>
          <w:spacing w:val="0"/>
          <w:w w:val="100"/>
          <w:position w:val="0"/>
          <w:sz w:val="19"/>
          <w:szCs w:val="19"/>
        </w:rPr>
        <w:t>其他说明：</w:t>
      </w:r>
    </w:p>
    <w:p>
      <w:pPr>
        <w:pStyle w:val="Style18"/>
        <w:keepNext w:val="0"/>
        <w:keepLines w:val="0"/>
        <w:widowControl w:val="0"/>
        <w:shd w:val="clear" w:color="auto" w:fill="auto"/>
        <w:bidi w:val="0"/>
        <w:spacing w:before="0" w:after="200" w:line="451" w:lineRule="exact"/>
        <w:ind w:left="0" w:right="0" w:firstLine="440"/>
        <w:jc w:val="both"/>
      </w:pPr>
      <w:r>
        <w:rPr>
          <w:color w:val="000000"/>
          <w:spacing w:val="0"/>
          <w:w w:val="100"/>
          <w:position w:val="0"/>
        </w:rPr>
        <w:t>公司实际控制人为沈飒、朱烨东夫妇，本公司第一大股东为自然人沈飒，沈飒、朱烨东夫妇直接持有 公司</w:t>
      </w:r>
      <w:r>
        <w:rPr>
          <w:color w:val="000000"/>
          <w:spacing w:val="0"/>
          <w:w w:val="100"/>
          <w:position w:val="0"/>
        </w:rPr>
        <w:t>15.8949%</w:t>
      </w:r>
      <w:r>
        <w:rPr>
          <w:color w:val="000000"/>
          <w:spacing w:val="0"/>
          <w:w w:val="100"/>
          <w:position w:val="0"/>
        </w:rPr>
        <w:t>的股份。</w:t>
      </w:r>
    </w:p>
    <w:p>
      <w:pPr>
        <w:pStyle w:val="Style30"/>
        <w:keepNext/>
        <w:keepLines/>
        <w:widowControl w:val="0"/>
        <w:shd w:val="clear" w:color="auto" w:fill="auto"/>
        <w:tabs>
          <w:tab w:pos="378" w:val="left"/>
        </w:tabs>
        <w:bidi w:val="0"/>
        <w:spacing w:before="0" w:after="120" w:line="472" w:lineRule="exact"/>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bookmarkEnd w:id="1420"/>
      <w:r>
        <w:rPr>
          <w:color w:val="000000"/>
          <w:spacing w:val="0"/>
          <w:w w:val="100"/>
          <w:position w:val="0"/>
        </w:rPr>
        <w:t>、</w:t>
        <w:tab/>
        <w:t>本企业的子公司情况</w:t>
      </w:r>
      <w:bookmarkEnd w:id="1418"/>
      <w:bookmarkEnd w:id="1419"/>
      <w:bookmarkEnd w:id="1421"/>
    </w:p>
    <w:p>
      <w:pPr>
        <w:pStyle w:val="Style18"/>
        <w:keepNext w:val="0"/>
        <w:keepLines w:val="0"/>
        <w:widowControl w:val="0"/>
        <w:shd w:val="clear" w:color="auto" w:fill="auto"/>
        <w:bidi w:val="0"/>
        <w:spacing w:before="0" w:after="120" w:line="472" w:lineRule="exact"/>
        <w:ind w:left="0" w:right="0" w:firstLine="0"/>
        <w:jc w:val="both"/>
        <w:rPr>
          <w:sz w:val="19"/>
          <w:szCs w:val="19"/>
        </w:rPr>
      </w:pPr>
      <w:r>
        <w:rPr>
          <w:color w:val="000000"/>
          <w:spacing w:val="0"/>
          <w:w w:val="100"/>
          <w:position w:val="0"/>
          <w:sz w:val="19"/>
          <w:szCs w:val="19"/>
        </w:rPr>
        <w:t>本企业子公司的情况详见附注九、在其他主体中的权益。</w:t>
      </w:r>
    </w:p>
    <w:p>
      <w:pPr>
        <w:pStyle w:val="Style30"/>
        <w:keepNext/>
        <w:keepLines/>
        <w:widowControl w:val="0"/>
        <w:shd w:val="clear" w:color="auto" w:fill="auto"/>
        <w:tabs>
          <w:tab w:pos="378" w:val="left"/>
        </w:tabs>
        <w:bidi w:val="0"/>
        <w:spacing w:before="0" w:after="360" w:line="472" w:lineRule="exact"/>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3</w:t>
      </w:r>
      <w:bookmarkEnd w:id="1424"/>
      <w:r>
        <w:rPr>
          <w:color w:val="000000"/>
          <w:spacing w:val="0"/>
          <w:w w:val="100"/>
          <w:position w:val="0"/>
        </w:rPr>
        <w:t>、</w:t>
        <w:tab/>
        <w:t>本企业合营和联营企业情况</w:t>
      </w:r>
      <w:bookmarkEnd w:id="1422"/>
      <w:bookmarkEnd w:id="1423"/>
      <w:bookmarkEnd w:id="1425"/>
    </w:p>
    <w:p>
      <w:pPr>
        <w:pStyle w:val="Style18"/>
        <w:keepNext w:val="0"/>
        <w:keepLines w:val="0"/>
        <w:widowControl w:val="0"/>
        <w:shd w:val="clear" w:color="auto" w:fill="auto"/>
        <w:bidi w:val="0"/>
        <w:spacing w:before="0" w:after="120" w:line="240" w:lineRule="auto"/>
        <w:ind w:left="0" w:right="0" w:firstLine="0"/>
        <w:jc w:val="both"/>
        <w:rPr>
          <w:sz w:val="19"/>
          <w:szCs w:val="19"/>
        </w:rPr>
      </w:pPr>
      <w:r>
        <w:rPr>
          <w:color w:val="000000"/>
          <w:spacing w:val="0"/>
          <w:w w:val="100"/>
          <w:position w:val="0"/>
          <w:sz w:val="19"/>
          <w:szCs w:val="19"/>
        </w:rPr>
        <w:t>本企业重要的合营或联营企业详见附注九、在其他主体中的权益。</w:t>
      </w:r>
    </w:p>
    <w:p>
      <w:pPr>
        <w:pStyle w:val="Style18"/>
        <w:keepNext w:val="0"/>
        <w:keepLines w:val="0"/>
        <w:widowControl w:val="0"/>
        <w:shd w:val="clear" w:color="auto" w:fill="auto"/>
        <w:bidi w:val="0"/>
        <w:spacing w:before="0" w:after="200" w:line="240" w:lineRule="auto"/>
        <w:ind w:left="0" w:right="0" w:firstLine="0"/>
        <w:jc w:val="both"/>
        <w:rPr>
          <w:sz w:val="19"/>
          <w:szCs w:val="19"/>
        </w:rPr>
      </w:pPr>
      <w:r>
        <w:rPr>
          <w:color w:val="000000"/>
          <w:spacing w:val="0"/>
          <w:w w:val="100"/>
          <w:position w:val="0"/>
          <w:sz w:val="19"/>
          <w:szCs w:val="19"/>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深圳市金方达信息技术有限公司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联营企业</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color w:val="000000"/>
          <w:spacing w:val="0"/>
          <w:w w:val="100"/>
          <w:position w:val="0"/>
        </w:rPr>
        <w:t>、其他关联方情况</w:t>
      </w:r>
      <w:bookmarkEnd w:id="1426"/>
      <w:bookmarkEnd w:id="1427"/>
      <w:bookmarkEnd w:id="1429"/>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北京盛贸智博投资有限公司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北京坤洲投资管理有限公司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北京金财联合投资中心（有限合伙）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北京合伙时代咨询有限公司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广州众鑫智达科技有限公司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广州敏行区块链科技有限公司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与本公司受同一实际控制人控制</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color w:val="000000"/>
          <w:spacing w:val="0"/>
          <w:w w:val="100"/>
          <w:position w:val="0"/>
        </w:rPr>
        <w:t>、关联交易情况</w:t>
      </w:r>
      <w:bookmarkEnd w:id="1430"/>
      <w:bookmarkEnd w:id="1431"/>
      <w:bookmarkEnd w:id="1433"/>
    </w:p>
    <w:p>
      <w:pPr>
        <w:pStyle w:val="Style35"/>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34"/>
      <w:bookmarkEnd w:id="1435"/>
      <w:bookmarkEnd w:id="1436"/>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接受劳务情况表</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深圳市金方达信息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35,377.36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37"/>
      <w:bookmarkEnd w:id="1438"/>
      <w:bookmarkEnd w:id="1439"/>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本公司作为被担保方</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02</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沈飒、朱烨东、天津中 科金财科技有限公司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沈飒、朱哗东、天津中 科金财科技有限公司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沈飒、朱哗东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沈飒、朱哗东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9,730,520.00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09</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04</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40"/>
      <w:bookmarkEnd w:id="1441"/>
      <w:bookmarkEnd w:id="1443"/>
    </w:p>
    <w:p>
      <w:pPr>
        <w:pStyle w:val="Style33"/>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6,523,623.25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7,215,992.60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140"/>
        <w:jc w:val="both"/>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6</w:t>
      </w:r>
      <w:bookmarkEnd w:id="1446"/>
      <w:r>
        <w:rPr>
          <w:color w:val="000000"/>
          <w:spacing w:val="0"/>
          <w:w w:val="100"/>
          <w:position w:val="0"/>
        </w:rPr>
        <w:t>、关联方应收应付款项</w:t>
      </w:r>
      <w:bookmarkEnd w:id="1444"/>
      <w:bookmarkEnd w:id="1445"/>
      <w:bookmarkEnd w:id="1447"/>
    </w:p>
    <w:p>
      <w:pPr>
        <w:pStyle w:val="Style35"/>
        <w:keepNext/>
        <w:keepLines/>
        <w:widowControl w:val="0"/>
        <w:shd w:val="clear" w:color="auto" w:fill="auto"/>
        <w:bidi w:val="0"/>
        <w:spacing w:before="0" w:after="380" w:line="240" w:lineRule="auto"/>
        <w:ind w:left="0" w:right="0" w:firstLine="140"/>
        <w:jc w:val="both"/>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448"/>
      <w:bookmarkEnd w:id="1449"/>
      <w:bookmarkEnd w:id="1450"/>
    </w:p>
    <w:p>
      <w:pPr>
        <w:pStyle w:val="Style33"/>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深圳市金方达信息技术有限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140"/>
        <w:jc w:val="both"/>
      </w:pPr>
      <w:bookmarkStart w:id="1451" w:name="bookmark1451"/>
      <w:bookmarkStart w:id="1452" w:name="bookmark1452"/>
      <w:bookmarkStart w:id="1453" w:name="bookmark1453"/>
      <w:r>
        <w:rPr>
          <w:color w:val="000000"/>
          <w:spacing w:val="0"/>
          <w:w w:val="100"/>
          <w:position w:val="0"/>
          <w:sz w:val="24"/>
          <w:szCs w:val="24"/>
        </w:rPr>
        <w:t>十三、承诺及或有事项</w:t>
      </w:r>
      <w:bookmarkEnd w:id="1451"/>
      <w:bookmarkEnd w:id="1452"/>
      <w:bookmarkEnd w:id="1453"/>
    </w:p>
    <w:p>
      <w:pPr>
        <w:pStyle w:val="Style30"/>
        <w:keepNext/>
        <w:keepLines/>
        <w:widowControl w:val="0"/>
        <w:shd w:val="clear" w:color="auto" w:fill="auto"/>
        <w:bidi w:val="0"/>
        <w:spacing w:before="0" w:after="100" w:line="240" w:lineRule="auto"/>
        <w:ind w:left="0" w:right="0" w:firstLine="140"/>
        <w:jc w:val="both"/>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454"/>
      <w:bookmarkEnd w:id="1455"/>
      <w:bookmarkEnd w:id="1456"/>
    </w:p>
    <w:p>
      <w:pPr>
        <w:pStyle w:val="Style18"/>
        <w:keepNext w:val="0"/>
        <w:keepLines w:val="0"/>
        <w:widowControl w:val="0"/>
        <w:shd w:val="clear" w:color="auto" w:fill="auto"/>
        <w:bidi w:val="0"/>
        <w:spacing w:before="0" w:after="0" w:line="466" w:lineRule="exact"/>
        <w:ind w:left="0" w:right="0" w:firstLine="140"/>
        <w:jc w:val="both"/>
        <w:rPr>
          <w:sz w:val="19"/>
          <w:szCs w:val="19"/>
        </w:rPr>
      </w:pPr>
      <w:r>
        <w:rPr>
          <w:color w:val="000000"/>
          <w:spacing w:val="0"/>
          <w:w w:val="100"/>
          <w:position w:val="0"/>
          <w:sz w:val="19"/>
          <w:szCs w:val="19"/>
        </w:rPr>
        <w:t>资产负债表日存在的重要承诺</w:t>
      </w:r>
    </w:p>
    <w:p>
      <w:pPr>
        <w:pStyle w:val="Style18"/>
        <w:keepNext w:val="0"/>
        <w:keepLines w:val="0"/>
        <w:widowControl w:val="0"/>
        <w:shd w:val="clear" w:color="auto" w:fill="auto"/>
        <w:bidi w:val="0"/>
        <w:spacing w:before="0" w:after="460" w:line="466" w:lineRule="exact"/>
        <w:ind w:left="140" w:right="0" w:firstLine="440"/>
        <w:jc w:val="both"/>
      </w:pPr>
      <w:r>
        <w:rPr>
          <w:color w:val="000000"/>
          <w:spacing w:val="0"/>
          <w:w w:val="100"/>
          <w:position w:val="0"/>
        </w:rPr>
        <w:t>本公司与北京中关村科技创业金融服务集团有限公司、金电联行（北京）信息技术有限公司于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日共同出资设立北京中关村融信数字科技有限公司，注册资本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万元，根据出资协议，本公司以 货币方式认缴出资</w:t>
      </w:r>
      <w:r>
        <w:rPr>
          <w:rFonts w:ascii="Times New Roman" w:eastAsia="Times New Roman" w:hAnsi="Times New Roman" w:cs="Times New Roman"/>
          <w:color w:val="000000"/>
          <w:spacing w:val="0"/>
          <w:w w:val="100"/>
          <w:position w:val="0"/>
        </w:rPr>
        <w:t>200</w:t>
      </w:r>
      <w:r>
        <w:rPr>
          <w:color w:val="000000"/>
          <w:spacing w:val="0"/>
          <w:w w:val="100"/>
          <w:position w:val="0"/>
        </w:rPr>
        <w:t>万元，股权占比</w:t>
      </w:r>
      <w:r>
        <w:rPr>
          <w:rFonts w:ascii="Times New Roman" w:eastAsia="Times New Roman" w:hAnsi="Times New Roman" w:cs="Times New Roman"/>
          <w:color w:val="000000"/>
          <w:spacing w:val="0"/>
          <w:w w:val="100"/>
          <w:position w:val="0"/>
        </w:rPr>
        <w:t>20%</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日，实缴出资</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0"/>
        <w:keepNext/>
        <w:keepLines/>
        <w:widowControl w:val="0"/>
        <w:shd w:val="clear" w:color="auto" w:fill="auto"/>
        <w:bidi w:val="0"/>
        <w:spacing w:before="0" w:after="0" w:line="480" w:lineRule="auto"/>
        <w:ind w:left="0" w:right="0" w:firstLine="14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457"/>
      <w:bookmarkEnd w:id="1458"/>
      <w:bookmarkEnd w:id="1459"/>
    </w:p>
    <w:p>
      <w:pPr>
        <w:pStyle w:val="Style35"/>
        <w:keepNext/>
        <w:keepLines/>
        <w:widowControl w:val="0"/>
        <w:shd w:val="clear" w:color="auto" w:fill="auto"/>
        <w:bidi w:val="0"/>
        <w:spacing w:before="0" w:after="320" w:line="466" w:lineRule="exact"/>
        <w:ind w:left="0" w:right="0" w:firstLine="14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460"/>
      <w:bookmarkEnd w:id="1461"/>
      <w:bookmarkEnd w:id="1462"/>
    </w:p>
    <w:p>
      <w:pPr>
        <w:pStyle w:val="Style27"/>
        <w:keepNext w:val="0"/>
        <w:keepLines w:val="0"/>
        <w:widowControl w:val="0"/>
        <w:shd w:val="clear" w:color="auto" w:fill="auto"/>
        <w:bidi w:val="0"/>
        <w:spacing w:before="0" w:after="0" w:line="240" w:lineRule="auto"/>
        <w:ind w:left="144"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日，公司尚有未到期的由银行为公司提供的保函担保，明细见下表:</w:t>
      </w:r>
    </w:p>
    <w:tbl>
      <w:tblPr>
        <w:tblOverlap w:val="never"/>
        <w:jc w:val="center"/>
        <w:tblLayout w:type="fixed"/>
      </w:tblPr>
      <w:tblGrid>
        <w:gridCol w:w="3826"/>
        <w:gridCol w:w="1680"/>
        <w:gridCol w:w="1579"/>
        <w:gridCol w:w="1800"/>
        <w:gridCol w:w="109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担保金额（元）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担保事由</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招商银行股份有限公司北京大运村支行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北京银行中关村科技园区支行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917,098.80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中国建设银行北京安华支行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13,316,166.39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宁波银行股份有限公司北京分行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7,315,418.28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厦门国际银行股份有限公司北京海淀桥支行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2,582,239.95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浙商银行股份有限公司北京分行营业部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20,871,463.92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杭州银行股份有限北京上地支行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811,224.40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交通银行股份有限公司北京翠微路支行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540,113.00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保函</w:t>
            </w:r>
          </w:p>
        </w:tc>
      </w:tr>
    </w:tbl>
    <w:p>
      <w:pPr>
        <w:widowControl w:val="0"/>
        <w:spacing w:line="1" w:lineRule="exact"/>
      </w:pPr>
    </w:p>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日，公司尚有已到期尚未撤销的由银行为公司提供的保函担保，明细见下表:</w:t>
      </w:r>
    </w:p>
    <w:tbl>
      <w:tblPr>
        <w:tblOverlap w:val="never"/>
        <w:jc w:val="center"/>
        <w:tblLayout w:type="fixed"/>
      </w:tblPr>
      <w:tblGrid>
        <w:gridCol w:w="3835"/>
        <w:gridCol w:w="1704"/>
        <w:gridCol w:w="1555"/>
        <w:gridCol w:w="1843"/>
        <w:gridCol w:w="9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币种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担保金额（元）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担保事由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中国建设银行北京安华支行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保函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浙商银行股份有限公司北京分行营业部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927,269.04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保函</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中信银行股份有限公司北京中关村支行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732,820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保函</w:t>
            </w:r>
          </w:p>
        </w:tc>
      </w:tr>
    </w:tbl>
    <w:p>
      <w:pPr>
        <w:pStyle w:val="Style35"/>
        <w:keepNext/>
        <w:keepLines/>
        <w:widowControl w:val="0"/>
        <w:shd w:val="clear" w:color="auto" w:fill="auto"/>
        <w:bidi w:val="0"/>
        <w:spacing w:before="0" w:after="360" w:line="240" w:lineRule="auto"/>
        <w:ind w:left="0" w:right="0" w:firstLine="14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463"/>
      <w:bookmarkEnd w:id="1464"/>
      <w:bookmarkEnd w:id="1465"/>
    </w:p>
    <w:p>
      <w:pPr>
        <w:pStyle w:val="Style18"/>
        <w:keepNext w:val="0"/>
        <w:keepLines w:val="0"/>
        <w:widowControl w:val="0"/>
        <w:shd w:val="clear" w:color="auto" w:fill="auto"/>
        <w:bidi w:val="0"/>
        <w:spacing w:before="0" w:after="360" w:line="240" w:lineRule="auto"/>
        <w:ind w:left="0" w:right="0" w:firstLine="140"/>
        <w:jc w:val="left"/>
        <w:rPr>
          <w:sz w:val="19"/>
          <w:szCs w:val="19"/>
        </w:rPr>
      </w:pPr>
      <w:r>
        <w:rPr>
          <w:color w:val="000000"/>
          <w:spacing w:val="0"/>
          <w:w w:val="100"/>
          <w:position w:val="0"/>
          <w:sz w:val="19"/>
          <w:szCs w:val="19"/>
        </w:rPr>
        <w:t>公司不存在需要披露的重要或有事项。</w:t>
      </w:r>
    </w:p>
    <w:p>
      <w:pPr>
        <w:pStyle w:val="Style22"/>
        <w:keepNext/>
        <w:keepLines/>
        <w:widowControl w:val="0"/>
        <w:shd w:val="clear" w:color="auto" w:fill="auto"/>
        <w:bidi w:val="0"/>
        <w:spacing w:before="0" w:after="360" w:line="240" w:lineRule="auto"/>
        <w:ind w:left="0" w:right="0" w:firstLine="140"/>
        <w:jc w:val="left"/>
      </w:pPr>
      <w:bookmarkStart w:id="1466" w:name="bookmark1466"/>
      <w:bookmarkStart w:id="1467" w:name="bookmark1467"/>
      <w:bookmarkStart w:id="1468" w:name="bookmark1468"/>
      <w:r>
        <w:rPr>
          <w:color w:val="000000"/>
          <w:spacing w:val="0"/>
          <w:w w:val="100"/>
          <w:position w:val="0"/>
          <w:sz w:val="24"/>
          <w:szCs w:val="24"/>
        </w:rPr>
        <w:t>十四、资产负债表日后事项</w:t>
      </w:r>
      <w:bookmarkEnd w:id="1466"/>
      <w:bookmarkEnd w:id="1467"/>
      <w:bookmarkEnd w:id="1468"/>
    </w:p>
    <w:p>
      <w:pPr>
        <w:pStyle w:val="Style30"/>
        <w:keepNext/>
        <w:keepLines/>
        <w:widowControl w:val="0"/>
        <w:shd w:val="clear" w:color="auto" w:fill="auto"/>
        <w:bidi w:val="0"/>
        <w:spacing w:before="0" w:after="36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469"/>
      <w:bookmarkEnd w:id="1470"/>
      <w:bookmarkEnd w:id="1471"/>
    </w:p>
    <w:p>
      <w:pPr>
        <w:pStyle w:val="Style33"/>
        <w:keepNext w:val="0"/>
        <w:keepLines w:val="0"/>
        <w:widowControl w:val="0"/>
        <w:shd w:val="clear" w:color="auto" w:fill="auto"/>
        <w:bidi w:val="0"/>
        <w:spacing w:before="0" w:line="240" w:lineRule="auto"/>
        <w:ind w:left="0" w:right="16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对财务状况和经营成果的影 响数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无法估计影响数的原因</w:t>
            </w:r>
          </w:p>
        </w:tc>
      </w:tr>
      <w:tr>
        <w:trPr>
          <w:trHeight w:val="509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重要的对外投资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6"/>
                <w:szCs w:val="16"/>
              </w:rPr>
            </w:pPr>
            <w:r>
              <w:rPr>
                <w:rFonts w:ascii="SimSun" w:eastAsia="SimSun" w:hAnsi="SimSun" w:cs="SimSun"/>
                <w:color w:val="000000"/>
                <w:spacing w:val="0"/>
                <w:w w:val="100"/>
                <w:position w:val="0"/>
                <w:sz w:val="16"/>
                <w:szCs w:val="16"/>
              </w:rPr>
              <w:t>公司于</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 xml:space="preserve">日召 开第五届董事会第二十三次 会议审议通过《关于参与投 资股权投资基金的议案》，于 </w:t>
            </w:r>
            <w:r>
              <w:rPr>
                <w:color w:val="000000"/>
                <w:spacing w:val="0"/>
                <w:w w:val="100"/>
                <w:position w:val="0"/>
                <w:sz w:val="18"/>
                <w:szCs w:val="18"/>
              </w:rPr>
              <w:t>2022</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月与上海浦昌股权 投资基金管理有限公司和山 西中汇清控能源开发有限公 司签订了《武汉睿钰股权投 资合伙企业（有限合伙）之 有限合伙协议》，以公司自有 资金</w:t>
            </w:r>
            <w:r>
              <w:rPr>
                <w:color w:val="000000"/>
                <w:spacing w:val="0"/>
                <w:w w:val="100"/>
                <w:position w:val="0"/>
                <w:sz w:val="18"/>
                <w:szCs w:val="18"/>
              </w:rPr>
              <w:t>80,000</w:t>
            </w:r>
            <w:r>
              <w:rPr>
                <w:rFonts w:ascii="SimSun" w:eastAsia="SimSun" w:hAnsi="SimSun" w:cs="SimSun"/>
                <w:color w:val="000000"/>
                <w:spacing w:val="0"/>
                <w:w w:val="100"/>
                <w:position w:val="0"/>
                <w:sz w:val="16"/>
                <w:szCs w:val="16"/>
              </w:rPr>
              <w:t>万元投资武汉睿 钰股权投资合伙企业（有限 合伙）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 xml:space="preserve">投资基金总规模 </w:t>
            </w:r>
            <w:r>
              <w:rPr>
                <w:color w:val="000000"/>
                <w:spacing w:val="0"/>
                <w:w w:val="100"/>
                <w:position w:val="0"/>
                <w:sz w:val="18"/>
                <w:szCs w:val="18"/>
              </w:rPr>
              <w:t>180,000</w:t>
            </w:r>
            <w:r>
              <w:rPr>
                <w:rFonts w:ascii="SimSun" w:eastAsia="SimSun" w:hAnsi="SimSun" w:cs="SimSun"/>
                <w:color w:val="000000"/>
                <w:spacing w:val="0"/>
                <w:w w:val="100"/>
                <w:position w:val="0"/>
                <w:sz w:val="16"/>
                <w:szCs w:val="16"/>
              </w:rPr>
              <w:t>万元。截止报告日， 公司已实际出资</w:t>
            </w:r>
            <w:r>
              <w:rPr>
                <w:color w:val="000000"/>
                <w:spacing w:val="0"/>
                <w:w w:val="100"/>
                <w:position w:val="0"/>
                <w:sz w:val="18"/>
                <w:szCs w:val="18"/>
              </w:rPr>
              <w:t xml:space="preserve">33,650.00 </w:t>
            </w:r>
            <w:r>
              <w:rPr>
                <w:rFonts w:ascii="SimSun" w:eastAsia="SimSun" w:hAnsi="SimSun" w:cs="SimSun"/>
                <w:color w:val="000000"/>
                <w:spacing w:val="0"/>
                <w:w w:val="100"/>
                <w:position w:val="0"/>
                <w:sz w:val="16"/>
                <w:szCs w:val="16"/>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2"/>
        <w:keepNext/>
        <w:keepLines/>
        <w:widowControl w:val="0"/>
        <w:shd w:val="clear" w:color="auto" w:fill="auto"/>
        <w:bidi w:val="0"/>
        <w:spacing w:before="0" w:after="360" w:line="240" w:lineRule="auto"/>
        <w:ind w:left="0" w:right="0" w:firstLine="140"/>
        <w:jc w:val="left"/>
      </w:pPr>
      <w:bookmarkStart w:id="1472" w:name="bookmark1472"/>
      <w:bookmarkStart w:id="1473" w:name="bookmark1473"/>
      <w:bookmarkStart w:id="1474" w:name="bookmark1474"/>
      <w:r>
        <w:rPr>
          <w:color w:val="000000"/>
          <w:spacing w:val="0"/>
          <w:w w:val="100"/>
          <w:position w:val="0"/>
          <w:sz w:val="24"/>
          <w:szCs w:val="24"/>
        </w:rPr>
        <w:t>十五、其他重要事项</w:t>
      </w:r>
      <w:bookmarkEnd w:id="1472"/>
      <w:bookmarkEnd w:id="1473"/>
      <w:bookmarkEnd w:id="1474"/>
    </w:p>
    <w:p>
      <w:pPr>
        <w:pStyle w:val="Style30"/>
        <w:keepNext/>
        <w:keepLines/>
        <w:widowControl w:val="0"/>
        <w:shd w:val="clear" w:color="auto" w:fill="auto"/>
        <w:bidi w:val="0"/>
        <w:spacing w:before="0" w:after="420" w:line="240" w:lineRule="auto"/>
        <w:ind w:left="0" w:right="0" w:firstLine="14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75"/>
      <w:bookmarkEnd w:id="1476"/>
      <w:bookmarkEnd w:id="1477"/>
    </w:p>
    <w:p>
      <w:pPr>
        <w:pStyle w:val="Style18"/>
        <w:keepNext w:val="0"/>
        <w:keepLines w:val="0"/>
        <w:widowControl w:val="0"/>
        <w:shd w:val="clear" w:color="auto" w:fill="auto"/>
        <w:bidi w:val="0"/>
        <w:spacing w:before="0" w:after="18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w:t>
      </w:r>
    </w:p>
    <w:p>
      <w:pPr>
        <w:pStyle w:val="Style18"/>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①本公司作为承租人</w:t>
      </w:r>
    </w:p>
    <w:tbl>
      <w:tblPr>
        <w:tblOverlap w:val="never"/>
        <w:jc w:val="center"/>
        <w:tblLayout w:type="fixed"/>
      </w:tblPr>
      <w:tblGrid>
        <w:gridCol w:w="4219"/>
        <w:gridCol w:w="2486"/>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计入当期损益的采用简化处理的短期租赁费用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3,118,254.60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计入当期损益的采用简化处理的低价值资产租赁费用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240" w:line="240" w:lineRule="auto"/>
        <w:ind w:left="0" w:right="0" w:firstLine="580"/>
        <w:jc w:val="left"/>
      </w:pPr>
      <w:r>
        <w:rPr>
          <w:color w:val="000000"/>
          <w:spacing w:val="0"/>
          <w:w w:val="100"/>
          <w:position w:val="0"/>
        </w:rPr>
        <w:t>②本公司作为出租人</w:t>
      </w:r>
    </w:p>
    <w:p>
      <w:pPr>
        <w:pStyle w:val="Style18"/>
        <w:keepNext w:val="0"/>
        <w:keepLines w:val="0"/>
        <w:widowControl w:val="0"/>
        <w:shd w:val="clear" w:color="auto" w:fill="auto"/>
        <w:bidi w:val="0"/>
        <w:spacing w:before="0" w:after="340" w:line="240" w:lineRule="auto"/>
        <w:ind w:left="0" w:right="0" w:firstLine="580"/>
        <w:jc w:val="left"/>
      </w:pPr>
      <w:r>
        <w:rPr>
          <w:color w:val="000000"/>
          <w:spacing w:val="0"/>
          <w:w w:val="100"/>
          <w:position w:val="0"/>
        </w:rPr>
        <w:t>资产负债表日后将收到的经营租赁未折现租赁收款额:</w:t>
      </w:r>
      <w:r>
        <w:br w:type="page"/>
      </w:r>
    </w:p>
    <w:tbl>
      <w:tblPr>
        <w:tblOverlap w:val="never"/>
        <w:jc w:val="center"/>
        <w:tblLayout w:type="fixed"/>
      </w:tblPr>
      <w:tblGrid>
        <w:gridCol w:w="4094"/>
        <w:gridCol w:w="255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金额（元）</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r>
    </w:tbl>
    <w:p>
      <w:pPr>
        <w:pStyle w:val="Style18"/>
        <w:keepNext w:val="0"/>
        <w:keepLines w:val="0"/>
        <w:widowControl w:val="0"/>
        <w:shd w:val="clear" w:color="auto" w:fill="auto"/>
        <w:tabs>
          <w:tab w:pos="928" w:val="left"/>
        </w:tabs>
        <w:bidi w:val="0"/>
        <w:spacing w:before="0" w:after="0" w:line="472" w:lineRule="exact"/>
        <w:ind w:left="0" w:right="0" w:firstLine="440"/>
        <w:jc w:val="both"/>
      </w:pPr>
      <w:bookmarkStart w:id="1478" w:name="bookmark1478"/>
      <w:r>
        <w:rPr>
          <w:color w:val="000000"/>
          <w:spacing w:val="0"/>
          <w:w w:val="100"/>
          <w:position w:val="0"/>
        </w:rPr>
        <w:t>（</w:t>
      </w:r>
      <w:bookmarkEnd w:id="1478"/>
      <w:r>
        <w:rPr>
          <w:color w:val="000000"/>
          <w:spacing w:val="0"/>
          <w:w w:val="100"/>
          <w:position w:val="0"/>
        </w:rPr>
        <w:t>2）</w:t>
        <w:tab/>
      </w:r>
      <w:r>
        <w:rPr>
          <w:color w:val="000000"/>
          <w:spacing w:val="0"/>
          <w:w w:val="100"/>
          <w:position w:val="0"/>
        </w:rPr>
        <w:t>大股东股权质押情况</w:t>
      </w:r>
    </w:p>
    <w:p>
      <w:pPr>
        <w:pStyle w:val="Style1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日，公司第一大股东沈飒持有公司股份</w:t>
      </w:r>
      <w:r>
        <w:rPr>
          <w:color w:val="000000"/>
          <w:spacing w:val="0"/>
          <w:w w:val="100"/>
          <w:position w:val="0"/>
        </w:rPr>
        <w:t>50, 392, 918</w:t>
      </w:r>
      <w:r>
        <w:rPr>
          <w:color w:val="000000"/>
          <w:spacing w:val="0"/>
          <w:w w:val="100"/>
          <w:position w:val="0"/>
        </w:rPr>
        <w:t>股，占公司总股本的</w:t>
      </w:r>
      <w:r>
        <w:rPr>
          <w:color w:val="000000"/>
          <w:spacing w:val="0"/>
          <w:w w:val="100"/>
          <w:position w:val="0"/>
        </w:rPr>
        <w:t xml:space="preserve">14.93%， </w:t>
      </w:r>
      <w:r>
        <w:rPr>
          <w:color w:val="000000"/>
          <w:spacing w:val="0"/>
          <w:w w:val="100"/>
          <w:position w:val="0"/>
        </w:rPr>
        <w:t>其中质押公司股份</w:t>
      </w:r>
      <w:r>
        <w:rPr>
          <w:color w:val="000000"/>
          <w:spacing w:val="0"/>
          <w:w w:val="100"/>
          <w:position w:val="0"/>
        </w:rPr>
        <w:t>9, 360, 000</w:t>
      </w:r>
      <w:r>
        <w:rPr>
          <w:color w:val="000000"/>
          <w:spacing w:val="0"/>
          <w:w w:val="100"/>
          <w:position w:val="0"/>
        </w:rPr>
        <w:t>股，占其持有公司股份总数的</w:t>
      </w:r>
      <w:r>
        <w:rPr>
          <w:color w:val="000000"/>
          <w:spacing w:val="0"/>
          <w:w w:val="100"/>
          <w:position w:val="0"/>
        </w:rPr>
        <w:t>18.57%，</w:t>
      </w:r>
      <w:r>
        <w:rPr>
          <w:color w:val="000000"/>
          <w:spacing w:val="0"/>
          <w:w w:val="100"/>
          <w:position w:val="0"/>
        </w:rPr>
        <w:t>占公司总股本的</w:t>
      </w:r>
      <w:r>
        <w:rPr>
          <w:color w:val="000000"/>
          <w:spacing w:val="0"/>
          <w:w w:val="100"/>
          <w:position w:val="0"/>
        </w:rPr>
        <w:t>2.77%</w:t>
      </w:r>
      <w:r>
        <w:rPr>
          <w:color w:val="000000"/>
          <w:spacing w:val="0"/>
          <w:w w:val="100"/>
          <w:position w:val="0"/>
        </w:rPr>
        <w:t>。</w:t>
      </w:r>
    </w:p>
    <w:p>
      <w:pPr>
        <w:pStyle w:val="Style18"/>
        <w:keepNext w:val="0"/>
        <w:keepLines w:val="0"/>
        <w:widowControl w:val="0"/>
        <w:shd w:val="clear" w:color="auto" w:fill="auto"/>
        <w:tabs>
          <w:tab w:pos="928" w:val="left"/>
        </w:tabs>
        <w:bidi w:val="0"/>
        <w:spacing w:before="0" w:after="0" w:line="472" w:lineRule="exact"/>
        <w:ind w:left="0" w:right="0" w:firstLine="440"/>
        <w:jc w:val="both"/>
      </w:pPr>
      <w:bookmarkStart w:id="1479" w:name="bookmark1479"/>
      <w:r>
        <w:rPr>
          <w:color w:val="000000"/>
          <w:spacing w:val="0"/>
          <w:w w:val="100"/>
          <w:position w:val="0"/>
        </w:rPr>
        <w:t>（</w:t>
      </w:r>
      <w:bookmarkEnd w:id="1479"/>
      <w:r>
        <w:rPr>
          <w:color w:val="000000"/>
          <w:spacing w:val="0"/>
          <w:w w:val="100"/>
          <w:position w:val="0"/>
        </w:rPr>
        <w:t>3）</w:t>
        <w:tab/>
      </w:r>
      <w:r>
        <w:rPr>
          <w:color w:val="000000"/>
          <w:spacing w:val="0"/>
          <w:w w:val="100"/>
          <w:position w:val="0"/>
        </w:rPr>
        <w:t>关于公司申请以第三人身份参与诉讼情况</w:t>
      </w:r>
    </w:p>
    <w:p>
      <w:pPr>
        <w:pStyle w:val="Style18"/>
        <w:keepNext w:val="0"/>
        <w:keepLines w:val="0"/>
        <w:widowControl w:val="0"/>
        <w:shd w:val="clear" w:color="auto" w:fill="auto"/>
        <w:bidi w:val="0"/>
        <w:spacing w:before="0" w:after="400" w:line="472"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日，公司向天津市高级人民法院递交《参诉申请书》，关于该院审理的董书倩与沈飒民 事纠纷案件</w:t>
      </w:r>
      <w:r>
        <w:rPr>
          <w:color w:val="000000"/>
          <w:spacing w:val="0"/>
          <w:w w:val="100"/>
          <w:position w:val="0"/>
        </w:rPr>
        <w:t>（［2021］</w:t>
      </w:r>
      <w:r>
        <w:rPr>
          <w:color w:val="000000"/>
          <w:spacing w:val="0"/>
          <w:w w:val="100"/>
          <w:position w:val="0"/>
        </w:rPr>
        <w:t>津民终</w:t>
      </w:r>
      <w:r>
        <w:rPr>
          <w:color w:val="000000"/>
          <w:spacing w:val="0"/>
          <w:w w:val="100"/>
          <w:position w:val="0"/>
        </w:rPr>
        <w:t>828</w:t>
      </w:r>
      <w:r>
        <w:rPr>
          <w:color w:val="000000"/>
          <w:spacing w:val="0"/>
          <w:w w:val="100"/>
          <w:position w:val="0"/>
        </w:rPr>
        <w:t>号），公司申请以第三人身份参与该诉讼，详情见公司编号：</w:t>
      </w:r>
      <w:r>
        <w:rPr>
          <w:color w:val="000000"/>
          <w:spacing w:val="0"/>
          <w:w w:val="100"/>
          <w:position w:val="0"/>
        </w:rPr>
        <w:t xml:space="preserve">2021-043 </w:t>
      </w:r>
      <w:r>
        <w:rPr>
          <w:color w:val="000000"/>
          <w:spacing w:val="0"/>
          <w:w w:val="100"/>
          <w:position w:val="0"/>
        </w:rPr>
        <w:t>公告。公司递交申请后，后续没有参加诉讼。以上案件已于</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日结案。</w:t>
      </w:r>
    </w:p>
    <w:p>
      <w:pPr>
        <w:pStyle w:val="Style22"/>
        <w:keepNext/>
        <w:keepLines/>
        <w:widowControl w:val="0"/>
        <w:shd w:val="clear" w:color="auto" w:fill="auto"/>
        <w:bidi w:val="0"/>
        <w:spacing w:before="0" w:after="140" w:line="240" w:lineRule="auto"/>
        <w:ind w:left="0" w:right="0" w:firstLine="0"/>
        <w:jc w:val="both"/>
      </w:pPr>
      <w:bookmarkStart w:id="1480" w:name="bookmark1480"/>
      <w:bookmarkStart w:id="1481" w:name="bookmark1481"/>
      <w:bookmarkStart w:id="1482" w:name="bookmark1482"/>
      <w:r>
        <w:rPr>
          <w:color w:val="000000"/>
          <w:spacing w:val="0"/>
          <w:w w:val="100"/>
          <w:position w:val="0"/>
          <w:sz w:val="24"/>
          <w:szCs w:val="24"/>
        </w:rPr>
        <w:t>十六、母公司财务报表主要项目注释</w:t>
      </w:r>
      <w:bookmarkEnd w:id="1480"/>
      <w:bookmarkEnd w:id="1481"/>
      <w:bookmarkEnd w:id="1482"/>
    </w:p>
    <w:p>
      <w:pPr>
        <w:pStyle w:val="Style30"/>
        <w:keepNext/>
        <w:keepLines/>
        <w:widowControl w:val="0"/>
        <w:shd w:val="clear" w:color="auto" w:fill="auto"/>
        <w:bidi w:val="0"/>
        <w:spacing w:before="0" w:after="140" w:line="472" w:lineRule="exact"/>
        <w:ind w:left="0" w:right="0" w:firstLine="0"/>
        <w:jc w:val="both"/>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83"/>
      <w:bookmarkEnd w:id="1484"/>
      <w:bookmarkEnd w:id="1485"/>
    </w:p>
    <w:p>
      <w:pPr>
        <w:pStyle w:val="Style35"/>
        <w:keepNext/>
        <w:keepLines/>
        <w:widowControl w:val="0"/>
        <w:shd w:val="clear" w:color="auto" w:fill="auto"/>
        <w:bidi w:val="0"/>
        <w:spacing w:before="0" w:after="400" w:line="472" w:lineRule="exact"/>
        <w:ind w:left="0" w:right="0" w:firstLine="0"/>
        <w:jc w:val="both"/>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86"/>
      <w:bookmarkEnd w:id="1487"/>
      <w:bookmarkEnd w:id="1488"/>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110,493,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15,172,7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95,320,95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126,978,0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114,944,14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110,493,</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15,172,7</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03.37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95,320,95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126,978,0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12,033,89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114,944,14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71,582,476.87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3,579,123.84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18,366,161.13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1,836,616.12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10,088,567.08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2,017,713.42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5,434,408.78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2,717,204.39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914,733.12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4,107,312.48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4,107,312.48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110,493,659.46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15,172,703.37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rPr>
        <w:t>如是按照预期信用损失一般模型计提应收账款坏账准备，请参照其他应收款的披露方式披露坏账准备的相关信</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息：</w:t>
      </w:r>
    </w:p>
    <w:p>
      <w:pPr>
        <w:pStyle w:val="Style18"/>
        <w:keepNext w:val="0"/>
        <w:keepLines w:val="0"/>
        <w:widowControl w:val="0"/>
        <w:shd w:val="clear" w:color="auto" w:fill="auto"/>
        <w:bidi w:val="0"/>
        <w:spacing w:before="0" w:after="10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按账龄披露</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71,582,476.87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18,366,161.13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10,088,567.08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10,456,454.38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5,434,408.78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914,733.12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4,107,312.48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110,493,659.46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9"/>
      <w:bookmarkEnd w:id="1490"/>
      <w:bookmarkEnd w:id="1491"/>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本期计提坏账准备情况：</w:t>
      </w:r>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12,033,892.94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3,138,810.43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15,172,703.37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12,033,892.94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3,138,810.43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15,172,703.37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492"/>
      <w:bookmarkEnd w:id="1493"/>
      <w:bookmarkEnd w:id="1495"/>
    </w:p>
    <w:p>
      <w:pPr>
        <w:pStyle w:val="Style33"/>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6"/>
                <w:szCs w:val="16"/>
              </w:rPr>
            </w:pPr>
            <w:r>
              <w:rPr>
                <w:rFonts w:ascii="SimSun" w:eastAsia="SimSun" w:hAnsi="SimSun" w:cs="SimSun"/>
                <w:color w:val="000000"/>
                <w:spacing w:val="0"/>
                <w:w w:val="100"/>
                <w:position w:val="0"/>
                <w:sz w:val="16"/>
                <w:szCs w:val="16"/>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10,653,188.93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571,546.95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5,023,850.58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502,385.06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4,771,544.43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238,577.22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4,564,883.79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488,027.69</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3,643,071.63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368,454.17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28,656,539.36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96"/>
      <w:bookmarkEnd w:id="1497"/>
      <w:bookmarkEnd w:id="1498"/>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90,924,204.29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65,373,186.69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90,924,204.29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65,373,186.69</w:t>
            </w:r>
          </w:p>
        </w:tc>
      </w:tr>
    </w:tbl>
    <w:p>
      <w:pPr>
        <w:widowControl w:val="0"/>
        <w:spacing w:after="339" w:line="1" w:lineRule="exact"/>
      </w:pPr>
    </w:p>
    <w:p>
      <w:pPr>
        <w:pStyle w:val="Style35"/>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499"/>
      <w:bookmarkEnd w:id="1500"/>
      <w:bookmarkEnd w:id="1501"/>
    </w:p>
    <w:p>
      <w:pPr>
        <w:pStyle w:val="Style62"/>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02"/>
      <w:bookmarkEnd w:id="1503"/>
      <w:bookmarkEnd w:id="1504"/>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37,240,724.56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36,111,314.92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30,149.03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房租物业押金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735,844.38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2,607,418.60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66,340,000.00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39,610,000.00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183,357.91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65,369.10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104,530,075.88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78,424,251.65</w:t>
            </w:r>
          </w:p>
        </w:tc>
      </w:tr>
    </w:tbl>
    <w:p>
      <w:pPr>
        <w:widowControl w:val="0"/>
        <w:spacing w:after="339" w:line="1" w:lineRule="exact"/>
      </w:pPr>
    </w:p>
    <w:p>
      <w:pPr>
        <w:pStyle w:val="Style62"/>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05"/>
      <w:bookmarkEnd w:id="1506"/>
      <w:bookmarkEnd w:id="1507"/>
    </w:p>
    <w:p>
      <w:pPr>
        <w:pStyle w:val="Style33"/>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6"/>
                <w:szCs w:val="16"/>
              </w:rPr>
            </w:pPr>
            <w:r>
              <w:rPr>
                <w:rFonts w:ascii="SimSun" w:eastAsia="SimSun" w:hAnsi="SimSun" w:cs="SimSun"/>
                <w:color w:val="000000"/>
                <w:spacing w:val="0"/>
                <w:w w:val="100"/>
                <w:position w:val="0"/>
                <w:sz w:val="16"/>
                <w:szCs w:val="16"/>
              </w:rPr>
              <w:t>未来</w:t>
            </w:r>
            <w:r>
              <w:rPr>
                <w:color w:val="000000"/>
                <w:spacing w:val="0"/>
                <w:w w:val="100"/>
                <w:position w:val="0"/>
                <w:sz w:val="18"/>
                <w:szCs w:val="18"/>
              </w:rPr>
              <w:t>12</w:t>
            </w:r>
            <w:r>
              <w:rPr>
                <w:rFonts w:ascii="SimSun" w:eastAsia="SimSun" w:hAnsi="SimSun" w:cs="SimSun"/>
                <w:color w:val="000000"/>
                <w:spacing w:val="0"/>
                <w:w w:val="100"/>
                <w:position w:val="0"/>
                <w:sz w:val="16"/>
                <w:szCs w:val="16"/>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6"/>
                <w:szCs w:val="16"/>
              </w:rPr>
            </w:pPr>
            <w:r>
              <w:rPr>
                <w:rFonts w:ascii="SimSun" w:eastAsia="SimSun" w:hAnsi="SimSun" w:cs="SimSun"/>
                <w:color w:val="000000"/>
                <w:spacing w:val="0"/>
                <w:w w:val="100"/>
                <w:position w:val="0"/>
                <w:sz w:val="16"/>
                <w:szCs w:val="16"/>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6"/>
                <w:szCs w:val="16"/>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13,051,064.96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13,051,064.96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6"/>
                <w:szCs w:val="16"/>
              </w:rPr>
            </w:pPr>
            <w:r>
              <w:rPr>
                <w:rFonts w:ascii="SimSun" w:eastAsia="SimSun" w:hAnsi="SimSun" w:cs="SimSun"/>
                <w:color w:val="000000"/>
                <w:spacing w:val="0"/>
                <w:w w:val="100"/>
                <w:position w:val="0"/>
                <w:sz w:val="16"/>
                <w:szCs w:val="16"/>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554,806.63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554,806.63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13,605,871.59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13,605,871.59</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损失准备本期变动金额重大的账面余额变动情况</w:t>
      </w:r>
    </w:p>
    <w:p>
      <w:pPr>
        <w:pStyle w:val="Style18"/>
        <w:keepNext w:val="0"/>
        <w:keepLines w:val="0"/>
        <w:widowControl w:val="0"/>
        <w:shd w:val="clear" w:color="auto" w:fill="auto"/>
        <w:bidi w:val="0"/>
        <w:spacing w:before="0" w:after="8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按账龄披露</w:t>
      </w:r>
    </w:p>
    <w:p>
      <w:pPr>
        <w:pStyle w:val="Style33"/>
        <w:keepNext w:val="0"/>
        <w:keepLines w:val="0"/>
        <w:widowControl w:val="0"/>
        <w:shd w:val="clear" w:color="auto" w:fill="auto"/>
        <w:bidi w:val="0"/>
        <w:spacing w:before="0" w:after="2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40,594,227.35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45,341,255.38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5,346,752.74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13,247,840.41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4</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3,955,312.55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至</w:t>
            </w:r>
            <w:r>
              <w:rPr>
                <w:color w:val="000000"/>
                <w:spacing w:val="0"/>
                <w:w w:val="100"/>
                <w:position w:val="0"/>
                <w:sz w:val="18"/>
                <w:szCs w:val="18"/>
              </w:rPr>
              <w:t>5</w:t>
            </w:r>
            <w:r>
              <w:rPr>
                <w:rFonts w:ascii="SimSun" w:eastAsia="SimSun" w:hAnsi="SimSun" w:cs="SimSun"/>
                <w:color w:val="000000"/>
                <w:spacing w:val="0"/>
                <w:w w:val="100"/>
                <w:position w:val="0"/>
                <w:sz w:val="16"/>
                <w:szCs w:val="16"/>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6,273,616.30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color w:val="000000"/>
                <w:spacing w:val="0"/>
                <w:w w:val="100"/>
                <w:position w:val="0"/>
              </w:rPr>
              <w:t>3,018,911.56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104,530,075.88</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color w:val="000000"/>
          <w:spacing w:val="0"/>
          <w:w w:val="100"/>
          <w:position w:val="0"/>
        </w:rPr>
        <w:t>）本期计提、收回或转回的坏账准备情况</w:t>
      </w:r>
      <w:bookmarkEnd w:id="1508"/>
      <w:bookmarkEnd w:id="1509"/>
      <w:bookmarkEnd w:id="1511"/>
    </w:p>
    <w:p>
      <w:pPr>
        <w:pStyle w:val="Style18"/>
        <w:keepNext w:val="0"/>
        <w:keepLines w:val="0"/>
        <w:widowControl w:val="0"/>
        <w:shd w:val="clear" w:color="auto" w:fill="auto"/>
        <w:bidi w:val="0"/>
        <w:spacing w:before="0" w:after="140" w:line="240" w:lineRule="auto"/>
        <w:ind w:left="0" w:right="0" w:firstLine="0"/>
        <w:jc w:val="left"/>
        <w:rPr>
          <w:sz w:val="19"/>
          <w:szCs w:val="19"/>
        </w:rPr>
      </w:pPr>
      <w:r>
        <w:rPr>
          <w:color w:val="000000"/>
          <w:spacing w:val="0"/>
          <w:w w:val="100"/>
          <w:position w:val="0"/>
          <w:sz w:val="19"/>
          <w:szCs w:val="19"/>
        </w:rPr>
        <w:t>本期计提坏账准备情况：</w:t>
      </w:r>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按组合计提坏账准 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13,051,064.9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554,806.63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13,605,871.59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13,051,064.9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554,806.63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13,605,871.59</w:t>
            </w:r>
          </w:p>
        </w:tc>
      </w:tr>
    </w:tbl>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color w:val="000000"/>
          <w:spacing w:val="0"/>
          <w:w w:val="100"/>
          <w:position w:val="0"/>
        </w:rPr>
        <w:t>）按欠款方归集的期末余额前五名的其他应收款情况</w:t>
      </w:r>
      <w:bookmarkEnd w:id="1512"/>
      <w:bookmarkEnd w:id="1513"/>
      <w:bookmarkEnd w:id="1515"/>
    </w:p>
    <w:p>
      <w:pPr>
        <w:pStyle w:val="Style33"/>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杭州中科金财科技有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金财数金（上海）智 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华缔资产管理（北京）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北京中科金财软件技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8,871,351.65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3,227,714.41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75,211,351.65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3,227,714.41</w:t>
            </w:r>
          </w:p>
        </w:tc>
      </w:tr>
    </w:tbl>
    <w:p>
      <w:pPr>
        <w:spacing w:lineRule="exact" w:line="1"/>
        <w:rPr>
          <w:sz w:val="2"/>
          <w:szCs w:val="2"/>
        </w:rPr>
      </w:pPr>
      <w:r>
        <w:br w:type="page"/>
      </w:r>
    </w:p>
    <w:p>
      <w:pPr>
        <w:pStyle w:val="Style30"/>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color w:val="000000"/>
          <w:spacing w:val="0"/>
          <w:w w:val="100"/>
          <w:position w:val="0"/>
        </w:rPr>
        <w:t>、长期股权投资</w:t>
      </w:r>
      <w:bookmarkEnd w:id="1516"/>
      <w:bookmarkEnd w:id="1517"/>
      <w:bookmarkEnd w:id="1519"/>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1,734,334,647.00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1,310,334,647.00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1,734,403,007.37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1,734,403,007.37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392,907,268.21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392,907,268.21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795,887,306.39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795,887,306.39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2,127,241,915.21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1,703,241,915.21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2,530,290,313.76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2,530,290,313.76</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20"/>
      <w:bookmarkEnd w:id="1521"/>
      <w:bookmarkEnd w:id="1522"/>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期初余额</w:t>
            </w:r>
            <w:r>
              <w:rPr>
                <w:color w:val="000000"/>
                <w:spacing w:val="0"/>
                <w:w w:val="100"/>
                <w:position w:val="0"/>
              </w:rPr>
              <w:t>（</w:t>
            </w:r>
            <w:r>
              <w:rPr>
                <w:rFonts w:ascii="SimSun" w:eastAsia="SimSun" w:hAnsi="SimSun" w:cs="SimSun"/>
                <w:color w:val="000000"/>
                <w:spacing w:val="0"/>
                <w:w w:val="100"/>
                <w:position w:val="0"/>
                <w:sz w:val="16"/>
                <w:szCs w:val="16"/>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6"/>
                <w:szCs w:val="16"/>
              </w:rPr>
              <w:t>期末余额</w:t>
            </w:r>
            <w:r>
              <w:rPr>
                <w:color w:val="000000"/>
                <w:spacing w:val="0"/>
                <w:w w:val="100"/>
                <w:position w:val="0"/>
              </w:rPr>
              <w:t>（</w:t>
            </w:r>
            <w:r>
              <w:rPr>
                <w:rFonts w:ascii="SimSun" w:eastAsia="SimSun" w:hAnsi="SimSun" w:cs="SimSun"/>
                <w:color w:val="000000"/>
                <w:spacing w:val="0"/>
                <w:w w:val="100"/>
                <w:position w:val="0"/>
                <w:sz w:val="16"/>
                <w:szCs w:val="16"/>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深圳前海中科</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金财金控投资</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318,000,000.0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318,000,000.00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深圳中金财富</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200,210,236.4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200,210,236.43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北京中科金财 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110,124,410.5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110,124,410.57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天津中科金财</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798,000,000.0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424,000,000.0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374,000,000.00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424,000,000.00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中科金财保险</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北京志东方科</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技有限责任公</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250,000,000.0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北京中科金财</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软件技术有限</w:t>
            </w:r>
          </w:p>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北京中科金财</w:t>
            </w:r>
          </w:p>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智能技术有限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杭州中科金财</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香港中科金财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68,360.37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1,734,403,007.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68,360.37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424,000,000.0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1,310,334,647.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424,000,000.00</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23"/>
      <w:bookmarkEnd w:id="1524"/>
      <w:bookmarkEnd w:id="1525"/>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期初余额</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p>
            <w:pPr>
              <w:pStyle w:val="Style2"/>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账面价</w:t>
            </w:r>
          </w:p>
          <w:p>
            <w:pPr>
              <w:pStyle w:val="Style2"/>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sz w:val="16"/>
                <w:szCs w:val="16"/>
              </w:rPr>
              <w:t>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减值准备</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权益法下</w:t>
            </w:r>
          </w:p>
          <w:p>
            <w:pPr>
              <w:pStyle w:val="Style2"/>
              <w:keepNext w:val="0"/>
              <w:keepLines w:val="0"/>
              <w:widowControl w:val="0"/>
              <w:shd w:val="clear" w:color="auto" w:fill="auto"/>
              <w:bidi w:val="0"/>
              <w:spacing w:before="0" w:after="100" w:line="240" w:lineRule="auto"/>
              <w:ind w:left="0" w:right="0" w:firstLine="0"/>
              <w:jc w:val="left"/>
              <w:rPr>
                <w:sz w:val="16"/>
                <w:szCs w:val="16"/>
              </w:rPr>
            </w:pPr>
            <w:r>
              <w:rPr>
                <w:rFonts w:ascii="SimSun" w:eastAsia="SimSun" w:hAnsi="SimSun" w:cs="SimSun"/>
                <w:color w:val="000000"/>
                <w:spacing w:val="0"/>
                <w:w w:val="100"/>
                <w:position w:val="0"/>
                <w:sz w:val="16"/>
                <w:szCs w:val="16"/>
              </w:rPr>
              <w:t>确认的投</w:t>
            </w:r>
          </w:p>
          <w:p>
            <w:pPr>
              <w:pStyle w:val="Style2"/>
              <w:keepNext w:val="0"/>
              <w:keepLines w:val="0"/>
              <w:widowControl w:val="0"/>
              <w:shd w:val="clear" w:color="auto" w:fill="auto"/>
              <w:bidi w:val="0"/>
              <w:spacing w:before="0" w:after="100" w:line="240" w:lineRule="auto"/>
              <w:ind w:left="0" w:right="0" w:firstLine="0"/>
              <w:jc w:val="right"/>
              <w:rPr>
                <w:sz w:val="16"/>
                <w:szCs w:val="16"/>
              </w:rPr>
            </w:pPr>
            <w:r>
              <w:rPr>
                <w:rFonts w:ascii="SimSun" w:eastAsia="SimSun" w:hAnsi="SimSun" w:cs="SimSun"/>
                <w:color w:val="000000"/>
                <w:spacing w:val="0"/>
                <w:w w:val="100"/>
                <w:position w:val="0"/>
                <w:sz w:val="16"/>
                <w:szCs w:val="16"/>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6"/>
                <w:szCs w:val="16"/>
              </w:rPr>
            </w:pPr>
            <w:r>
              <w:rPr>
                <w:rFonts w:ascii="SimSun" w:eastAsia="SimSun" w:hAnsi="SimSun" w:cs="SimSun"/>
                <w:color w:val="000000"/>
                <w:spacing w:val="0"/>
                <w:w w:val="100"/>
                <w:position w:val="0"/>
                <w:sz w:val="16"/>
                <w:szCs w:val="16"/>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宣告发放</w:t>
            </w:r>
          </w:p>
          <w:p>
            <w:pPr>
              <w:pStyle w:val="Style2"/>
              <w:keepNext w:val="0"/>
              <w:keepLines w:val="0"/>
              <w:widowControl w:val="0"/>
              <w:shd w:val="clear" w:color="auto" w:fill="auto"/>
              <w:bidi w:val="0"/>
              <w:spacing w:before="0" w:after="120" w:line="240" w:lineRule="auto"/>
              <w:ind w:left="0" w:right="0" w:firstLine="0"/>
              <w:jc w:val="right"/>
              <w:rPr>
                <w:sz w:val="16"/>
                <w:szCs w:val="16"/>
              </w:rPr>
            </w:pPr>
            <w:r>
              <w:rPr>
                <w:rFonts w:ascii="SimSun" w:eastAsia="SimSun" w:hAnsi="SimSun" w:cs="SimSun"/>
                <w:color w:val="000000"/>
                <w:spacing w:val="0"/>
                <w:w w:val="100"/>
                <w:position w:val="0"/>
                <w:sz w:val="16"/>
                <w:szCs w:val="16"/>
              </w:rPr>
              <w:t>现金股利</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二、联营企业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中科环嘉 电子商务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1,597,006</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-27,488.2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1,569,518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北京中关 村科技金 融信息服 务中心有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2,861,174</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-798,838.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2,062,335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安粮期货 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288,899,2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17,740,99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296,640,2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深圳市金</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方达信息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630,680.8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-630,680.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大连金融 资产交易 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109,903,2</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-17,268,0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92,635,12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上海惬昶 信息科技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146,993,0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147,000,0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-3,958.45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深圳市金</w:t>
            </w:r>
          </w:p>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源兴信息 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245,002,9</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2,264,058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795,887,3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392,907,2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795,887,3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392,000,0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1,275,988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-2,256,02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392,907,2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color w:val="000000"/>
          <w:spacing w:val="0"/>
          <w:w w:val="100"/>
          <w:position w:val="0"/>
        </w:rPr>
        <w:t>、营业收入和营业成本</w:t>
      </w:r>
      <w:bookmarkEnd w:id="1526"/>
      <w:bookmarkEnd w:id="1527"/>
      <w:bookmarkEnd w:id="1529"/>
    </w:p>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1,211,451,602.54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1,033,042,754.58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1,465,336,981.45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1,254,286,938.18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51,729,664.04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47,118,301.51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27,463,696.53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1,263,181,266.58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1,080,161,056.09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1,495,340,871.15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1,281,750,634.71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公司主营业务为应用软件开发、技术服务及相关的计算机信息系统集成服务。集成服务在产品交付购 货方，技术服务按合同约定提供服务完成，并经客户验收合格后客户验收，软件产品销售按合同约定，需 安装调试的，在安装调试完成、投入运行并经客户验收合格；不需安装的，于产品发出且到货验收合格时 客户取得相关商品及服务的控制权时确认收入实现。按照合同约定履行履约义务，并按照合同约定的收款 进度收款。</w:t>
      </w:r>
    </w:p>
    <w:p>
      <w:pPr>
        <w:pStyle w:val="Style18"/>
        <w:keepNext w:val="0"/>
        <w:keepLines w:val="0"/>
        <w:widowControl w:val="0"/>
        <w:shd w:val="clear" w:color="auto" w:fill="auto"/>
        <w:bidi w:val="0"/>
        <w:spacing w:before="0" w:after="0" w:line="451" w:lineRule="exact"/>
        <w:ind w:left="0" w:right="0" w:firstLine="0"/>
        <w:jc w:val="left"/>
        <w:rPr>
          <w:sz w:val="19"/>
          <w:szCs w:val="19"/>
        </w:rPr>
      </w:pPr>
      <w:r>
        <w:rPr>
          <w:color w:val="000000"/>
          <w:spacing w:val="0"/>
          <w:w w:val="100"/>
          <w:position w:val="0"/>
          <w:sz w:val="19"/>
          <w:szCs w:val="19"/>
        </w:rPr>
        <w:t>与分摊至剩余履约义务的交易价格相关的信息：</w:t>
      </w:r>
    </w:p>
    <w:p>
      <w:pPr>
        <w:pStyle w:val="Style18"/>
        <w:keepNext w:val="0"/>
        <w:keepLines w:val="0"/>
        <w:widowControl w:val="0"/>
        <w:shd w:val="clear" w:color="auto" w:fill="auto"/>
        <w:bidi w:val="0"/>
        <w:spacing w:before="0" w:after="460" w:line="451" w:lineRule="exact"/>
        <w:ind w:left="0" w:right="0" w:firstLine="44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rPr>
        <w:t xml:space="preserve">1,556, 796, </w:t>
      </w:r>
      <w:r>
        <w:rPr>
          <w:color w:val="000000"/>
          <w:spacing w:val="0"/>
          <w:w w:val="100"/>
          <w:position w:val="0"/>
        </w:rPr>
        <w:t xml:space="preserve">779. </w:t>
      </w:r>
      <w:r>
        <w:rPr>
          <w:color w:val="000000"/>
          <w:spacing w:val="0"/>
          <w:w w:val="100"/>
          <w:position w:val="0"/>
        </w:rPr>
        <w:t>90</w:t>
      </w:r>
      <w:r>
        <w:rPr>
          <w:color w:val="000000"/>
          <w:spacing w:val="0"/>
          <w:w w:val="100"/>
          <w:position w:val="0"/>
        </w:rPr>
        <w:t>元。</w:t>
      </w:r>
    </w:p>
    <w:p>
      <w:pPr>
        <w:pStyle w:val="Style30"/>
        <w:keepNext/>
        <w:keepLines/>
        <w:widowControl w:val="0"/>
        <w:shd w:val="clear" w:color="auto" w:fill="auto"/>
        <w:bidi w:val="0"/>
        <w:spacing w:before="0" w:after="160" w:line="48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5</w:t>
      </w:r>
      <w:bookmarkEnd w:id="1532"/>
      <w:r>
        <w:rPr>
          <w:color w:val="000000"/>
          <w:spacing w:val="0"/>
          <w:w w:val="100"/>
          <w:position w:val="0"/>
        </w:rPr>
        <w:t>、投资收益</w:t>
      </w:r>
      <w:bookmarkEnd w:id="1530"/>
      <w:bookmarkEnd w:id="1531"/>
      <w:bookmarkEnd w:id="153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1,275,988.08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14,901,596.42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1,602,146.25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179,651.76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4,793,213.58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18,359,477.25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color w:val="000000"/>
                <w:spacing w:val="0"/>
                <w:w w:val="100"/>
                <w:position w:val="0"/>
              </w:rPr>
              <w:t>7,671,347.91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33,440,725.43</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both"/>
      </w:pPr>
      <w:bookmarkStart w:id="1534" w:name="bookmark1534"/>
      <w:bookmarkStart w:id="1535" w:name="bookmark1535"/>
      <w:bookmarkStart w:id="1536" w:name="bookmark1536"/>
      <w:r>
        <w:rPr>
          <w:color w:val="000000"/>
          <w:spacing w:val="0"/>
          <w:w w:val="100"/>
          <w:position w:val="0"/>
          <w:sz w:val="24"/>
          <w:szCs w:val="24"/>
        </w:rPr>
        <w:t>十七、补充资料</w:t>
      </w:r>
      <w:bookmarkEnd w:id="1534"/>
      <w:bookmarkEnd w:id="1535"/>
      <w:bookmarkEnd w:id="1536"/>
    </w:p>
    <w:p>
      <w:pPr>
        <w:pStyle w:val="Style30"/>
        <w:keepNext/>
        <w:keepLines/>
        <w:widowControl w:val="0"/>
        <w:shd w:val="clear" w:color="auto" w:fill="auto"/>
        <w:bidi w:val="0"/>
        <w:spacing w:before="0" w:after="320" w:line="240" w:lineRule="auto"/>
        <w:ind w:left="0" w:right="0" w:firstLine="0"/>
        <w:jc w:val="both"/>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7"/>
      <w:bookmarkEnd w:id="1538"/>
      <w:bookmarkEnd w:id="1539"/>
    </w:p>
    <w:p>
      <w:pPr>
        <w:pStyle w:val="Style18"/>
        <w:keepNext w:val="0"/>
        <w:keepLines w:val="0"/>
        <w:widowControl w:val="0"/>
        <w:shd w:val="clear" w:color="auto" w:fill="auto"/>
        <w:bidi w:val="0"/>
        <w:spacing w:before="0" w:after="32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r>
        <w:br w:type="page"/>
      </w:r>
    </w:p>
    <w:p>
      <w:pPr>
        <w:pStyle w:val="Style3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-33,937,759.82</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4,644,870.61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25,555,739.96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-5,877,406.94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2,083,905.03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-11,698,461.22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80" w:line="312" w:lineRule="exact"/>
        <w:ind w:left="0" w:right="0" w:firstLine="0"/>
        <w:jc w:val="both"/>
        <w:rPr>
          <w:sz w:val="19"/>
          <w:szCs w:val="19"/>
        </w:rPr>
      </w:pPr>
      <w:r>
        <w:rPr>
          <w:color w:val="000000"/>
          <w:spacing w:val="0"/>
          <w:w w:val="100"/>
          <w:position w:val="0"/>
          <w:sz w:val="19"/>
          <w:szCs w:val="19"/>
        </w:rPr>
        <w:t>其他符合非经常性损益定义的损益项目的具体情况：</w:t>
      </w:r>
    </w:p>
    <w:p>
      <w:pPr>
        <w:pStyle w:val="Style18"/>
        <w:keepNext w:val="0"/>
        <w:keepLines w:val="0"/>
        <w:widowControl w:val="0"/>
        <w:shd w:val="clear" w:color="auto" w:fill="auto"/>
        <w:bidi w:val="0"/>
        <w:spacing w:before="0" w:after="0" w:line="271"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p>
    <w:p>
      <w:pPr>
        <w:pStyle w:val="Style18"/>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公司不存在其他符合非经常性损益定义的损益项目的具体情况。</w:t>
      </w:r>
    </w:p>
    <w:p>
      <w:pPr>
        <w:pStyle w:val="Style18"/>
        <w:keepNext w:val="0"/>
        <w:keepLines w:val="0"/>
        <w:widowControl w:val="0"/>
        <w:shd w:val="clear" w:color="auto" w:fill="auto"/>
        <w:bidi w:val="0"/>
        <w:spacing w:before="0" w:after="80" w:line="312" w:lineRule="exact"/>
        <w:ind w:left="0" w:right="0" w:firstLine="0"/>
        <w:jc w:val="both"/>
        <w:rPr>
          <w:sz w:val="19"/>
          <w:szCs w:val="19"/>
        </w:rPr>
      </w:pPr>
      <w:r>
        <w:rPr>
          <w:color w:val="000000"/>
          <w:spacing w:val="0"/>
          <w:w w:val="100"/>
          <w:position w:val="0"/>
          <w:sz w:val="19"/>
          <w:szCs w:val="19"/>
        </w:rPr>
        <w:t>将《公开发行证券的公司信息披露解释性公告第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19"/>
          <w:szCs w:val="19"/>
        </w:rPr>
        <w:t>号一非经常性损益》中列举的非经常性损益项目界定为经 常性损益项目的情况说明</w:t>
      </w:r>
    </w:p>
    <w:p>
      <w:pPr>
        <w:pStyle w:val="Style18"/>
        <w:keepNext w:val="0"/>
        <w:keepLines w:val="0"/>
        <w:widowControl w:val="0"/>
        <w:shd w:val="clear" w:color="auto" w:fill="auto"/>
        <w:bidi w:val="0"/>
        <w:spacing w:before="0" w:after="0" w:line="271"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适用</w:t>
      </w:r>
      <w:r>
        <w:rPr>
          <w:color w:val="000000"/>
          <w:spacing w:val="0"/>
          <w:w w:val="100"/>
          <w:position w:val="0"/>
          <w:sz w:val="20"/>
          <w:szCs w:val="20"/>
        </w:rPr>
        <w:t>口</w:t>
      </w:r>
      <w:r>
        <w:rPr>
          <w:color w:val="000000"/>
          <w:spacing w:val="0"/>
          <w:w w:val="100"/>
          <w:position w:val="0"/>
          <w:sz w:val="19"/>
          <w:szCs w:val="19"/>
        </w:rPr>
        <w:t>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软件增值税退税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150,450.25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6"/>
                <w:szCs w:val="16"/>
              </w:rPr>
            </w:pPr>
            <w:r>
              <w:rPr>
                <w:rFonts w:ascii="SimSun" w:eastAsia="SimSun" w:hAnsi="SimSun" w:cs="SimSun"/>
                <w:color w:val="000000"/>
                <w:spacing w:val="0"/>
                <w:w w:val="100"/>
                <w:position w:val="0"/>
                <w:sz w:val="16"/>
                <w:szCs w:val="16"/>
              </w:rPr>
              <w:t>该项政府补助系与公司正常经营业务密 切相关，符合国家政策规定、按照一定 标准定额和定量持续享受的政府补助。</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0"/>
      <w:bookmarkEnd w:id="1541"/>
      <w:bookmarkEnd w:id="1542"/>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color w:val="000000"/>
          <w:spacing w:val="0"/>
          <w:w w:val="100"/>
          <w:position w:val="0"/>
        </w:rPr>
        <w:t>、境内外会计准则下会计数据差异</w:t>
      </w:r>
      <w:bookmarkEnd w:id="1543"/>
      <w:bookmarkEnd w:id="1544"/>
      <w:bookmarkEnd w:id="1546"/>
    </w:p>
    <w:p>
      <w:pPr>
        <w:pStyle w:val="Style35"/>
        <w:keepNext/>
        <w:keepLines/>
        <w:widowControl w:val="0"/>
        <w:shd w:val="clear" w:color="auto" w:fill="auto"/>
        <w:bidi w:val="0"/>
        <w:spacing w:before="0" w:after="320" w:line="240" w:lineRule="auto"/>
        <w:ind w:left="0" w:right="0" w:firstLine="0"/>
        <w:jc w:val="both"/>
      </w:pPr>
      <w:bookmarkStart w:id="1547" w:name="bookmark1547"/>
      <w:bookmarkStart w:id="1548" w:name="bookmark1548"/>
      <w:bookmarkStart w:id="1549" w:name="bookmark1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547"/>
      <w:bookmarkEnd w:id="1548"/>
      <w:bookmarkEnd w:id="1549"/>
    </w:p>
    <w:p>
      <w:pPr>
        <w:pStyle w:val="Style18"/>
        <w:keepNext w:val="0"/>
        <w:keepLines w:val="0"/>
        <w:widowControl w:val="0"/>
        <w:shd w:val="clear" w:color="auto" w:fill="auto"/>
        <w:bidi w:val="0"/>
        <w:spacing w:before="0" w:after="20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19"/>
          <w:szCs w:val="19"/>
        </w:rPr>
        <w:t>适用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19"/>
          <w:szCs w:val="19"/>
        </w:rPr>
        <w:t>不适用</w:t>
      </w:r>
      <w:r>
        <w:br w:type="page"/>
      </w:r>
    </w:p>
    <w:p>
      <w:pPr>
        <w:pStyle w:val="Style35"/>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550"/>
      <w:bookmarkEnd w:id="1551"/>
      <w:bookmarkEnd w:id="1552"/>
    </w:p>
    <w:p>
      <w:pPr>
        <w:pStyle w:val="Style18"/>
        <w:keepNext w:val="0"/>
        <w:keepLines w:val="0"/>
        <w:widowControl w:val="0"/>
        <w:shd w:val="clear" w:color="auto" w:fill="auto"/>
        <w:bidi w:val="0"/>
        <w:spacing w:before="0" w:after="34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适用</w:t>
      </w:r>
      <w:r>
        <w:rPr>
          <w:color w:val="000000"/>
          <w:spacing w:val="0"/>
          <w:w w:val="100"/>
          <w:position w:val="0"/>
          <w:sz w:val="20"/>
          <w:szCs w:val="20"/>
        </w:rPr>
        <w:t>寸</w:t>
      </w:r>
      <w:r>
        <w:rPr>
          <w:color w:val="000000"/>
          <w:spacing w:val="0"/>
          <w:w w:val="100"/>
          <w:position w:val="0"/>
          <w:sz w:val="19"/>
          <w:szCs w:val="19"/>
        </w:rPr>
        <w:t>不适用</w:t>
      </w:r>
    </w:p>
    <w:p>
      <w:pPr>
        <w:pStyle w:val="Style3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color w:val="000000"/>
          <w:spacing w:val="0"/>
          <w:w w:val="100"/>
          <w:position w:val="0"/>
        </w:rPr>
        <w:t>、其他</w:t>
      </w:r>
      <w:bookmarkEnd w:id="1553"/>
      <w:bookmarkEnd w:id="1554"/>
      <w:bookmarkEnd w:id="1556"/>
    </w:p>
    <w:tbl>
      <w:tblPr>
        <w:tblOverlap w:val="never"/>
        <w:jc w:val="center"/>
        <w:tblLayout w:type="fixed"/>
      </w:tblPr>
      <w:tblGrid>
        <w:gridCol w:w="1771"/>
        <w:gridCol w:w="1886"/>
        <w:gridCol w:w="1891"/>
        <w:gridCol w:w="1166"/>
        <w:gridCol w:w="236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373,297,802.81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253,760,054.51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主要系本期购买理财产品增加 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7,573,776.72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主要系根据票据性质及出票人 信用级别重分类所致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1,358,223.80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14,849,053.60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主要系根据票据性质及出票人 信用级别重分类所致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494,770.97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20,661,318.76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主要系本期为项目备货而预付 采购款减少所致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17,758,645.04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59,629,843.40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主要系本期有大额质保金到期 收回所致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379,356,022.94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782,336,061.12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主要系本期收回对深圳金源兴 及上海惬昶的投资所致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9,602,634.87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主要系本期自用房产变更为投</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资性房地产所致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59,397,486.79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17,035,213.60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主要系因区块链公共服务平台 项目新增采购研发设备所致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8,301,700.08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主要系本期执行新租赁准则所 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14,060,137.12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62,602,124.63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主要系本期处置无形资产所致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26,053,265.22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67,664,896.53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主要系上期预付采购款的研发 设备本期验收入库所致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主要系本期偿还银行贷款所致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9,675,000.00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主要系票据到期兑付所致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3,936,476.41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9,750,677.43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主要系本期计提的当期所得税 费用减少所致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16,157,591.88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10,568,575.81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主要系本期往来款增加所致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6"/>
                <w:szCs w:val="16"/>
              </w:rPr>
            </w:pPr>
            <w:r>
              <w:rPr>
                <w:rFonts w:ascii="SimSun" w:eastAsia="SimSun" w:hAnsi="SimSun" w:cs="SimSun"/>
                <w:color w:val="000000"/>
                <w:spacing w:val="0"/>
                <w:w w:val="100"/>
                <w:position w:val="0"/>
                <w:sz w:val="16"/>
                <w:szCs w:val="16"/>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2,841,224.24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主要系本期执行新租赁准则所 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11,031,597.26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3,087,039.00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主要系本期新增供应链融资借 款所致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5,711,402.24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主要系本期执行新租赁准则所 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7,434,250.00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主要系本期收到区块链公共服 务平台项目补助所致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主要系本期纳入合并的结构化</w:t>
            </w:r>
          </w:p>
        </w:tc>
      </w:tr>
    </w:tbl>
    <w:p>
      <w:pPr>
        <w:widowControl w:val="0"/>
        <w:spacing w:line="1" w:lineRule="exact"/>
      </w:pPr>
      <w:r>
        <w:br w:type="page"/>
      </w:r>
    </w:p>
    <w:tbl>
      <w:tblPr>
        <w:tblOverlap w:val="never"/>
        <w:jc w:val="center"/>
        <w:tblLayout w:type="fixed"/>
      </w:tblPr>
      <w:tblGrid>
        <w:gridCol w:w="1771"/>
        <w:gridCol w:w="1886"/>
        <w:gridCol w:w="1891"/>
        <w:gridCol w:w="1166"/>
        <w:gridCol w:w="236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主体存在集合信托所致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16,412,587.25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1,203,699.87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主要系本期收到项目补助及执 行新租赁准则所致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2,441,469.71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主要系联营企业安粮期货采用 新金融工具准则所致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-19,810,138.29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71,454,134.78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主要系本期净利润为负所致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2,965,789.79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5,330,559.39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主要系本期营业收入减少所致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190,216,711.47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134,206,201.49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主要系本期因区块链公共服务 平台项目增加研发投入所致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9,213,401.74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主要系本期银行借款的利息支 出较上期减少所致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1,844,339.28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8,738,250.37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主要系本期银行借款较上期减 少所致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4,932,654.25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2,177,793.77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主要系本期收到中关村科学城 管委会支持资金补贴所致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43,822,262.04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71,643,872.20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主要系本期联营企业大金所计 提大额理财产品的资产减值损 失所致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rFonts w:ascii="SimSun" w:eastAsia="SimSun" w:hAnsi="SimSun" w:cs="SimSun"/>
                <w:color w:val="000000"/>
                <w:spacing w:val="0"/>
                <w:w w:val="100"/>
                <w:position w:val="0"/>
                <w:sz w:val="16"/>
                <w:szCs w:val="16"/>
              </w:rPr>
              <w:t>对联营企业和合营企</w:t>
            </w:r>
          </w:p>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1,275,988.08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14,901,596.42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主要系本期联营企业大金所计 提大额理财产品的资产减值损 失所致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公允价值变动收益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2,537,748.30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主要系本期期末理财产品的公</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允价值增加所致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-2,368,054.78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-9,703,225.72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主要系本期对其他应收款计提 的信用减值损失减少所致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-23,749,236.18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-4,495,825.22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主要系本期计提存货跌价准备 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-35,539,269.88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-2,084,657.54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主要系本期处置无形资产所致</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-80,084,981.85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21,455,971.29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-86,099,722.18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16,751,068.79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6,593,960.63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9,850,894.41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主要系本期应纳税所得额较上 期减少所致</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-92,693,682.81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6,900,174.38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持续经营净利润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-92,693,682.81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6,900,174.38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w:t>
            </w:r>
          </w:p>
        </w:tc>
      </w:tr>
    </w:tbl>
    <w:p>
      <w:pPr>
        <w:widowControl w:val="0"/>
        <w:spacing w:line="1" w:lineRule="exact"/>
      </w:pPr>
      <w:r>
        <w:br w:type="page"/>
      </w:r>
    </w:p>
    <w:tbl>
      <w:tblPr>
        <w:tblOverlap w:val="never"/>
        <w:jc w:val="center"/>
        <w:tblLayout w:type="fixed"/>
      </w:tblPr>
      <w:tblGrid>
        <w:gridCol w:w="1771"/>
        <w:gridCol w:w="1886"/>
        <w:gridCol w:w="1891"/>
        <w:gridCol w:w="1166"/>
        <w:gridCol w:w="236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备所致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6"/>
                <w:szCs w:val="16"/>
              </w:rPr>
            </w:pPr>
            <w:r>
              <w:rPr>
                <w:rFonts w:ascii="SimSun" w:eastAsia="SimSun" w:hAnsi="SimSun" w:cs="SimSun"/>
                <w:color w:val="000000"/>
                <w:spacing w:val="0"/>
                <w:w w:val="100"/>
                <w:position w:val="0"/>
                <w:sz w:val="16"/>
                <w:szCs w:val="16"/>
              </w:rPr>
              <w:t>归属于母公司所有者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-92,693,694.24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6,900,186.74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主要系本期少数股东损益较上 期增加所致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其他综合收益的税后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2,173,174.01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主要系联营企业安粮期货执行 新金融工具准则所致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归属母公司所有者的 其他综合收益的税后 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2,173,174.01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6"/>
                <w:szCs w:val="16"/>
              </w:rPr>
            </w:pPr>
            <w:r>
              <w:rPr>
                <w:rFonts w:ascii="SimSun" w:eastAsia="SimSun" w:hAnsi="SimSun" w:cs="SimSun"/>
                <w:color w:val="000000"/>
                <w:spacing w:val="0"/>
                <w:w w:val="100"/>
                <w:position w:val="0"/>
                <w:sz w:val="16"/>
                <w:szCs w:val="16"/>
              </w:rPr>
              <w:t>主要系联营企业安粮期货执行 新金融工具准则所致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将重分类进损益的其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2,173,174.01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主要系联营企业安粮期货执行 新金融工具准则所致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权益法下可转损益的 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2,174,092.10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主要系联营企业安粮期货执行 新金融工具准则所致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外币财务报表折算差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主要系子公司香港中科金财外 币报表折算差额所致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-92,693,682.81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9,073,348.39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归属于母公司所有者</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-92,693,694.24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9,073,360.75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-1121.60%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主要系公司研发费用增加及处 置无形资产和计提存货跌价准 备所致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变动原因</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148,438.32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404,396.21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主要系本期收到的增值税返还 较上期减少所致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经营活动产生的现金 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-188,140,476.25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31,768,305.49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主要系本期业务收款减少所致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处置固定资产、无形资 产和其他长期资产收 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rFonts w:ascii="SimSun" w:eastAsia="SimSun" w:hAnsi="SimSun" w:cs="SimSun"/>
                <w:color w:val="000000"/>
                <w:spacing w:val="0"/>
                <w:w w:val="100"/>
                <w:position w:val="0"/>
                <w:sz w:val="16"/>
                <w:szCs w:val="16"/>
              </w:rPr>
              <w:t>主要系本期处置固定资产收到</w:t>
            </w:r>
          </w:p>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的现金较上期增加所致</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6"/>
                <w:szCs w:val="16"/>
              </w:rPr>
            </w:pPr>
            <w:r>
              <w:rPr>
                <w:rFonts w:ascii="SimSun" w:eastAsia="SimSun" w:hAnsi="SimSun" w:cs="SimSun"/>
                <w:color w:val="000000"/>
                <w:spacing w:val="0"/>
                <w:w w:val="100"/>
                <w:position w:val="0"/>
                <w:sz w:val="16"/>
                <w:szCs w:val="16"/>
              </w:rPr>
              <w:t>购建固定资产、无形资 产和其他长期资产支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21,694,365.58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54,930,249.10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主要系本期支付的资产购置款 减少所致</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支付其他与投资活动 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824,602.03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主要系上期处置子公司所致</w:t>
            </w:r>
          </w:p>
        </w:tc>
      </w:tr>
    </w:tbl>
    <w:p>
      <w:pPr>
        <w:widowControl w:val="0"/>
        <w:spacing w:line="1" w:lineRule="exact"/>
      </w:pPr>
      <w:r>
        <w:br w:type="page"/>
      </w:r>
    </w:p>
    <w:tbl>
      <w:tblPr>
        <w:tblOverlap w:val="never"/>
        <w:jc w:val="center"/>
        <w:tblLayout w:type="fixed"/>
      </w:tblPr>
      <w:tblGrid>
        <w:gridCol w:w="1771"/>
        <w:gridCol w:w="1886"/>
        <w:gridCol w:w="1891"/>
        <w:gridCol w:w="1166"/>
        <w:gridCol w:w="2366"/>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投资活动产生的现金 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298,991,125.24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-104,903,466.86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6"/>
                <w:szCs w:val="16"/>
              </w:rPr>
            </w:pPr>
            <w:r>
              <w:rPr>
                <w:rFonts w:ascii="SimSun" w:eastAsia="SimSun" w:hAnsi="SimSun" w:cs="SimSun"/>
                <w:color w:val="000000"/>
                <w:spacing w:val="0"/>
                <w:w w:val="100"/>
                <w:position w:val="0"/>
                <w:sz w:val="16"/>
                <w:szCs w:val="16"/>
              </w:rPr>
              <w:t>主要系本期收回对深圳金源兴 及上海惬昶的投资所致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主要系本期取得的银行借款较 上期减少所致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筹资活动现金流入小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主要系本期取得的银行借款较 上期减少所致</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40,200,000.00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199,457,781.66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6"/>
                <w:szCs w:val="16"/>
              </w:rPr>
            </w:pPr>
            <w:r>
              <w:rPr>
                <w:rFonts w:ascii="SimSun" w:eastAsia="SimSun" w:hAnsi="SimSun" w:cs="SimSun"/>
                <w:color w:val="000000"/>
                <w:spacing w:val="0"/>
                <w:w w:val="100"/>
                <w:position w:val="0"/>
                <w:sz w:val="16"/>
                <w:szCs w:val="16"/>
              </w:rPr>
              <w:t>主要系上期已清偿融资租赁借 款及本期偿还的银行借款较上 期减少所致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分配股利、利润或偿付 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1,865,335.29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7,997,991.42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主要系本期借款利息支出较上 期减少所致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筹资活动现金流出小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45,348,753.69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207,455,773.08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主要系本期偿还借款的金额较 上期减少所致</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筹资活动产生的现金 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-45,348,753.69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-150,365,773.08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主要系本期偿还借款的金额较 上期减少所致</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汇率变动对现金及现 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6"/>
                <w:szCs w:val="16"/>
              </w:rPr>
            </w:pPr>
            <w:r>
              <w:rPr>
                <w:rFonts w:ascii="SimSun" w:eastAsia="SimSun" w:hAnsi="SimSun" w:cs="SimSun"/>
                <w:color w:val="000000"/>
                <w:spacing w:val="0"/>
                <w:w w:val="100"/>
                <w:position w:val="0"/>
                <w:sz w:val="16"/>
                <w:szCs w:val="16"/>
              </w:rPr>
              <w:t>主要系子公司香港中科金财外 币报表折算差额所致</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6"/>
                <w:szCs w:val="16"/>
              </w:rPr>
            </w:pPr>
            <w:r>
              <w:rPr>
                <w:rFonts w:ascii="SimSun" w:eastAsia="SimSun" w:hAnsi="SimSun" w:cs="SimSun"/>
                <w:color w:val="000000"/>
                <w:spacing w:val="0"/>
                <w:w w:val="100"/>
                <w:position w:val="0"/>
                <w:sz w:val="16"/>
                <w:szCs w:val="16"/>
              </w:rPr>
              <w:t>现金及现金等价物净 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65,501,782.52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-223,502,391.49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主要系以上因素综合影响</w:t>
            </w:r>
          </w:p>
        </w:tc>
      </w:tr>
    </w:tbl>
    <w:sectPr>
      <w:footnotePr>
        <w:pos w:val="pageBottom"/>
        <w:numFmt w:val="decimal"/>
        <w:numRestart w:val="continuous"/>
      </w:footnotePr>
      <w:pgSz w:w="11900" w:h="16840"/>
      <w:pgMar w:top="1244" w:right="970" w:bottom="1450" w:left="9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9"/>
      <w:szCs w:val="19"/>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 (3)_"/>
    <w:basedOn w:val="DefaultParagraphFont"/>
    <w:link w:val="Style33"/>
    <w:rPr>
      <w:rFonts w:ascii="SimSun" w:eastAsia="SimSun" w:hAnsi="SimSun" w:cs="SimSun"/>
      <w:b w:val="0"/>
      <w:bCs w:val="0"/>
      <w:i w:val="0"/>
      <w:iCs w:val="0"/>
      <w:smallCaps w:val="0"/>
      <w:strike w:val="0"/>
      <w:sz w:val="16"/>
      <w:szCs w:val="16"/>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6)_"/>
    <w:basedOn w:val="DefaultParagraphFont"/>
    <w:link w:val="Style54"/>
    <w:rPr>
      <w:rFonts w:ascii="Times New Roman" w:eastAsia="Times New Roman" w:hAnsi="Times New Roman" w:cs="Times New Roman"/>
      <w:b w:val="0"/>
      <w:bCs w:val="0"/>
      <w:i w:val="0"/>
      <w:iCs w:val="0"/>
      <w:smallCaps w:val="0"/>
      <w:strike w:val="0"/>
      <w:color w:val="676767"/>
      <w:sz w:val="20"/>
      <w:szCs w:val="20"/>
      <w:u w:val="none"/>
      <w:shd w:val="clear" w:color="auto" w:fill="auto"/>
    </w:rPr>
  </w:style>
  <w:style w:type="character" w:customStyle="1" w:styleId="CharStyle59">
    <w:name w:val="Body text (7)_"/>
    <w:basedOn w:val="DefaultParagraphFont"/>
    <w:link w:val="Style58"/>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63">
    <w:name w:val="Heading #5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
    <w:name w:val="Heading #1"/>
    <w:basedOn w:val="Normal"/>
    <w:link w:val="CharStyle11"/>
    <w:pPr>
      <w:widowControl w:val="0"/>
      <w:shd w:val="clear" w:color="auto" w:fill="auto"/>
      <w:spacing w:before="30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styleId="Style18">
    <w:name w:val="Body text"/>
    <w:basedOn w:val="Normal"/>
    <w:link w:val="CharStyle19"/>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Heading #2"/>
    <w:basedOn w:val="Normal"/>
    <w:link w:val="CharStyle23"/>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30">
    <w:name w:val="Heading #3"/>
    <w:basedOn w:val="Normal"/>
    <w:link w:val="CharStyle31"/>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Body text (3)"/>
    <w:basedOn w:val="Normal"/>
    <w:link w:val="CharStyle34"/>
    <w:pPr>
      <w:widowControl w:val="0"/>
      <w:shd w:val="clear" w:color="auto" w:fill="auto"/>
      <w:spacing w:after="80"/>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35">
    <w:name w:val="Heading #4"/>
    <w:basedOn w:val="Normal"/>
    <w:link w:val="CharStyle36"/>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6)"/>
    <w:basedOn w:val="Normal"/>
    <w:link w:val="CharStyle55"/>
    <w:pPr>
      <w:widowControl w:val="0"/>
      <w:shd w:val="clear" w:color="auto" w:fill="auto"/>
      <w:spacing w:after="560"/>
      <w:ind w:firstLine="380"/>
    </w:pPr>
    <w:rPr>
      <w:rFonts w:ascii="Times New Roman" w:eastAsia="Times New Roman" w:hAnsi="Times New Roman" w:cs="Times New Roman"/>
      <w:b w:val="0"/>
      <w:bCs w:val="0"/>
      <w:i w:val="0"/>
      <w:iCs w:val="0"/>
      <w:smallCaps w:val="0"/>
      <w:strike w:val="0"/>
      <w:color w:val="676767"/>
      <w:sz w:val="20"/>
      <w:szCs w:val="20"/>
      <w:u w:val="none"/>
      <w:shd w:val="clear" w:color="auto" w:fill="auto"/>
    </w:rPr>
  </w:style>
  <w:style w:type="paragraph" w:customStyle="1" w:styleId="Style58">
    <w:name w:val="Body text (7)"/>
    <w:basedOn w:val="Normal"/>
    <w:link w:val="CharStyle59"/>
    <w:pPr>
      <w:widowControl w:val="0"/>
      <w:shd w:val="clear" w:color="auto" w:fill="auto"/>
      <w:spacing w:after="120"/>
      <w:jc w:val="center"/>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62">
    <w:name w:val="Heading #5"/>
    <w:basedOn w:val="Normal"/>
    <w:link w:val="CharStyle63"/>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北京中科金财科技股份有限公司2021年年度报告全文</dc:title>
  <dc:subject/>
  <dc:creator>北京中科金财科技股份有限公司</dc:creator>
  <cp:keywords/>
</cp:coreProperties>
</file>