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20" w:line="182" w:lineRule="exact"/>
        <w:ind w:left="0" w:right="0" w:firstLine="0"/>
        <w:jc w:val="center"/>
        <w:rPr>
          <w:sz w:val="24"/>
          <w:szCs w:val="24"/>
        </w:rPr>
      </w:pPr>
      <w:r>
        <w:rPr>
          <w:rFonts w:ascii="SimHei" w:eastAsia="SimHei" w:hAnsi="SimHei" w:cs="SimHei"/>
          <w:color w:val="30729F"/>
          <w:spacing w:val="0"/>
          <w:w w:val="100"/>
          <w:position w:val="0"/>
          <w:sz w:val="22"/>
          <w:szCs w:val="22"/>
        </w:rPr>
        <w:t>中祠定财</w:t>
        <w:br/>
      </w:r>
      <w:r>
        <w:rPr>
          <w:rFonts w:ascii="Times New Roman" w:eastAsia="Times New Roman" w:hAnsi="Times New Roman" w:cs="Times New Roman"/>
          <w:b/>
          <w:bCs/>
          <w:color w:val="30729F"/>
          <w:spacing w:val="0"/>
          <w:w w:val="100"/>
          <w:position w:val="0"/>
          <w:sz w:val="24"/>
          <w:szCs w:val="24"/>
        </w:rPr>
        <w:t>sinodcito</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北京中科金财科技股份有限公司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42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3438" w:right="975" w:bottom="3438" w:left="1099"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48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公司负责人朱烨东、主管会计工作负责人洪珊及会计机构负责人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杨文燕声明：保证本年度报告中财务报告的真实、准确、完整。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ind w:left="0" w:right="0"/>
        <w:jc w:val="both"/>
      </w:pPr>
      <w:r>
        <w:rPr>
          <w:color w:val="000000"/>
          <w:spacing w:val="0"/>
          <w:w w:val="100"/>
          <w:position w:val="0"/>
        </w:rPr>
        <w:t>公司按照《企业内部控制基本规范》和相关规定在所有重大方面保持了有 效的财务报告内部控制，非财务报告内部控制存在</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项重大缺陷，具体详见</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 十节、公司治理</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九、内部控制评价报告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十、内部控制审计报告或鉴证 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w:t>
      </w:r>
    </w:p>
    <w:p>
      <w:pPr>
        <w:pStyle w:val="Style15"/>
        <w:keepNext w:val="0"/>
        <w:keepLines w:val="0"/>
        <w:widowControl w:val="0"/>
        <w:shd w:val="clear" w:color="auto" w:fill="auto"/>
        <w:bidi w:val="0"/>
        <w:spacing w:before="0" w:line="619" w:lineRule="exact"/>
        <w:ind w:left="0" w:right="0"/>
        <w:jc w:val="both"/>
      </w:pPr>
      <w:r>
        <w:rPr>
          <w:color w:val="000000"/>
          <w:spacing w:val="0"/>
          <w:w w:val="100"/>
          <w:position w:val="0"/>
        </w:rPr>
        <w:t>本年度报告涉及的未来发展规划和经营目标等前瞻性陈述，属于公司计划 性事务，不构成对投资者的实质承诺，请投资者及相关人士对此保持足够的风 险认识，理解计划、预测与承诺之间的差异，注意投资风险。</w:t>
      </w:r>
    </w:p>
    <w:p>
      <w:pPr>
        <w:pStyle w:val="Style15"/>
        <w:keepNext w:val="0"/>
        <w:keepLines w:val="0"/>
        <w:widowControl w:val="0"/>
        <w:shd w:val="clear" w:color="auto" w:fill="auto"/>
        <w:bidi w:val="0"/>
        <w:spacing w:before="0" w:line="634" w:lineRule="exact"/>
        <w:ind w:left="0" w:right="0"/>
        <w:jc w:val="both"/>
      </w:pPr>
      <w:r>
        <w:rPr>
          <w:color w:val="000000"/>
          <w:spacing w:val="0"/>
          <w:w w:val="100"/>
          <w:position w:val="0"/>
        </w:rPr>
        <w:t>公司存在的风险因素主要有市场竞争风险、行业技术风险、人力资源风险、 政策风险等，有关主要风险因素及公司应对措施已在本报告第四节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经营情况讨 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公司面临的风险和应对措施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详细阐述。</w:t>
      </w:r>
    </w:p>
    <w:p>
      <w:pPr>
        <w:pStyle w:val="Style15"/>
        <w:keepNext w:val="0"/>
        <w:keepLines w:val="0"/>
        <w:widowControl w:val="0"/>
        <w:shd w:val="clear" w:color="auto" w:fill="auto"/>
        <w:bidi w:val="0"/>
        <w:spacing w:before="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337,576,686</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0.032</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股（含税），不以公 积金转增股本。</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18"/>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8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30</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250" w:tooltip="Current Document">
        <w:r>
          <w:rPr>
            <w:color w:val="000000"/>
            <w:spacing w:val="0"/>
            <w:w w:val="100"/>
            <w:position w:val="0"/>
            <w:sz w:val="24"/>
            <w:szCs w:val="24"/>
          </w:rPr>
          <w:t>第五节 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42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7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476"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479"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518"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608"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611"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1529"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中科金财、公司、母公司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北京中科金财科技股份有限公司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天津中科、滨河创新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天津中科金财科技有限公司（原名称为天津滨河创新科技有限公司， 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月变更为现名称）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北京中科金财信息科技有限公司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北京中科金财软件技术有限公司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北京志东方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北京志东方科技有限责任公司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前海中科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深圳前海中科金财金控投资有限公司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中科保险经纪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中科金财保险经纪有限公司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中金财富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深圳中金财富科技有限有限公司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华缔资管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华缔资产管理（北京）有限公司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安粮期货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安粮期货股份有限公司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大金所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大连金融资产交易所有限公司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《北京中科金财科技股份有限公司章程》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《股票上市规则》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《深圳证券交易所股票上市规则》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《规范运作指引》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《深圳证券交易所上市公司规范运作指引》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本报告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北京中科金财科技股份有限公司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年年度报告</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公司指定信息披露媒体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《中国证券报》、《证券时报》、《证券日报》、《上海证券报》和巨潮资 讯网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3"/>
        <w:keepNext/>
        <w:keepLines/>
        <w:widowControl w:val="0"/>
        <w:shd w:val="clear" w:color="auto" w:fill="auto"/>
        <w:bidi w:val="0"/>
        <w:spacing w:before="0" w:after="30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中科金财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北京中科金财科技股份有限公司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中科金财</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SINODATA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SINODATA</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北京市海淀区学清路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号汇智大厦</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单元</w:t>
            </w:r>
            <w:r>
              <w:rPr>
                <w:rFonts w:ascii="Times New Roman" w:eastAsia="Times New Roman" w:hAnsi="Times New Roman" w:cs="Times New Roman"/>
                <w:color w:val="000000"/>
                <w:spacing w:val="0"/>
                <w:w w:val="100"/>
                <w:position w:val="0"/>
                <w:sz w:val="18"/>
                <w:szCs w:val="18"/>
              </w:rPr>
              <w:t>1201B</w:t>
            </w:r>
            <w:r>
              <w:rPr>
                <w:color w:val="000000"/>
                <w:spacing w:val="0"/>
                <w:w w:val="100"/>
                <w:position w:val="0"/>
                <w:sz w:val="17"/>
                <w:szCs w:val="17"/>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北京市朝阳区安翔北路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号北京创业大厦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"http://www.sinodata.net" </w:instrText>
            </w:r>
            <w:r>
              <w:fldChar w:fldCharType="separate"/>
            </w:r>
            <w:r>
              <w:rPr>
                <w:rFonts w:ascii="Times New Roman" w:eastAsia="Times New Roman" w:hAnsi="Times New Roman" w:cs="Times New Roman"/>
                <w:color w:val="000000"/>
                <w:spacing w:val="0"/>
                <w:w w:val="100"/>
                <w:position w:val="0"/>
                <w:sz w:val="18"/>
                <w:szCs w:val="18"/>
              </w:rPr>
              <w:t>www.sinodata.net</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"mailto:zkjc@sinodata.net.cn" </w:instrText>
            </w:r>
            <w:r>
              <w:fldChar w:fldCharType="separate"/>
            </w:r>
            <w:r>
              <w:rPr>
                <w:rFonts w:ascii="Times New Roman" w:eastAsia="Times New Roman" w:hAnsi="Times New Roman" w:cs="Times New Roman"/>
                <w:color w:val="000000"/>
                <w:spacing w:val="0"/>
                <w:w w:val="100"/>
                <w:position w:val="0"/>
                <w:sz w:val="18"/>
                <w:szCs w:val="18"/>
              </w:rPr>
              <w:t>zkjc@sinodata.net.cn</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赵剑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姜韶华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北京市朝阳区安翔北路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号北京创业大 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北京市朝阳区安翔北路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号北京创业大 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010-62309608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010-62309608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010-62309595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010-62309595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"mailto:zkjc@sinodata.net.cn" </w:instrText>
            </w:r>
            <w:r>
              <w:fldChar w:fldCharType="separate"/>
            </w:r>
            <w:r>
              <w:rPr>
                <w:rFonts w:ascii="Times New Roman" w:eastAsia="Times New Roman" w:hAnsi="Times New Roman" w:cs="Times New Roman"/>
                <w:color w:val="000000"/>
                <w:spacing w:val="0"/>
                <w:w w:val="100"/>
                <w:position w:val="0"/>
                <w:sz w:val="18"/>
                <w:szCs w:val="18"/>
              </w:rPr>
              <w:t>zkjc@sinodata.net.cn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"mailto:zkjc@sinodata.net.cn" </w:instrText>
            </w:r>
            <w:r>
              <w:fldChar w:fldCharType="separate"/>
            </w:r>
            <w:r>
              <w:rPr>
                <w:rFonts w:ascii="Times New Roman" w:eastAsia="Times New Roman" w:hAnsi="Times New Roman" w:cs="Times New Roman"/>
                <w:color w:val="000000"/>
                <w:spacing w:val="0"/>
                <w:w w:val="100"/>
                <w:position w:val="0"/>
                <w:sz w:val="18"/>
                <w:szCs w:val="18"/>
              </w:rPr>
              <w:t>zkjc@sinodata.net.cn</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《中国证券报》、《上海证券报》、《证券日报》、《证券时报》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http://www.cninfo.com.cn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董事会办公室</w:t>
            </w:r>
          </w:p>
        </w:tc>
      </w:tr>
    </w:tbl>
    <w:p>
      <w:pPr>
        <w:spacing w:lineRule="exact" w:line="1"/>
        <w:rPr>
          <w:sz w:val="2"/>
          <w:szCs w:val="2"/>
        </w:rPr>
      </w:pPr>
      <w:r>
        <w:br w:type="page"/>
      </w:r>
    </w:p>
    <w:p>
      <w:pPr>
        <w:pStyle w:val="Style23"/>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91110000757740123M</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25"/>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张金华、郭晓清</w:t>
            </w:r>
          </w:p>
        </w:tc>
      </w:tr>
    </w:tbl>
    <w:p>
      <w:pPr>
        <w:pStyle w:val="Style25"/>
        <w:keepNext w:val="0"/>
        <w:keepLines w:val="0"/>
        <w:widowControl w:val="0"/>
        <w:shd w:val="clear" w:color="auto" w:fill="auto"/>
        <w:bidi w:val="0"/>
        <w:spacing w:before="0" w:after="0" w:line="350" w:lineRule="exact"/>
        <w:ind w:left="0" w:right="0" w:firstLine="0"/>
        <w:jc w:val="left"/>
        <w:rPr>
          <w:sz w:val="19"/>
          <w:szCs w:val="19"/>
        </w:rPr>
      </w:pPr>
      <w:r>
        <w:rPr>
          <w:color w:val="000000"/>
          <w:spacing w:val="0"/>
          <w:w w:val="100"/>
          <w:position w:val="0"/>
          <w:sz w:val="19"/>
          <w:szCs w:val="19"/>
        </w:rPr>
        <w:t xml:space="preserve">公司聘请的报告期内履行持续督导职责的保荐机构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120" w:line="350" w:lineRule="exact"/>
        <w:ind w:left="0" w:right="0" w:firstLine="0"/>
        <w:jc w:val="left"/>
        <w:rPr>
          <w:sz w:val="19"/>
          <w:szCs w:val="19"/>
        </w:rPr>
      </w:pPr>
      <w:r>
        <w:rPr>
          <w:color w:val="000000"/>
          <w:spacing w:val="0"/>
          <w:w w:val="100"/>
          <w:position w:val="0"/>
          <w:sz w:val="19"/>
          <w:szCs w:val="19"/>
        </w:rPr>
        <w:t>公司聘请的报告期内履行持续督导职责的财务顾问</w:t>
      </w:r>
    </w:p>
    <w:p>
      <w:pPr>
        <w:pStyle w:val="Style25"/>
        <w:keepNext w:val="0"/>
        <w:keepLines w:val="0"/>
        <w:widowControl w:val="0"/>
        <w:shd w:val="clear" w:color="auto" w:fill="auto"/>
        <w:bidi w:val="0"/>
        <w:spacing w:before="0" w:after="240" w:line="36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3"/>
        <w:keepNext/>
        <w:keepLines/>
        <w:widowControl w:val="0"/>
        <w:shd w:val="clear" w:color="auto" w:fill="auto"/>
        <w:bidi w:val="0"/>
        <w:spacing w:before="0" w:after="2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25"/>
        <w:keepNext w:val="0"/>
        <w:keepLines w:val="0"/>
        <w:widowControl w:val="0"/>
        <w:shd w:val="clear" w:color="auto" w:fill="auto"/>
        <w:bidi w:val="0"/>
        <w:spacing w:before="0" w:line="346" w:lineRule="exact"/>
        <w:ind w:left="0" w:right="0" w:firstLine="0"/>
        <w:jc w:val="left"/>
        <w:rPr>
          <w:sz w:val="19"/>
          <w:szCs w:val="19"/>
        </w:rPr>
      </w:pPr>
      <w:r>
        <w:rPr>
          <w:color w:val="000000"/>
          <w:spacing w:val="0"/>
          <w:w w:val="100"/>
          <w:position w:val="0"/>
          <w:sz w:val="19"/>
          <w:szCs w:val="19"/>
        </w:rPr>
        <w:t xml:space="preserve">公司是否需追溯调整或重述以前年度会计数据 </w:t>
      </w:r>
      <w:r>
        <w:rPr>
          <w:color w:val="000000"/>
          <w:spacing w:val="0"/>
          <w:w w:val="100"/>
          <w:position w:val="0"/>
          <w:sz w:val="20"/>
          <w:szCs w:val="20"/>
        </w:rPr>
        <w:t>口</w:t>
      </w:r>
      <w:r>
        <w:rPr>
          <w:color w:val="000000"/>
          <w:spacing w:val="0"/>
          <w:w w:val="100"/>
          <w:position w:val="0"/>
          <w:sz w:val="19"/>
          <w:szCs w:val="19"/>
        </w:rPr>
        <w:t>是</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1,758,402,676.54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1,672,394,416.43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1,485,625,293.81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6,900,186.74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-281,841,963.94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8,209,514.73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-40,954,647.92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-425,204,607.28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-48,467,282.96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31,768,305.49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-136,562,562.86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-28,251,608.70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3,142,376,101.15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3,150,369,309.38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3,809,522,710.57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2,255,202,219.10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2,246,128,858.35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2,525,742,415.22</w:t>
            </w:r>
          </w:p>
        </w:tc>
      </w:tr>
    </w:tbl>
    <w:p>
      <w:pPr>
        <w:widowControl w:val="0"/>
        <w:spacing w:after="79" w:line="1" w:lineRule="exact"/>
      </w:pPr>
    </w:p>
    <w:p>
      <w:pPr>
        <w:pStyle w:val="Style25"/>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公司最近三个会计年度扣除非经常性损益前后净利润孰低者均为负值，且最近一年审计报告显示公司持续经营</w:t>
      </w:r>
    </w:p>
    <w:p>
      <w:pPr>
        <w:pStyle w:val="Style25"/>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19"/>
          <w:szCs w:val="19"/>
        </w:rPr>
        <w:t>能力存在不确定性</w:t>
      </w:r>
    </w:p>
    <w:p>
      <w:pPr>
        <w:pStyle w:val="Style25"/>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20"/>
          <w:szCs w:val="20"/>
        </w:rPr>
        <w:t>口</w:t>
      </w:r>
      <w:r>
        <w:rPr>
          <w:color w:val="000000"/>
          <w:spacing w:val="0"/>
          <w:w w:val="100"/>
          <w:position w:val="0"/>
          <w:sz w:val="19"/>
          <w:szCs w:val="19"/>
        </w:rPr>
        <w:t>是</w:t>
      </w:r>
      <w:r>
        <w:rPr>
          <w:i/>
          <w:iCs/>
          <w:color w:val="000000"/>
          <w:spacing w:val="0"/>
          <w:w w:val="100"/>
          <w:position w:val="0"/>
          <w:sz w:val="19"/>
          <w:szCs w:val="19"/>
        </w:rPr>
        <w:t>。否</w:t>
      </w:r>
    </w:p>
    <w:p>
      <w:pPr>
        <w:pStyle w:val="Style25"/>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19"/>
          <w:szCs w:val="19"/>
        </w:rPr>
        <w:t>扣除非经常损益前后的净利润孰低者为负值</w:t>
      </w:r>
    </w:p>
    <w:p>
      <w:pPr>
        <w:pStyle w:val="Style25"/>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是</w:t>
      </w:r>
      <w:r>
        <w:rPr>
          <w:color w:val="000000"/>
          <w:spacing w:val="0"/>
          <w:w w:val="100"/>
          <w:position w:val="0"/>
          <w:sz w:val="20"/>
          <w:szCs w:val="20"/>
        </w:rPr>
        <w:t>口</w:t>
      </w:r>
      <w:r>
        <w:rPr>
          <w:color w:val="000000"/>
          <w:spacing w:val="0"/>
          <w:w w:val="100"/>
          <w:position w:val="0"/>
          <w:sz w:val="19"/>
          <w:szCs w:val="19"/>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1,758,402,676.54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1,672,394,416.43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主营业务收入及其他业务收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30,003,889.70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46,630,983.41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1,728,398,786.84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1,625,763,433.02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r>
    </w:tbl>
    <w:p>
      <w:pPr>
        <w:widowControl w:val="0"/>
        <w:spacing w:after="359" w:line="1" w:lineRule="exact"/>
      </w:pPr>
    </w:p>
    <w:p>
      <w:pPr>
        <w:pStyle w:val="Style23"/>
        <w:keepNext/>
        <w:keepLines/>
        <w:widowControl w:val="0"/>
        <w:shd w:val="clear" w:color="auto" w:fill="auto"/>
        <w:tabs>
          <w:tab w:pos="522" w:val="left"/>
        </w:tabs>
        <w:bidi w:val="0"/>
        <w:spacing w:before="0" w:after="36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1"/>
        <w:keepNext/>
        <w:keepLines/>
        <w:widowControl w:val="0"/>
        <w:shd w:val="clear" w:color="auto" w:fill="auto"/>
        <w:tabs>
          <w:tab w:pos="394" w:val="left"/>
        </w:tabs>
        <w:bidi w:val="0"/>
        <w:spacing w:before="0" w:after="36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5"/>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360" w:line="240" w:lineRule="auto"/>
        <w:ind w:left="0" w:right="0" w:firstLine="0"/>
        <w:jc w:val="both"/>
        <w:rPr>
          <w:sz w:val="19"/>
          <w:szCs w:val="19"/>
        </w:rPr>
      </w:pPr>
      <w:r>
        <w:rPr>
          <w:color w:val="000000"/>
          <w:spacing w:val="0"/>
          <w:w w:val="100"/>
          <w:position w:val="0"/>
          <w:sz w:val="19"/>
          <w:szCs w:val="19"/>
        </w:rPr>
        <w:t>公司报告期不存在按照国际会计准则与按照中国会计准则披露的财务报告中净利润和净资产差异情况。</w:t>
      </w:r>
    </w:p>
    <w:p>
      <w:pPr>
        <w:pStyle w:val="Style31"/>
        <w:keepNext/>
        <w:keepLines/>
        <w:widowControl w:val="0"/>
        <w:shd w:val="clear" w:color="auto" w:fill="auto"/>
        <w:tabs>
          <w:tab w:pos="394" w:val="left"/>
        </w:tabs>
        <w:bidi w:val="0"/>
        <w:spacing w:before="0" w:after="36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5"/>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360" w:line="240" w:lineRule="auto"/>
        <w:ind w:left="0" w:right="0" w:firstLine="0"/>
        <w:jc w:val="both"/>
        <w:rPr>
          <w:sz w:val="19"/>
          <w:szCs w:val="19"/>
        </w:rPr>
      </w:pPr>
      <w:r>
        <w:rPr>
          <w:color w:val="000000"/>
          <w:spacing w:val="0"/>
          <w:w w:val="100"/>
          <w:position w:val="0"/>
          <w:sz w:val="19"/>
          <w:szCs w:val="19"/>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6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分季度主要财务指标</w:t>
      </w:r>
      <w:bookmarkEnd w:id="42"/>
      <w:bookmarkEnd w:id="43"/>
      <w:bookmarkEnd w:id="45"/>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158,128,017.27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266,804,445.15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366,833,153.65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966,637,060.47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-20,412,813.98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-5,741,365.66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-8,553,906.12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41,608,272.50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-31,549,046.95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-15,142,333.58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-16,318,577.30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22,055,309.91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-155,313,933.86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-195,882,765.94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-95,796,998.70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478,762,003.99</w:t>
            </w:r>
          </w:p>
        </w:tc>
      </w:tr>
    </w:tbl>
    <w:p>
      <w:pPr>
        <w:pStyle w:val="Style25"/>
        <w:keepNext w:val="0"/>
        <w:keepLines w:val="0"/>
        <w:widowControl w:val="0"/>
        <w:shd w:val="clear" w:color="auto" w:fill="auto"/>
        <w:bidi w:val="0"/>
        <w:spacing w:before="0" w:after="360" w:line="346" w:lineRule="exact"/>
        <w:ind w:left="0" w:right="0" w:firstLine="0"/>
        <w:jc w:val="both"/>
        <w:rPr>
          <w:sz w:val="19"/>
          <w:szCs w:val="19"/>
        </w:rPr>
      </w:pPr>
      <w:r>
        <w:rPr>
          <w:color w:val="000000"/>
          <w:spacing w:val="0"/>
          <w:w w:val="100"/>
          <w:position w:val="0"/>
          <w:sz w:val="19"/>
          <w:szCs w:val="19"/>
        </w:rPr>
        <w:t xml:space="preserve">上述财务指标或其加总数是否与公司已披露季度报告、半年度报告相关财务指标存在重大差异 </w:t>
      </w:r>
      <w:r>
        <w:rPr>
          <w:color w:val="000000"/>
          <w:spacing w:val="0"/>
          <w:w w:val="100"/>
          <w:position w:val="0"/>
          <w:sz w:val="20"/>
          <w:szCs w:val="20"/>
        </w:rPr>
        <w:t>口</w:t>
      </w:r>
      <w:r>
        <w:rPr>
          <w:color w:val="000000"/>
          <w:spacing w:val="0"/>
          <w:w w:val="100"/>
          <w:position w:val="0"/>
          <w:sz w:val="19"/>
          <w:szCs w:val="19"/>
        </w:rPr>
        <w:t>是</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否</w:t>
      </w:r>
    </w:p>
    <w:p>
      <w:pPr>
        <w:pStyle w:val="Style23"/>
        <w:keepNext/>
        <w:keepLines/>
        <w:widowControl w:val="0"/>
        <w:shd w:val="clear" w:color="auto" w:fill="auto"/>
        <w:bidi w:val="0"/>
        <w:spacing w:before="0" w:after="36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25"/>
        <w:keepNext w:val="0"/>
        <w:keepLines w:val="0"/>
        <w:widowControl w:val="0"/>
        <w:shd w:val="clear" w:color="auto" w:fill="auto"/>
        <w:bidi w:val="0"/>
        <w:spacing w:before="0" w:after="0" w:line="36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非流动资产处置损益（包括已计提资产减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-2,138,434.77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1,778,466.33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-1,071,335.81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1,773,397.56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7,507,093.70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11,386,453.73</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56,684,180.33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59,862,815.08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62,502,477.08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-4,704,902.50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-2,956,084.13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-7,057,177.98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81,553,115.71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3,759,405.96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4,189,841.23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8,652,854.29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192,922.12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430,765.04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47,854,834.66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143,362,643.34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56,676,797.69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120" w:line="314" w:lineRule="exact"/>
        <w:ind w:left="0" w:right="0" w:firstLine="0"/>
        <w:jc w:val="both"/>
        <w:rPr>
          <w:sz w:val="19"/>
          <w:szCs w:val="19"/>
        </w:rPr>
      </w:pPr>
      <w:r>
        <w:rPr>
          <w:color w:val="000000"/>
          <w:spacing w:val="0"/>
          <w:w w:val="100"/>
          <w:position w:val="0"/>
          <w:sz w:val="19"/>
          <w:szCs w:val="19"/>
        </w:rPr>
        <w:t>对公司根据《公开发行证券的公司信息披露解释性公告第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号一非经常性损益》定义界定的非经常性损益项 目，以及把《公开发行证券的公司信息披露解释性公告第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号一非经常性损益》中列举的非经常性损益项目 界定为经常性损益的项目，应说明原因</w:t>
      </w:r>
    </w:p>
    <w:p>
      <w:pPr>
        <w:pStyle w:val="Style25"/>
        <w:keepNext w:val="0"/>
        <w:keepLines w:val="0"/>
        <w:widowControl w:val="0"/>
        <w:shd w:val="clear" w:color="auto" w:fill="auto"/>
        <w:bidi w:val="0"/>
        <w:spacing w:before="0" w:after="0" w:line="329"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tbl>
      <w:tblPr>
        <w:tblOverlap w:val="never"/>
        <w:jc w:val="center"/>
        <w:tblLayout w:type="fixed"/>
      </w:tblPr>
      <w:tblGrid>
        <w:gridCol w:w="2270"/>
        <w:gridCol w:w="2126"/>
        <w:gridCol w:w="51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软件增值税退税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404,396.21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该项政府补助系与公司正常经营业务密切相关，符合国家政策规 定、按照一定标准定额和定量持续享受的政府补助。</w:t>
            </w:r>
          </w:p>
        </w:tc>
      </w:tr>
    </w:tbl>
    <w:p>
      <w:pPr>
        <w:sectPr>
          <w:headerReference w:type="default" r:id="rId7"/>
          <w:footerReference w:type="default" r:id="rId8"/>
          <w:footnotePr>
            <w:pos w:val="pageBottom"/>
            <w:numFmt w:val="decimal"/>
            <w:numRestart w:val="continuous"/>
          </w:footnotePr>
          <w:pgSz w:w="11900" w:h="16840"/>
          <w:pgMar w:top="1441" w:right="1054" w:bottom="1556" w:left="1021" w:header="0" w:footer="3" w:gutter="0"/>
          <w:cols w:space="720"/>
          <w:noEndnote/>
          <w:rtlGutter w:val="0"/>
          <w:docGrid w:linePitch="360"/>
        </w:sectPr>
      </w:pPr>
    </w:p>
    <w:p>
      <w:pPr>
        <w:pStyle w:val="Style13"/>
        <w:keepNext/>
        <w:keepLines/>
        <w:widowControl w:val="0"/>
        <w:shd w:val="clear" w:color="auto" w:fill="auto"/>
        <w:bidi w:val="0"/>
        <w:spacing w:before="660" w:after="56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3"/>
        <w:keepNext/>
        <w:keepLines/>
        <w:widowControl w:val="0"/>
        <w:shd w:val="clear" w:color="auto" w:fill="auto"/>
        <w:bidi w:val="0"/>
        <w:spacing w:before="0" w:after="24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、报告期内公司从事的主要业务</w:t>
      </w:r>
      <w:bookmarkEnd w:id="53"/>
      <w:bookmarkEnd w:id="54"/>
      <w:bookmarkEnd w:id="56"/>
    </w:p>
    <w:p>
      <w:pPr>
        <w:pStyle w:val="Style25"/>
        <w:keepNext w:val="0"/>
        <w:keepLines w:val="0"/>
        <w:widowControl w:val="0"/>
        <w:shd w:val="clear" w:color="auto" w:fill="auto"/>
        <w:bidi w:val="0"/>
        <w:spacing w:before="0" w:after="0" w:line="326" w:lineRule="exact"/>
        <w:ind w:left="0" w:right="0" w:firstLine="0"/>
        <w:jc w:val="both"/>
        <w:rPr>
          <w:sz w:val="19"/>
          <w:szCs w:val="19"/>
        </w:rPr>
      </w:pPr>
      <w:r>
        <w:rPr>
          <w:color w:val="000000"/>
          <w:spacing w:val="0"/>
          <w:w w:val="100"/>
          <w:position w:val="0"/>
          <w:sz w:val="19"/>
          <w:szCs w:val="19"/>
        </w:rPr>
        <w:t>公司需遵守《深圳证券交易所行业信息披露指引第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号——上市公司从事软件与信息技术服务业务》的披露要 求</w:t>
      </w:r>
    </w:p>
    <w:p>
      <w:pPr>
        <w:pStyle w:val="Style25"/>
        <w:keepNext w:val="0"/>
        <w:keepLines w:val="0"/>
        <w:widowControl w:val="0"/>
        <w:shd w:val="clear" w:color="auto" w:fill="auto"/>
        <w:bidi w:val="0"/>
        <w:spacing w:before="0" w:after="0" w:line="464" w:lineRule="exact"/>
        <w:ind w:left="0" w:right="0" w:firstLine="440"/>
        <w:jc w:val="both"/>
      </w:pPr>
      <w:r>
        <w:rPr>
          <w:color w:val="000000"/>
          <w:spacing w:val="0"/>
          <w:w w:val="100"/>
          <w:position w:val="0"/>
        </w:rPr>
        <w:t>2020</w:t>
      </w:r>
      <w:r>
        <w:rPr>
          <w:color w:val="000000"/>
          <w:spacing w:val="0"/>
          <w:w w:val="100"/>
          <w:position w:val="0"/>
        </w:rPr>
        <w:t>年，公司继续坚持以金融科技整体解决方案和数据中心综合服务为基础，深入推进区块链、隐私 计算等科技创新业务，打造价值共享的产业互联网科技赋能平台，引导产业客户实现从</w:t>
      </w:r>
      <w:r>
        <w:rPr>
          <w:color w:val="000000"/>
          <w:spacing w:val="0"/>
          <w:w w:val="100"/>
          <w:position w:val="0"/>
        </w:rPr>
        <w:t>IT</w:t>
      </w:r>
      <w:r>
        <w:rPr>
          <w:color w:val="000000"/>
          <w:spacing w:val="0"/>
          <w:w w:val="100"/>
          <w:position w:val="0"/>
        </w:rPr>
        <w:t>到</w:t>
      </w:r>
      <w:r>
        <w:rPr>
          <w:color w:val="000000"/>
          <w:spacing w:val="0"/>
          <w:w w:val="100"/>
          <w:position w:val="0"/>
        </w:rPr>
        <w:t>DT</w:t>
      </w:r>
      <w:r>
        <w:rPr>
          <w:color w:val="000000"/>
          <w:spacing w:val="0"/>
          <w:w w:val="100"/>
          <w:position w:val="0"/>
        </w:rPr>
        <w:t>到</w:t>
      </w:r>
      <w:r>
        <w:rPr>
          <w:color w:val="000000"/>
          <w:spacing w:val="0"/>
          <w:w w:val="100"/>
          <w:position w:val="0"/>
        </w:rPr>
        <w:t>AT</w:t>
      </w:r>
      <w:r>
        <w:rPr>
          <w:color w:val="000000"/>
          <w:spacing w:val="0"/>
          <w:w w:val="100"/>
          <w:position w:val="0"/>
        </w:rPr>
        <w:t>的技术 升级。报告期内，公司实现营业收入</w:t>
      </w:r>
      <w:r>
        <w:rPr>
          <w:color w:val="000000"/>
          <w:spacing w:val="0"/>
          <w:w w:val="100"/>
          <w:position w:val="0"/>
        </w:rPr>
        <w:t>1,758,402,676.54</w:t>
      </w:r>
      <w:r>
        <w:rPr>
          <w:color w:val="000000"/>
          <w:spacing w:val="0"/>
          <w:w w:val="100"/>
          <w:position w:val="0"/>
        </w:rPr>
        <w:t>元，较上年同期增长</w:t>
      </w:r>
      <w:r>
        <w:rPr>
          <w:color w:val="000000"/>
          <w:spacing w:val="0"/>
          <w:w w:val="100"/>
          <w:position w:val="0"/>
        </w:rPr>
        <w:t>5.14%；</w:t>
      </w:r>
      <w:r>
        <w:rPr>
          <w:color w:val="000000"/>
          <w:spacing w:val="0"/>
          <w:w w:val="100"/>
          <w:position w:val="0"/>
        </w:rPr>
        <w:t>实现归属于上市公司 股东的净利润</w:t>
      </w:r>
      <w:r>
        <w:rPr>
          <w:color w:val="000000"/>
          <w:spacing w:val="0"/>
          <w:w w:val="100"/>
          <w:position w:val="0"/>
        </w:rPr>
        <w:t xml:space="preserve">6, 900, </w:t>
      </w:r>
      <w:r>
        <w:rPr>
          <w:color w:val="000000"/>
          <w:spacing w:val="0"/>
          <w:w w:val="100"/>
          <w:position w:val="0"/>
        </w:rPr>
        <w:t xml:space="preserve">186. </w:t>
      </w:r>
      <w:r>
        <w:rPr>
          <w:color w:val="000000"/>
          <w:spacing w:val="0"/>
          <w:w w:val="100"/>
          <w:position w:val="0"/>
        </w:rPr>
        <w:t>74</w:t>
      </w:r>
      <w:r>
        <w:rPr>
          <w:color w:val="000000"/>
          <w:spacing w:val="0"/>
          <w:w w:val="100"/>
          <w:position w:val="0"/>
        </w:rPr>
        <w:t>元，较上年同期增长</w:t>
      </w:r>
      <w:r>
        <w:rPr>
          <w:color w:val="000000"/>
          <w:spacing w:val="0"/>
          <w:w w:val="100"/>
          <w:position w:val="0"/>
        </w:rPr>
        <w:t>102.45%</w:t>
      </w:r>
      <w:r>
        <w:rPr>
          <w:color w:val="000000"/>
          <w:spacing w:val="0"/>
          <w:w w:val="100"/>
          <w:position w:val="0"/>
        </w:rPr>
        <w:t>。</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报告期内，公司主要为金融机构、政府与公用事业、企业等领域客户提供金融科技、数据中心综合服 务、信创及系统集成等服务，并持续布局对区块链、隐私计算等创新技术和应用的研发、储备，拓展公司 市场和实现公司的长远发展。</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年，国家公布了国民经济和社会发展第十四个五年规划和</w:t>
      </w:r>
      <w:r>
        <w:rPr>
          <w:color w:val="000000"/>
          <w:spacing w:val="0"/>
          <w:w w:val="100"/>
          <w:position w:val="0"/>
        </w:rPr>
        <w:t>2035</w:t>
      </w:r>
      <w:r>
        <w:rPr>
          <w:color w:val="000000"/>
          <w:spacing w:val="0"/>
          <w:w w:val="100"/>
          <w:position w:val="0"/>
        </w:rPr>
        <w:t>年远景目标纲要，明确把科技自立 自强作为国家发展的战略支撑，完善国家创新体系，加快建设科技强国。</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国家战略层面高度重视发展软件和信息技术服务业。“十四五”期间，国家层面对软件和信息技术服 务业的扶持政策再加码。软件和信息技术服务业是引领科技创新、驱动经济社会转型发展的核心力量，是 建设制造强国和网络强国的核心支撑。建设强大的软件和信息技术服务业，是我国构建全球竞争新优势、 抢占新工业革命制高点的必然选择。</w:t>
      </w:r>
      <w:r>
        <w:rPr>
          <w:color w:val="000000"/>
          <w:spacing w:val="0"/>
          <w:w w:val="100"/>
          <w:position w:val="0"/>
        </w:rPr>
        <w:t>2020</w:t>
      </w:r>
      <w:r>
        <w:rPr>
          <w:color w:val="000000"/>
          <w:spacing w:val="0"/>
          <w:w w:val="100"/>
          <w:position w:val="0"/>
        </w:rPr>
        <w:t>年，在疫情进入常态化防控、经济下行压力增大的背景下，我国 软件和信息技术服务业持续发力，全年软件业务收入达到</w:t>
      </w:r>
      <w:r>
        <w:rPr>
          <w:color w:val="000000"/>
          <w:spacing w:val="0"/>
          <w:w w:val="100"/>
          <w:position w:val="0"/>
        </w:rPr>
        <w:t>81,616</w:t>
      </w:r>
      <w:r>
        <w:rPr>
          <w:color w:val="000000"/>
          <w:spacing w:val="0"/>
          <w:w w:val="100"/>
          <w:position w:val="0"/>
        </w:rPr>
        <w:t>亿元，同比增长</w:t>
      </w:r>
      <w:r>
        <w:rPr>
          <w:color w:val="000000"/>
          <w:spacing w:val="0"/>
          <w:w w:val="100"/>
          <w:position w:val="0"/>
        </w:rPr>
        <w:t>13.7%,</w:t>
      </w:r>
      <w:r>
        <w:rPr>
          <w:color w:val="000000"/>
          <w:spacing w:val="0"/>
          <w:w w:val="100"/>
          <w:position w:val="0"/>
        </w:rPr>
        <w:t>为构建国内国际 经济双循环发展格局奠定了坚实的数字基础设施。同时，</w:t>
      </w:r>
      <w:r>
        <w:rPr>
          <w:color w:val="000000"/>
          <w:spacing w:val="0"/>
          <w:w w:val="100"/>
          <w:position w:val="0"/>
        </w:rPr>
        <w:t>IT</w:t>
      </w:r>
      <w:r>
        <w:rPr>
          <w:color w:val="000000"/>
          <w:spacing w:val="0"/>
          <w:w w:val="100"/>
          <w:position w:val="0"/>
        </w:rPr>
        <w:t>运维经历了从</w:t>
      </w:r>
      <w:r>
        <w:rPr>
          <w:color w:val="000000"/>
          <w:spacing w:val="0"/>
          <w:w w:val="100"/>
          <w:position w:val="0"/>
        </w:rPr>
        <w:t>ITSS1.0</w:t>
      </w:r>
      <w:r>
        <w:rPr>
          <w:color w:val="000000"/>
          <w:spacing w:val="0"/>
          <w:w w:val="100"/>
          <w:position w:val="0"/>
        </w:rPr>
        <w:t>到</w:t>
      </w:r>
      <w:r>
        <w:rPr>
          <w:color w:val="000000"/>
          <w:spacing w:val="0"/>
          <w:w w:val="100"/>
          <w:position w:val="0"/>
        </w:rPr>
        <w:t>4.0</w:t>
      </w:r>
      <w:r>
        <w:rPr>
          <w:color w:val="000000"/>
          <w:spacing w:val="0"/>
          <w:w w:val="100"/>
          <w:position w:val="0"/>
        </w:rPr>
        <w:t>的发展变革，从传 统运维服务向智能运维服务转变既是产业发展的必然，也是技术发展的必然。展望“十四五”，在国际形 势复杂多变的大环境下，数字新基建、数据主权等需求应运而生，信创关键技术、隐私计算等又将成为新 的技术焦点。</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区块链位列“十四五”规划纲要七大数字经济重点产业，有望实现从量变到质变的飞跃。区块链已从 萌芽状态进入快速成长期。自</w:t>
      </w:r>
      <w:r>
        <w:rPr>
          <w:color w:val="000000"/>
          <w:spacing w:val="0"/>
          <w:w w:val="100"/>
          <w:position w:val="0"/>
        </w:rPr>
        <w:t>2015-2016</w:t>
      </w:r>
      <w:r>
        <w:rPr>
          <w:color w:val="000000"/>
          <w:spacing w:val="0"/>
          <w:w w:val="100"/>
          <w:position w:val="0"/>
        </w:rPr>
        <w:t>年诞生区块链的概念开始，经历了近年的技术迭代、合规认证、 政策认知，区块链正从小众技术逐步走向舞台中央，有望与</w:t>
      </w:r>
      <w:r>
        <w:rPr>
          <w:color w:val="000000"/>
          <w:spacing w:val="0"/>
          <w:w w:val="100"/>
          <w:position w:val="0"/>
        </w:rPr>
        <w:t>5G</w:t>
      </w:r>
      <w:r>
        <w:rPr>
          <w:color w:val="000000"/>
          <w:spacing w:val="0"/>
          <w:w w:val="100"/>
          <w:position w:val="0"/>
        </w:rPr>
        <w:t>、</w:t>
      </w:r>
      <w:r>
        <w:rPr>
          <w:color w:val="000000"/>
          <w:spacing w:val="0"/>
          <w:w w:val="100"/>
          <w:position w:val="0"/>
        </w:rPr>
        <w:t>AIoT</w:t>
      </w:r>
      <w:r>
        <w:rPr>
          <w:color w:val="000000"/>
          <w:spacing w:val="0"/>
          <w:w w:val="100"/>
          <w:position w:val="0"/>
        </w:rPr>
        <w:t>、</w:t>
      </w:r>
      <w:r>
        <w:rPr>
          <w:color w:val="000000"/>
          <w:spacing w:val="0"/>
          <w:w w:val="100"/>
          <w:position w:val="0"/>
        </w:rPr>
        <w:t>云计算等技术一起，构筑下一代数 字基础设施，而其可溯源、防篡改的“信任机器”价值也终将在数字经济中占据一席之地，在建设网络强 国、发展数字经济、助力经济社会发展等方面发挥更大作用。未来，区块链在金融、商业、民生、政务等 各大领域及细分领域应用的广度和深度将进一步提升。根据</w:t>
      </w:r>
      <w:r>
        <w:rPr>
          <w:color w:val="000000"/>
          <w:spacing w:val="0"/>
          <w:w w:val="100"/>
          <w:position w:val="0"/>
        </w:rPr>
        <w:t>IDC</w:t>
      </w:r>
      <w:r>
        <w:rPr>
          <w:color w:val="000000"/>
          <w:spacing w:val="0"/>
          <w:w w:val="100"/>
          <w:position w:val="0"/>
        </w:rPr>
        <w:t>的预测，到</w:t>
      </w:r>
      <w:r>
        <w:rPr>
          <w:color w:val="000000"/>
          <w:spacing w:val="0"/>
          <w:w w:val="100"/>
          <w:position w:val="0"/>
        </w:rPr>
        <w:t>2023</w:t>
      </w:r>
      <w:r>
        <w:rPr>
          <w:color w:val="000000"/>
          <w:spacing w:val="0"/>
          <w:w w:val="100"/>
          <w:position w:val="0"/>
        </w:rPr>
        <w:t xml:space="preserve">年，中国企业将在区块链 </w:t>
      </w:r>
      <w:r>
        <w:rPr>
          <w:color w:val="000000"/>
          <w:spacing w:val="0"/>
          <w:w w:val="100"/>
          <w:position w:val="0"/>
        </w:rPr>
        <w:t>服务（咨询、实施、维护、支持等）上投入</w:t>
      </w:r>
      <w:r>
        <w:rPr>
          <w:color w:val="000000"/>
          <w:spacing w:val="0"/>
          <w:w w:val="100"/>
          <w:position w:val="0"/>
        </w:rPr>
        <w:t>27</w:t>
      </w:r>
      <w:r>
        <w:rPr>
          <w:color w:val="000000"/>
          <w:spacing w:val="0"/>
          <w:w w:val="100"/>
          <w:position w:val="0"/>
        </w:rPr>
        <w:t>亿美元。</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金融行业是我国信息化程度最高的行业之一，信息技术系统已成为我国金融业的重要基础设施。在普 惠金融、数字银行的驱动下，金融行业对信息服务需求提出了新的要求。</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月，中国人民银行印发</w:t>
      </w:r>
    </w:p>
    <w:p>
      <w:pPr>
        <w:pStyle w:val="Style25"/>
        <w:keepNext w:val="0"/>
        <w:keepLines w:val="0"/>
        <w:widowControl w:val="0"/>
        <w:shd w:val="clear" w:color="auto" w:fill="auto"/>
        <w:bidi w:val="0"/>
        <w:spacing w:before="0" w:after="0" w:line="469" w:lineRule="exact"/>
        <w:ind w:left="0" w:right="0" w:firstLine="0"/>
        <w:jc w:val="both"/>
      </w:pPr>
      <w:r>
        <w:rPr>
          <w:color w:val="000000"/>
          <w:spacing w:val="0"/>
          <w:w w:val="100"/>
          <w:position w:val="0"/>
        </w:rPr>
        <w:t>《金融科技</w:t>
      </w:r>
      <w:r>
        <w:rPr>
          <w:color w:val="000000"/>
          <w:spacing w:val="0"/>
          <w:w w:val="100"/>
          <w:position w:val="0"/>
        </w:rPr>
        <w:t>（FinTech）</w:t>
      </w:r>
      <w:r>
        <w:rPr>
          <w:color w:val="000000"/>
          <w:spacing w:val="0"/>
          <w:w w:val="100"/>
          <w:position w:val="0"/>
        </w:rPr>
        <w:t>发展规划</w:t>
      </w:r>
      <w:r>
        <w:rPr>
          <w:color w:val="000000"/>
          <w:spacing w:val="0"/>
          <w:w w:val="100"/>
          <w:position w:val="0"/>
        </w:rPr>
        <w:t>（2019-2021</w:t>
      </w:r>
      <w:r>
        <w:rPr>
          <w:color w:val="000000"/>
          <w:spacing w:val="0"/>
          <w:w w:val="100"/>
          <w:position w:val="0"/>
        </w:rPr>
        <w:t>年）》</w:t>
      </w:r>
      <w:r>
        <w:rPr>
          <w:color w:val="000000"/>
          <w:spacing w:val="0"/>
          <w:w w:val="100"/>
          <w:position w:val="0"/>
        </w:rPr>
        <w:t>，</w:t>
      </w:r>
      <w:r>
        <w:rPr>
          <w:color w:val="000000"/>
          <w:spacing w:val="0"/>
          <w:w w:val="100"/>
          <w:position w:val="0"/>
        </w:rPr>
        <w:t>明确提出未来三年金融科技工作的发展目标，到</w:t>
      </w:r>
      <w:r>
        <w:rPr>
          <w:color w:val="000000"/>
          <w:spacing w:val="0"/>
          <w:w w:val="100"/>
          <w:position w:val="0"/>
        </w:rPr>
        <w:t xml:space="preserve">2021 </w:t>
      </w:r>
      <w:r>
        <w:rPr>
          <w:color w:val="000000"/>
          <w:spacing w:val="0"/>
          <w:w w:val="100"/>
          <w:position w:val="0"/>
        </w:rPr>
        <w:t>年，建立健全我国金融科技发展的“四梁八柱”，进一步增强金融业科技应用能力，实现金融与科技深度 融合、协调发展，明显增强人民群众对数字化、网络化、智能化金融产品和服务的满意度，使我国金融科 技发展居于国际领先水平。</w:t>
      </w:r>
      <w:r>
        <w:rPr>
          <w:color w:val="000000"/>
          <w:spacing w:val="0"/>
          <w:w w:val="100"/>
          <w:position w:val="0"/>
        </w:rPr>
        <w:t>2020</w:t>
      </w:r>
      <w:r>
        <w:rPr>
          <w:color w:val="000000"/>
          <w:spacing w:val="0"/>
          <w:w w:val="100"/>
          <w:position w:val="0"/>
        </w:rPr>
        <w:t>年以来，疫情蔓延对各国经济形成巨大冲击，全球经济总体上已经陷入衰 退，中国经济发展面临前所未有的挑战，银行业金融机构紧扣“六稳”“六保”要求，把稳企业保就业和 服务民营、小微企业更好结合起来，全力以赴促进经济社会恢复正常循环。在此背景下，金融机构数字化 转型步伐加快，启动了新一轮银行业数字化转型的长期“快进键”。后疫情时代银行业将把握业务数字化 发展机遇，适应新趋势，加快数字化转型和高质量发展。在此背景下，社会组织和专业服务机构对金融科 技发展支撑作用有望不断强化，开放、合作、共赢的金融科技产业生态体系正在逐步形成。</w:t>
      </w:r>
    </w:p>
    <w:p>
      <w:pPr>
        <w:pStyle w:val="Style25"/>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政府和企业信息化投资需求保持持续增长。政府行业是国内信息化应用较为成熟的领域之一，近年来, 在国家大力加强智慧城市建设、鼓励利用信息化手段提升政务管理和政务服务水平的背景下，政府信息化 市场保持较快增长态势。“十四五”期间，信创产业加速落地，将成为产业升级和数字经济发展的重要推 动力。企业信息化是推动国民经济增长、提升社会生产效率的强大动力，在企业转型升级、劳动力成本上 升的背景下，越来越多企业意识到智能化、信息化与自身业务融合的重要性，从而催生出企业持续的信息 化建设需求；当前，互联网行业机会正在从</w:t>
      </w:r>
      <w:r>
        <w:rPr>
          <w:color w:val="000000"/>
          <w:spacing w:val="0"/>
          <w:w w:val="100"/>
          <w:position w:val="0"/>
        </w:rPr>
        <w:t>To C</w:t>
      </w:r>
      <w:r>
        <w:rPr>
          <w:color w:val="000000"/>
          <w:spacing w:val="0"/>
          <w:w w:val="100"/>
          <w:position w:val="0"/>
        </w:rPr>
        <w:t>转向</w:t>
      </w:r>
      <w:r>
        <w:rPr>
          <w:color w:val="000000"/>
          <w:spacing w:val="0"/>
          <w:w w:val="100"/>
          <w:position w:val="0"/>
        </w:rPr>
        <w:t>To B</w:t>
      </w:r>
      <w:r>
        <w:rPr>
          <w:color w:val="000000"/>
          <w:spacing w:val="0"/>
          <w:w w:val="100"/>
          <w:position w:val="0"/>
        </w:rPr>
        <w:t>的产业互联网，也为企业级服务提供了巨大的市 场空间。</w:t>
      </w:r>
    </w:p>
    <w:p>
      <w:pPr>
        <w:pStyle w:val="Style23"/>
        <w:keepNext/>
        <w:keepLines/>
        <w:widowControl w:val="0"/>
        <w:shd w:val="clear" w:color="auto" w:fill="auto"/>
        <w:bidi w:val="0"/>
        <w:spacing w:before="0" w:after="36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二</w:t>
      </w:r>
      <w:bookmarkEnd w:id="59"/>
      <w:r>
        <w:rPr>
          <w:color w:val="000000"/>
          <w:spacing w:val="0"/>
          <w:w w:val="100"/>
          <w:position w:val="0"/>
          <w:sz w:val="24"/>
          <w:szCs w:val="24"/>
        </w:rPr>
        <w:t>、主要资产重大变化情况</w:t>
      </w:r>
      <w:bookmarkEnd w:id="57"/>
      <w:bookmarkEnd w:id="58"/>
      <w:bookmarkEnd w:id="60"/>
    </w:p>
    <w:p>
      <w:pPr>
        <w:pStyle w:val="Style31"/>
        <w:keepNext/>
        <w:keepLines/>
        <w:widowControl w:val="0"/>
        <w:shd w:val="clear" w:color="auto" w:fill="auto"/>
        <w:bidi w:val="0"/>
        <w:spacing w:before="0" w:after="300" w:line="240" w:lineRule="auto"/>
        <w:ind w:left="0" w:right="0" w:firstLine="0"/>
        <w:jc w:val="left"/>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1</w:t>
      </w:r>
      <w:bookmarkEnd w:id="63"/>
      <w:r>
        <w:rPr>
          <w:color w:val="000000"/>
          <w:spacing w:val="0"/>
          <w:w w:val="100"/>
          <w:position w:val="0"/>
        </w:rPr>
        <w:t>、主要资产重大变化情况</w:t>
      </w:r>
      <w:bookmarkEnd w:id="61"/>
      <w:bookmarkEnd w:id="62"/>
      <w:bookmarkEnd w:id="64"/>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长期股权投资较期初增长</w:t>
            </w:r>
            <w:r>
              <w:rPr>
                <w:rFonts w:ascii="Times New Roman" w:eastAsia="Times New Roman" w:hAnsi="Times New Roman" w:cs="Times New Roman"/>
                <w:color w:val="000000"/>
                <w:spacing w:val="0"/>
                <w:w w:val="100"/>
                <w:position w:val="0"/>
                <w:sz w:val="18"/>
                <w:szCs w:val="18"/>
              </w:rPr>
              <w:t>109.56%</w:t>
            </w:r>
            <w:r>
              <w:rPr>
                <w:color w:val="000000"/>
                <w:spacing w:val="0"/>
                <w:w w:val="100"/>
                <w:position w:val="0"/>
                <w:sz w:val="17"/>
                <w:szCs w:val="17"/>
              </w:rPr>
              <w:t>，主要是新增对深圳市金源兴信息技术有限公司 及上海惬昶信息科技有限责任公司的股权投资所致。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bl>
    <w:p>
      <w:pPr>
        <w:pStyle w:val="Style31"/>
        <w:keepNext/>
        <w:keepLines/>
        <w:widowControl w:val="0"/>
        <w:shd w:val="clear" w:color="auto" w:fill="auto"/>
        <w:bidi w:val="0"/>
        <w:spacing w:before="0" w:after="140" w:line="468" w:lineRule="exact"/>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2</w:t>
      </w:r>
      <w:bookmarkEnd w:id="67"/>
      <w:r>
        <w:rPr>
          <w:color w:val="000000"/>
          <w:spacing w:val="0"/>
          <w:w w:val="100"/>
          <w:position w:val="0"/>
        </w:rPr>
        <w:t>、主要境外资产情况</w:t>
      </w:r>
      <w:bookmarkEnd w:id="65"/>
      <w:bookmarkEnd w:id="66"/>
      <w:bookmarkEnd w:id="68"/>
    </w:p>
    <w:p>
      <w:pPr>
        <w:pStyle w:val="Style25"/>
        <w:keepNext w:val="0"/>
        <w:keepLines w:val="0"/>
        <w:widowControl w:val="0"/>
        <w:shd w:val="clear" w:color="auto" w:fill="auto"/>
        <w:bidi w:val="0"/>
        <w:spacing w:before="0" w:after="340" w:line="468"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23"/>
        <w:keepNext/>
        <w:keepLines/>
        <w:widowControl w:val="0"/>
        <w:shd w:val="clear" w:color="auto" w:fill="auto"/>
        <w:bidi w:val="0"/>
        <w:spacing w:before="0" w:after="22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三</w:t>
      </w:r>
      <w:bookmarkEnd w:id="71"/>
      <w:r>
        <w:rPr>
          <w:color w:val="000000"/>
          <w:spacing w:val="0"/>
          <w:w w:val="100"/>
          <w:position w:val="0"/>
          <w:sz w:val="24"/>
          <w:szCs w:val="24"/>
        </w:rPr>
        <w:t>、核心竞争力分析</w:t>
      </w:r>
      <w:bookmarkEnd w:id="69"/>
      <w:bookmarkEnd w:id="70"/>
      <w:bookmarkEnd w:id="72"/>
    </w:p>
    <w:p>
      <w:pPr>
        <w:pStyle w:val="Style25"/>
        <w:keepNext w:val="0"/>
        <w:keepLines w:val="0"/>
        <w:widowControl w:val="0"/>
        <w:numPr>
          <w:ilvl w:val="0"/>
          <w:numId w:val="1"/>
        </w:numPr>
        <w:shd w:val="clear" w:color="auto" w:fill="auto"/>
        <w:tabs>
          <w:tab w:pos="695" w:val="left"/>
        </w:tabs>
        <w:bidi w:val="0"/>
        <w:spacing w:before="0" w:after="0" w:line="468" w:lineRule="exact"/>
        <w:ind w:left="0" w:right="0" w:firstLine="440"/>
        <w:jc w:val="both"/>
      </w:pPr>
      <w:bookmarkStart w:id="73" w:name="bookmark73"/>
      <w:bookmarkEnd w:id="73"/>
      <w:r>
        <w:rPr>
          <w:color w:val="000000"/>
          <w:spacing w:val="0"/>
          <w:w w:val="100"/>
          <w:position w:val="0"/>
        </w:rPr>
        <w:t>坚定的发展战略和健康的品牌形象</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公司坚持科技创新，坚决贯彻可持续的发展战略，深入推进相关业务落地，得到政府部门、资本市场 与社会各界的广泛认可。公司是北京区块链技术应用协会会长单位、</w:t>
      </w:r>
      <w:r>
        <w:rPr>
          <w:rFonts w:ascii="Times New Roman" w:eastAsia="Times New Roman" w:hAnsi="Times New Roman" w:cs="Times New Roman"/>
          <w:color w:val="000000"/>
          <w:spacing w:val="0"/>
          <w:w w:val="100"/>
          <w:position w:val="0"/>
        </w:rPr>
        <w:t>AAA</w:t>
      </w:r>
      <w:r>
        <w:rPr>
          <w:color w:val="000000"/>
          <w:spacing w:val="0"/>
          <w:w w:val="100"/>
          <w:position w:val="0"/>
        </w:rPr>
        <w:t>级重合同守信用单位、</w:t>
      </w:r>
      <w:r>
        <w:rPr>
          <w:rFonts w:ascii="Times New Roman" w:eastAsia="Times New Roman" w:hAnsi="Times New Roman" w:cs="Times New Roman"/>
          <w:color w:val="000000"/>
          <w:spacing w:val="0"/>
          <w:w w:val="100"/>
          <w:position w:val="0"/>
        </w:rPr>
        <w:t>2020</w:t>
      </w:r>
      <w:r>
        <w:rPr>
          <w:color w:val="000000"/>
          <w:spacing w:val="0"/>
          <w:w w:val="100"/>
          <w:position w:val="0"/>
        </w:rPr>
        <w:t>北京 软件和信息服务业综合实力百强企业、</w:t>
      </w:r>
      <w:r>
        <w:rPr>
          <w:rFonts w:ascii="Times New Roman" w:eastAsia="Times New Roman" w:hAnsi="Times New Roman" w:cs="Times New Roman"/>
          <w:color w:val="000000"/>
          <w:spacing w:val="0"/>
          <w:w w:val="100"/>
          <w:position w:val="0"/>
        </w:rPr>
        <w:t>2020</w:t>
      </w:r>
      <w:r>
        <w:rPr>
          <w:color w:val="000000"/>
          <w:spacing w:val="0"/>
          <w:w w:val="100"/>
          <w:position w:val="0"/>
        </w:rPr>
        <w:t>年北京民营企业科技创新百强、</w:t>
      </w:r>
      <w:r>
        <w:rPr>
          <w:rFonts w:ascii="Times New Roman" w:eastAsia="Times New Roman" w:hAnsi="Times New Roman" w:cs="Times New Roman"/>
          <w:color w:val="000000"/>
          <w:spacing w:val="0"/>
          <w:w w:val="100"/>
          <w:position w:val="0"/>
        </w:rPr>
        <w:t>2020</w:t>
      </w:r>
      <w:r>
        <w:rPr>
          <w:color w:val="000000"/>
          <w:spacing w:val="0"/>
          <w:w w:val="100"/>
          <w:position w:val="0"/>
        </w:rPr>
        <w:t>中国金融科技竞争力</w:t>
      </w:r>
      <w:r>
        <w:rPr>
          <w:rFonts w:ascii="Times New Roman" w:eastAsia="Times New Roman" w:hAnsi="Times New Roman" w:cs="Times New Roman"/>
          <w:color w:val="000000"/>
          <w:spacing w:val="0"/>
          <w:w w:val="100"/>
          <w:position w:val="0"/>
        </w:rPr>
        <w:t xml:space="preserve">100 </w:t>
      </w:r>
      <w:r>
        <w:rPr>
          <w:color w:val="000000"/>
          <w:spacing w:val="0"/>
          <w:w w:val="100"/>
          <w:position w:val="0"/>
        </w:rPr>
        <w:t>强、</w:t>
      </w:r>
      <w:r>
        <w:rPr>
          <w:rFonts w:ascii="Times New Roman" w:eastAsia="Times New Roman" w:hAnsi="Times New Roman" w:cs="Times New Roman"/>
          <w:color w:val="000000"/>
          <w:spacing w:val="0"/>
          <w:w w:val="100"/>
          <w:position w:val="0"/>
        </w:rPr>
        <w:t>2020</w:t>
      </w:r>
      <w:r>
        <w:rPr>
          <w:color w:val="000000"/>
          <w:spacing w:val="0"/>
          <w:w w:val="100"/>
          <w:position w:val="0"/>
        </w:rPr>
        <w:t>中国方案商营收百强、</w:t>
      </w:r>
      <w:r>
        <w:rPr>
          <w:rFonts w:ascii="Times New Roman" w:eastAsia="Times New Roman" w:hAnsi="Times New Roman" w:cs="Times New Roman"/>
          <w:color w:val="000000"/>
          <w:spacing w:val="0"/>
          <w:w w:val="100"/>
          <w:position w:val="0"/>
        </w:rPr>
        <w:t>2020</w:t>
      </w:r>
      <w:r>
        <w:rPr>
          <w:color w:val="000000"/>
          <w:spacing w:val="0"/>
          <w:w w:val="100"/>
          <w:position w:val="0"/>
        </w:rPr>
        <w:t>中国数字生态金融科技十强企业，获得了五星级售后服务认证，董事 长朱烨东荣获</w:t>
      </w:r>
      <w:r>
        <w:rPr>
          <w:rFonts w:ascii="Times New Roman" w:eastAsia="Times New Roman" w:hAnsi="Times New Roman" w:cs="Times New Roman"/>
          <w:color w:val="000000"/>
          <w:spacing w:val="0"/>
          <w:w w:val="100"/>
          <w:position w:val="0"/>
        </w:rPr>
        <w:t>“2020</w:t>
      </w:r>
      <w:r>
        <w:rPr>
          <w:color w:val="000000"/>
          <w:spacing w:val="0"/>
          <w:w w:val="100"/>
          <w:position w:val="0"/>
        </w:rPr>
        <w:t>中国数字生态区块链领袖</w:t>
      </w:r>
      <w:r>
        <w:rPr>
          <w:rFonts w:ascii="Times New Roman" w:eastAsia="Times New Roman" w:hAnsi="Times New Roman" w:cs="Times New Roman"/>
          <w:color w:val="000000"/>
          <w:spacing w:val="0"/>
          <w:w w:val="100"/>
          <w:position w:val="0"/>
        </w:rPr>
        <w:t>''</w:t>
      </w:r>
      <w:r>
        <w:rPr>
          <w:color w:val="000000"/>
          <w:spacing w:val="0"/>
          <w:w w:val="100"/>
          <w:position w:val="0"/>
        </w:rPr>
        <w:t>。公司与中国人民银行金融研究所等单位合作撰写的《中国 金融科技发展报告》、《中国区块链发展报告》、《中国监管科技发展报告》系列报告，均由公司董事长 朱烨东博士担任执行主编，获得了诸多业内专家的一致认可及行业用户的高度重视。此外，近年来公司实 行的多层级合伙人经营责任制在行业内的影响力不断提升，吸引诸多知名企业到公司参观学习，进一步提 升了公司的良好企业形象，形成了公司新的核心竞争力。</w:t>
      </w:r>
    </w:p>
    <w:p>
      <w:pPr>
        <w:pStyle w:val="Style25"/>
        <w:keepNext w:val="0"/>
        <w:keepLines w:val="0"/>
        <w:widowControl w:val="0"/>
        <w:numPr>
          <w:ilvl w:val="0"/>
          <w:numId w:val="1"/>
        </w:numPr>
        <w:shd w:val="clear" w:color="auto" w:fill="auto"/>
        <w:tabs>
          <w:tab w:pos="714" w:val="left"/>
        </w:tabs>
        <w:bidi w:val="0"/>
        <w:spacing w:before="0" w:after="0" w:line="468" w:lineRule="exact"/>
        <w:ind w:left="0" w:right="0" w:firstLine="440"/>
        <w:jc w:val="both"/>
      </w:pPr>
      <w:bookmarkStart w:id="74" w:name="bookmark74"/>
      <w:bookmarkEnd w:id="74"/>
      <w:r>
        <w:rPr>
          <w:color w:val="000000"/>
          <w:spacing w:val="0"/>
          <w:w w:val="100"/>
          <w:position w:val="0"/>
        </w:rPr>
        <w:t>前瞻性及完备的科技服务能力</w:t>
      </w:r>
    </w:p>
    <w:p>
      <w:pPr>
        <w:pStyle w:val="Style2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公司长期以来为金融、政府与公用事业、企业客户提供金融科技和数据中心等科技服务，基于对行业 的深刻理解，公司能够敏锐地洞察行业客户对科技的需求，前瞻性地规划发展布局，抢占市场先机，保持 对新技术新方向新业态的发展动向和技术研发储备，持续保持行业领先优势，深入推进区块链、隐私计算、 数字货币等科技创新以及开放银行、信创、数字化转型等行业趋势。公司还与清华大学五道口金融学院、 南开大学金融学院开展战略合作，和昆山杜克大学建立了联合实验室，以及和北京邮电大学开展深入科研 合作，形成了整套</w:t>
      </w:r>
      <w:r>
        <w:rPr>
          <w:rFonts w:ascii="Times New Roman" w:eastAsia="Times New Roman" w:hAnsi="Times New Roman" w:cs="Times New Roman"/>
          <w:color w:val="000000"/>
          <w:spacing w:val="0"/>
          <w:w w:val="100"/>
          <w:position w:val="0"/>
        </w:rPr>
        <w:t>“</w:t>
      </w:r>
      <w:r>
        <w:rPr>
          <w:color w:val="000000"/>
          <w:spacing w:val="0"/>
          <w:w w:val="100"/>
          <w:position w:val="0"/>
        </w:rPr>
        <w:t>产学研用''研发培训、协同创新体系。以客户为中心的经营理念，以及实力雄厚的学术 支持，保障公司持续具备的先进的科技服务能力。</w:t>
      </w:r>
    </w:p>
    <w:p>
      <w:pPr>
        <w:pStyle w:val="Style25"/>
        <w:keepNext w:val="0"/>
        <w:keepLines w:val="0"/>
        <w:widowControl w:val="0"/>
        <w:numPr>
          <w:ilvl w:val="0"/>
          <w:numId w:val="1"/>
        </w:numPr>
        <w:shd w:val="clear" w:color="auto" w:fill="auto"/>
        <w:tabs>
          <w:tab w:pos="714" w:val="left"/>
        </w:tabs>
        <w:bidi w:val="0"/>
        <w:spacing w:before="0" w:after="0"/>
        <w:ind w:left="0" w:right="0" w:firstLine="440"/>
        <w:jc w:val="both"/>
      </w:pPr>
      <w:bookmarkStart w:id="75" w:name="bookmark75"/>
      <w:bookmarkEnd w:id="75"/>
      <w:r>
        <w:rPr>
          <w:color w:val="000000"/>
          <w:spacing w:val="0"/>
          <w:w w:val="100"/>
          <w:position w:val="0"/>
        </w:rPr>
        <w:t>专业的技术实力</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公司具备国家规划布局内重点软件企业、国家火炬计划重点高新技术企业、国家高新技术企业、北京 市火炬计划企业、北京市经信委</w:t>
      </w:r>
      <w:r>
        <w:rPr>
          <w:rFonts w:ascii="Times New Roman" w:eastAsia="Times New Roman" w:hAnsi="Times New Roman" w:cs="Times New Roman"/>
          <w:color w:val="000000"/>
          <w:spacing w:val="0"/>
          <w:w w:val="100"/>
          <w:position w:val="0"/>
        </w:rPr>
        <w:t>“</w:t>
      </w:r>
      <w:r>
        <w:rPr>
          <w:color w:val="000000"/>
          <w:spacing w:val="0"/>
          <w:w w:val="100"/>
          <w:position w:val="0"/>
        </w:rPr>
        <w:t>四个一批''工程企业、中关村</w:t>
      </w:r>
      <w:r>
        <w:rPr>
          <w:rFonts w:ascii="Times New Roman" w:eastAsia="Times New Roman" w:hAnsi="Times New Roman" w:cs="Times New Roman"/>
          <w:color w:val="000000"/>
          <w:spacing w:val="0"/>
          <w:w w:val="100"/>
          <w:position w:val="0"/>
        </w:rPr>
        <w:t>“</w:t>
      </w:r>
      <w:r>
        <w:rPr>
          <w:color w:val="000000"/>
          <w:spacing w:val="0"/>
          <w:w w:val="100"/>
          <w:position w:val="0"/>
        </w:rPr>
        <w:t>十百千工程</w:t>
      </w:r>
      <w:r>
        <w:rPr>
          <w:color w:val="000000"/>
          <w:spacing w:val="0"/>
          <w:w w:val="100"/>
          <w:position w:val="0"/>
        </w:rPr>
        <w:t>''</w:t>
      </w:r>
      <w:r>
        <w:rPr>
          <w:color w:val="000000"/>
          <w:spacing w:val="0"/>
          <w:w w:val="100"/>
          <w:position w:val="0"/>
        </w:rPr>
        <w:t>企业等系列资质。公司是</w:t>
      </w:r>
      <w:r>
        <w:rPr>
          <w:rFonts w:ascii="Times New Roman" w:eastAsia="Times New Roman" w:hAnsi="Times New Roman" w:cs="Times New Roman"/>
          <w:color w:val="000000"/>
          <w:spacing w:val="0"/>
          <w:w w:val="100"/>
          <w:position w:val="0"/>
        </w:rPr>
        <w:t xml:space="preserve">ITSS </w:t>
      </w:r>
      <w:r>
        <w:rPr>
          <w:color w:val="000000"/>
          <w:spacing w:val="0"/>
          <w:w w:val="100"/>
          <w:position w:val="0"/>
        </w:rPr>
        <w:t xml:space="preserve">分会副会长单位、中国信息协会常务理事单位和信息技术服务专业委员会副会长单位。公司还通过了 </w:t>
      </w:r>
      <w:r>
        <w:rPr>
          <w:rFonts w:ascii="Times New Roman" w:eastAsia="Times New Roman" w:hAnsi="Times New Roman" w:cs="Times New Roman"/>
          <w:color w:val="000000"/>
          <w:spacing w:val="0"/>
          <w:w w:val="100"/>
          <w:position w:val="0"/>
        </w:rPr>
        <w:t>ISO20000</w:t>
      </w:r>
      <w:r>
        <w:rPr>
          <w:color w:val="000000"/>
          <w:spacing w:val="0"/>
          <w:w w:val="100"/>
          <w:position w:val="0"/>
        </w:rPr>
        <w:t>服务管理体系认证、</w:t>
      </w:r>
      <w:r>
        <w:rPr>
          <w:rFonts w:ascii="Times New Roman" w:eastAsia="Times New Roman" w:hAnsi="Times New Roman" w:cs="Times New Roman"/>
          <w:color w:val="000000"/>
          <w:spacing w:val="0"/>
          <w:w w:val="100"/>
          <w:position w:val="0"/>
        </w:rPr>
        <w:t>IS027001</w:t>
      </w:r>
      <w:r>
        <w:rPr>
          <w:color w:val="000000"/>
          <w:spacing w:val="0"/>
          <w:w w:val="100"/>
          <w:position w:val="0"/>
        </w:rPr>
        <w:t>信息安全管理体系认证、</w:t>
      </w:r>
      <w:r>
        <w:rPr>
          <w:rFonts w:ascii="Times New Roman" w:eastAsia="Times New Roman" w:hAnsi="Times New Roman" w:cs="Times New Roman"/>
          <w:color w:val="000000"/>
          <w:spacing w:val="0"/>
          <w:w w:val="100"/>
          <w:position w:val="0"/>
        </w:rPr>
        <w:t>ISO9001</w:t>
      </w:r>
      <w:r>
        <w:rPr>
          <w:color w:val="000000"/>
          <w:spacing w:val="0"/>
          <w:w w:val="100"/>
          <w:position w:val="0"/>
        </w:rPr>
        <w:t>质量管理体系认证、</w:t>
      </w:r>
      <w:r>
        <w:rPr>
          <w:rFonts w:ascii="Times New Roman" w:eastAsia="Times New Roman" w:hAnsi="Times New Roman" w:cs="Times New Roman"/>
          <w:color w:val="000000"/>
          <w:spacing w:val="0"/>
          <w:w w:val="100"/>
          <w:position w:val="0"/>
        </w:rPr>
        <w:t>ISO1400</w:t>
      </w:r>
      <w:r>
        <w:rPr>
          <w:rFonts w:ascii="Times New Roman" w:eastAsia="Times New Roman" w:hAnsi="Times New Roman" w:cs="Times New Roman"/>
          <w:color w:val="000000"/>
          <w:spacing w:val="0"/>
          <w:w w:val="100"/>
          <w:position w:val="0"/>
        </w:rPr>
        <w:t>1</w:t>
      </w:r>
      <w:r>
        <w:rPr>
          <w:color w:val="000000"/>
          <w:spacing w:val="0"/>
          <w:w w:val="100"/>
          <w:position w:val="0"/>
        </w:rPr>
        <w:t>环 境管理体系认证、</w:t>
      </w:r>
      <w:r>
        <w:rPr>
          <w:rFonts w:ascii="Times New Roman" w:eastAsia="Times New Roman" w:hAnsi="Times New Roman" w:cs="Times New Roman"/>
          <w:color w:val="000000"/>
          <w:spacing w:val="0"/>
          <w:w w:val="100"/>
          <w:position w:val="0"/>
        </w:rPr>
        <w:t>ISO45001</w:t>
      </w:r>
      <w:r>
        <w:rPr>
          <w:color w:val="000000"/>
          <w:spacing w:val="0"/>
          <w:w w:val="100"/>
          <w:position w:val="0"/>
        </w:rPr>
        <w:t>职业健康管理体系认证、软件能力成熟度模型</w:t>
      </w:r>
      <w:r>
        <w:rPr>
          <w:rFonts w:ascii="Times New Roman" w:eastAsia="Times New Roman" w:hAnsi="Times New Roman" w:cs="Times New Roman"/>
          <w:color w:val="000000"/>
          <w:spacing w:val="0"/>
          <w:w w:val="100"/>
          <w:position w:val="0"/>
        </w:rPr>
        <w:t>CMMI</w:t>
      </w:r>
      <w:r>
        <w:rPr>
          <w:color w:val="000000"/>
          <w:spacing w:val="0"/>
          <w:w w:val="100"/>
          <w:position w:val="0"/>
        </w:rPr>
        <w:t>三级认证，获得了计算机 信息系统集成及服务一级资质</w:t>
      </w:r>
      <w:r>
        <w:rPr>
          <w:color w:val="000000"/>
          <w:spacing w:val="0"/>
          <w:w w:val="100"/>
          <w:position w:val="0"/>
        </w:rPr>
        <w:t>、</w:t>
      </w:r>
      <w:r>
        <w:rPr>
          <w:rFonts w:ascii="Times New Roman" w:eastAsia="Times New Roman" w:hAnsi="Times New Roman" w:cs="Times New Roman"/>
          <w:color w:val="000000"/>
          <w:spacing w:val="0"/>
          <w:w w:val="100"/>
          <w:position w:val="0"/>
        </w:rPr>
        <w:t>ITS S</w:t>
      </w:r>
      <w:r>
        <w:rPr>
          <w:color w:val="000000"/>
          <w:spacing w:val="0"/>
          <w:w w:val="100"/>
          <w:position w:val="0"/>
        </w:rPr>
        <w:t xml:space="preserve">信息技术服务运行维护能力成熟度一级证书、安防工程企业一级资质、 音视频智能系统集成工程资质证书（一级）、信息安全服务资质证书（安全工程一级）、电信与信息服务 </w:t>
      </w:r>
      <w:r>
        <w:rPr>
          <w:color w:val="000000"/>
          <w:spacing w:val="0"/>
          <w:w w:val="100"/>
          <w:position w:val="0"/>
        </w:rPr>
        <w:t>业务经营许可证等系列行业核心资质，被认定为</w:t>
      </w:r>
      <w:r>
        <w:rPr>
          <w:rFonts w:ascii="Times New Roman" w:eastAsia="Times New Roman" w:hAnsi="Times New Roman" w:cs="Times New Roman"/>
          <w:color w:val="000000"/>
          <w:spacing w:val="0"/>
          <w:w w:val="100"/>
          <w:position w:val="0"/>
        </w:rPr>
        <w:t>“</w:t>
      </w:r>
      <w:r>
        <w:rPr>
          <w:color w:val="000000"/>
          <w:spacing w:val="0"/>
          <w:w w:val="100"/>
          <w:position w:val="0"/>
        </w:rPr>
        <w:t>北京市企业技术中心''及</w:t>
      </w:r>
      <w:r>
        <w:rPr>
          <w:rFonts w:ascii="Times New Roman" w:eastAsia="Times New Roman" w:hAnsi="Times New Roman" w:cs="Times New Roman"/>
          <w:color w:val="000000"/>
          <w:spacing w:val="0"/>
          <w:w w:val="100"/>
          <w:position w:val="0"/>
        </w:rPr>
        <w:t>“</w:t>
      </w:r>
      <w:r>
        <w:rPr>
          <w:color w:val="000000"/>
          <w:spacing w:val="0"/>
          <w:w w:val="100"/>
          <w:position w:val="0"/>
        </w:rPr>
        <w:t>北京工程实验室公司软件服 务业资质完整性目前居中国软件行业前列。</w:t>
      </w:r>
    </w:p>
    <w:p>
      <w:pPr>
        <w:pStyle w:val="Style25"/>
        <w:keepNext w:val="0"/>
        <w:keepLines w:val="0"/>
        <w:widowControl w:val="0"/>
        <w:numPr>
          <w:ilvl w:val="0"/>
          <w:numId w:val="1"/>
        </w:numPr>
        <w:shd w:val="clear" w:color="auto" w:fill="auto"/>
        <w:tabs>
          <w:tab w:pos="734" w:val="left"/>
        </w:tabs>
        <w:bidi w:val="0"/>
        <w:spacing w:before="0" w:after="0" w:line="468" w:lineRule="exact"/>
        <w:ind w:left="0" w:right="0" w:firstLine="460"/>
        <w:jc w:val="both"/>
      </w:pPr>
      <w:bookmarkStart w:id="76" w:name="bookmark76"/>
      <w:bookmarkEnd w:id="76"/>
      <w:r>
        <w:rPr>
          <w:color w:val="000000"/>
          <w:spacing w:val="0"/>
          <w:w w:val="100"/>
          <w:position w:val="0"/>
        </w:rPr>
        <w:t>开放的经营理念和卓越的经营人才吸引和培养能力</w:t>
      </w:r>
    </w:p>
    <w:p>
      <w:pPr>
        <w:pStyle w:val="Style25"/>
        <w:keepNext w:val="0"/>
        <w:keepLines w:val="0"/>
        <w:widowControl w:val="0"/>
        <w:shd w:val="clear" w:color="auto" w:fill="auto"/>
        <w:bidi w:val="0"/>
        <w:spacing w:before="0" w:after="240" w:line="468" w:lineRule="exact"/>
        <w:ind w:left="0" w:right="0" w:firstLine="460"/>
        <w:jc w:val="both"/>
      </w:pPr>
      <w:r>
        <w:rPr>
          <w:color w:val="000000"/>
          <w:spacing w:val="0"/>
          <w:w w:val="100"/>
          <w:position w:val="0"/>
        </w:rPr>
        <w:t>经过多年摸索，在公司建立并推行了</w:t>
      </w:r>
      <w:r>
        <w:rPr>
          <w:rFonts w:ascii="Times New Roman" w:eastAsia="Times New Roman" w:hAnsi="Times New Roman" w:cs="Times New Roman"/>
          <w:color w:val="000000"/>
          <w:spacing w:val="0"/>
          <w:w w:val="100"/>
          <w:position w:val="0"/>
        </w:rPr>
        <w:t>“</w:t>
      </w:r>
      <w:r>
        <w:rPr>
          <w:color w:val="000000"/>
          <w:spacing w:val="0"/>
          <w:w w:val="100"/>
          <w:position w:val="0"/>
        </w:rPr>
        <w:t>中科金财多层级合伙人经营责任制</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将公司划分为独立经营单 元，通过建立与市场直接联系的独立核算制进行运营，调动员工参与经营管理，从而实现全员参与的经营 模式。中科金财多层级合伙人经营责任制注重发现及培养经营人才，强调以客户为中心、全局观及组织协 同性，打破了传统企业部门间的隔阂，有效调动员工参与经营管理的自主性和积极性，极大提升了员工的 经营热情及主人翁意识。在实际经营过程中各经营单元体现出极强的经营智慧与合作意识，大大降低了沟 通成本、交易成本、营销成本及运营成本，操作风险大幅降低，劳动生产率大幅提高，同时吸引了大量的 各领域精英加盟中科金财。开放且共享的经营理念，以及经营人才的吸引、发掘、培养能力已经成为公司 重要的核心竞争力之一。</w:t>
      </w:r>
    </w:p>
    <w:p>
      <w:pPr>
        <w:pStyle w:val="Style25"/>
        <w:keepNext w:val="0"/>
        <w:keepLines w:val="0"/>
        <w:widowControl w:val="0"/>
        <w:numPr>
          <w:ilvl w:val="0"/>
          <w:numId w:val="1"/>
        </w:numPr>
        <w:shd w:val="clear" w:color="auto" w:fill="auto"/>
        <w:tabs>
          <w:tab w:pos="734" w:val="left"/>
        </w:tabs>
        <w:bidi w:val="0"/>
        <w:spacing w:before="0" w:after="0"/>
        <w:ind w:left="0" w:right="0" w:firstLine="460"/>
        <w:jc w:val="both"/>
      </w:pPr>
      <w:bookmarkStart w:id="77" w:name="bookmark77"/>
      <w:bookmarkEnd w:id="77"/>
      <w:r>
        <w:rPr>
          <w:color w:val="000000"/>
          <w:spacing w:val="0"/>
          <w:w w:val="100"/>
          <w:position w:val="0"/>
        </w:rPr>
        <w:t>价值共享的产业互联网科技赋能能力</w:t>
      </w:r>
    </w:p>
    <w:p>
      <w:pPr>
        <w:pStyle w:val="Style25"/>
        <w:keepNext w:val="0"/>
        <w:keepLines w:val="0"/>
        <w:widowControl w:val="0"/>
        <w:shd w:val="clear" w:color="auto" w:fill="auto"/>
        <w:bidi w:val="0"/>
        <w:spacing w:before="0" w:after="0" w:line="468" w:lineRule="exact"/>
        <w:ind w:left="0" w:right="0" w:firstLine="460"/>
        <w:jc w:val="both"/>
        <w:sectPr>
          <w:footnotePr>
            <w:pos w:val="pageBottom"/>
            <w:numFmt w:val="decimal"/>
            <w:numRestart w:val="continuous"/>
          </w:footnotePr>
          <w:pgSz w:w="11900" w:h="16840"/>
          <w:pgMar w:top="1249" w:right="1018" w:bottom="1489" w:left="1091" w:header="0" w:footer="3" w:gutter="0"/>
          <w:cols w:space="720"/>
          <w:noEndnote/>
          <w:rtlGutter w:val="0"/>
          <w:docGrid w:linePitch="360"/>
        </w:sectPr>
      </w:pPr>
      <w:r>
        <w:rPr>
          <w:color w:val="000000"/>
          <w:spacing w:val="0"/>
          <w:w w:val="100"/>
          <w:position w:val="0"/>
        </w:rPr>
        <w:t>公司依托长年扎根金融、政府与公共事业、企业业务领域所积累的丰富专业经验和优质客户资源，立 足于产业链上中小企业的需求，能够为产业链上下游的优秀行业销售合作伙伴、产品与解决方案合作伙伴 提供科技赋能、经营赋能、管理赋能、商业模式赋能、资本赋能等整套赋能服务体系，以提升合作伙伴竞 争力，促进合作伙伴实现业绩增长。</w:t>
      </w:r>
    </w:p>
    <w:p>
      <w:pPr>
        <w:pStyle w:val="Style13"/>
        <w:keepNext/>
        <w:keepLines/>
        <w:widowControl w:val="0"/>
        <w:shd w:val="clear" w:color="auto" w:fill="auto"/>
        <w:bidi w:val="0"/>
        <w:spacing w:before="640" w:line="240" w:lineRule="auto"/>
        <w:ind w:left="0" w:right="0" w:firstLine="0"/>
        <w:jc w:val="center"/>
      </w:pPr>
      <w:bookmarkStart w:id="81" w:name="bookmark81"/>
      <w:bookmarkStart w:id="82" w:name="bookmark82"/>
      <w:bookmarkStart w:id="83" w:name="bookmark83"/>
      <w:r>
        <w:rPr>
          <w:color w:val="000000"/>
          <w:spacing w:val="0"/>
          <w:w w:val="100"/>
          <w:position w:val="0"/>
        </w:rPr>
        <w:t>第四节经营情况讨论与分析</w:t>
      </w:r>
      <w:bookmarkEnd w:id="81"/>
      <w:bookmarkEnd w:id="82"/>
      <w:bookmarkEnd w:id="83"/>
    </w:p>
    <w:p>
      <w:pPr>
        <w:pStyle w:val="Style23"/>
        <w:keepNext/>
        <w:keepLines/>
        <w:widowControl w:val="0"/>
        <w:shd w:val="clear" w:color="auto" w:fill="auto"/>
        <w:bidi w:val="0"/>
        <w:spacing w:before="0" w:after="200" w:line="240" w:lineRule="auto"/>
        <w:ind w:left="0" w:right="0" w:firstLine="0"/>
        <w:jc w:val="both"/>
      </w:pPr>
      <w:bookmarkStart w:id="84" w:name="bookmark84"/>
      <w:bookmarkStart w:id="85" w:name="bookmark85"/>
      <w:bookmarkStart w:id="86" w:name="bookmark86"/>
      <w:bookmarkStart w:id="87" w:name="bookmark87"/>
      <w:r>
        <w:rPr>
          <w:color w:val="000000"/>
          <w:spacing w:val="0"/>
          <w:w w:val="100"/>
          <w:position w:val="0"/>
          <w:sz w:val="24"/>
          <w:szCs w:val="24"/>
        </w:rPr>
        <w:t>一</w:t>
      </w:r>
      <w:bookmarkEnd w:id="86"/>
      <w:r>
        <w:rPr>
          <w:color w:val="000000"/>
          <w:spacing w:val="0"/>
          <w:w w:val="100"/>
          <w:position w:val="0"/>
          <w:sz w:val="24"/>
          <w:szCs w:val="24"/>
        </w:rPr>
        <w:t>、概述</w:t>
      </w:r>
      <w:bookmarkEnd w:id="84"/>
      <w:bookmarkEnd w:id="85"/>
      <w:bookmarkEnd w:id="87"/>
    </w:p>
    <w:p>
      <w:pPr>
        <w:pStyle w:val="Style25"/>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年，公司继续坚持以金融科技整体解决方案和数据中心综合服务为基础，深入推进区块链、隐私 计算等科技创新业务，打造价值共享的产业互联网科技赋能平台，引导产业客户实现从</w:t>
      </w:r>
      <w:r>
        <w:rPr>
          <w:rFonts w:ascii="Times New Roman" w:eastAsia="Times New Roman" w:hAnsi="Times New Roman" w:cs="Times New Roman"/>
          <w:color w:val="000000"/>
          <w:spacing w:val="0"/>
          <w:w w:val="100"/>
          <w:position w:val="0"/>
        </w:rPr>
        <w:t>IT</w:t>
      </w:r>
      <w:r>
        <w:rPr>
          <w:color w:val="000000"/>
          <w:spacing w:val="0"/>
          <w:w w:val="100"/>
          <w:position w:val="0"/>
        </w:rPr>
        <w:t>到</w:t>
      </w:r>
      <w:r>
        <w:rPr>
          <w:rFonts w:ascii="Times New Roman" w:eastAsia="Times New Roman" w:hAnsi="Times New Roman" w:cs="Times New Roman"/>
          <w:color w:val="000000"/>
          <w:spacing w:val="0"/>
          <w:w w:val="100"/>
          <w:position w:val="0"/>
        </w:rPr>
        <w:t>DT</w:t>
      </w:r>
      <w:r>
        <w:rPr>
          <w:color w:val="000000"/>
          <w:spacing w:val="0"/>
          <w:w w:val="100"/>
          <w:position w:val="0"/>
        </w:rPr>
        <w:t>到</w:t>
      </w:r>
      <w:r>
        <w:rPr>
          <w:rFonts w:ascii="Times New Roman" w:eastAsia="Times New Roman" w:hAnsi="Times New Roman" w:cs="Times New Roman"/>
          <w:color w:val="000000"/>
          <w:spacing w:val="0"/>
          <w:w w:val="100"/>
          <w:position w:val="0"/>
        </w:rPr>
        <w:t>AT</w:t>
      </w:r>
      <w:r>
        <w:rPr>
          <w:color w:val="000000"/>
          <w:spacing w:val="0"/>
          <w:w w:val="100"/>
          <w:position w:val="0"/>
        </w:rPr>
        <w:t>的技 术升级。报告期内，公司实现营业收入</w:t>
      </w:r>
      <w:r>
        <w:rPr>
          <w:rFonts w:ascii="Times New Roman" w:eastAsia="Times New Roman" w:hAnsi="Times New Roman" w:cs="Times New Roman"/>
          <w:color w:val="000000"/>
          <w:spacing w:val="0"/>
          <w:w w:val="100"/>
          <w:position w:val="0"/>
        </w:rPr>
        <w:t>1,758,402,676.54</w:t>
      </w:r>
      <w:r>
        <w:rPr>
          <w:color w:val="000000"/>
          <w:spacing w:val="0"/>
          <w:w w:val="100"/>
          <w:position w:val="0"/>
        </w:rPr>
        <w:t>元，较上年同期增长</w:t>
      </w:r>
      <w:r>
        <w:rPr>
          <w:rFonts w:ascii="Times New Roman" w:eastAsia="Times New Roman" w:hAnsi="Times New Roman" w:cs="Times New Roman"/>
          <w:color w:val="000000"/>
          <w:spacing w:val="0"/>
          <w:w w:val="100"/>
          <w:position w:val="0"/>
        </w:rPr>
        <w:t>5.14%</w:t>
      </w:r>
      <w:r>
        <w:rPr>
          <w:color w:val="000000"/>
          <w:spacing w:val="0"/>
          <w:w w:val="100"/>
          <w:position w:val="0"/>
        </w:rPr>
        <w:t>；实现归属于上市公司 股东的净利润</w:t>
      </w:r>
      <w:r>
        <w:rPr>
          <w:rFonts w:ascii="Times New Roman" w:eastAsia="Times New Roman" w:hAnsi="Times New Roman" w:cs="Times New Roman"/>
          <w:color w:val="000000"/>
          <w:spacing w:val="0"/>
          <w:w w:val="100"/>
          <w:position w:val="0"/>
        </w:rPr>
        <w:t>6,900,186.74</w:t>
      </w:r>
      <w:r>
        <w:rPr>
          <w:color w:val="000000"/>
          <w:spacing w:val="0"/>
          <w:w w:val="100"/>
          <w:position w:val="0"/>
        </w:rPr>
        <w:t>元，较上年同期增长</w:t>
      </w:r>
      <w:r>
        <w:rPr>
          <w:rFonts w:ascii="Times New Roman" w:eastAsia="Times New Roman" w:hAnsi="Times New Roman" w:cs="Times New Roman"/>
          <w:color w:val="000000"/>
          <w:spacing w:val="0"/>
          <w:w w:val="100"/>
          <w:position w:val="0"/>
        </w:rPr>
        <w:t>102.45%</w:t>
      </w:r>
      <w:r>
        <w:rPr>
          <w:color w:val="000000"/>
          <w:spacing w:val="0"/>
          <w:w w:val="100"/>
          <w:position w:val="0"/>
        </w:rPr>
        <w:t>。</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报告期内，公司主要为金融机构、政府与公用事业、企业等领域客户提供金融科技、数据中心综合服 务、信创及系统集成等服务，并持续布局对区块链、隐私计算等创新技术和应用的研发、储备，拓展公司 市场和实现公司的长远发展。</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报告期内，公司主要开展了以下工作：</w:t>
      </w:r>
    </w:p>
    <w:p>
      <w:pPr>
        <w:pStyle w:val="Style25"/>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1.2020</w:t>
      </w:r>
      <w:r>
        <w:rPr>
          <w:color w:val="000000"/>
          <w:spacing w:val="0"/>
          <w:w w:val="100"/>
          <w:position w:val="0"/>
        </w:rPr>
        <w:t>年公司全力以赴，坚决执行党和国家领导的抗疫之战</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疫情期间公司积极响应国家号召，克服困难，稳岗保就业，全力保障相关政府部门信息系统的平稳运 行，支撑防疫及经济社会发展相关工作有序高效运转。</w:t>
      </w:r>
    </w:p>
    <w:p>
      <w:pPr>
        <w:pStyle w:val="Style25"/>
        <w:keepNext w:val="0"/>
        <w:keepLines w:val="0"/>
        <w:widowControl w:val="0"/>
        <w:numPr>
          <w:ilvl w:val="0"/>
          <w:numId w:val="3"/>
        </w:numPr>
        <w:shd w:val="clear" w:color="auto" w:fill="auto"/>
        <w:tabs>
          <w:tab w:pos="740" w:val="left"/>
        </w:tabs>
        <w:bidi w:val="0"/>
        <w:spacing w:before="0" w:after="0" w:line="469" w:lineRule="exact"/>
        <w:ind w:left="0" w:right="0" w:firstLine="440"/>
        <w:jc w:val="both"/>
      </w:pPr>
      <w:bookmarkStart w:id="88" w:name="bookmark88"/>
      <w:bookmarkEnd w:id="88"/>
      <w:r>
        <w:rPr>
          <w:color w:val="000000"/>
          <w:spacing w:val="0"/>
          <w:w w:val="100"/>
          <w:position w:val="0"/>
        </w:rPr>
        <w:t>稳步开展金融科技服务</w:t>
      </w:r>
    </w:p>
    <w:p>
      <w:pPr>
        <w:pStyle w:val="Style25"/>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年，公司继续致力于金融科技综合服务，向银行等金融机构提供开放银行等数字化转型的金融科 技综合服务，并对数字货币等新技术、新趋势保持密切的关注和跟进。公司已基本具备金融科技全业务链 的服务能力，为银行客户量身定制符合其自身战略发展需要的开放银行模式和数字化银行</w:t>
      </w:r>
      <w:r>
        <w:rPr>
          <w:rFonts w:ascii="Times New Roman" w:eastAsia="Times New Roman" w:hAnsi="Times New Roman" w:cs="Times New Roman"/>
          <w:color w:val="000000"/>
          <w:spacing w:val="0"/>
          <w:w w:val="100"/>
          <w:position w:val="0"/>
        </w:rPr>
        <w:t>IT</w:t>
      </w:r>
      <w:r>
        <w:rPr>
          <w:color w:val="000000"/>
          <w:spacing w:val="0"/>
          <w:w w:val="100"/>
          <w:position w:val="0"/>
        </w:rPr>
        <w:t xml:space="preserve">架构体系。 </w:t>
      </w:r>
      <w:r>
        <w:rPr>
          <w:rFonts w:ascii="Times New Roman" w:eastAsia="Times New Roman" w:hAnsi="Times New Roman" w:cs="Times New Roman"/>
          <w:color w:val="000000"/>
          <w:spacing w:val="0"/>
          <w:w w:val="100"/>
          <w:position w:val="0"/>
        </w:rPr>
        <w:t>2020</w:t>
      </w:r>
      <w:r>
        <w:rPr>
          <w:color w:val="000000"/>
          <w:spacing w:val="0"/>
          <w:w w:val="100"/>
          <w:position w:val="0"/>
        </w:rPr>
        <w:t>年，公司与浦发银行合作的</w:t>
      </w:r>
      <w:r>
        <w:rPr>
          <w:rFonts w:ascii="Times New Roman" w:eastAsia="Times New Roman" w:hAnsi="Times New Roman" w:cs="Times New Roman"/>
          <w:color w:val="000000"/>
          <w:spacing w:val="0"/>
          <w:w w:val="100"/>
          <w:position w:val="0"/>
        </w:rPr>
        <w:t>“</w:t>
      </w:r>
      <w:r>
        <w:rPr>
          <w:color w:val="000000"/>
          <w:spacing w:val="0"/>
          <w:w w:val="100"/>
          <w:position w:val="0"/>
        </w:rPr>
        <w:t>基于</w:t>
      </w:r>
      <w:r>
        <w:rPr>
          <w:rFonts w:ascii="Times New Roman" w:eastAsia="Times New Roman" w:hAnsi="Times New Roman" w:cs="Times New Roman"/>
          <w:color w:val="000000"/>
          <w:spacing w:val="0"/>
          <w:w w:val="100"/>
          <w:position w:val="0"/>
        </w:rPr>
        <w:t>API</w:t>
      </w:r>
      <w:r>
        <w:rPr>
          <w:color w:val="000000"/>
          <w:spacing w:val="0"/>
          <w:w w:val="100"/>
          <w:position w:val="0"/>
        </w:rPr>
        <w:t>的场景适配中台产品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基于区块链的</w:t>
      </w:r>
      <w:r>
        <w:rPr>
          <w:rFonts w:ascii="Times New Roman" w:eastAsia="Times New Roman" w:hAnsi="Times New Roman" w:cs="Times New Roman"/>
          <w:color w:val="000000"/>
          <w:spacing w:val="0"/>
          <w:w w:val="100"/>
          <w:position w:val="0"/>
        </w:rPr>
        <w:t>B2B</w:t>
      </w:r>
      <w:r>
        <w:rPr>
          <w:color w:val="000000"/>
          <w:spacing w:val="0"/>
          <w:w w:val="100"/>
          <w:position w:val="0"/>
        </w:rPr>
        <w:t>订单管理服务</w:t>
      </w:r>
      <w:r>
        <w:rPr>
          <w:rFonts w:ascii="Times New Roman" w:eastAsia="Times New Roman" w:hAnsi="Times New Roman" w:cs="Times New Roman"/>
          <w:color w:val="000000"/>
          <w:spacing w:val="0"/>
          <w:w w:val="100"/>
          <w:position w:val="0"/>
        </w:rPr>
        <w:t>''</w:t>
      </w:r>
      <w:r>
        <w:rPr>
          <w:color w:val="000000"/>
          <w:spacing w:val="0"/>
          <w:w w:val="100"/>
          <w:position w:val="0"/>
        </w:rPr>
        <w:t>两个项 目分别入选北京金融科技创新监管试点、上海金融科技创新监管试点。</w:t>
      </w:r>
    </w:p>
    <w:p>
      <w:pPr>
        <w:pStyle w:val="Style25"/>
        <w:keepNext w:val="0"/>
        <w:keepLines w:val="0"/>
        <w:widowControl w:val="0"/>
        <w:numPr>
          <w:ilvl w:val="0"/>
          <w:numId w:val="3"/>
        </w:numPr>
        <w:shd w:val="clear" w:color="auto" w:fill="auto"/>
        <w:tabs>
          <w:tab w:pos="740" w:val="left"/>
        </w:tabs>
        <w:bidi w:val="0"/>
        <w:spacing w:before="0" w:after="0" w:line="469" w:lineRule="exact"/>
        <w:ind w:left="0" w:right="0" w:firstLine="440"/>
        <w:jc w:val="both"/>
      </w:pPr>
      <w:bookmarkStart w:id="89" w:name="bookmark89"/>
      <w:bookmarkEnd w:id="89"/>
      <w:r>
        <w:rPr>
          <w:color w:val="000000"/>
          <w:spacing w:val="0"/>
          <w:w w:val="100"/>
          <w:position w:val="0"/>
        </w:rPr>
        <w:t>积极探索推进区块链相关技术研发及商业应用</w:t>
      </w:r>
    </w:p>
    <w:p>
      <w:pPr>
        <w:pStyle w:val="Style25"/>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公司一直以来高度关注区块链技术的应用及发展，在区块链技术及应用等领域进行积极研究，目前公 司已经取得了多项计算机软件著作权。公司连续多年发布《中国区块链发展报告》，该书由中国人民银行 等权威机构指导，中国社科院授权出版，公司董事长朱烨东担任执行主编。公司持续在金融、商业、政务 监管、民生等领域进行区块链应用的探索。</w:t>
      </w:r>
      <w:r>
        <w:rPr>
          <w:rFonts w:ascii="Times New Roman" w:eastAsia="Times New Roman" w:hAnsi="Times New Roman" w:cs="Times New Roman"/>
          <w:color w:val="000000"/>
          <w:spacing w:val="0"/>
          <w:w w:val="100"/>
          <w:position w:val="0"/>
        </w:rPr>
        <w:t>2020</w:t>
      </w:r>
      <w:r>
        <w:rPr>
          <w:color w:val="000000"/>
          <w:spacing w:val="0"/>
          <w:w w:val="100"/>
          <w:position w:val="0"/>
        </w:rPr>
        <w:t>年，公司区块链成功入选国家互联网信息办公室第三批境 内区块链信息服务备案，公司中标国家工业和信息化部工业互联网创新发展工程区块链公共服务平台项 目。目前，公司区块链已在工业互联网、海关、首都机场、北京舞蹈学院等场景下开展应用。</w:t>
      </w:r>
      <w:r>
        <w:rPr>
          <w:rFonts w:ascii="Times New Roman" w:eastAsia="Times New Roman" w:hAnsi="Times New Roman" w:cs="Times New Roman"/>
          <w:color w:val="000000"/>
          <w:spacing w:val="0"/>
          <w:w w:val="100"/>
          <w:position w:val="0"/>
        </w:rPr>
        <w:t>2020</w:t>
      </w:r>
      <w:r>
        <w:rPr>
          <w:color w:val="000000"/>
          <w:spacing w:val="0"/>
          <w:w w:val="100"/>
          <w:position w:val="0"/>
        </w:rPr>
        <w:t>年公司 重点研发区块链</w:t>
      </w:r>
      <w:r>
        <w:rPr>
          <w:rFonts w:ascii="Times New Roman" w:eastAsia="Times New Roman" w:hAnsi="Times New Roman" w:cs="Times New Roman"/>
          <w:color w:val="000000"/>
          <w:spacing w:val="0"/>
          <w:w w:val="100"/>
          <w:position w:val="0"/>
        </w:rPr>
        <w:t xml:space="preserve">BaaS </w:t>
      </w:r>
      <w:r>
        <w:rPr>
          <w:color w:val="000000"/>
          <w:spacing w:val="0"/>
          <w:w w:val="100"/>
          <w:position w:val="0"/>
        </w:rPr>
        <w:t>（区块链即服务）服务平台并将在未来持续研发升级和应用推广，</w:t>
      </w:r>
      <w:r>
        <w:rPr>
          <w:rFonts w:ascii="Times New Roman" w:eastAsia="Times New Roman" w:hAnsi="Times New Roman" w:cs="Times New Roman"/>
          <w:color w:val="000000"/>
          <w:spacing w:val="0"/>
          <w:w w:val="100"/>
          <w:position w:val="0"/>
        </w:rPr>
        <w:t>BaaS</w:t>
      </w:r>
      <w:r>
        <w:rPr>
          <w:color w:val="000000"/>
          <w:spacing w:val="0"/>
          <w:w w:val="100"/>
          <w:position w:val="0"/>
        </w:rPr>
        <w:t xml:space="preserve">服务平台为搭 </w:t>
      </w:r>
      <w:r>
        <w:rPr>
          <w:color w:val="000000"/>
          <w:spacing w:val="0"/>
          <w:w w:val="100"/>
          <w:position w:val="0"/>
        </w:rPr>
        <w:t>建高性能、高可用和高安全的区块链商业应用的底层平台，可以帮助企业和开发人员快速、低成本的创建、 部署和管理区块链应用，体现了公司在区块链技术方面的核心竞争力。</w:t>
      </w:r>
    </w:p>
    <w:p>
      <w:pPr>
        <w:pStyle w:val="Style25"/>
        <w:keepNext w:val="0"/>
        <w:keepLines w:val="0"/>
        <w:widowControl w:val="0"/>
        <w:numPr>
          <w:ilvl w:val="0"/>
          <w:numId w:val="3"/>
        </w:numPr>
        <w:shd w:val="clear" w:color="auto" w:fill="auto"/>
        <w:tabs>
          <w:tab w:pos="714" w:val="left"/>
        </w:tabs>
        <w:bidi w:val="0"/>
        <w:spacing w:before="0" w:after="0"/>
        <w:ind w:left="0" w:right="0" w:firstLine="440"/>
        <w:jc w:val="left"/>
      </w:pPr>
      <w:bookmarkStart w:id="90" w:name="bookmark90"/>
      <w:bookmarkEnd w:id="90"/>
      <w:r>
        <w:rPr>
          <w:color w:val="000000"/>
          <w:spacing w:val="0"/>
          <w:w w:val="100"/>
          <w:position w:val="0"/>
        </w:rPr>
        <w:t>积极布局隐私计算的技术研发、技术储备及场景应用</w:t>
      </w:r>
    </w:p>
    <w:p>
      <w:pPr>
        <w:pStyle w:val="Style25"/>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隐私计算简称</w:t>
      </w:r>
      <w:r>
        <w:rPr>
          <w:rFonts w:ascii="Times New Roman" w:eastAsia="Times New Roman" w:hAnsi="Times New Roman" w:cs="Times New Roman"/>
          <w:color w:val="000000"/>
          <w:spacing w:val="0"/>
          <w:w w:val="100"/>
          <w:position w:val="0"/>
        </w:rPr>
        <w:t>MPC</w:t>
      </w:r>
      <w:r>
        <w:rPr>
          <w:color w:val="000000"/>
          <w:spacing w:val="0"/>
          <w:w w:val="100"/>
          <w:position w:val="0"/>
        </w:rPr>
        <w:t>，</w:t>
      </w:r>
      <w:r>
        <w:rPr>
          <w:color w:val="000000"/>
          <w:spacing w:val="0"/>
          <w:w w:val="100"/>
          <w:position w:val="0"/>
        </w:rPr>
        <w:t>旨在解决在一些互不信任的参与方之间联合计算一个函数的问题。它能够使多个 数据所有者在彼此不信任的情况下执行协同计算，输出计算结果，并确保任何一方都无法获得除预期的计 算结果外的任何信息。隐私计算作为打破</w:t>
      </w:r>
      <w:r>
        <w:rPr>
          <w:rFonts w:ascii="Times New Roman" w:eastAsia="Times New Roman" w:hAnsi="Times New Roman" w:cs="Times New Roman"/>
          <w:color w:val="000000"/>
          <w:spacing w:val="0"/>
          <w:w w:val="100"/>
          <w:position w:val="0"/>
        </w:rPr>
        <w:t>“</w:t>
      </w:r>
      <w:r>
        <w:rPr>
          <w:color w:val="000000"/>
          <w:spacing w:val="0"/>
          <w:w w:val="100"/>
          <w:position w:val="0"/>
        </w:rPr>
        <w:t>数据孤岛</w:t>
      </w:r>
      <w:r>
        <w:rPr>
          <w:rFonts w:ascii="Times New Roman" w:eastAsia="Times New Roman" w:hAnsi="Times New Roman" w:cs="Times New Roman"/>
          <w:color w:val="000000"/>
          <w:spacing w:val="0"/>
          <w:w w:val="100"/>
          <w:position w:val="0"/>
        </w:rPr>
        <w:t>''</w:t>
      </w:r>
      <w:r>
        <w:rPr>
          <w:color w:val="000000"/>
          <w:spacing w:val="0"/>
          <w:w w:val="100"/>
          <w:position w:val="0"/>
        </w:rPr>
        <w:t>的利器，是保证数据作为生产要素的重要技术前提。 隐私计算涵盖多方安全计算、联邦学习、可信执行性环境等多个技术路线。</w:t>
      </w:r>
      <w:r>
        <w:rPr>
          <w:rFonts w:ascii="Times New Roman" w:eastAsia="Times New Roman" w:hAnsi="Times New Roman" w:cs="Times New Roman"/>
          <w:color w:val="000000"/>
          <w:spacing w:val="0"/>
          <w:w w:val="100"/>
          <w:position w:val="0"/>
        </w:rPr>
        <w:t>2020</w:t>
      </w:r>
      <w:r>
        <w:rPr>
          <w:color w:val="000000"/>
          <w:spacing w:val="0"/>
          <w:w w:val="100"/>
          <w:position w:val="0"/>
        </w:rPr>
        <w:t>年，公司积极布局隐私计 算领域的的技术研发、技术储备及场景应用，致力于开发和建立一整套具有完全自主知识产权的、世界领 先的多方数据安全融合与计算的技术、标准和基础设施。目前公司已经取得了多项计算机软件著作权并申 请专利技术。隐私计算业务场景涵盖金融、海关、运营商、政务、医疗、司法监管、工业互联网等，结合 公司在金融行业的开放银行服务，公司隐私计算技术将在开放银行领域率先推进，旨在解决数据隐私保护 和数据联合风控等实际问题。</w:t>
      </w:r>
    </w:p>
    <w:p>
      <w:pPr>
        <w:pStyle w:val="Style25"/>
        <w:keepNext w:val="0"/>
        <w:keepLines w:val="0"/>
        <w:widowControl w:val="0"/>
        <w:numPr>
          <w:ilvl w:val="0"/>
          <w:numId w:val="3"/>
        </w:numPr>
        <w:shd w:val="clear" w:color="auto" w:fill="auto"/>
        <w:bidi w:val="0"/>
        <w:spacing w:before="0" w:after="0"/>
        <w:ind w:left="0" w:right="0" w:firstLine="440"/>
        <w:jc w:val="both"/>
      </w:pPr>
      <w:bookmarkStart w:id="91" w:name="bookmark91"/>
      <w:bookmarkEnd w:id="91"/>
      <w:r>
        <w:rPr>
          <w:rFonts w:ascii="Times New Roman" w:eastAsia="Times New Roman" w:hAnsi="Times New Roman" w:cs="Times New Roman"/>
          <w:color w:val="000000"/>
          <w:spacing w:val="0"/>
          <w:w w:val="100"/>
          <w:position w:val="0"/>
        </w:rPr>
        <w:t xml:space="preserve"> </w:t>
      </w:r>
      <w:r>
        <w:rPr>
          <w:color w:val="000000"/>
          <w:spacing w:val="0"/>
          <w:w w:val="100"/>
          <w:position w:val="0"/>
        </w:rPr>
        <w:t>持续推进技术创新，</w:t>
      </w:r>
      <w:r>
        <w:rPr>
          <w:rFonts w:ascii="Times New Roman" w:eastAsia="Times New Roman" w:hAnsi="Times New Roman" w:cs="Times New Roman"/>
          <w:color w:val="000000"/>
          <w:spacing w:val="0"/>
          <w:w w:val="100"/>
          <w:position w:val="0"/>
        </w:rPr>
        <w:t>SINORPA</w:t>
      </w:r>
      <w:r>
        <w:rPr>
          <w:color w:val="000000"/>
          <w:spacing w:val="0"/>
          <w:w w:val="100"/>
          <w:position w:val="0"/>
        </w:rPr>
        <w:t>系列产品已在多地上线运营</w:t>
      </w:r>
    </w:p>
    <w:p>
      <w:pPr>
        <w:pStyle w:val="Style25"/>
        <w:keepNext w:val="0"/>
        <w:keepLines w:val="0"/>
        <w:widowControl w:val="0"/>
        <w:shd w:val="clear" w:color="auto" w:fill="auto"/>
        <w:bidi w:val="0"/>
        <w:spacing w:before="0" w:after="24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年，公司继续推进技术创新，以人工智能和</w:t>
      </w:r>
      <w:r>
        <w:rPr>
          <w:rFonts w:ascii="Times New Roman" w:eastAsia="Times New Roman" w:hAnsi="Times New Roman" w:cs="Times New Roman"/>
          <w:color w:val="000000"/>
          <w:spacing w:val="0"/>
          <w:w w:val="100"/>
          <w:position w:val="0"/>
        </w:rPr>
        <w:t>RPA</w:t>
      </w:r>
      <w:r>
        <w:rPr>
          <w:rFonts w:ascii="Times New Roman" w:eastAsia="Times New Roman" w:hAnsi="Times New Roman" w:cs="Times New Roman"/>
          <w:color w:val="000000"/>
          <w:spacing w:val="0"/>
          <w:w w:val="100"/>
          <w:position w:val="0"/>
        </w:rPr>
        <w:t>（</w:t>
      </w:r>
      <w:r>
        <w:rPr>
          <w:color w:val="000000"/>
          <w:spacing w:val="0"/>
          <w:w w:val="100"/>
          <w:position w:val="0"/>
        </w:rPr>
        <w:t>机器人流程自动化</w:t>
      </w:r>
      <w:r>
        <w:rPr>
          <w:rFonts w:ascii="Times New Roman" w:eastAsia="Times New Roman" w:hAnsi="Times New Roman" w:cs="Times New Roman"/>
          <w:color w:val="000000"/>
          <w:spacing w:val="0"/>
          <w:w w:val="100"/>
          <w:position w:val="0"/>
        </w:rPr>
        <w:t>）</w:t>
      </w:r>
      <w:r>
        <w:rPr>
          <w:color w:val="000000"/>
          <w:spacing w:val="0"/>
          <w:w w:val="100"/>
          <w:position w:val="0"/>
        </w:rPr>
        <w:t>技术为基础，运用中科金财 自主知识产权的</w:t>
      </w:r>
      <w:r>
        <w:rPr>
          <w:rFonts w:ascii="Times New Roman" w:eastAsia="Times New Roman" w:hAnsi="Times New Roman" w:cs="Times New Roman"/>
          <w:color w:val="000000"/>
          <w:spacing w:val="0"/>
          <w:w w:val="100"/>
          <w:position w:val="0"/>
        </w:rPr>
        <w:t>SINORPA</w:t>
      </w:r>
      <w:r>
        <w:rPr>
          <w:color w:val="000000"/>
          <w:spacing w:val="0"/>
          <w:w w:val="100"/>
          <w:position w:val="0"/>
        </w:rPr>
        <w:t>平台自主研发了</w:t>
      </w:r>
      <w:r>
        <w:rPr>
          <w:rFonts w:ascii="Times New Roman" w:eastAsia="Times New Roman" w:hAnsi="Times New Roman" w:cs="Times New Roman"/>
          <w:color w:val="000000"/>
          <w:spacing w:val="0"/>
          <w:w w:val="100"/>
          <w:position w:val="0"/>
        </w:rPr>
        <w:t>SINORPA</w:t>
      </w:r>
      <w:r>
        <w:rPr>
          <w:color w:val="000000"/>
          <w:spacing w:val="0"/>
          <w:w w:val="100"/>
          <w:position w:val="0"/>
        </w:rPr>
        <w:t>账户管理机器人、</w:t>
      </w:r>
      <w:r>
        <w:rPr>
          <w:rFonts w:ascii="Times New Roman" w:eastAsia="Times New Roman" w:hAnsi="Times New Roman" w:cs="Times New Roman"/>
          <w:color w:val="000000"/>
          <w:spacing w:val="0"/>
          <w:w w:val="100"/>
          <w:position w:val="0"/>
        </w:rPr>
        <w:t>SINORPA</w:t>
      </w:r>
      <w:r>
        <w:rPr>
          <w:color w:val="000000"/>
          <w:spacing w:val="0"/>
          <w:w w:val="100"/>
          <w:position w:val="0"/>
        </w:rPr>
        <w:t xml:space="preserve">智能跑批机器人、 </w:t>
      </w:r>
      <w:r>
        <w:rPr>
          <w:rFonts w:ascii="Times New Roman" w:eastAsia="Times New Roman" w:hAnsi="Times New Roman" w:cs="Times New Roman"/>
          <w:color w:val="000000"/>
          <w:spacing w:val="0"/>
          <w:w w:val="100"/>
          <w:position w:val="0"/>
        </w:rPr>
        <w:t>SINORPA</w:t>
      </w:r>
      <w:r>
        <w:rPr>
          <w:color w:val="000000"/>
          <w:spacing w:val="0"/>
          <w:w w:val="100"/>
          <w:position w:val="0"/>
        </w:rPr>
        <w:t>超级银企直连机器人等产品，帮助银行、企业的业务部门和科技部门对现有流程进行诊断，通过 智能软件机器人构建标准化流程解决方案，助力客户提升办公智慧化水平，进而提升工作效率、降低成本。 目前已应用在商业银行对公开户、企业账户年检、银企对账、票据查重验真等多个领域，并已在多家商业 银行和企业客户的办公环境中成功上线运营。</w:t>
      </w:r>
    </w:p>
    <w:p>
      <w:pPr>
        <w:pStyle w:val="Style25"/>
        <w:keepNext w:val="0"/>
        <w:keepLines w:val="0"/>
        <w:widowControl w:val="0"/>
        <w:numPr>
          <w:ilvl w:val="0"/>
          <w:numId w:val="3"/>
        </w:numPr>
        <w:shd w:val="clear" w:color="auto" w:fill="auto"/>
        <w:bidi w:val="0"/>
        <w:spacing w:before="0" w:after="0"/>
        <w:ind w:left="0" w:right="0" w:firstLine="440"/>
        <w:jc w:val="both"/>
      </w:pPr>
      <w:bookmarkStart w:id="92" w:name="bookmark92"/>
      <w:bookmarkEnd w:id="92"/>
      <w:r>
        <w:rPr>
          <w:rFonts w:ascii="Times New Roman" w:eastAsia="Times New Roman" w:hAnsi="Times New Roman" w:cs="Times New Roman"/>
          <w:color w:val="000000"/>
          <w:spacing w:val="0"/>
          <w:w w:val="100"/>
          <w:position w:val="0"/>
        </w:rPr>
        <w:t xml:space="preserve"> </w:t>
      </w:r>
      <w:r>
        <w:rPr>
          <w:color w:val="000000"/>
          <w:spacing w:val="0"/>
          <w:w w:val="100"/>
          <w:position w:val="0"/>
        </w:rPr>
        <w:t>进一步夯实优势业务，增强客户粘性</w:t>
      </w:r>
    </w:p>
    <w:p>
      <w:pPr>
        <w:pStyle w:val="Style25"/>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公司积极探索、研究、推进区块链、隐私计算、数字货币、开放银行、数字化转型等创新业务，解决 传统客户新需求、拓展新业务，进一步夯实公司传统领域的优势业务。深入了解挖掘现有客户需求，利用 公司长年的技术和经验的积累对客户的需求加以引领、合理规划，引导客户形成及完善新的需求，以获取 继续与客户进行深入合作的机会，增强客户粘性。公司依托长年扎根金融、政府与公共事业、企业业务领 域所积累的丰富专业经验和优质客户资源，进一步打造价值共享的产业互联网科技赋能平台，将公司在客 户资源、技术实力、经营管理等领域的能力向产业链上下游合作伙伴开放，推出高附加值和客户粘性的服 务和产品。</w:t>
      </w:r>
    </w:p>
    <w:p>
      <w:pPr>
        <w:pStyle w:val="Style25"/>
        <w:keepNext w:val="0"/>
        <w:keepLines w:val="0"/>
        <w:widowControl w:val="0"/>
        <w:numPr>
          <w:ilvl w:val="0"/>
          <w:numId w:val="3"/>
        </w:numPr>
        <w:shd w:val="clear" w:color="auto" w:fill="auto"/>
        <w:tabs>
          <w:tab w:pos="710" w:val="left"/>
        </w:tabs>
        <w:bidi w:val="0"/>
        <w:spacing w:before="0" w:after="0"/>
        <w:ind w:left="0" w:right="0" w:firstLine="440"/>
        <w:jc w:val="both"/>
      </w:pPr>
      <w:bookmarkStart w:id="93" w:name="bookmark93"/>
      <w:bookmarkEnd w:id="93"/>
      <w:r>
        <w:rPr>
          <w:color w:val="000000"/>
          <w:spacing w:val="0"/>
          <w:w w:val="100"/>
          <w:position w:val="0"/>
        </w:rPr>
        <w:t>企业文化深入一线，增强公司组织能力</w:t>
      </w:r>
    </w:p>
    <w:p>
      <w:pPr>
        <w:pStyle w:val="Style25"/>
        <w:keepNext w:val="0"/>
        <w:keepLines w:val="0"/>
        <w:widowControl w:val="0"/>
        <w:shd w:val="clear" w:color="auto" w:fill="auto"/>
        <w:bidi w:val="0"/>
        <w:spacing w:before="0" w:after="42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年，公司在企业文化建设和经营人才培养方面持续投入，举办多场品牌文化活动、总裁训练营、 总裁交流、年陈文化活动，持续增强公司组织能力；党建方面，支部积极开展了多项主题活动，为公司的 </w:t>
      </w:r>
      <w:r>
        <w:rPr>
          <w:color w:val="000000"/>
          <w:spacing w:val="0"/>
          <w:w w:val="100"/>
          <w:position w:val="0"/>
        </w:rPr>
        <w:t>企业文化注入了新活力，发挥党员的先锋模范作用，进一步加强了管理人员领导能力建设，提升了员工的 凝聚力和公司竞争力，推进党建工作和企业经营深度融合。</w:t>
      </w:r>
    </w:p>
    <w:p>
      <w:pPr>
        <w:pStyle w:val="Style23"/>
        <w:keepNext/>
        <w:keepLines/>
        <w:widowControl w:val="0"/>
        <w:shd w:val="clear" w:color="auto" w:fill="auto"/>
        <w:bidi w:val="0"/>
        <w:spacing w:before="0" w:after="380" w:line="240" w:lineRule="auto"/>
        <w:ind w:left="0" w:right="0" w:firstLine="0"/>
        <w:jc w:val="both"/>
      </w:pPr>
      <w:bookmarkStart w:id="94" w:name="bookmark94"/>
      <w:bookmarkStart w:id="95" w:name="bookmark95"/>
      <w:bookmarkStart w:id="96" w:name="bookmark96"/>
      <w:bookmarkStart w:id="97" w:name="bookmark97"/>
      <w:r>
        <w:rPr>
          <w:color w:val="000000"/>
          <w:spacing w:val="0"/>
          <w:w w:val="100"/>
          <w:position w:val="0"/>
          <w:sz w:val="24"/>
          <w:szCs w:val="24"/>
        </w:rPr>
        <w:t>二</w:t>
      </w:r>
      <w:bookmarkEnd w:id="96"/>
      <w:r>
        <w:rPr>
          <w:color w:val="000000"/>
          <w:spacing w:val="0"/>
          <w:w w:val="100"/>
          <w:position w:val="0"/>
          <w:sz w:val="24"/>
          <w:szCs w:val="24"/>
        </w:rPr>
        <w:t>、主营业务分析</w:t>
      </w:r>
      <w:bookmarkEnd w:id="94"/>
      <w:bookmarkEnd w:id="95"/>
      <w:bookmarkEnd w:id="97"/>
    </w:p>
    <w:p>
      <w:pPr>
        <w:pStyle w:val="Style31"/>
        <w:keepNext/>
        <w:keepLines/>
        <w:widowControl w:val="0"/>
        <w:shd w:val="clear" w:color="auto" w:fill="auto"/>
        <w:tabs>
          <w:tab w:pos="368" w:val="left"/>
        </w:tabs>
        <w:bidi w:val="0"/>
        <w:spacing w:before="0" w:after="0" w:line="480" w:lineRule="auto"/>
        <w:ind w:left="0" w:right="0" w:firstLine="0"/>
        <w:jc w:val="both"/>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1</w:t>
      </w:r>
      <w:bookmarkEnd w:id="100"/>
      <w:r>
        <w:rPr>
          <w:color w:val="000000"/>
          <w:spacing w:val="0"/>
          <w:w w:val="100"/>
          <w:position w:val="0"/>
        </w:rPr>
        <w:t>、</w:t>
        <w:tab/>
        <w:t>概述</w:t>
      </w:r>
      <w:bookmarkEnd w:id="101"/>
      <w:bookmarkEnd w:id="98"/>
      <w:bookmarkEnd w:id="99"/>
    </w:p>
    <w:p>
      <w:pPr>
        <w:pStyle w:val="Style25"/>
        <w:keepNext w:val="0"/>
        <w:keepLines w:val="0"/>
        <w:widowControl w:val="0"/>
        <w:shd w:val="clear" w:color="auto" w:fill="auto"/>
        <w:bidi w:val="0"/>
        <w:spacing w:before="0" w:after="380" w:line="466" w:lineRule="exact"/>
        <w:ind w:left="0" w:right="0" w:firstLine="0"/>
        <w:jc w:val="both"/>
        <w:rPr>
          <w:sz w:val="19"/>
          <w:szCs w:val="19"/>
        </w:rPr>
      </w:pPr>
      <w:r>
        <w:rPr>
          <w:color w:val="000000"/>
          <w:spacing w:val="0"/>
          <w:w w:val="100"/>
          <w:position w:val="0"/>
          <w:sz w:val="19"/>
          <w:szCs w:val="19"/>
        </w:rPr>
        <w:t>参见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经营情况讨论与分析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中的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一、概述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相关内容。</w:t>
      </w:r>
    </w:p>
    <w:p>
      <w:pPr>
        <w:pStyle w:val="Style31"/>
        <w:keepNext/>
        <w:keepLines/>
        <w:widowControl w:val="0"/>
        <w:shd w:val="clear" w:color="auto" w:fill="auto"/>
        <w:tabs>
          <w:tab w:pos="378" w:val="left"/>
        </w:tabs>
        <w:bidi w:val="0"/>
        <w:spacing w:before="0" w:after="0" w:line="480" w:lineRule="auto"/>
        <w:ind w:left="0" w:right="0" w:firstLine="0"/>
        <w:jc w:val="both"/>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2</w:t>
      </w:r>
      <w:bookmarkEnd w:id="104"/>
      <w:r>
        <w:rPr>
          <w:color w:val="000000"/>
          <w:spacing w:val="0"/>
          <w:w w:val="100"/>
          <w:position w:val="0"/>
        </w:rPr>
        <w:t>、</w:t>
        <w:tab/>
        <w:t>收入与成本</w:t>
      </w:r>
      <w:bookmarkEnd w:id="102"/>
      <w:bookmarkEnd w:id="103"/>
      <w:bookmarkEnd w:id="105"/>
    </w:p>
    <w:p>
      <w:pPr>
        <w:pStyle w:val="Style37"/>
        <w:keepNext/>
        <w:keepLines/>
        <w:widowControl w:val="0"/>
        <w:shd w:val="clear" w:color="auto" w:fill="auto"/>
        <w:bidi w:val="0"/>
        <w:spacing w:before="0" w:after="380" w:line="466" w:lineRule="exact"/>
        <w:ind w:left="0" w:right="0" w:firstLine="0"/>
        <w:jc w:val="both"/>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6"/>
      <w:bookmarkEnd w:id="107"/>
      <w:bookmarkEnd w:id="10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1,758,402,676.54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1,672,394,416.43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873,094,368.01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634,538,334.73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政府与公共事业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308,832,575.93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592,731,761.98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576,475,732.60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445,124,319.72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金融科技综合服务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886,179,296.23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643,520,055.99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数据中心综合服务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842,219,490.61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982,243,377.03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30,003,889.70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46,630,983.41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1,371,850,797.80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1,203,850,935.66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386,551,878.74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468,543,480.77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w:t>
            </w:r>
          </w:p>
        </w:tc>
      </w:tr>
    </w:tbl>
    <w:p>
      <w:pPr>
        <w:pStyle w:val="Style25"/>
        <w:keepNext w:val="0"/>
        <w:keepLines w:val="0"/>
        <w:widowControl w:val="0"/>
        <w:shd w:val="clear" w:color="auto" w:fill="auto"/>
        <w:bidi w:val="0"/>
        <w:spacing w:before="0" w:line="326" w:lineRule="exact"/>
        <w:ind w:left="0" w:right="0" w:firstLine="0"/>
        <w:jc w:val="both"/>
        <w:rPr>
          <w:sz w:val="19"/>
          <w:szCs w:val="19"/>
        </w:rPr>
      </w:pPr>
      <w:r>
        <w:rPr>
          <w:color w:val="000000"/>
          <w:spacing w:val="0"/>
          <w:w w:val="100"/>
          <w:position w:val="0"/>
          <w:sz w:val="19"/>
          <w:szCs w:val="19"/>
        </w:rPr>
        <w:t>公司需遵守《深圳证券交易所行业信息披露指引第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号——上市公司从事软件与信息技术服务业务》的披露要 求</w:t>
      </w:r>
    </w:p>
    <w:p>
      <w:pPr>
        <w:pStyle w:val="Style40"/>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第四季度</w:t>
            </w: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158,128,017.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266,804,445.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366,833,153.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966,637,060.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264,278,507.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359,456,292.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331,684,721.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716,974,894.</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 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-20,412,813.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-5,741,365.6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41,608,272.5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97,845,085.7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-1,785,422.6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4,338,875.85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-382,240,50</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rPr>
          <w:sz w:val="19"/>
          <w:szCs w:val="19"/>
        </w:rPr>
      </w:pPr>
      <w:r>
        <w:rPr>
          <w:color w:val="000000"/>
          <w:spacing w:val="0"/>
          <w:w w:val="100"/>
          <w:position w:val="0"/>
          <w:sz w:val="19"/>
          <w:szCs w:val="19"/>
        </w:rPr>
        <w:t>说明经营季节性（或周期性）发生的原因及波动风险</w:t>
      </w:r>
    </w:p>
    <w:p>
      <w:pPr>
        <w:pStyle w:val="Style2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公司主营业务经营具有一定的季节性特征。公司的金融科技综合服务和数据中心综合服务业务主要面 向金融机构、政府与公共事业和企业客户，该类客户大多执行预算决算体质，其预算、立项、招标、采购 和实施都有明显的季节性特征，尤其是第四季度业务收入高于前三季度。总体上看，公司经营既有一定的 季节性特征，主营业务收入第四季度相对集中，全年收入分布不均衡，存在业绩季节性波动的风险。</w:t>
      </w:r>
    </w:p>
    <w:p>
      <w:pPr>
        <w:pStyle w:val="Style37"/>
        <w:keepNext/>
        <w:keepLines/>
        <w:widowControl w:val="0"/>
        <w:shd w:val="clear" w:color="auto" w:fill="auto"/>
        <w:bidi w:val="0"/>
        <w:spacing w:before="0" w:after="380" w:line="467" w:lineRule="exact"/>
        <w:ind w:left="0" w:right="0" w:firstLine="0"/>
        <w:jc w:val="both"/>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0"/>
      <w:bookmarkEnd w:id="111"/>
      <w:bookmarkEnd w:id="113"/>
    </w:p>
    <w:p>
      <w:pPr>
        <w:pStyle w:val="Style25"/>
        <w:keepNext w:val="0"/>
        <w:keepLines w:val="0"/>
        <w:widowControl w:val="0"/>
        <w:shd w:val="clear" w:color="auto" w:fill="auto"/>
        <w:bidi w:val="0"/>
        <w:spacing w:before="0" w:after="0" w:line="341"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25"/>
        <w:keepNext w:val="0"/>
        <w:keepLines w:val="0"/>
        <w:widowControl w:val="0"/>
        <w:shd w:val="clear" w:color="auto" w:fill="auto"/>
        <w:bidi w:val="0"/>
        <w:spacing w:before="0" w:after="120" w:line="326" w:lineRule="exact"/>
        <w:ind w:left="0" w:right="0" w:firstLine="0"/>
        <w:jc w:val="both"/>
        <w:rPr>
          <w:sz w:val="19"/>
          <w:szCs w:val="19"/>
        </w:rPr>
      </w:pPr>
      <w:r>
        <w:rPr>
          <w:color w:val="000000"/>
          <w:spacing w:val="0"/>
          <w:w w:val="100"/>
          <w:position w:val="0"/>
          <w:sz w:val="19"/>
          <w:szCs w:val="19"/>
        </w:rPr>
        <w:t>公司需遵守《深圳证券交易所行业信息披露指引第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号——上市公司从事软件与信息技术服务业务》的披露要 求</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873,094,368.01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711,889,748.88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政府与公共事业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308,832,575.94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254,578,705.97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576,475,732.60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522,406,633.75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金融科技综合服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886,179,296.23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722,766,085.23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数据中心综合服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842,219,490.61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738,645,306.84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1,371,850,797.80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1,169,940,642.13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386,551,878.75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318,934,446.47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bl>
    <w:p>
      <w:pPr>
        <w:pStyle w:val="Style25"/>
        <w:keepNext w:val="0"/>
        <w:keepLines w:val="0"/>
        <w:widowControl w:val="0"/>
        <w:shd w:val="clear" w:color="auto" w:fill="auto"/>
        <w:bidi w:val="0"/>
        <w:spacing w:before="0" w:after="240" w:line="350" w:lineRule="exact"/>
        <w:ind w:left="0" w:right="0" w:firstLine="0"/>
        <w:jc w:val="both"/>
        <w:rPr>
          <w:sz w:val="19"/>
          <w:szCs w:val="19"/>
        </w:rPr>
      </w:pPr>
      <w:r>
        <w:rPr>
          <w:color w:val="000000"/>
          <w:spacing w:val="0"/>
          <w:w w:val="100"/>
          <w:position w:val="0"/>
          <w:sz w:val="19"/>
          <w:szCs w:val="19"/>
        </w:rPr>
        <w:t>公司主营业务数据统计口径在报告期发生调整的情况下，公司最近</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 xml:space="preserve">年按报告期末口径调整后的主营业务数据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37"/>
        <w:keepNext/>
        <w:keepLines/>
        <w:widowControl w:val="0"/>
        <w:shd w:val="clear" w:color="auto" w:fill="auto"/>
        <w:tabs>
          <w:tab w:pos="493" w:val="left"/>
        </w:tabs>
        <w:bidi w:val="0"/>
        <w:spacing w:before="0" w:after="240" w:line="350" w:lineRule="exact"/>
        <w:ind w:left="0" w:right="0" w:firstLine="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4"/>
      <w:bookmarkEnd w:id="115"/>
      <w:bookmarkEnd w:id="117"/>
    </w:p>
    <w:p>
      <w:pPr>
        <w:pStyle w:val="Style25"/>
        <w:keepNext w:val="0"/>
        <w:keepLines w:val="0"/>
        <w:widowControl w:val="0"/>
        <w:shd w:val="clear" w:color="auto" w:fill="auto"/>
        <w:bidi w:val="0"/>
        <w:spacing w:before="0" w:after="240" w:line="350" w:lineRule="exact"/>
        <w:ind w:left="0" w:right="0" w:firstLine="0"/>
        <w:jc w:val="both"/>
        <w:rPr>
          <w:sz w:val="19"/>
          <w:szCs w:val="19"/>
        </w:rPr>
      </w:pPr>
      <w:r>
        <w:rPr>
          <w:color w:val="000000"/>
          <w:spacing w:val="0"/>
          <w:w w:val="100"/>
          <w:position w:val="0"/>
          <w:sz w:val="20"/>
          <w:szCs w:val="20"/>
        </w:rPr>
        <w:t>口</w:t>
      </w:r>
      <w:r>
        <w:rPr>
          <w:color w:val="000000"/>
          <w:spacing w:val="0"/>
          <w:w w:val="100"/>
          <w:position w:val="0"/>
          <w:sz w:val="19"/>
          <w:szCs w:val="19"/>
        </w:rPr>
        <w:t>是</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否</w:t>
      </w:r>
    </w:p>
    <w:p>
      <w:pPr>
        <w:pStyle w:val="Style37"/>
        <w:keepNext/>
        <w:keepLines/>
        <w:widowControl w:val="0"/>
        <w:shd w:val="clear" w:color="auto" w:fill="auto"/>
        <w:tabs>
          <w:tab w:pos="493" w:val="left"/>
        </w:tabs>
        <w:bidi w:val="0"/>
        <w:spacing w:before="0" w:after="380" w:line="350" w:lineRule="exact"/>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8"/>
      <w:bookmarkEnd w:id="119"/>
      <w:bookmarkEnd w:id="121"/>
    </w:p>
    <w:p>
      <w:pPr>
        <w:pStyle w:val="Style25"/>
        <w:keepNext w:val="0"/>
        <w:keepLines w:val="0"/>
        <w:widowControl w:val="0"/>
        <w:shd w:val="clear" w:color="auto" w:fill="auto"/>
        <w:bidi w:val="0"/>
        <w:spacing w:before="0" w:after="120" w:line="36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37"/>
        <w:keepNext/>
        <w:keepLines/>
        <w:widowControl w:val="0"/>
        <w:shd w:val="clear" w:color="auto" w:fill="auto"/>
        <w:tabs>
          <w:tab w:pos="493" w:val="left"/>
        </w:tabs>
        <w:bidi w:val="0"/>
        <w:spacing w:before="0" w:after="380" w:line="350" w:lineRule="exact"/>
        <w:ind w:left="0" w:right="0" w:firstLine="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2"/>
      <w:bookmarkEnd w:id="123"/>
      <w:bookmarkEnd w:id="125"/>
    </w:p>
    <w:p>
      <w:pPr>
        <w:pStyle w:val="Style25"/>
        <w:keepNext w:val="0"/>
        <w:keepLines w:val="0"/>
        <w:widowControl w:val="0"/>
        <w:shd w:val="clear" w:color="auto" w:fill="auto"/>
        <w:bidi w:val="0"/>
        <w:spacing w:before="0" w:after="240" w:line="240" w:lineRule="auto"/>
        <w:ind w:left="0" w:right="0" w:firstLine="0"/>
        <w:jc w:val="both"/>
        <w:rPr>
          <w:sz w:val="19"/>
          <w:szCs w:val="19"/>
        </w:rPr>
      </w:pPr>
      <w:r>
        <w:rPr>
          <w:color w:val="000000"/>
          <w:spacing w:val="0"/>
          <w:w w:val="100"/>
          <w:position w:val="0"/>
          <w:sz w:val="19"/>
          <w:szCs w:val="19"/>
        </w:rPr>
        <w:t>行业和产品分类</w:t>
      </w:r>
      <w:r>
        <w:br w:type="page"/>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711,889,748.88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497,815,996.51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政府与公共事业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254,578,705.97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530,427,472.23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商品及服务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522,406,633.75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407,127,124.12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w:t>
            </w:r>
          </w:p>
        </w:tc>
      </w:tr>
    </w:tbl>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金融科技综合服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722,766,085.20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511,399,341.61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数据中心综合服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738,645,306.84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875,093,833.68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商品及服务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27,463,696.53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48,877,417.57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说明</w:t>
      </w: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无</w:t>
      </w: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公司需遵守《深圳证券交易所行业信息披露指引第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号——上市公司从事软件与信息技术服务业务》的披露要</w:t>
      </w: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求</w:t>
      </w: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主营业务成本构成</w:t>
      </w: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商品及服务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1,461,411,392.07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1,386,493,175.29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r>
    </w:tbl>
    <w:p>
      <w:pPr>
        <w:widowControl w:val="0"/>
        <w:spacing w:after="99" w:line="1" w:lineRule="exact"/>
      </w:pPr>
    </w:p>
    <w:p>
      <w:pPr>
        <w:pStyle w:val="Style37"/>
        <w:keepNext/>
        <w:keepLines/>
        <w:widowControl w:val="0"/>
        <w:shd w:val="clear" w:color="auto" w:fill="auto"/>
        <w:tabs>
          <w:tab w:pos="493" w:val="left"/>
        </w:tabs>
        <w:bidi w:val="0"/>
        <w:spacing w:before="0" w:line="470" w:lineRule="exact"/>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6"/>
      <w:bookmarkEnd w:id="127"/>
      <w:bookmarkEnd w:id="129"/>
    </w:p>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是</w:t>
      </w:r>
      <w:r>
        <w:rPr>
          <w:color w:val="000000"/>
          <w:spacing w:val="0"/>
          <w:w w:val="100"/>
          <w:position w:val="0"/>
          <w:sz w:val="20"/>
          <w:szCs w:val="20"/>
        </w:rPr>
        <w:t>口</w:t>
      </w:r>
      <w:r>
        <w:rPr>
          <w:color w:val="000000"/>
          <w:spacing w:val="0"/>
          <w:w w:val="100"/>
          <w:position w:val="0"/>
          <w:sz w:val="19"/>
          <w:szCs w:val="19"/>
        </w:rPr>
        <w:t>否</w:t>
      </w:r>
    </w:p>
    <w:p>
      <w:pPr>
        <w:pStyle w:val="Style25"/>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本年与上年比较减少合并单位</w:t>
      </w:r>
      <w:r>
        <w:rPr>
          <w:rFonts w:ascii="Times New Roman" w:eastAsia="Times New Roman" w:hAnsi="Times New Roman" w:cs="Times New Roman"/>
          <w:color w:val="000000"/>
          <w:spacing w:val="0"/>
          <w:w w:val="100"/>
          <w:position w:val="0"/>
        </w:rPr>
        <w:t>1</w:t>
      </w:r>
      <w:r>
        <w:rPr>
          <w:color w:val="000000"/>
          <w:spacing w:val="0"/>
          <w:w w:val="100"/>
          <w:position w:val="0"/>
        </w:rPr>
        <w:t>家，增加</w:t>
      </w:r>
      <w:r>
        <w:rPr>
          <w:rFonts w:ascii="Times New Roman" w:eastAsia="Times New Roman" w:hAnsi="Times New Roman" w:cs="Times New Roman"/>
          <w:color w:val="000000"/>
          <w:spacing w:val="0"/>
          <w:w w:val="100"/>
          <w:position w:val="0"/>
        </w:rPr>
        <w:t>1</w:t>
      </w:r>
      <w:r>
        <w:rPr>
          <w:color w:val="000000"/>
          <w:spacing w:val="0"/>
          <w:w w:val="100"/>
          <w:position w:val="0"/>
        </w:rPr>
        <w:t>家。报告期内因撤资减少北京国信金泽投资中心（有限合伙）。 报告期内因投资设立增加杭州中科金财科技有限公司。</w:t>
      </w:r>
    </w:p>
    <w:p>
      <w:pPr>
        <w:pStyle w:val="Style37"/>
        <w:keepNext/>
        <w:keepLines/>
        <w:widowControl w:val="0"/>
        <w:shd w:val="clear" w:color="auto" w:fill="auto"/>
        <w:tabs>
          <w:tab w:pos="493" w:val="left"/>
        </w:tabs>
        <w:bidi w:val="0"/>
        <w:spacing w:before="0" w:after="100" w:line="470" w:lineRule="exact"/>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0"/>
      <w:bookmarkEnd w:id="131"/>
      <w:bookmarkEnd w:id="133"/>
    </w:p>
    <w:p>
      <w:pPr>
        <w:pStyle w:val="Style25"/>
        <w:keepNext w:val="0"/>
        <w:keepLines w:val="0"/>
        <w:widowControl w:val="0"/>
        <w:shd w:val="clear" w:color="auto" w:fill="auto"/>
        <w:bidi w:val="0"/>
        <w:spacing w:before="0" w:after="100" w:line="470"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37"/>
        <w:keepNext/>
        <w:keepLines/>
        <w:widowControl w:val="0"/>
        <w:shd w:val="clear" w:color="auto" w:fill="auto"/>
        <w:tabs>
          <w:tab w:pos="493" w:val="left"/>
        </w:tabs>
        <w:bidi w:val="0"/>
        <w:spacing w:before="0" w:after="100" w:line="470" w:lineRule="exact"/>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4"/>
      <w:bookmarkEnd w:id="135"/>
      <w:bookmarkEnd w:id="137"/>
    </w:p>
    <w:p>
      <w:pPr>
        <w:pStyle w:val="Style25"/>
        <w:keepNext w:val="0"/>
        <w:keepLines w:val="0"/>
        <w:widowControl w:val="0"/>
        <w:shd w:val="clear" w:color="auto" w:fill="auto"/>
        <w:bidi w:val="0"/>
        <w:spacing w:before="0" w:after="100" w:line="470" w:lineRule="exact"/>
        <w:ind w:left="0" w:right="0" w:firstLine="0"/>
        <w:jc w:val="left"/>
        <w:rPr>
          <w:sz w:val="19"/>
          <w:szCs w:val="19"/>
        </w:rPr>
      </w:pPr>
      <w:r>
        <w:rPr>
          <w:color w:val="000000"/>
          <w:spacing w:val="0"/>
          <w:w w:val="100"/>
          <w:position w:val="0"/>
          <w:sz w:val="19"/>
          <w:szCs w:val="19"/>
        </w:rPr>
        <w:t>公司主要销售客户情况</w:t>
      </w: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489,822,337.72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25"/>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公司前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大客户资料</w:t>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181,804,571.22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179,442,755.78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56,255,299.22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39,217,548.15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33,102,163.35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489,822,337.72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27.86%</w:t>
            </w:r>
          </w:p>
        </w:tc>
      </w:tr>
    </w:tbl>
    <w:p>
      <w:pPr>
        <w:widowControl w:val="0"/>
        <w:spacing w:after="59" w:line="1" w:lineRule="exact"/>
      </w:pPr>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主要客户其他情况说明</w:t>
      </w:r>
    </w:p>
    <w:p>
      <w:pPr>
        <w:pStyle w:val="Style25"/>
        <w:keepNext w:val="0"/>
        <w:keepLines w:val="0"/>
        <w:widowControl w:val="0"/>
        <w:shd w:val="clear" w:color="auto" w:fill="auto"/>
        <w:bidi w:val="0"/>
        <w:spacing w:before="0" w:after="1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299,617,220.99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25"/>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公司前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119,900,570.32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64,060,233.60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43,840,948.07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35,929,203.55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35,886,265.45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299,617,220.99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21.04%</w:t>
            </w:r>
          </w:p>
        </w:tc>
      </w:tr>
    </w:tbl>
    <w:p>
      <w:pPr>
        <w:widowControl w:val="0"/>
        <w:spacing w:after="59" w:line="1" w:lineRule="exact"/>
      </w:pPr>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主要供应商其他情况说明</w:t>
      </w:r>
    </w:p>
    <w:p>
      <w:pPr>
        <w:pStyle w:val="Style25"/>
        <w:keepNext w:val="0"/>
        <w:keepLines w:val="0"/>
        <w:widowControl w:val="0"/>
        <w:shd w:val="clear" w:color="auto" w:fill="auto"/>
        <w:bidi w:val="0"/>
        <w:spacing w:before="0" w:after="3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31"/>
        <w:keepNext/>
        <w:keepLines/>
        <w:widowControl w:val="0"/>
        <w:shd w:val="clear" w:color="auto" w:fill="auto"/>
        <w:bidi w:val="0"/>
        <w:spacing w:before="0" w:after="38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3</w:t>
      </w:r>
      <w:bookmarkEnd w:id="140"/>
      <w:r>
        <w:rPr>
          <w:color w:val="000000"/>
          <w:spacing w:val="0"/>
          <w:w w:val="100"/>
          <w:position w:val="0"/>
        </w:rPr>
        <w:t>、费用</w:t>
      </w:r>
      <w:bookmarkEnd w:id="138"/>
      <w:bookmarkEnd w:id="139"/>
      <w:bookmarkEnd w:id="141"/>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51,954,010.75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56,825,467.63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105,665,455.28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109,557,010.83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bl>
    <w:p>
      <w:pPr>
        <w:widowControl w:val="0"/>
        <w:spacing w:line="1" w:lineRule="exact"/>
      </w:pPr>
      <w:r>
        <w:br w:type="page"/>
      </w:r>
    </w:p>
    <w:tbl>
      <w:tblPr>
        <w:tblOverlap w:val="never"/>
        <w:jc w:val="center"/>
        <w:tblLayout w:type="fixed"/>
      </w:tblPr>
      <w:tblGrid>
        <w:gridCol w:w="1925"/>
        <w:gridCol w:w="1637"/>
        <w:gridCol w:w="1637"/>
        <w:gridCol w:w="1459"/>
        <w:gridCol w:w="292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9,213,401.74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20,326,869.88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主要系本期利息支出较上期减少所 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134,206,201.49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127,739,420.71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bl>
    <w:p>
      <w:pPr>
        <w:widowControl w:val="0"/>
        <w:spacing w:after="79" w:line="1" w:lineRule="exact"/>
      </w:pPr>
    </w:p>
    <w:p>
      <w:pPr>
        <w:pStyle w:val="Style31"/>
        <w:keepNext/>
        <w:keepLines/>
        <w:widowControl w:val="0"/>
        <w:shd w:val="clear" w:color="auto" w:fill="auto"/>
        <w:bidi w:val="0"/>
        <w:spacing w:before="0" w:after="140" w:line="463" w:lineRule="exact"/>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4</w:t>
      </w:r>
      <w:bookmarkEnd w:id="144"/>
      <w:r>
        <w:rPr>
          <w:color w:val="000000"/>
          <w:spacing w:val="0"/>
          <w:w w:val="100"/>
          <w:position w:val="0"/>
        </w:rPr>
        <w:t>、研发投入</w:t>
      </w:r>
      <w:bookmarkEnd w:id="142"/>
      <w:bookmarkEnd w:id="143"/>
      <w:bookmarkEnd w:id="145"/>
    </w:p>
    <w:p>
      <w:pPr>
        <w:pStyle w:val="Style25"/>
        <w:keepNext w:val="0"/>
        <w:keepLines w:val="0"/>
        <w:widowControl w:val="0"/>
        <w:shd w:val="clear" w:color="auto" w:fill="auto"/>
        <w:bidi w:val="0"/>
        <w:spacing w:before="0" w:after="0" w:line="463"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25"/>
        <w:keepNext w:val="0"/>
        <w:keepLines w:val="0"/>
        <w:widowControl w:val="0"/>
        <w:shd w:val="clear" w:color="auto" w:fill="auto"/>
        <w:bidi w:val="0"/>
        <w:spacing w:before="0" w:after="0" w:line="463" w:lineRule="exact"/>
        <w:ind w:left="0" w:right="0" w:firstLine="440"/>
        <w:jc w:val="left"/>
      </w:pPr>
      <w:r>
        <w:rPr>
          <w:color w:val="000000"/>
          <w:spacing w:val="0"/>
          <w:w w:val="100"/>
          <w:position w:val="0"/>
        </w:rPr>
        <w:t>报告期内，公司继续保持较高的研发投入，紧密围绕公司的发展战略，开展了多个产品及应用系统的 自主研发，持续保持公司核心竞争力，研发投入总金额合计</w:t>
      </w:r>
      <w:r>
        <w:rPr>
          <w:rFonts w:ascii="Times New Roman" w:eastAsia="Times New Roman" w:hAnsi="Times New Roman" w:cs="Times New Roman"/>
          <w:color w:val="000000"/>
          <w:spacing w:val="0"/>
          <w:w w:val="100"/>
          <w:position w:val="0"/>
        </w:rPr>
        <w:t>134,206,201.4</w:t>
      </w:r>
      <w:r>
        <w:rPr>
          <w:rFonts w:ascii="Times New Roman" w:eastAsia="Times New Roman" w:hAnsi="Times New Roman" w:cs="Times New Roman"/>
          <w:color w:val="000000"/>
          <w:spacing w:val="0"/>
          <w:w w:val="100"/>
          <w:position w:val="0"/>
        </w:rPr>
        <w:t>9</w:t>
      </w:r>
      <w:r>
        <w:rPr>
          <w:color w:val="000000"/>
          <w:spacing w:val="0"/>
          <w:w w:val="100"/>
          <w:position w:val="0"/>
        </w:rPr>
        <w:t>元，研发投入占营业收入的比 例达到</w:t>
      </w:r>
      <w:r>
        <w:rPr>
          <w:rFonts w:ascii="Times New Roman" w:eastAsia="Times New Roman" w:hAnsi="Times New Roman" w:cs="Times New Roman"/>
          <w:color w:val="000000"/>
          <w:spacing w:val="0"/>
          <w:w w:val="100"/>
          <w:position w:val="0"/>
        </w:rPr>
        <w:t>7.63%</w:t>
      </w:r>
      <w:r>
        <w:rPr>
          <w:color w:val="000000"/>
          <w:spacing w:val="0"/>
          <w:w w:val="100"/>
          <w:position w:val="0"/>
        </w:rPr>
        <w:t>。</w:t>
      </w:r>
    </w:p>
    <w:p>
      <w:pPr>
        <w:pStyle w:val="Style25"/>
        <w:keepNext w:val="0"/>
        <w:keepLines w:val="0"/>
        <w:widowControl w:val="0"/>
        <w:shd w:val="clear" w:color="auto" w:fill="auto"/>
        <w:bidi w:val="0"/>
        <w:spacing w:before="0" w:line="463" w:lineRule="exact"/>
        <w:ind w:left="0" w:right="0" w:firstLine="0"/>
        <w:jc w:val="left"/>
        <w:rPr>
          <w:sz w:val="19"/>
          <w:szCs w:val="19"/>
        </w:rPr>
      </w:pPr>
      <w:r>
        <w:rPr>
          <w:color w:val="000000"/>
          <w:spacing w:val="0"/>
          <w:w w:val="100"/>
          <w:position w:val="0"/>
          <w:sz w:val="19"/>
          <w:szCs w:val="19"/>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134,206,201.49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134,199,672.62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6,460,251.91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r>
    </w:tbl>
    <w:p>
      <w:pPr>
        <w:pStyle w:val="Style25"/>
        <w:keepNext w:val="0"/>
        <w:keepLines w:val="0"/>
        <w:widowControl w:val="0"/>
        <w:shd w:val="clear" w:color="auto" w:fill="auto"/>
        <w:bidi w:val="0"/>
        <w:spacing w:before="0" w:after="0" w:line="348" w:lineRule="exact"/>
        <w:ind w:left="0" w:right="0" w:firstLine="0"/>
        <w:jc w:val="left"/>
        <w:rPr>
          <w:sz w:val="19"/>
          <w:szCs w:val="19"/>
        </w:rPr>
      </w:pPr>
      <w:r>
        <w:rPr>
          <w:color w:val="000000"/>
          <w:spacing w:val="0"/>
          <w:w w:val="100"/>
          <w:position w:val="0"/>
          <w:sz w:val="19"/>
          <w:szCs w:val="19"/>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380" w:line="348" w:lineRule="exact"/>
        <w:ind w:left="0" w:right="0" w:firstLine="0"/>
        <w:jc w:val="left"/>
        <w:rPr>
          <w:sz w:val="19"/>
          <w:szCs w:val="19"/>
        </w:rPr>
      </w:pPr>
      <w:r>
        <w:rPr>
          <w:color w:val="000000"/>
          <w:spacing w:val="0"/>
          <w:w w:val="100"/>
          <w:position w:val="0"/>
          <w:sz w:val="19"/>
          <w:szCs w:val="19"/>
        </w:rPr>
        <w:t xml:space="preserve">研发投入资本化率大幅变动的原因及其合理性说明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31"/>
        <w:keepNext/>
        <w:keepLines/>
        <w:widowControl w:val="0"/>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5</w:t>
      </w:r>
      <w:bookmarkEnd w:id="148"/>
      <w:r>
        <w:rPr>
          <w:color w:val="000000"/>
          <w:spacing w:val="0"/>
          <w:w w:val="100"/>
          <w:position w:val="0"/>
        </w:rPr>
        <w:t>、现金流</w:t>
      </w:r>
      <w:bookmarkEnd w:id="146"/>
      <w:bookmarkEnd w:id="147"/>
      <w:bookmarkEnd w:id="14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2,104,300,626.48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1,967,210,466.00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2,072,532,320.99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2,103,773,028.86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31,768,305.49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-136,562,562.86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3,753,814,384.27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6,578,015,608.78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3,858,717,851.13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5,911,465,217.12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-104,903,466.86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666,550,391.66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177,392,342.45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-67.82%</w:t>
            </w:r>
          </w:p>
        </w:tc>
      </w:tr>
    </w:tbl>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207,455,773.08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442,175,829.66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-150,365,773.08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-264,783,487.21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-223,502,391.49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265,205,646.29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-184.28%</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470" w:lineRule="exact"/>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经营活动产生的现金流量净额较去年同期增加</w:t>
      </w:r>
      <w:r>
        <w:rPr>
          <w:rFonts w:ascii="Times New Roman" w:eastAsia="Times New Roman" w:hAnsi="Times New Roman" w:cs="Times New Roman"/>
          <w:color w:val="000000"/>
          <w:spacing w:val="0"/>
          <w:w w:val="100"/>
          <w:position w:val="0"/>
        </w:rPr>
        <w:t>123.27%</w:t>
      </w:r>
      <w:r>
        <w:rPr>
          <w:color w:val="000000"/>
          <w:spacing w:val="0"/>
          <w:w w:val="100"/>
          <w:position w:val="0"/>
        </w:rPr>
        <w:t>，主要系本期因业务增长收到的合同款较上期 增加所致。</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投资活动现金流出小计较去年同期减少</w:t>
      </w:r>
      <w:r>
        <w:rPr>
          <w:rFonts w:ascii="Times New Roman" w:eastAsia="Times New Roman" w:hAnsi="Times New Roman" w:cs="Times New Roman"/>
          <w:color w:val="000000"/>
          <w:spacing w:val="0"/>
          <w:w w:val="100"/>
          <w:position w:val="0"/>
        </w:rPr>
        <w:t>34.27%</w:t>
      </w:r>
      <w:r>
        <w:rPr>
          <w:color w:val="000000"/>
          <w:spacing w:val="0"/>
          <w:w w:val="100"/>
          <w:position w:val="0"/>
        </w:rPr>
        <w:t>，主要系本期购买的理财产品较上期减少所致。</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投资活动产生的现金流量净额较去年同期减少</w:t>
      </w:r>
      <w:r>
        <w:rPr>
          <w:rFonts w:ascii="Times New Roman" w:eastAsia="Times New Roman" w:hAnsi="Times New Roman" w:cs="Times New Roman"/>
          <w:color w:val="000000"/>
          <w:spacing w:val="0"/>
          <w:w w:val="100"/>
          <w:position w:val="0"/>
        </w:rPr>
        <w:t>115.74%</w:t>
      </w:r>
      <w:r>
        <w:rPr>
          <w:color w:val="000000"/>
          <w:spacing w:val="0"/>
          <w:w w:val="100"/>
          <w:position w:val="0"/>
        </w:rPr>
        <w:t>，主要系本期投资理财产品产生的现金流量净 额较上期减少所致。</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筹资活动现金流入小计较去年同期减少</w:t>
      </w:r>
      <w:r>
        <w:rPr>
          <w:rFonts w:ascii="Times New Roman" w:eastAsia="Times New Roman" w:hAnsi="Times New Roman" w:cs="Times New Roman"/>
          <w:color w:val="000000"/>
          <w:spacing w:val="0"/>
          <w:w w:val="100"/>
          <w:position w:val="0"/>
        </w:rPr>
        <w:t>67.82%</w:t>
      </w:r>
      <w:r>
        <w:rPr>
          <w:color w:val="000000"/>
          <w:spacing w:val="0"/>
          <w:w w:val="100"/>
          <w:position w:val="0"/>
        </w:rPr>
        <w:t>，主要系本期新增银行借款较上期减少所致。</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筹资活动现金流出小计较去年同期减少</w:t>
      </w:r>
      <w:r>
        <w:rPr>
          <w:rFonts w:ascii="Times New Roman" w:eastAsia="Times New Roman" w:hAnsi="Times New Roman" w:cs="Times New Roman"/>
          <w:color w:val="000000"/>
          <w:spacing w:val="0"/>
          <w:w w:val="100"/>
          <w:position w:val="0"/>
        </w:rPr>
        <w:t>53.08%</w:t>
      </w:r>
      <w:r>
        <w:rPr>
          <w:color w:val="000000"/>
          <w:spacing w:val="0"/>
          <w:w w:val="100"/>
          <w:position w:val="0"/>
        </w:rPr>
        <w:t>，主要系本期偿还短期借款金额较上期减少所致。</w:t>
      </w:r>
    </w:p>
    <w:p>
      <w:pPr>
        <w:pStyle w:val="Style25"/>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筹资活动产生的现金流量净额较去年同期增加</w:t>
      </w:r>
      <w:r>
        <w:rPr>
          <w:rFonts w:ascii="Times New Roman" w:eastAsia="Times New Roman" w:hAnsi="Times New Roman" w:cs="Times New Roman"/>
          <w:color w:val="000000"/>
          <w:spacing w:val="0"/>
          <w:w w:val="100"/>
          <w:position w:val="0"/>
        </w:rPr>
        <w:t>43.21%</w:t>
      </w:r>
      <w:r>
        <w:rPr>
          <w:color w:val="000000"/>
          <w:spacing w:val="0"/>
          <w:w w:val="100"/>
          <w:position w:val="0"/>
        </w:rPr>
        <w:t>，主要系本期偿还短期借款金额较上期减少所 致。</w:t>
      </w:r>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报告期内公司经营活动产生的现金净流量与本年度净利润存在重大差异的原因说明</w:t>
      </w:r>
    </w:p>
    <w:p>
      <w:pPr>
        <w:pStyle w:val="Style25"/>
        <w:keepNext w:val="0"/>
        <w:keepLines w:val="0"/>
        <w:widowControl w:val="0"/>
        <w:shd w:val="clear" w:color="auto" w:fill="auto"/>
        <w:bidi w:val="0"/>
        <w:spacing w:before="0" w:after="3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3"/>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sz w:val="24"/>
          <w:szCs w:val="24"/>
        </w:rPr>
        <w:t>三</w:t>
      </w:r>
      <w:bookmarkEnd w:id="152"/>
      <w:r>
        <w:rPr>
          <w:color w:val="000000"/>
          <w:spacing w:val="0"/>
          <w:w w:val="100"/>
          <w:position w:val="0"/>
          <w:sz w:val="24"/>
          <w:szCs w:val="24"/>
        </w:rPr>
        <w:t>、非主营业务分析</w:t>
      </w:r>
      <w:bookmarkEnd w:id="150"/>
      <w:bookmarkEnd w:id="151"/>
      <w:bookmarkEnd w:id="153"/>
    </w:p>
    <w:p>
      <w:pPr>
        <w:pStyle w:val="Style25"/>
        <w:keepNext w:val="0"/>
        <w:keepLines w:val="0"/>
        <w:widowControl w:val="0"/>
        <w:shd w:val="clear" w:color="auto" w:fill="auto"/>
        <w:bidi w:val="0"/>
        <w:spacing w:before="0" w:after="1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是否具有可持续性</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71,643,872.20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理财产品及信托产品收益、 权益法核算的长期股权投资 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理财产品及信托产品收益不 具有可持续性、权益法核算 的长期股权投资收益具有可 持续性</w:t>
            </w:r>
          </w:p>
        </w:tc>
      </w:tr>
    </w:tbl>
    <w:p>
      <w:pPr>
        <w:widowControl w:val="0"/>
        <w:spacing w:after="339" w:line="1" w:lineRule="exact"/>
      </w:pPr>
    </w:p>
    <w:p>
      <w:pPr>
        <w:pStyle w:val="Style23"/>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四</w:t>
      </w:r>
      <w:bookmarkEnd w:id="156"/>
      <w:r>
        <w:rPr>
          <w:color w:val="000000"/>
          <w:spacing w:val="0"/>
          <w:w w:val="100"/>
          <w:position w:val="0"/>
          <w:sz w:val="24"/>
          <w:szCs w:val="24"/>
        </w:rPr>
        <w:t>、资产及负债状况分析</w:t>
      </w:r>
      <w:bookmarkEnd w:id="154"/>
      <w:bookmarkEnd w:id="155"/>
      <w:bookmarkEnd w:id="157"/>
    </w:p>
    <w:p>
      <w:pPr>
        <w:pStyle w:val="Style31"/>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、资产构成重大变动情况</w:t>
      </w:r>
      <w:bookmarkEnd w:id="158"/>
      <w:bookmarkEnd w:id="159"/>
      <w:bookmarkEnd w:id="161"/>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年起首次执行新收入准则或新租赁准则且调整执行当年年初财务报表相关项目</w:t>
      </w:r>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适用</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占总资产比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占总资产比</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402,805,176.9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625,177,481.72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主要系本期增加长期股权投资所致。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124,869,859.3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66,911,491.58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505,158,894.3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492,933,565.14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782,336,061.1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373,325,638.78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主要系本期新增对深圳市金源兴信 息技术有限公司及上海惬昶信息科 技有限责任公司的股权投资所致。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17,035,213.60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21,481,744.79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126,157,746.00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、以公允价值计量的资产和负债</w:t>
      </w:r>
      <w:bookmarkEnd w:id="162"/>
      <w:bookmarkEnd w:id="163"/>
      <w:bookmarkEnd w:id="165"/>
    </w:p>
    <w:p>
      <w:pPr>
        <w:pStyle w:val="Style25"/>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4"/>
        <w:gridCol w:w="1090"/>
        <w:gridCol w:w="1090"/>
        <w:gridCol w:w="1090"/>
        <w:gridCol w:w="965"/>
        <w:gridCol w:w="97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本期计提的 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交易性金融 资产（不含衍 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464,245,168.5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760,054.51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3,115,933,000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3,324,933,000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2,245,168.5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253,760,054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464,245,168.5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760,054.51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3,115,933,000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3,324,933,000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2,245,168.5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253,760,054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其他变动的内容</w:t>
      </w:r>
    </w:p>
    <w:p>
      <w:pPr>
        <w:pStyle w:val="Style25"/>
        <w:keepNext w:val="0"/>
        <w:keepLines w:val="0"/>
        <w:widowControl w:val="0"/>
        <w:shd w:val="clear" w:color="auto" w:fill="auto"/>
        <w:bidi w:val="0"/>
        <w:spacing w:before="0" w:after="100" w:line="418" w:lineRule="exact"/>
        <w:ind w:left="0" w:right="0" w:firstLine="440"/>
        <w:jc w:val="left"/>
        <w:rPr>
          <w:sz w:val="19"/>
          <w:szCs w:val="19"/>
        </w:rPr>
      </w:pPr>
      <w:r>
        <w:rPr>
          <w:color w:val="000000"/>
          <w:spacing w:val="0"/>
          <w:w w:val="100"/>
          <w:position w:val="0"/>
          <w:sz w:val="20"/>
          <w:szCs w:val="20"/>
        </w:rPr>
        <w:t xml:space="preserve">其他变动的内容系本期交易性金融资产公允价值变动转投资收益的金额。 </w:t>
      </w:r>
      <w:r>
        <w:rPr>
          <w:color w:val="000000"/>
          <w:spacing w:val="0"/>
          <w:w w:val="100"/>
          <w:position w:val="0"/>
          <w:sz w:val="19"/>
          <w:szCs w:val="19"/>
        </w:rPr>
        <w:t>报告期内公司主要资产计量属性是否发生重大变化</w:t>
      </w:r>
    </w:p>
    <w:p>
      <w:pPr>
        <w:pStyle w:val="Style25"/>
        <w:keepNext w:val="0"/>
        <w:keepLines w:val="0"/>
        <w:widowControl w:val="0"/>
        <w:shd w:val="clear" w:color="auto" w:fill="auto"/>
        <w:bidi w:val="0"/>
        <w:spacing w:before="0" w:after="380" w:line="240" w:lineRule="auto"/>
        <w:ind w:left="0" w:right="0" w:firstLine="0"/>
        <w:jc w:val="left"/>
        <w:rPr>
          <w:sz w:val="19"/>
          <w:szCs w:val="19"/>
        </w:rPr>
      </w:pPr>
      <w:r>
        <w:rPr>
          <w:color w:val="000000"/>
          <w:spacing w:val="0"/>
          <w:w w:val="100"/>
          <w:position w:val="0"/>
          <w:sz w:val="20"/>
          <w:szCs w:val="20"/>
        </w:rPr>
        <w:t>口</w:t>
      </w:r>
      <w:r>
        <w:rPr>
          <w:color w:val="000000"/>
          <w:spacing w:val="0"/>
          <w:w w:val="100"/>
          <w:position w:val="0"/>
          <w:sz w:val="19"/>
          <w:szCs w:val="19"/>
        </w:rPr>
        <w:t>是</w:t>
      </w:r>
      <w:r>
        <w:rPr>
          <w:i/>
          <w:iCs/>
          <w:color w:val="000000"/>
          <w:spacing w:val="0"/>
          <w:w w:val="100"/>
          <w:position w:val="0"/>
          <w:sz w:val="19"/>
          <w:szCs w:val="19"/>
        </w:rPr>
        <w:t>。否</w:t>
      </w:r>
    </w:p>
    <w:p>
      <w:pPr>
        <w:pStyle w:val="Style31"/>
        <w:keepNext/>
        <w:keepLines/>
        <w:widowControl w:val="0"/>
        <w:shd w:val="clear" w:color="auto" w:fill="auto"/>
        <w:bidi w:val="0"/>
        <w:spacing w:before="0" w:after="100" w:line="437"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、截至报告期末的资产权利受限情况</w:t>
      </w:r>
      <w:bookmarkEnd w:id="166"/>
      <w:bookmarkEnd w:id="167"/>
      <w:bookmarkEnd w:id="169"/>
    </w:p>
    <w:tbl>
      <w:tblPr>
        <w:tblOverlap w:val="never"/>
        <w:jc w:val="center"/>
        <w:tblLayout w:type="fixed"/>
      </w:tblPr>
      <w:tblGrid>
        <w:gridCol w:w="2232"/>
        <w:gridCol w:w="1843"/>
        <w:gridCol w:w="3749"/>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期末账面价值（元）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受限原因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32,467,493.51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保证金、代管资金</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32,467,493.51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 xml:space="preserve">报告期末受限资金主要系向银行申请开具无条件不可撤销的担保函所存入的保证金存款、以及纳入合 </w:t>
      </w:r>
      <w:r>
        <w:rPr>
          <w:color w:val="000000"/>
          <w:spacing w:val="0"/>
          <w:w w:val="100"/>
          <w:position w:val="0"/>
        </w:rPr>
        <w:t>并范围的信托计划而存放于信托公司的资金账户余额。</w:t>
      </w:r>
      <w:r>
        <w:br w:type="page"/>
      </w:r>
    </w:p>
    <w:p>
      <w:pPr>
        <w:pStyle w:val="Style23"/>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五</w:t>
      </w:r>
      <w:bookmarkEnd w:id="172"/>
      <w:r>
        <w:rPr>
          <w:color w:val="000000"/>
          <w:spacing w:val="0"/>
          <w:w w:val="100"/>
          <w:position w:val="0"/>
          <w:sz w:val="24"/>
          <w:szCs w:val="24"/>
        </w:rPr>
        <w:t>、投资状况分析</w:t>
      </w:r>
      <w:bookmarkEnd w:id="170"/>
      <w:bookmarkEnd w:id="171"/>
      <w:bookmarkEnd w:id="173"/>
    </w:p>
    <w:p>
      <w:pPr>
        <w:pStyle w:val="Style31"/>
        <w:keepNext/>
        <w:keepLines/>
        <w:widowControl w:val="0"/>
        <w:shd w:val="clear" w:color="auto" w:fill="auto"/>
        <w:bidi w:val="0"/>
        <w:spacing w:before="0" w:after="60" w:line="240" w:lineRule="auto"/>
        <w:ind w:left="0" w:right="0" w:firstLine="0"/>
        <w:jc w:val="left"/>
        <w:rPr>
          <w:sz w:val="19"/>
          <w:szCs w:val="19"/>
        </w:rPr>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sz w:val="20"/>
          <w:szCs w:val="20"/>
        </w:rPr>
        <w:t>1</w:t>
      </w:r>
      <w:bookmarkEnd w:id="176"/>
      <w:r>
        <w:rPr>
          <w:color w:val="000000"/>
          <w:spacing w:val="0"/>
          <w:w w:val="100"/>
          <w:position w:val="0"/>
          <w:sz w:val="20"/>
          <w:szCs w:val="20"/>
        </w:rPr>
        <w:t>、总体情况</w:t>
      </w:r>
      <w:bookmarkEnd w:id="174"/>
      <w:bookmarkEnd w:id="175"/>
      <w:bookmarkEnd w:id="177"/>
      <w:r>
        <w:rPr>
          <w:color w:val="000000"/>
          <w:spacing w:val="0"/>
          <w:w w:val="100"/>
          <w:position w:val="0"/>
          <w:sz w:val="20"/>
          <w:szCs w:val="20"/>
        </w:rPr>
        <w:t xml:space="preserve"> </w:t>
      </w:r>
      <w:r>
        <w:rPr>
          <w:rStyle w:val="CharStyle26"/>
          <w:rFonts w:ascii="Times New Roman" w:eastAsia="Times New Roman" w:hAnsi="Times New Roman" w:cs="Times New Roman"/>
          <w:b w:val="0"/>
          <w:bCs w:val="0"/>
        </w:rPr>
        <w:t>4</w:t>
      </w:r>
      <w:r>
        <w:rPr>
          <w:rStyle w:val="CharStyle26"/>
          <w:b w:val="0"/>
          <w:bCs w:val="0"/>
          <w:sz w:val="19"/>
          <w:szCs w:val="19"/>
        </w:rPr>
        <w:t>适用</w:t>
      </w:r>
      <w:r>
        <w:rPr>
          <w:rStyle w:val="CharStyle26"/>
          <w:b w:val="0"/>
          <w:bCs w:val="0"/>
        </w:rPr>
        <w:t>口</w:t>
      </w:r>
      <w:r>
        <w:rPr>
          <w:rStyle w:val="CharStyle26"/>
          <w:b w:val="0"/>
          <w:bCs w:val="0"/>
          <w:sz w:val="19"/>
          <w:szCs w:val="19"/>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rPr>
          <w:sz w:val="19"/>
          <w:szCs w:val="19"/>
        </w:rPr>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sz w:val="20"/>
          <w:szCs w:val="20"/>
        </w:rPr>
        <w:t>2</w:t>
      </w:r>
      <w:bookmarkEnd w:id="180"/>
      <w:r>
        <w:rPr>
          <w:color w:val="000000"/>
          <w:spacing w:val="0"/>
          <w:w w:val="100"/>
          <w:position w:val="0"/>
          <w:sz w:val="20"/>
          <w:szCs w:val="20"/>
        </w:rPr>
        <w:t>、报告期内获取的重大的股权投资情况</w:t>
      </w:r>
      <w:bookmarkEnd w:id="178"/>
      <w:bookmarkEnd w:id="179"/>
      <w:bookmarkEnd w:id="181"/>
      <w:r>
        <w:rPr>
          <w:color w:val="000000"/>
          <w:spacing w:val="0"/>
          <w:w w:val="100"/>
          <w:position w:val="0"/>
          <w:sz w:val="20"/>
          <w:szCs w:val="20"/>
        </w:rPr>
        <w:t xml:space="preserve"> </w:t>
      </w:r>
      <w:r>
        <w:rPr>
          <w:rStyle w:val="CharStyle26"/>
          <w:rFonts w:ascii="Times New Roman" w:eastAsia="Times New Roman" w:hAnsi="Times New Roman" w:cs="Times New Roman"/>
          <w:b w:val="0"/>
          <w:bCs w:val="0"/>
        </w:rPr>
        <w:t>4</w:t>
      </w:r>
      <w:r>
        <w:rPr>
          <w:rStyle w:val="CharStyle26"/>
          <w:b w:val="0"/>
          <w:bCs w:val="0"/>
          <w:sz w:val="19"/>
          <w:szCs w:val="19"/>
        </w:rPr>
        <w:t>适用</w:t>
      </w:r>
      <w:r>
        <w:rPr>
          <w:rStyle w:val="CharStyle26"/>
          <w:b w:val="0"/>
          <w:bCs w:val="0"/>
        </w:rPr>
        <w:t>口</w:t>
      </w:r>
      <w:r>
        <w:rPr>
          <w:rStyle w:val="CharStyle26"/>
          <w:b w:val="0"/>
          <w:bCs w:val="0"/>
          <w:sz w:val="19"/>
          <w:szCs w:val="19"/>
        </w:rPr>
        <w:t>不适用</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662"/>
        <w:gridCol w:w="653"/>
        <w:gridCol w:w="619"/>
        <w:gridCol w:w="624"/>
        <w:gridCol w:w="624"/>
        <w:gridCol w:w="619"/>
        <w:gridCol w:w="619"/>
        <w:gridCol w:w="614"/>
        <w:gridCol w:w="619"/>
        <w:gridCol w:w="590"/>
        <w:gridCol w:w="595"/>
        <w:gridCol w:w="691"/>
        <w:gridCol w:w="691"/>
        <w:gridCol w:w="691"/>
        <w:gridCol w:w="67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本期投</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披露日 期（如</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披露索 引（如</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有）</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上海惬 昶信息 科技有 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技术服 务、技 术开 发、技 术咨询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上海晋 宇投资 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已完 成工 商登 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8" w:lineRule="exact"/>
              <w:ind w:left="0" w:right="0" w:firstLine="0"/>
              <w:jc w:val="left"/>
              <w:rPr>
                <w:sz w:val="18"/>
                <w:szCs w:val="18"/>
              </w:rPr>
            </w:pPr>
            <w:r>
              <w:rPr>
                <w:color w:val="000000"/>
                <w:spacing w:val="0"/>
                <w:w w:val="100"/>
                <w:position w:val="0"/>
                <w:sz w:val="17"/>
                <w:szCs w:val="17"/>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 </w:t>
            </w:r>
            <w:r>
              <w:rPr>
                <w:rFonts w:ascii="Times New Roman" w:eastAsia="Times New Roman" w:hAnsi="Times New Roman" w:cs="Times New Roman"/>
                <w:color w:val="000000"/>
                <w:spacing w:val="0"/>
                <w:w w:val="100"/>
                <w:position w:val="0"/>
                <w:sz w:val="18"/>
                <w:szCs w:val="18"/>
              </w:rPr>
              <w:t>fo.com</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 金源兴 信息技 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从事区 块链研 发、咨 询等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深圳市 航嘉源 控股</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（集 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已完 成工 商登 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8" w:lineRule="exact"/>
              <w:ind w:left="0" w:right="0" w:firstLine="0"/>
              <w:jc w:val="left"/>
              <w:rPr>
                <w:sz w:val="18"/>
                <w:szCs w:val="18"/>
              </w:rPr>
            </w:pPr>
            <w:r>
              <w:rPr>
                <w:color w:val="000000"/>
                <w:spacing w:val="0"/>
                <w:w w:val="100"/>
                <w:position w:val="0"/>
                <w:sz w:val="17"/>
                <w:szCs w:val="17"/>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 </w:t>
            </w:r>
            <w:r>
              <w:rPr>
                <w:rFonts w:ascii="Times New Roman" w:eastAsia="Times New Roman" w:hAnsi="Times New Roman" w:cs="Times New Roman"/>
                <w:color w:val="000000"/>
                <w:spacing w:val="0"/>
                <w:w w:val="100"/>
                <w:position w:val="0"/>
                <w:sz w:val="18"/>
                <w:szCs w:val="18"/>
              </w:rPr>
              <w:t>fo.com</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rPr>
          <w:sz w:val="19"/>
          <w:szCs w:val="19"/>
        </w:rPr>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sz w:val="20"/>
          <w:szCs w:val="20"/>
        </w:rPr>
        <w:t>3</w:t>
      </w:r>
      <w:bookmarkEnd w:id="184"/>
      <w:r>
        <w:rPr>
          <w:color w:val="000000"/>
          <w:spacing w:val="0"/>
          <w:w w:val="100"/>
          <w:position w:val="0"/>
          <w:sz w:val="20"/>
          <w:szCs w:val="20"/>
        </w:rPr>
        <w:t>、报告期内正在进行的重大的非股权投资情况</w:t>
      </w:r>
      <w:bookmarkEnd w:id="182"/>
      <w:bookmarkEnd w:id="183"/>
      <w:bookmarkEnd w:id="185"/>
      <w:r>
        <w:rPr>
          <w:color w:val="000000"/>
          <w:spacing w:val="0"/>
          <w:w w:val="100"/>
          <w:position w:val="0"/>
          <w:sz w:val="20"/>
          <w:szCs w:val="20"/>
        </w:rPr>
        <w:t xml:space="preserve"> </w:t>
      </w:r>
      <w:r>
        <w:rPr>
          <w:rStyle w:val="CharStyle26"/>
          <w:rFonts w:ascii="Times New Roman" w:eastAsia="Times New Roman" w:hAnsi="Times New Roman" w:cs="Times New Roman"/>
          <w:b w:val="0"/>
          <w:bCs w:val="0"/>
        </w:rPr>
        <w:t>□</w:t>
      </w:r>
      <w:r>
        <w:rPr>
          <w:rStyle w:val="CharStyle26"/>
          <w:b w:val="0"/>
          <w:bCs w:val="0"/>
          <w:sz w:val="19"/>
          <w:szCs w:val="19"/>
        </w:rPr>
        <w:t>适用</w:t>
      </w:r>
      <w:r>
        <w:rPr>
          <w:rStyle w:val="CharStyle26"/>
          <w:rFonts w:ascii="Times New Roman" w:eastAsia="Times New Roman" w:hAnsi="Times New Roman" w:cs="Times New Roman"/>
          <w:b w:val="0"/>
          <w:bCs w:val="0"/>
        </w:rPr>
        <w:t>4</w:t>
      </w:r>
      <w:r>
        <w:rPr>
          <w:rStyle w:val="CharStyle26"/>
          <w:b w:val="0"/>
          <w:bCs w:val="0"/>
          <w:sz w:val="19"/>
          <w:szCs w:val="19"/>
        </w:rPr>
        <w:t>不适用</w:t>
      </w:r>
      <w:r>
        <w:br w:type="page"/>
      </w:r>
    </w:p>
    <w:p>
      <w:pPr>
        <w:pStyle w:val="Style31"/>
        <w:keepNext/>
        <w:keepLines/>
        <w:widowControl w:val="0"/>
        <w:shd w:val="clear" w:color="auto" w:fill="auto"/>
        <w:bidi w:val="0"/>
        <w:spacing w:before="0" w:after="36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、金融资产投资</w:t>
      </w:r>
      <w:bookmarkEnd w:id="186"/>
      <w:bookmarkEnd w:id="187"/>
      <w:bookmarkEnd w:id="189"/>
    </w:p>
    <w:p>
      <w:pPr>
        <w:pStyle w:val="Style37"/>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90"/>
      <w:bookmarkEnd w:id="191"/>
      <w:bookmarkEnd w:id="193"/>
    </w:p>
    <w:p>
      <w:pPr>
        <w:pStyle w:val="Style25"/>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证券品 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证券代 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证券简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最初投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会计计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量模式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 xml:space="preserve">本期公 允价值 变动损 </w:t>
            </w: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计入权 益的累 计公允 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本期购</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本期出 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报告期</w:t>
            </w:r>
          </w:p>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期末账</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会计核 算科目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信托产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西藏信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乐家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号单 一资金 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477,850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成本法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自有资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信托产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西藏信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乐家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号单 一资金 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296,060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成本法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7,402,4</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自有资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信托产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西藏信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宜家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号单 一资金 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287,370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成本法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6,223,4</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自有资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信托产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西藏信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开放 式单一 资金信 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成本法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自有资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信托产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华鑫信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睿科 </w:t>
            </w:r>
            <w:r>
              <w:rPr>
                <w:rFonts w:ascii="Times New Roman" w:eastAsia="Times New Roman" w:hAnsi="Times New Roman" w:cs="Times New Roman"/>
                <w:color w:val="000000"/>
                <w:spacing w:val="0"/>
                <w:w w:val="100"/>
                <w:position w:val="0"/>
                <w:sz w:val="18"/>
                <w:szCs w:val="18"/>
              </w:rPr>
              <w:t>42</w:t>
            </w:r>
            <w:r>
              <w:rPr>
                <w:color w:val="000000"/>
                <w:spacing w:val="0"/>
                <w:w w:val="100"/>
                <w:position w:val="0"/>
                <w:sz w:val="17"/>
                <w:szCs w:val="17"/>
              </w:rPr>
              <w:t>号单 一资金 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成本法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自有资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信托产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华鑫信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睿科 </w:t>
            </w: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7"/>
                <w:szCs w:val="17"/>
              </w:rPr>
              <w:t>号单 一资金 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成本法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自有资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华鑫信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自有资</w:t>
            </w:r>
          </w:p>
        </w:tc>
      </w:tr>
    </w:tbl>
    <w:p>
      <w:pPr>
        <w:widowControl w:val="0"/>
        <w:spacing w:line="1" w:lineRule="exact"/>
      </w:pP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睿科</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64</w:t>
            </w:r>
            <w:r>
              <w:rPr>
                <w:color w:val="000000"/>
                <w:spacing w:val="0"/>
                <w:w w:val="100"/>
                <w:position w:val="0"/>
                <w:sz w:val="17"/>
                <w:szCs w:val="17"/>
              </w:rPr>
              <w:t>号单 一资金 信托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信托产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color w:val="000000"/>
                <w:spacing w:val="0"/>
                <w:w w:val="100"/>
                <w:position w:val="0"/>
                <w:sz w:val="17"/>
                <w:szCs w:val="17"/>
              </w:rPr>
              <w:t>华鑫信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睿科</w:t>
            </w:r>
          </w:p>
          <w:p>
            <w:pPr>
              <w:pStyle w:val="Style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123</w:t>
            </w:r>
            <w:r>
              <w:rPr>
                <w:color w:val="000000"/>
                <w:spacing w:val="0"/>
                <w:w w:val="100"/>
                <w:position w:val="0"/>
                <w:sz w:val="17"/>
                <w:szCs w:val="17"/>
              </w:rPr>
              <w:t>号</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单一资 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成本法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债权投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633,125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561,086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,405.28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证券投资审批董事会公告 披露日期</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证券投资审批股东会公告 披露日期(如有</w:t>
            </w:r>
            <w:r>
              <w:rPr>
                <w:color w:val="000000"/>
                <w:spacing w:val="0"/>
                <w:w w:val="100"/>
                <w:position w:val="0"/>
                <w:sz w:val="18"/>
                <w:szCs w:val="18"/>
              </w:rPr>
              <w:t>)</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r>
    </w:tbl>
    <w:p>
      <w:pPr>
        <w:widowControl w:val="0"/>
        <w:spacing w:after="359" w:line="1" w:lineRule="exact"/>
      </w:pPr>
    </w:p>
    <w:p>
      <w:pPr>
        <w:pStyle w:val="Style37"/>
        <w:keepNext/>
        <w:keepLines/>
        <w:widowControl w:val="0"/>
        <w:numPr>
          <w:ilvl w:val="0"/>
          <w:numId w:val="5"/>
        </w:numPr>
        <w:shd w:val="clear" w:color="auto" w:fill="auto"/>
        <w:bidi w:val="0"/>
        <w:spacing w:before="0" w:after="120" w:line="240" w:lineRule="auto"/>
        <w:ind w:left="0" w:right="0" w:firstLine="140"/>
        <w:jc w:val="left"/>
        <w:rPr>
          <w:sz w:val="19"/>
          <w:szCs w:val="19"/>
        </w:rPr>
      </w:pPr>
      <w:bookmarkStart w:id="194" w:name="bookmark194"/>
      <w:bookmarkStart w:id="195" w:name="bookmark195"/>
      <w:bookmarkStart w:id="196" w:name="bookmark196"/>
      <w:bookmarkStart w:id="197" w:name="bookmark197"/>
      <w:bookmarkEnd w:id="196"/>
      <w:r>
        <w:rPr>
          <w:color w:val="000000"/>
          <w:spacing w:val="0"/>
          <w:w w:val="100"/>
          <w:position w:val="0"/>
          <w:sz w:val="20"/>
          <w:szCs w:val="20"/>
        </w:rPr>
        <w:t>衍生品投资情况</w:t>
      </w:r>
      <w:bookmarkEnd w:id="194"/>
      <w:bookmarkEnd w:id="195"/>
      <w:bookmarkEnd w:id="197"/>
      <w:r>
        <w:rPr>
          <w:color w:val="000000"/>
          <w:spacing w:val="0"/>
          <w:w w:val="100"/>
          <w:position w:val="0"/>
          <w:sz w:val="20"/>
          <w:szCs w:val="20"/>
        </w:rPr>
        <w:t xml:space="preserve"> </w:t>
      </w:r>
      <w:r>
        <w:rPr>
          <w:rStyle w:val="CharStyle26"/>
          <w:rFonts w:ascii="Times New Roman" w:eastAsia="Times New Roman" w:hAnsi="Times New Roman" w:cs="Times New Roman"/>
          <w:b w:val="0"/>
          <w:bCs w:val="0"/>
        </w:rPr>
        <w:t>□</w:t>
      </w:r>
      <w:r>
        <w:rPr>
          <w:rStyle w:val="CharStyle26"/>
          <w:b w:val="0"/>
          <w:bCs w:val="0"/>
          <w:sz w:val="19"/>
          <w:szCs w:val="19"/>
        </w:rPr>
        <w:t>适用</w:t>
      </w:r>
      <w:r>
        <w:rPr>
          <w:rStyle w:val="CharStyle26"/>
          <w:rFonts w:ascii="Times New Roman" w:eastAsia="Times New Roman" w:hAnsi="Times New Roman" w:cs="Times New Roman"/>
          <w:b w:val="0"/>
          <w:bCs w:val="0"/>
        </w:rPr>
        <w:t>4</w:t>
      </w:r>
      <w:r>
        <w:rPr>
          <w:rStyle w:val="CharStyle26"/>
          <w:b w:val="0"/>
          <w:bCs w:val="0"/>
          <w:sz w:val="19"/>
          <w:szCs w:val="19"/>
        </w:rPr>
        <w:t>不适用</w:t>
      </w:r>
    </w:p>
    <w:p>
      <w:pPr>
        <w:pStyle w:val="Style25"/>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公司报告期不存在衍生品投资。</w:t>
      </w:r>
    </w:p>
    <w:p>
      <w:pPr>
        <w:pStyle w:val="Style31"/>
        <w:keepNext/>
        <w:keepLines/>
        <w:widowControl w:val="0"/>
        <w:shd w:val="clear" w:color="auto" w:fill="auto"/>
        <w:bidi w:val="0"/>
        <w:spacing w:before="0" w:after="36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5</w:t>
      </w:r>
      <w:bookmarkEnd w:id="200"/>
      <w:r>
        <w:rPr>
          <w:color w:val="000000"/>
          <w:spacing w:val="0"/>
          <w:w w:val="100"/>
          <w:position w:val="0"/>
        </w:rPr>
        <w:t>、募集资金使用情况</w:t>
      </w:r>
      <w:bookmarkEnd w:id="198"/>
      <w:bookmarkEnd w:id="199"/>
      <w:bookmarkEnd w:id="201"/>
    </w:p>
    <w:p>
      <w:pPr>
        <w:pStyle w:val="Style25"/>
        <w:keepNext w:val="0"/>
        <w:keepLines w:val="0"/>
        <w:widowControl w:val="0"/>
        <w:shd w:val="clear" w:color="auto" w:fill="auto"/>
        <w:bidi w:val="0"/>
        <w:spacing w:before="0" w:after="1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公司报告期无募集资金使用情况。</w:t>
      </w:r>
    </w:p>
    <w:p>
      <w:pPr>
        <w:pStyle w:val="Style23"/>
        <w:keepNext/>
        <w:keepLines/>
        <w:widowControl w:val="0"/>
        <w:shd w:val="clear" w:color="auto" w:fill="auto"/>
        <w:tabs>
          <w:tab w:pos="517" w:val="left"/>
        </w:tabs>
        <w:bidi w:val="0"/>
        <w:spacing w:before="0" w:after="36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sz w:val="24"/>
          <w:szCs w:val="24"/>
        </w:rPr>
        <w:t>六</w:t>
      </w:r>
      <w:bookmarkEnd w:id="204"/>
      <w:r>
        <w:rPr>
          <w:color w:val="000000"/>
          <w:spacing w:val="0"/>
          <w:w w:val="100"/>
          <w:position w:val="0"/>
          <w:sz w:val="24"/>
          <w:szCs w:val="24"/>
        </w:rPr>
        <w:t>、</w:t>
        <w:tab/>
        <w:t>重大资产和股权出售</w:t>
      </w:r>
      <w:bookmarkEnd w:id="202"/>
      <w:bookmarkEnd w:id="203"/>
      <w:bookmarkEnd w:id="205"/>
    </w:p>
    <w:p>
      <w:pPr>
        <w:pStyle w:val="Style31"/>
        <w:keepNext/>
        <w:keepLines/>
        <w:widowControl w:val="0"/>
        <w:shd w:val="clear" w:color="auto" w:fill="auto"/>
        <w:tabs>
          <w:tab w:pos="392" w:val="left"/>
        </w:tabs>
        <w:bidi w:val="0"/>
        <w:spacing w:before="0" w:after="36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1</w:t>
      </w:r>
      <w:bookmarkEnd w:id="208"/>
      <w:r>
        <w:rPr>
          <w:color w:val="000000"/>
          <w:spacing w:val="0"/>
          <w:w w:val="100"/>
          <w:position w:val="0"/>
        </w:rPr>
        <w:t>、</w:t>
        <w:tab/>
        <w:t>出售重大资产情况</w:t>
      </w:r>
      <w:bookmarkEnd w:id="206"/>
      <w:bookmarkEnd w:id="207"/>
      <w:bookmarkEnd w:id="209"/>
    </w:p>
    <w:p>
      <w:pPr>
        <w:pStyle w:val="Style25"/>
        <w:keepNext w:val="0"/>
        <w:keepLines w:val="0"/>
        <w:widowControl w:val="0"/>
        <w:shd w:val="clear" w:color="auto" w:fill="auto"/>
        <w:bidi w:val="0"/>
        <w:spacing w:before="0" w:after="1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公司报告期未出售重大资产。</w:t>
      </w:r>
    </w:p>
    <w:p>
      <w:pPr>
        <w:pStyle w:val="Style31"/>
        <w:keepNext/>
        <w:keepLines/>
        <w:widowControl w:val="0"/>
        <w:shd w:val="clear" w:color="auto" w:fill="auto"/>
        <w:tabs>
          <w:tab w:pos="392" w:val="left"/>
        </w:tabs>
        <w:bidi w:val="0"/>
        <w:spacing w:before="0" w:after="36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2</w:t>
      </w:r>
      <w:bookmarkEnd w:id="212"/>
      <w:r>
        <w:rPr>
          <w:color w:val="000000"/>
          <w:spacing w:val="0"/>
          <w:w w:val="100"/>
          <w:position w:val="0"/>
        </w:rPr>
        <w:t>、</w:t>
        <w:tab/>
        <w:t>出售重大股权情况</w:t>
      </w:r>
      <w:bookmarkEnd w:id="210"/>
      <w:bookmarkEnd w:id="211"/>
      <w:bookmarkEnd w:id="213"/>
    </w:p>
    <w:p>
      <w:pPr>
        <w:pStyle w:val="Style25"/>
        <w:keepNext w:val="0"/>
        <w:keepLines w:val="0"/>
        <w:widowControl w:val="0"/>
        <w:shd w:val="clear" w:color="auto" w:fill="auto"/>
        <w:bidi w:val="0"/>
        <w:spacing w:before="0" w:after="36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3"/>
        <w:keepNext/>
        <w:keepLines/>
        <w:widowControl w:val="0"/>
        <w:shd w:val="clear" w:color="auto" w:fill="auto"/>
        <w:tabs>
          <w:tab w:pos="522" w:val="left"/>
        </w:tabs>
        <w:bidi w:val="0"/>
        <w:spacing w:before="0" w:after="36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sz w:val="24"/>
          <w:szCs w:val="24"/>
        </w:rPr>
        <w:t>七</w:t>
      </w:r>
      <w:bookmarkEnd w:id="216"/>
      <w:r>
        <w:rPr>
          <w:color w:val="000000"/>
          <w:spacing w:val="0"/>
          <w:w w:val="100"/>
          <w:position w:val="0"/>
          <w:sz w:val="24"/>
          <w:szCs w:val="24"/>
        </w:rPr>
        <w:t>、</w:t>
        <w:tab/>
        <w:t>主要控股参股公司分析</w:t>
      </w:r>
      <w:bookmarkEnd w:id="214"/>
      <w:bookmarkEnd w:id="215"/>
      <w:bookmarkEnd w:id="217"/>
    </w:p>
    <w:p>
      <w:pPr>
        <w:pStyle w:val="Style25"/>
        <w:keepNext w:val="0"/>
        <w:keepLines w:val="0"/>
        <w:widowControl w:val="0"/>
        <w:shd w:val="clear" w:color="auto" w:fill="auto"/>
        <w:bidi w:val="0"/>
        <w:spacing w:before="0" w:after="1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主要子公司及对公司净利润影响达</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以上的参股公司情况</w:t>
      </w:r>
    </w:p>
    <w:p>
      <w:pPr>
        <w:pStyle w:val="Style3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天津中科金 财科技有限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技术开发服 务、电子产 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50,083,700.0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398,327,576.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369,309,243.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19,102,040.4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10,829,616.3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8,731,534.34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北京中科金 财信息科技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移动支付、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移动电子商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163,117,174.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99,885,896.5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159,474,563.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-18,659,014.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-19,148,415.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华缔资产管 理（北京）有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投资管理；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资产管理等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562,802,578.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248,623,008.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6,630,271.06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6,502,091.24</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北京志东方 科技有限责 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技术开发、 技术推广、 技术转让等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140,388,149.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72,473,360.0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137,934,332.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26,956,674.9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23,445,390.3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报告期内取得和处置子公司的情况</w:t>
      </w:r>
    </w:p>
    <w:p>
      <w:pPr>
        <w:pStyle w:val="Style25"/>
        <w:keepNext w:val="0"/>
        <w:keepLines w:val="0"/>
        <w:widowControl w:val="0"/>
        <w:shd w:val="clear" w:color="auto" w:fill="auto"/>
        <w:bidi w:val="0"/>
        <w:spacing w:before="0" w:after="36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3"/>
        <w:keepNext/>
        <w:keepLines/>
        <w:widowControl w:val="0"/>
        <w:shd w:val="clear" w:color="auto" w:fill="auto"/>
        <w:bidi w:val="0"/>
        <w:spacing w:before="0" w:after="36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八</w:t>
      </w:r>
      <w:bookmarkEnd w:id="220"/>
      <w:r>
        <w:rPr>
          <w:color w:val="000000"/>
          <w:spacing w:val="0"/>
          <w:w w:val="100"/>
          <w:position w:val="0"/>
          <w:sz w:val="24"/>
          <w:szCs w:val="24"/>
        </w:rPr>
        <w:t>、公司控制的结构化主体情况</w:t>
      </w:r>
      <w:bookmarkEnd w:id="218"/>
      <w:bookmarkEnd w:id="219"/>
      <w:bookmarkEnd w:id="221"/>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14"/>
        <w:gridCol w:w="2410"/>
        <w:gridCol w:w="1843"/>
        <w:gridCol w:w="1109"/>
        <w:gridCol w:w="1838"/>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持有信托产品子公 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信托产品名称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信托公司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信托产品存 续期（年）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截止</w:t>
            </w:r>
            <w:r>
              <w:rPr>
                <w:rFonts w:ascii="Times New Roman" w:eastAsia="Times New Roman" w:hAnsi="Times New Roman" w:cs="Times New Roman"/>
                <w:color w:val="000000"/>
                <w:spacing w:val="0"/>
                <w:w w:val="100"/>
                <w:position w:val="0"/>
                <w:sz w:val="20"/>
                <w:szCs w:val="20"/>
              </w:rPr>
              <w:t>2020.12.31</w:t>
            </w:r>
            <w:r>
              <w:rPr>
                <w:color w:val="000000"/>
                <w:spacing w:val="0"/>
                <w:w w:val="100"/>
                <w:position w:val="0"/>
                <w:sz w:val="19"/>
                <w:szCs w:val="19"/>
              </w:rPr>
              <w:t>信托 产品余额（元）</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华缔资产管理（北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西藏信托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乐家</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号单一资金 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西藏信托有限公司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39,375,366.47</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华缔资产管理（北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9"/>
                <w:szCs w:val="19"/>
              </w:rPr>
            </w:pPr>
            <w:r>
              <w:rPr>
                <w:color w:val="000000"/>
                <w:spacing w:val="0"/>
                <w:w w:val="100"/>
                <w:position w:val="0"/>
                <w:sz w:val="19"/>
                <w:szCs w:val="19"/>
              </w:rPr>
              <w:t>西藏信托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乐家</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号单一资金 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西藏信托有限公司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4,476,400.00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华缔资产管理（北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9"/>
                <w:szCs w:val="19"/>
              </w:rPr>
            </w:pPr>
            <w:r>
              <w:rPr>
                <w:color w:val="000000"/>
                <w:spacing w:val="0"/>
                <w:w w:val="100"/>
                <w:position w:val="0"/>
                <w:sz w:val="19"/>
                <w:szCs w:val="19"/>
              </w:rPr>
              <w:t>西藏信托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宜家</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号集合资金 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西藏信托有限公司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4,000,000.00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华缔资产管理（北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9"/>
                <w:szCs w:val="19"/>
              </w:rPr>
            </w:pPr>
            <w:r>
              <w:rPr>
                <w:color w:val="000000"/>
                <w:spacing w:val="0"/>
                <w:w w:val="100"/>
                <w:position w:val="0"/>
                <w:sz w:val="19"/>
                <w:szCs w:val="19"/>
              </w:rPr>
              <w:t>华鑫信托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睿科</w:t>
            </w:r>
            <w:r>
              <w:rPr>
                <w:rFonts w:ascii="Times New Roman" w:eastAsia="Times New Roman" w:hAnsi="Times New Roman" w:cs="Times New Roman"/>
                <w:color w:val="000000"/>
                <w:spacing w:val="0"/>
                <w:w w:val="100"/>
                <w:position w:val="0"/>
                <w:sz w:val="20"/>
                <w:szCs w:val="20"/>
              </w:rPr>
              <w:t>46</w:t>
            </w:r>
            <w:r>
              <w:rPr>
                <w:color w:val="000000"/>
                <w:spacing w:val="0"/>
                <w:w w:val="100"/>
                <w:position w:val="0"/>
                <w:sz w:val="19"/>
                <w:szCs w:val="19"/>
              </w:rPr>
              <w:t>号单一资 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华鑫国际信托有限公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200,000,000.00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华缔资产管理（北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9"/>
                <w:szCs w:val="19"/>
              </w:rPr>
            </w:pPr>
            <w:r>
              <w:rPr>
                <w:color w:val="000000"/>
                <w:spacing w:val="0"/>
                <w:w w:val="100"/>
                <w:position w:val="0"/>
                <w:sz w:val="19"/>
                <w:szCs w:val="19"/>
              </w:rPr>
              <w:t>华鑫信托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睿科</w:t>
            </w:r>
            <w:r>
              <w:rPr>
                <w:rFonts w:ascii="Times New Roman" w:eastAsia="Times New Roman" w:hAnsi="Times New Roman" w:cs="Times New Roman"/>
                <w:color w:val="000000"/>
                <w:spacing w:val="0"/>
                <w:w w:val="100"/>
                <w:position w:val="0"/>
                <w:sz w:val="20"/>
                <w:szCs w:val="20"/>
              </w:rPr>
              <w:t>64</w:t>
            </w:r>
            <w:r>
              <w:rPr>
                <w:color w:val="000000"/>
                <w:spacing w:val="0"/>
                <w:w w:val="100"/>
                <w:position w:val="0"/>
                <w:sz w:val="19"/>
                <w:szCs w:val="19"/>
              </w:rPr>
              <w:t>号单一资 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华鑫国际信托有限公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69,940,000.00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华缔资产管理（北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19"/>
                <w:szCs w:val="19"/>
              </w:rPr>
              <w:t>华鑫信托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睿科</w:t>
            </w:r>
            <w:r>
              <w:rPr>
                <w:rFonts w:ascii="Times New Roman" w:eastAsia="Times New Roman" w:hAnsi="Times New Roman" w:cs="Times New Roman"/>
                <w:color w:val="000000"/>
                <w:spacing w:val="0"/>
                <w:w w:val="100"/>
                <w:position w:val="0"/>
                <w:sz w:val="20"/>
                <w:szCs w:val="20"/>
              </w:rPr>
              <w:t>123</w:t>
            </w:r>
            <w:r>
              <w:rPr>
                <w:color w:val="000000"/>
                <w:spacing w:val="0"/>
                <w:w w:val="100"/>
                <w:position w:val="0"/>
                <w:sz w:val="19"/>
                <w:szCs w:val="19"/>
              </w:rPr>
              <w:t>号单一资 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华鑫国际信托有限公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270,000,000.00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深圳中金财富科技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西藏信托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开放式单一资金 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西藏信托有限公司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3,350,000.00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591,141,766.47</w:t>
            </w:r>
          </w:p>
        </w:tc>
      </w:tr>
    </w:tbl>
    <w:p>
      <w:pPr>
        <w:widowControl w:val="0"/>
        <w:spacing w:after="599" w:line="1" w:lineRule="exact"/>
      </w:pPr>
    </w:p>
    <w:p>
      <w:pPr>
        <w:pStyle w:val="Style23"/>
        <w:keepNext/>
        <w:keepLines/>
        <w:widowControl w:val="0"/>
        <w:shd w:val="clear" w:color="auto" w:fill="auto"/>
        <w:bidi w:val="0"/>
        <w:spacing w:before="0" w:after="44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九</w:t>
      </w:r>
      <w:bookmarkEnd w:id="224"/>
      <w:r>
        <w:rPr>
          <w:color w:val="000000"/>
          <w:spacing w:val="0"/>
          <w:w w:val="100"/>
          <w:position w:val="0"/>
          <w:sz w:val="24"/>
          <w:szCs w:val="24"/>
        </w:rPr>
        <w:t>、公司未来发展的展望</w:t>
      </w:r>
      <w:bookmarkEnd w:id="222"/>
      <w:bookmarkEnd w:id="223"/>
      <w:bookmarkEnd w:id="225"/>
    </w:p>
    <w:p>
      <w:pPr>
        <w:pStyle w:val="Style25"/>
        <w:keepNext w:val="0"/>
        <w:keepLines w:val="0"/>
        <w:widowControl w:val="0"/>
        <w:shd w:val="clear" w:color="auto" w:fill="auto"/>
        <w:bidi w:val="0"/>
        <w:spacing w:before="0" w:after="360" w:line="240" w:lineRule="auto"/>
        <w:ind w:left="0" w:right="0" w:firstLine="440"/>
        <w:jc w:val="left"/>
      </w:pPr>
      <w:bookmarkStart w:id="226" w:name="bookmark226"/>
      <w:r>
        <w:rPr>
          <w:color w:val="000000"/>
          <w:spacing w:val="0"/>
          <w:w w:val="100"/>
          <w:position w:val="0"/>
        </w:rPr>
        <w:t>（</w:t>
      </w:r>
      <w:bookmarkEnd w:id="226"/>
      <w:r>
        <w:rPr>
          <w:color w:val="000000"/>
          <w:spacing w:val="0"/>
          <w:w w:val="100"/>
          <w:position w:val="0"/>
        </w:rPr>
        <w:t>一）行业格局和趋势</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科技成为推动金融科技行业发展的重要动力，开放、合作、共赢的金融科技产业生态体系正在逐步形 成。金融科技</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FinTech</w:t>
      </w:r>
      <w:r>
        <w:rPr>
          <w:rFonts w:ascii="Times New Roman" w:eastAsia="Times New Roman" w:hAnsi="Times New Roman" w:cs="Times New Roman"/>
          <w:color w:val="000000"/>
          <w:spacing w:val="0"/>
          <w:w w:val="100"/>
          <w:position w:val="0"/>
        </w:rPr>
        <w:t>）</w:t>
      </w:r>
      <w:r>
        <w:rPr>
          <w:color w:val="000000"/>
          <w:spacing w:val="0"/>
          <w:w w:val="100"/>
          <w:position w:val="0"/>
        </w:rPr>
        <w:t>不仅注重以技术手段为金融行业提供服务，帮助金融行业提升效率，还强调技术对 传统金融进行风险定价、风险管理、客户精准定位、采用场景金融理论以客户为中心进行产品设计，即通 过这种方式极大地触达到用户，通过科技的方式管理风险，改善现有的金融生态。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月，央行成立 金融科技（</w:t>
      </w:r>
      <w:r>
        <w:rPr>
          <w:rFonts w:ascii="Times New Roman" w:eastAsia="Times New Roman" w:hAnsi="Times New Roman" w:cs="Times New Roman"/>
          <w:color w:val="000000"/>
          <w:spacing w:val="0"/>
          <w:w w:val="100"/>
          <w:position w:val="0"/>
        </w:rPr>
        <w:t>FinTech</w:t>
      </w:r>
      <w:r>
        <w:rPr>
          <w:color w:val="000000"/>
          <w:spacing w:val="0"/>
          <w:w w:val="100"/>
          <w:position w:val="0"/>
        </w:rPr>
        <w:t>）</w:t>
      </w:r>
      <w:r>
        <w:rPr>
          <w:color w:val="000000"/>
          <w:spacing w:val="0"/>
          <w:w w:val="100"/>
          <w:position w:val="0"/>
        </w:rPr>
        <w:t>委员会，旨在加强金融科技工作的研究规划和统筹协调。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月，中国人民银行 印发《金融科技</w:t>
      </w:r>
      <w:r>
        <w:rPr>
          <w:color w:val="000000"/>
          <w:spacing w:val="0"/>
          <w:w w:val="100"/>
          <w:position w:val="0"/>
        </w:rPr>
        <w:t>（</w:t>
      </w:r>
      <w:r>
        <w:rPr>
          <w:rFonts w:ascii="Times New Roman" w:eastAsia="Times New Roman" w:hAnsi="Times New Roman" w:cs="Times New Roman"/>
          <w:color w:val="000000"/>
          <w:spacing w:val="0"/>
          <w:w w:val="100"/>
          <w:position w:val="0"/>
        </w:rPr>
        <w:t>FinTech</w:t>
      </w:r>
      <w:r>
        <w:rPr>
          <w:color w:val="000000"/>
          <w:spacing w:val="0"/>
          <w:w w:val="100"/>
          <w:position w:val="0"/>
        </w:rPr>
        <w:t>）发展规划（</w:t>
      </w:r>
      <w:r>
        <w:rPr>
          <w:rFonts w:ascii="Times New Roman" w:eastAsia="Times New Roman" w:hAnsi="Times New Roman" w:cs="Times New Roman"/>
          <w:color w:val="000000"/>
          <w:spacing w:val="0"/>
          <w:w w:val="100"/>
          <w:position w:val="0"/>
        </w:rPr>
        <w:t>2019-202</w:t>
      </w:r>
      <w:r>
        <w:rPr>
          <w:rFonts w:ascii="Times New Roman" w:eastAsia="Times New Roman" w:hAnsi="Times New Roman" w:cs="Times New Roman"/>
          <w:color w:val="000000"/>
          <w:spacing w:val="0"/>
          <w:w w:val="100"/>
          <w:position w:val="0"/>
        </w:rPr>
        <w:t>1</w:t>
      </w:r>
      <w:r>
        <w:rPr>
          <w:color w:val="000000"/>
          <w:spacing w:val="0"/>
          <w:w w:val="100"/>
          <w:position w:val="0"/>
        </w:rPr>
        <w:t>年）》，明确提出未来三年金融科技工作的发展目标， 到</w:t>
      </w:r>
      <w:r>
        <w:rPr>
          <w:rFonts w:ascii="Times New Roman" w:eastAsia="Times New Roman" w:hAnsi="Times New Roman" w:cs="Times New Roman"/>
          <w:color w:val="000000"/>
          <w:spacing w:val="0"/>
          <w:w w:val="100"/>
          <w:position w:val="0"/>
        </w:rPr>
        <w:t>2021</w:t>
      </w:r>
      <w:r>
        <w:rPr>
          <w:color w:val="000000"/>
          <w:spacing w:val="0"/>
          <w:w w:val="100"/>
          <w:position w:val="0"/>
        </w:rPr>
        <w:t>年，建立健全我国金融科技发展的</w:t>
      </w:r>
      <w:r>
        <w:rPr>
          <w:rFonts w:ascii="Times New Roman" w:eastAsia="Times New Roman" w:hAnsi="Times New Roman" w:cs="Times New Roman"/>
          <w:color w:val="000000"/>
          <w:spacing w:val="0"/>
          <w:w w:val="100"/>
          <w:position w:val="0"/>
        </w:rPr>
        <w:t>“</w:t>
      </w:r>
      <w:r>
        <w:rPr>
          <w:color w:val="000000"/>
          <w:spacing w:val="0"/>
          <w:w w:val="100"/>
          <w:position w:val="0"/>
        </w:rPr>
        <w:t>四梁八柱</w:t>
      </w:r>
      <w:r>
        <w:rPr>
          <w:color w:val="000000"/>
          <w:spacing w:val="0"/>
          <w:w w:val="100"/>
          <w:position w:val="0"/>
        </w:rPr>
        <w:t>''，</w:t>
      </w:r>
      <w:r>
        <w:rPr>
          <w:color w:val="000000"/>
          <w:spacing w:val="0"/>
          <w:w w:val="100"/>
          <w:position w:val="0"/>
        </w:rPr>
        <w:t>进一步增强金融业科技应用能力，实现金融与科技 深度融合、协调发展，明显增强人民群众对数字化、网络化、智能化金融产品和服务的满意度，使我国金 融科技发展居于国际领先水平。在此背景下，社会组织和专业服务机构对金融科技发展支撑作用有望不断 强化，开放、合作、共赢的金融科技产业生态体系正在逐步形成。</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开放银行己成大势所趋。目前全球已经有</w:t>
      </w:r>
      <w:r>
        <w:rPr>
          <w:rFonts w:ascii="Times New Roman" w:eastAsia="Times New Roman" w:hAnsi="Times New Roman" w:cs="Times New Roman"/>
          <w:color w:val="000000"/>
          <w:spacing w:val="0"/>
          <w:w w:val="100"/>
          <w:position w:val="0"/>
        </w:rPr>
        <w:t>30</w:t>
      </w:r>
      <w:r>
        <w:rPr>
          <w:color w:val="000000"/>
          <w:spacing w:val="0"/>
          <w:w w:val="100"/>
          <w:position w:val="0"/>
        </w:rPr>
        <w:t>多个国家和地区采用开放银行模式，其覆盖的产品约占收 入池的</w:t>
      </w:r>
      <w:r>
        <w:rPr>
          <w:rFonts w:ascii="Times New Roman" w:eastAsia="Times New Roman" w:hAnsi="Times New Roman" w:cs="Times New Roman"/>
          <w:color w:val="000000"/>
          <w:spacing w:val="0"/>
          <w:w w:val="100"/>
          <w:position w:val="0"/>
        </w:rPr>
        <w:t>90%</w:t>
      </w:r>
      <w:r>
        <w:rPr>
          <w:color w:val="000000"/>
          <w:spacing w:val="0"/>
          <w:w w:val="100"/>
          <w:position w:val="0"/>
        </w:rPr>
        <w:t>。国内四大行、股份制银行和城商行均在积极尝试符合自身特点的开放银行模式，搭建以客户 为中心，</w:t>
      </w:r>
      <w:r>
        <w:rPr>
          <w:rFonts w:ascii="Times New Roman" w:eastAsia="Times New Roman" w:hAnsi="Times New Roman" w:cs="Times New Roman"/>
          <w:color w:val="000000"/>
          <w:spacing w:val="0"/>
          <w:w w:val="100"/>
          <w:position w:val="0"/>
        </w:rPr>
        <w:t>“</w:t>
      </w:r>
      <w:r>
        <w:rPr>
          <w:color w:val="000000"/>
          <w:spacing w:val="0"/>
          <w:w w:val="100"/>
          <w:position w:val="0"/>
        </w:rPr>
        <w:t>银行无处不在''的创新场景，其背后场景驱动、数据驱动、体验驱动、敏捷驱动的将成为开放银 行普及的</w:t>
      </w:r>
      <w:r>
        <w:rPr>
          <w:rFonts w:ascii="Times New Roman" w:eastAsia="Times New Roman" w:hAnsi="Times New Roman" w:cs="Times New Roman"/>
          <w:color w:val="000000"/>
          <w:spacing w:val="0"/>
          <w:w w:val="100"/>
          <w:position w:val="0"/>
        </w:rPr>
        <w:t>“</w:t>
      </w:r>
      <w:r>
        <w:rPr>
          <w:color w:val="000000"/>
          <w:spacing w:val="0"/>
          <w:w w:val="100"/>
          <w:position w:val="0"/>
        </w:rPr>
        <w:t>发动机而要实现上述目标，则需将核心业务数字化，银行内部各业务服务能力之间的协同， 规划新一代数据架构，同时以应用场景封装数据服务。对于大部分缺乏金融科技能力的客户而言，迫切需 要第三方机构帮助其实现与银行</w:t>
      </w:r>
      <w:r>
        <w:rPr>
          <w:rFonts w:ascii="Times New Roman" w:eastAsia="Times New Roman" w:hAnsi="Times New Roman" w:cs="Times New Roman"/>
          <w:color w:val="000000"/>
          <w:spacing w:val="0"/>
          <w:w w:val="100"/>
          <w:position w:val="0"/>
        </w:rPr>
        <w:t>AP</w:t>
      </w:r>
      <w:r>
        <w:rPr>
          <w:rFonts w:ascii="Times New Roman" w:eastAsia="Times New Roman" w:hAnsi="Times New Roman" w:cs="Times New Roman"/>
          <w:color w:val="000000"/>
          <w:spacing w:val="0"/>
          <w:w w:val="100"/>
          <w:position w:val="0"/>
        </w:rPr>
        <w:t>I</w:t>
      </w:r>
      <w:r>
        <w:rPr>
          <w:color w:val="000000"/>
          <w:spacing w:val="0"/>
          <w:w w:val="100"/>
          <w:position w:val="0"/>
        </w:rPr>
        <w:t>的对接，从而催化出全新的商业盈利模式。在监管助力、科技赋能的 双重驱动下，开放银行正成为一股新的世界潮流，在开放银行的潮流下，未来银行的服务形态，会</w:t>
      </w:r>
      <w:r>
        <w:rPr>
          <w:rFonts w:ascii="Times New Roman" w:eastAsia="Times New Roman" w:hAnsi="Times New Roman" w:cs="Times New Roman"/>
          <w:color w:val="000000"/>
          <w:spacing w:val="0"/>
          <w:w w:val="100"/>
          <w:position w:val="0"/>
        </w:rPr>
        <w:t>“</w:t>
      </w:r>
      <w:r>
        <w:rPr>
          <w:color w:val="000000"/>
          <w:spacing w:val="0"/>
          <w:w w:val="100"/>
          <w:position w:val="0"/>
        </w:rPr>
        <w:t>无处 不在，无微不至</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随着数字经济时代的来临，金融科技将更注重对数据价值的保护和挖掘。首先，作为数字经济的基石, 央行数字货币渐行渐近，传统的货币电子化支付方式将逐渐被数字货币所替代。</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月，商务部发布 《全面深化服务贸易创新发展试点总体方案》，提出错位探索的结构性安排，在京津冀、长三角、粤港澳 大湾区及中西部具备条件的地区布局开展数字人民币试点。目前，包括北京、上海、长沙、深圳等各大城 市已相继在推进数字人民币钱包，且不少线上线下应用场景已开始准备接纳数字人民币，其背后对反洗钱、 支付效率以及隐私保护能力的同步提升将给金融业带来全新的机遇。当前能看到的促进消费、定向投放仅 是央行数字货币的部分功能。考虑到</w:t>
      </w:r>
      <w:r>
        <w:rPr>
          <w:rFonts w:ascii="Times New Roman" w:eastAsia="Times New Roman" w:hAnsi="Times New Roman" w:cs="Times New Roman"/>
          <w:color w:val="000000"/>
          <w:spacing w:val="0"/>
          <w:w w:val="100"/>
          <w:position w:val="0"/>
        </w:rPr>
        <w:t>DCEP</w:t>
      </w:r>
      <w:r>
        <w:rPr>
          <w:color w:val="000000"/>
          <w:spacing w:val="0"/>
          <w:w w:val="100"/>
          <w:position w:val="0"/>
        </w:rPr>
        <w:t>或可搭载智能合约，其在金融服务中衍生能力将被极大地发掘， 对第三方金融科技公司而言蕴含了更多机遇。其次，数据作为生产要素的价值亟待释放。</w:t>
      </w:r>
      <w:r>
        <w:rPr>
          <w:rFonts w:ascii="Times New Roman" w:eastAsia="Times New Roman" w:hAnsi="Times New Roman" w:cs="Times New Roman"/>
          <w:color w:val="000000"/>
          <w:spacing w:val="0"/>
          <w:w w:val="100"/>
          <w:position w:val="0"/>
        </w:rPr>
        <w:t>2020</w:t>
      </w:r>
      <w:r>
        <w:rPr>
          <w:color w:val="000000"/>
          <w:spacing w:val="0"/>
          <w:w w:val="100"/>
          <w:position w:val="0"/>
        </w:rPr>
        <w:t>年中国大数 据市场增幅领跑全球大数据市场。面对庞大的数据市场，如何弥合价值发掘和隐私保护之间的矛盾，隐私 计算应运而生。从国际接轨角度看，欧盟《通用数据保护条例</w:t>
      </w:r>
      <w:r>
        <w:rPr>
          <w:color w:val="000000"/>
          <w:spacing w:val="0"/>
          <w:w w:val="100"/>
          <w:position w:val="0"/>
        </w:rPr>
        <w:t>（</w:t>
      </w:r>
      <w:r>
        <w:rPr>
          <w:rFonts w:ascii="Times New Roman" w:eastAsia="Times New Roman" w:hAnsi="Times New Roman" w:cs="Times New Roman"/>
          <w:color w:val="000000"/>
          <w:spacing w:val="0"/>
          <w:w w:val="100"/>
          <w:position w:val="0"/>
        </w:rPr>
        <w:t>GDPR</w:t>
      </w:r>
      <w:r>
        <w:rPr>
          <w:color w:val="000000"/>
          <w:spacing w:val="0"/>
          <w:w w:val="100"/>
          <w:position w:val="0"/>
        </w:rPr>
        <w:t>）</w:t>
      </w:r>
      <w:r>
        <w:rPr>
          <w:color w:val="000000"/>
          <w:spacing w:val="0"/>
          <w:w w:val="100"/>
          <w:position w:val="0"/>
        </w:rPr>
        <w:t>》、美国《消费者隐私法案</w:t>
      </w:r>
      <w:r>
        <w:rPr>
          <w:color w:val="000000"/>
          <w:spacing w:val="0"/>
          <w:w w:val="100"/>
          <w:position w:val="0"/>
        </w:rPr>
        <w:t>（</w:t>
      </w:r>
      <w:r>
        <w:rPr>
          <w:rFonts w:ascii="Times New Roman" w:eastAsia="Times New Roman" w:hAnsi="Times New Roman" w:cs="Times New Roman"/>
          <w:color w:val="000000"/>
          <w:spacing w:val="0"/>
          <w:w w:val="100"/>
          <w:position w:val="0"/>
        </w:rPr>
        <w:t>CCPA</w:t>
      </w:r>
      <w:r>
        <w:rPr>
          <w:color w:val="000000"/>
          <w:spacing w:val="0"/>
          <w:w w:val="100"/>
          <w:position w:val="0"/>
        </w:rPr>
        <w:t xml:space="preserve">）》 </w:t>
      </w:r>
      <w:r>
        <w:rPr>
          <w:color w:val="000000"/>
          <w:spacing w:val="0"/>
          <w:w w:val="100"/>
          <w:position w:val="0"/>
        </w:rPr>
        <w:t>均已实施，数据主权问题越发显著，而中国《网络安全法》、《民法典》、《数据安全法》、《个人信息 保护法》等均为技术普及提供了先决条件。数据已成为企业和国家具有战略价值的核心资产。</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日，《中共中央国务院关于构建更加完善的要素市场化配置体制机制的意见》对外公布，明确了数据作为 一种新型生产要素写入文件中，与土地、劳动力、资本、技术等传统要素并列为要素之一，要求加快培育 数据要素市场，推进政府数据开放共享、提升社会数据资源价值、加强数据资源整合和安全保护。数据作 为新经济的</w:t>
      </w:r>
      <w:r>
        <w:rPr>
          <w:rFonts w:ascii="Times New Roman" w:eastAsia="Times New Roman" w:hAnsi="Times New Roman" w:cs="Times New Roman"/>
          <w:color w:val="000000"/>
          <w:spacing w:val="0"/>
          <w:w w:val="100"/>
          <w:position w:val="0"/>
        </w:rPr>
        <w:t>“</w:t>
      </w:r>
      <w:r>
        <w:rPr>
          <w:color w:val="000000"/>
          <w:spacing w:val="0"/>
          <w:w w:val="100"/>
          <w:position w:val="0"/>
        </w:rPr>
        <w:t>土地</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其重要性不言而喻，数据生产要素的</w:t>
      </w:r>
      <w:r>
        <w:rPr>
          <w:rFonts w:ascii="Times New Roman" w:eastAsia="Times New Roman" w:hAnsi="Times New Roman" w:cs="Times New Roman"/>
          <w:color w:val="000000"/>
          <w:spacing w:val="0"/>
          <w:w w:val="100"/>
          <w:position w:val="0"/>
        </w:rPr>
        <w:t>“</w:t>
      </w:r>
      <w:r>
        <w:rPr>
          <w:color w:val="000000"/>
          <w:spacing w:val="0"/>
          <w:w w:val="100"/>
          <w:position w:val="0"/>
        </w:rPr>
        <w:t>市场化</w:t>
      </w:r>
      <w:r>
        <w:rPr>
          <w:rFonts w:ascii="Times New Roman" w:eastAsia="Times New Roman" w:hAnsi="Times New Roman" w:cs="Times New Roman"/>
          <w:color w:val="000000"/>
          <w:spacing w:val="0"/>
          <w:w w:val="100"/>
          <w:position w:val="0"/>
        </w:rPr>
        <w:t>''</w:t>
      </w:r>
      <w:r>
        <w:rPr>
          <w:color w:val="000000"/>
          <w:spacing w:val="0"/>
          <w:w w:val="100"/>
          <w:position w:val="0"/>
        </w:rPr>
        <w:t xml:space="preserve">有望催生新的万亿级市场。要打破数据 孤岛，实现数据这一生产要素的自由流动，同时又保障隐私不被泄露，隐私计算应运而生。基于隐私计算、 </w:t>
      </w:r>
      <w:r>
        <w:rPr>
          <w:rFonts w:ascii="Times New Roman" w:eastAsia="Times New Roman" w:hAnsi="Times New Roman" w:cs="Times New Roman"/>
          <w:color w:val="000000"/>
          <w:spacing w:val="0"/>
          <w:w w:val="100"/>
          <w:position w:val="0"/>
        </w:rPr>
        <w:t>TEE</w:t>
      </w:r>
      <w:r>
        <w:rPr>
          <w:color w:val="000000"/>
          <w:spacing w:val="0"/>
          <w:w w:val="100"/>
          <w:position w:val="0"/>
        </w:rPr>
        <w:t>可信执行环境、同态加密等技术的成熟，及各类金融监管沙盒给予的政策便利性，隐私计算可在政府、 金融、海关等多种场景应用中发挥效用，并逐步探索成熟商业模式。</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区块链成为核心技术自主创新的重要突破口，位列</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规划纲要七大数字经济重点产业，有望实 现从量变到质变的飞跃。自</w:t>
      </w:r>
      <w:r>
        <w:rPr>
          <w:rFonts w:ascii="Times New Roman" w:eastAsia="Times New Roman" w:hAnsi="Times New Roman" w:cs="Times New Roman"/>
          <w:color w:val="000000"/>
          <w:spacing w:val="0"/>
          <w:w w:val="100"/>
          <w:position w:val="0"/>
        </w:rPr>
        <w:t>2015-2016</w:t>
      </w:r>
      <w:r>
        <w:rPr>
          <w:color w:val="000000"/>
          <w:spacing w:val="0"/>
          <w:w w:val="100"/>
          <w:position w:val="0"/>
        </w:rPr>
        <w:t>年诞生区块链的概念开始，经历了近年的技术迭代、合规认证、政策 认知，区块链正从小众技术逐步走向舞台中央，有望与</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AIoT</w:t>
      </w:r>
      <w:r>
        <w:rPr>
          <w:color w:val="000000"/>
          <w:spacing w:val="0"/>
          <w:w w:val="100"/>
          <w:position w:val="0"/>
        </w:rPr>
        <w:t>、</w:t>
      </w:r>
      <w:r>
        <w:rPr>
          <w:color w:val="000000"/>
          <w:spacing w:val="0"/>
          <w:w w:val="100"/>
          <w:position w:val="0"/>
        </w:rPr>
        <w:t>云计算等技术一起，构筑下一代数字基 础设施，而其可溯源、防篡改的</w:t>
      </w:r>
      <w:r>
        <w:rPr>
          <w:rFonts w:ascii="Times New Roman" w:eastAsia="Times New Roman" w:hAnsi="Times New Roman" w:cs="Times New Roman"/>
          <w:color w:val="000000"/>
          <w:spacing w:val="0"/>
          <w:w w:val="100"/>
          <w:position w:val="0"/>
        </w:rPr>
        <w:t>“</w:t>
      </w:r>
      <w:r>
        <w:rPr>
          <w:color w:val="000000"/>
          <w:spacing w:val="0"/>
          <w:w w:val="100"/>
          <w:position w:val="0"/>
        </w:rPr>
        <w:t>信任机器''价值也终将在数字经济中占据一席之地，在建设网络强国、发 展数字经济、助力经济社会发展等方面发挥更大作用。未来，区块链在金融、商业、民生、政务等各大领 域及细分领域应用的广度和深度将进一步提升。根据</w:t>
      </w:r>
      <w:r>
        <w:rPr>
          <w:rFonts w:ascii="Times New Roman" w:eastAsia="Times New Roman" w:hAnsi="Times New Roman" w:cs="Times New Roman"/>
          <w:color w:val="000000"/>
          <w:spacing w:val="0"/>
          <w:w w:val="100"/>
          <w:position w:val="0"/>
        </w:rPr>
        <w:t>IDC</w:t>
      </w:r>
      <w:r>
        <w:rPr>
          <w:color w:val="000000"/>
          <w:spacing w:val="0"/>
          <w:w w:val="100"/>
          <w:position w:val="0"/>
        </w:rPr>
        <w:t>的预测，到</w:t>
      </w:r>
      <w:r>
        <w:rPr>
          <w:rFonts w:ascii="Times New Roman" w:eastAsia="Times New Roman" w:hAnsi="Times New Roman" w:cs="Times New Roman"/>
          <w:color w:val="000000"/>
          <w:spacing w:val="0"/>
          <w:w w:val="100"/>
          <w:position w:val="0"/>
        </w:rPr>
        <w:t>2023</w:t>
      </w:r>
      <w:r>
        <w:rPr>
          <w:color w:val="000000"/>
          <w:spacing w:val="0"/>
          <w:w w:val="100"/>
          <w:position w:val="0"/>
        </w:rPr>
        <w:t>年，中国企业将在区块链服务（咨 询、实施、维护、支持等）上投入</w:t>
      </w:r>
      <w:r>
        <w:rPr>
          <w:rFonts w:ascii="Times New Roman" w:eastAsia="Times New Roman" w:hAnsi="Times New Roman" w:cs="Times New Roman"/>
          <w:color w:val="000000"/>
          <w:spacing w:val="0"/>
          <w:w w:val="100"/>
          <w:position w:val="0"/>
        </w:rPr>
        <w:t>27</w:t>
      </w:r>
      <w:r>
        <w:rPr>
          <w:color w:val="000000"/>
          <w:spacing w:val="0"/>
          <w:w w:val="100"/>
          <w:position w:val="0"/>
        </w:rPr>
        <w:t>亿美元。</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互联网行业机会正在从</w:t>
      </w:r>
      <w:r>
        <w:rPr>
          <w:rFonts w:ascii="Times New Roman" w:eastAsia="Times New Roman" w:hAnsi="Times New Roman" w:cs="Times New Roman"/>
          <w:color w:val="000000"/>
          <w:spacing w:val="0"/>
          <w:w w:val="100"/>
          <w:position w:val="0"/>
        </w:rPr>
        <w:t>To C</w:t>
      </w:r>
      <w:r>
        <w:rPr>
          <w:color w:val="000000"/>
          <w:spacing w:val="0"/>
          <w:w w:val="100"/>
          <w:position w:val="0"/>
        </w:rPr>
        <w:t>转向</w:t>
      </w:r>
      <w:r>
        <w:rPr>
          <w:rFonts w:ascii="Times New Roman" w:eastAsia="Times New Roman" w:hAnsi="Times New Roman" w:cs="Times New Roman"/>
          <w:color w:val="000000"/>
          <w:spacing w:val="0"/>
          <w:w w:val="100"/>
          <w:position w:val="0"/>
        </w:rPr>
        <w:t>To B</w:t>
      </w:r>
      <w:r>
        <w:rPr>
          <w:color w:val="000000"/>
          <w:spacing w:val="0"/>
          <w:w w:val="100"/>
          <w:position w:val="0"/>
        </w:rPr>
        <w:t>，</w:t>
      </w:r>
      <w:r>
        <w:rPr>
          <w:color w:val="000000"/>
          <w:spacing w:val="0"/>
          <w:w w:val="100"/>
          <w:position w:val="0"/>
        </w:rPr>
        <w:t>企业级服务市场迎来发展良机。根据中国互联网络信息中心发 布的数据，我国网民规模增长率近几年一直维持在</w:t>
      </w:r>
      <w:r>
        <w:rPr>
          <w:rFonts w:ascii="Times New Roman" w:eastAsia="Times New Roman" w:hAnsi="Times New Roman" w:cs="Times New Roman"/>
          <w:color w:val="000000"/>
          <w:spacing w:val="0"/>
          <w:w w:val="100"/>
          <w:position w:val="0"/>
        </w:rPr>
        <w:t>3%</w:t>
      </w:r>
      <w:r>
        <w:rPr>
          <w:color w:val="000000"/>
          <w:spacing w:val="0"/>
          <w:w w:val="100"/>
          <w:position w:val="0"/>
        </w:rPr>
        <w:t>左右，远低于</w:t>
      </w:r>
      <w:r>
        <w:rPr>
          <w:rFonts w:ascii="Times New Roman" w:eastAsia="Times New Roman" w:hAnsi="Times New Roman" w:cs="Times New Roman"/>
          <w:color w:val="000000"/>
          <w:spacing w:val="0"/>
          <w:w w:val="100"/>
          <w:position w:val="0"/>
        </w:rPr>
        <w:t>10</w:t>
      </w:r>
      <w:r>
        <w:rPr>
          <w:color w:val="000000"/>
          <w:spacing w:val="0"/>
          <w:w w:val="100"/>
          <w:position w:val="0"/>
        </w:rPr>
        <w:t>年前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左右的网民增速；与此同时， </w:t>
      </w:r>
      <w:r>
        <w:rPr>
          <w:rFonts w:ascii="Times New Roman" w:eastAsia="Times New Roman" w:hAnsi="Times New Roman" w:cs="Times New Roman"/>
          <w:color w:val="000000"/>
          <w:spacing w:val="0"/>
          <w:w w:val="100"/>
          <w:position w:val="0"/>
        </w:rPr>
        <w:t>C</w:t>
      </w:r>
      <w:r>
        <w:rPr>
          <w:color w:val="000000"/>
          <w:spacing w:val="0"/>
          <w:w w:val="100"/>
          <w:position w:val="0"/>
        </w:rPr>
        <w:t>端用户的逐渐饱和也使得企业的获客成本提高，</w:t>
      </w:r>
      <w:r>
        <w:rPr>
          <w:rFonts w:ascii="Times New Roman" w:eastAsia="Times New Roman" w:hAnsi="Times New Roman" w:cs="Times New Roman"/>
          <w:color w:val="000000"/>
          <w:spacing w:val="0"/>
          <w:w w:val="100"/>
          <w:position w:val="0"/>
        </w:rPr>
        <w:t>C</w:t>
      </w:r>
      <w:r>
        <w:rPr>
          <w:color w:val="000000"/>
          <w:spacing w:val="0"/>
          <w:w w:val="100"/>
          <w:position w:val="0"/>
        </w:rPr>
        <w:t>端人口红利正在走向尾声。中小企业的企业服务需求已 成为企业服务市场不可忽视的重要组成部分，为企业级服务提供了巨大的市场空间。近年来，以</w:t>
      </w:r>
      <w:r>
        <w:rPr>
          <w:rFonts w:ascii="Times New Roman" w:eastAsia="Times New Roman" w:hAnsi="Times New Roman" w:cs="Times New Roman"/>
          <w:color w:val="000000"/>
          <w:spacing w:val="0"/>
          <w:w w:val="100"/>
          <w:position w:val="0"/>
        </w:rPr>
        <w:t>BATJ</w:t>
      </w:r>
      <w:r>
        <w:rPr>
          <w:color w:val="000000"/>
          <w:spacing w:val="0"/>
          <w:w w:val="100"/>
          <w:position w:val="0"/>
        </w:rPr>
        <w:t>为代 表的互联网巨头，也纷纷凭借其在互联网及移动互联网时代积累下来的优势，率先开始在</w:t>
      </w:r>
      <w:r>
        <w:rPr>
          <w:rFonts w:ascii="Times New Roman" w:eastAsia="Times New Roman" w:hAnsi="Times New Roman" w:cs="Times New Roman"/>
          <w:color w:val="000000"/>
          <w:spacing w:val="0"/>
          <w:w w:val="100"/>
          <w:position w:val="0"/>
        </w:rPr>
        <w:t>B</w:t>
      </w:r>
      <w:r>
        <w:rPr>
          <w:color w:val="000000"/>
          <w:spacing w:val="0"/>
          <w:w w:val="100"/>
          <w:position w:val="0"/>
        </w:rPr>
        <w:t>端的布局。一 系列迹象显示，科技赋能企业级市场正成为日益普遍的趋势，</w:t>
      </w:r>
      <w:r>
        <w:rPr>
          <w:rFonts w:ascii="Times New Roman" w:eastAsia="Times New Roman" w:hAnsi="Times New Roman" w:cs="Times New Roman"/>
          <w:color w:val="000000"/>
          <w:spacing w:val="0"/>
          <w:w w:val="100"/>
          <w:position w:val="0"/>
        </w:rPr>
        <w:t>To B</w:t>
      </w:r>
      <w:r>
        <w:rPr>
          <w:color w:val="000000"/>
          <w:spacing w:val="0"/>
          <w:w w:val="100"/>
          <w:position w:val="0"/>
        </w:rPr>
        <w:t>产业互联网时代已到来。产业互联网将 重构产业链，金融、政府、公共服务等行业正迎来变革，垂直行业信息化领军企业将获得长足的发展机遇。</w:t>
      </w:r>
    </w:p>
    <w:p>
      <w:pPr>
        <w:pStyle w:val="Style25"/>
        <w:keepNext w:val="0"/>
        <w:keepLines w:val="0"/>
        <w:widowControl w:val="0"/>
        <w:shd w:val="clear" w:color="auto" w:fill="auto"/>
        <w:tabs>
          <w:tab w:pos="974" w:val="left"/>
        </w:tabs>
        <w:bidi w:val="0"/>
        <w:spacing w:before="0" w:after="0" w:line="468" w:lineRule="exact"/>
        <w:ind w:left="0" w:right="0" w:firstLine="440"/>
        <w:jc w:val="both"/>
      </w:pPr>
      <w:bookmarkStart w:id="227" w:name="bookmark227"/>
      <w:r>
        <w:rPr>
          <w:color w:val="000000"/>
          <w:spacing w:val="0"/>
          <w:w w:val="100"/>
          <w:position w:val="0"/>
        </w:rPr>
        <w:t>（</w:t>
      </w:r>
      <w:bookmarkEnd w:id="227"/>
      <w:r>
        <w:rPr>
          <w:color w:val="000000"/>
          <w:spacing w:val="0"/>
          <w:w w:val="100"/>
          <w:position w:val="0"/>
        </w:rPr>
        <w:t>二）</w:t>
        <w:tab/>
        <w:t>公司发展战略</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公司将继续坚持以服务金融、政府与公用事业、企业客户为基础，深入推进区块链、隐私计算、数字 货币、开放银行等科技创新业务，以科技服务数字经济、数据主权的发展，并打造价值共享的产业互联网 科技赋能平台，引导产业客户实现从</w:t>
      </w:r>
      <w:r>
        <w:rPr>
          <w:rFonts w:ascii="Times New Roman" w:eastAsia="Times New Roman" w:hAnsi="Times New Roman" w:cs="Times New Roman"/>
          <w:color w:val="000000"/>
          <w:spacing w:val="0"/>
          <w:w w:val="100"/>
          <w:position w:val="0"/>
        </w:rPr>
        <w:t>IT</w:t>
      </w:r>
      <w:r>
        <w:rPr>
          <w:color w:val="000000"/>
          <w:spacing w:val="0"/>
          <w:w w:val="100"/>
          <w:position w:val="0"/>
        </w:rPr>
        <w:t>到</w:t>
      </w:r>
      <w:r>
        <w:rPr>
          <w:rFonts w:ascii="Times New Roman" w:eastAsia="Times New Roman" w:hAnsi="Times New Roman" w:cs="Times New Roman"/>
          <w:color w:val="000000"/>
          <w:spacing w:val="0"/>
          <w:w w:val="100"/>
          <w:position w:val="0"/>
        </w:rPr>
        <w:t>DT</w:t>
      </w:r>
      <w:r>
        <w:rPr>
          <w:color w:val="000000"/>
          <w:spacing w:val="0"/>
          <w:w w:val="100"/>
          <w:position w:val="0"/>
        </w:rPr>
        <w:t>到</w:t>
      </w:r>
      <w:r>
        <w:rPr>
          <w:rFonts w:ascii="Times New Roman" w:eastAsia="Times New Roman" w:hAnsi="Times New Roman" w:cs="Times New Roman"/>
          <w:color w:val="000000"/>
          <w:spacing w:val="0"/>
          <w:w w:val="100"/>
          <w:position w:val="0"/>
        </w:rPr>
        <w:t>AT</w:t>
      </w:r>
      <w:r>
        <w:rPr>
          <w:color w:val="000000"/>
          <w:spacing w:val="0"/>
          <w:w w:val="100"/>
          <w:position w:val="0"/>
        </w:rPr>
        <w:t>的技术升级。</w:t>
      </w:r>
    </w:p>
    <w:p>
      <w:pPr>
        <w:pStyle w:val="Style25"/>
        <w:keepNext w:val="0"/>
        <w:keepLines w:val="0"/>
        <w:widowControl w:val="0"/>
        <w:shd w:val="clear" w:color="auto" w:fill="auto"/>
        <w:tabs>
          <w:tab w:pos="974" w:val="left"/>
        </w:tabs>
        <w:bidi w:val="0"/>
        <w:spacing w:before="0" w:after="0" w:line="468" w:lineRule="exact"/>
        <w:ind w:left="0" w:right="0" w:firstLine="440"/>
        <w:jc w:val="both"/>
      </w:pPr>
      <w:bookmarkStart w:id="228" w:name="bookmark228"/>
      <w:r>
        <w:rPr>
          <w:color w:val="000000"/>
          <w:spacing w:val="0"/>
          <w:w w:val="100"/>
          <w:position w:val="0"/>
        </w:rPr>
        <w:t>（</w:t>
      </w:r>
      <w:bookmarkEnd w:id="228"/>
      <w:r>
        <w:rPr>
          <w:color w:val="000000"/>
          <w:spacing w:val="0"/>
          <w:w w:val="100"/>
          <w:position w:val="0"/>
        </w:rPr>
        <w:t>三）</w:t>
        <w:tab/>
        <w:t>经营计划</w:t>
      </w:r>
    </w:p>
    <w:p>
      <w:pPr>
        <w:pStyle w:val="Style25"/>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为确保实现公司发展战略目标，公司</w:t>
      </w:r>
      <w:r>
        <w:rPr>
          <w:rFonts w:ascii="Times New Roman" w:eastAsia="Times New Roman" w:hAnsi="Times New Roman" w:cs="Times New Roman"/>
          <w:color w:val="000000"/>
          <w:spacing w:val="0"/>
          <w:w w:val="100"/>
          <w:position w:val="0"/>
        </w:rPr>
        <w:t>2021</w:t>
      </w:r>
      <w:r>
        <w:rPr>
          <w:color w:val="000000"/>
          <w:spacing w:val="0"/>
          <w:w w:val="100"/>
          <w:position w:val="0"/>
        </w:rPr>
        <w:t>年度经营计划主要包括以下内容：</w:t>
      </w:r>
    </w:p>
    <w:p>
      <w:pPr>
        <w:pStyle w:val="Style25"/>
        <w:keepNext w:val="0"/>
        <w:keepLines w:val="0"/>
        <w:widowControl w:val="0"/>
        <w:numPr>
          <w:ilvl w:val="0"/>
          <w:numId w:val="7"/>
        </w:numPr>
        <w:shd w:val="clear" w:color="auto" w:fill="auto"/>
        <w:bidi w:val="0"/>
        <w:spacing w:before="0" w:after="0"/>
        <w:ind w:left="0" w:right="0" w:firstLine="440"/>
        <w:jc w:val="both"/>
      </w:pPr>
      <w:bookmarkStart w:id="229" w:name="bookmark229"/>
      <w:bookmarkEnd w:id="229"/>
      <w:r>
        <w:rPr>
          <w:color w:val="000000"/>
          <w:spacing w:val="0"/>
          <w:w w:val="100"/>
          <w:position w:val="0"/>
        </w:rPr>
        <w:t>进一步推进金融科技服务能力，抓住发展新机遇</w:t>
      </w:r>
    </w:p>
    <w:p>
      <w:pPr>
        <w:pStyle w:val="Style25"/>
        <w:keepNext w:val="0"/>
        <w:keepLines w:val="0"/>
        <w:widowControl w:val="0"/>
        <w:shd w:val="clear" w:color="auto" w:fill="auto"/>
        <w:bidi w:val="0"/>
        <w:spacing w:before="0" w:after="24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年，公司将继续致力于提供开放银行整体解决方案等金融科技综合服务。同时，继续保持对数字 经济、数字货币等新技术、新趋势密切的关注和跟进，随着数字货币试点应用提速，各大商业银行纷纷加 </w:t>
      </w:r>
      <w:r>
        <w:rPr>
          <w:color w:val="000000"/>
          <w:spacing w:val="0"/>
          <w:w w:val="100"/>
          <w:position w:val="0"/>
        </w:rPr>
        <w:t>快数字货币试点运营步伐，公司已利用已有行业优势开始并将积极布局协助银行加快推动数字人民币试点 应用。公司将抓住产业互联网升级的良机，进一步打造价值共享的产业互联网科技赋能平台，将公司在客 户资源、技术实力、经营管理等领域的能力向产业链上下游合作伙伴开放，推动公司、合伙人及合作伙伴 业务增长。</w:t>
      </w:r>
    </w:p>
    <w:p>
      <w:pPr>
        <w:pStyle w:val="Style25"/>
        <w:keepNext w:val="0"/>
        <w:keepLines w:val="0"/>
        <w:widowControl w:val="0"/>
        <w:numPr>
          <w:ilvl w:val="0"/>
          <w:numId w:val="7"/>
        </w:numPr>
        <w:shd w:val="clear" w:color="auto" w:fill="auto"/>
        <w:tabs>
          <w:tab w:pos="774" w:val="left"/>
        </w:tabs>
        <w:bidi w:val="0"/>
        <w:spacing w:before="0" w:after="0"/>
        <w:ind w:left="0" w:right="0" w:firstLine="440"/>
        <w:jc w:val="both"/>
      </w:pPr>
      <w:bookmarkStart w:id="230" w:name="bookmark230"/>
      <w:bookmarkEnd w:id="230"/>
      <w:r>
        <w:rPr>
          <w:color w:val="000000"/>
          <w:spacing w:val="0"/>
          <w:w w:val="100"/>
          <w:position w:val="0"/>
        </w:rPr>
        <w:t>进一步推进区块链相关技术研发及商业应用</w:t>
      </w:r>
    </w:p>
    <w:p>
      <w:pPr>
        <w:pStyle w:val="Style2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公司将积极响应客户相关需求，加大区块链领域的技术投入，以成为业界领先的区块链技术、产品和 解决方案综合服务商为目标，保持对区块链</w:t>
      </w:r>
      <w:r>
        <w:rPr>
          <w:rFonts w:ascii="Times New Roman" w:eastAsia="Times New Roman" w:hAnsi="Times New Roman" w:cs="Times New Roman"/>
          <w:color w:val="000000"/>
          <w:spacing w:val="0"/>
          <w:w w:val="100"/>
          <w:position w:val="0"/>
        </w:rPr>
        <w:t xml:space="preserve">BaaS </w:t>
      </w:r>
      <w:r>
        <w:rPr>
          <w:color w:val="000000"/>
          <w:spacing w:val="0"/>
          <w:w w:val="100"/>
          <w:position w:val="0"/>
        </w:rPr>
        <w:t>（区块链即服务）服务平台的持续研发升级和应用推广， 持续探索金融、商业、政务监管、民生领域的区块链应用和其他区块链服务领域。</w:t>
      </w:r>
    </w:p>
    <w:p>
      <w:pPr>
        <w:pStyle w:val="Style25"/>
        <w:keepNext w:val="0"/>
        <w:keepLines w:val="0"/>
        <w:widowControl w:val="0"/>
        <w:numPr>
          <w:ilvl w:val="0"/>
          <w:numId w:val="7"/>
        </w:numPr>
        <w:shd w:val="clear" w:color="auto" w:fill="auto"/>
        <w:tabs>
          <w:tab w:pos="774" w:val="left"/>
        </w:tabs>
        <w:bidi w:val="0"/>
        <w:spacing w:before="0" w:after="0"/>
        <w:ind w:left="0" w:right="0" w:firstLine="440"/>
        <w:jc w:val="both"/>
      </w:pPr>
      <w:bookmarkStart w:id="231" w:name="bookmark231"/>
      <w:bookmarkEnd w:id="231"/>
      <w:r>
        <w:rPr>
          <w:color w:val="000000"/>
          <w:spacing w:val="0"/>
          <w:w w:val="100"/>
          <w:position w:val="0"/>
        </w:rPr>
        <w:t>进一步推进隐私计算技术和业务</w:t>
      </w:r>
    </w:p>
    <w:p>
      <w:pPr>
        <w:pStyle w:val="Style2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公司将积极重点布局，持续隐私计算领域的的技术研发及应用落地，在公司开放银行服务业务中深入 推进隐私计算技术，并同时拓展海关、运营商、政务、医疗、司法监管、工业互联网等其他业务场景。</w:t>
      </w:r>
    </w:p>
    <w:p>
      <w:pPr>
        <w:pStyle w:val="Style25"/>
        <w:keepNext w:val="0"/>
        <w:keepLines w:val="0"/>
        <w:widowControl w:val="0"/>
        <w:numPr>
          <w:ilvl w:val="0"/>
          <w:numId w:val="7"/>
        </w:numPr>
        <w:shd w:val="clear" w:color="auto" w:fill="auto"/>
        <w:tabs>
          <w:tab w:pos="774" w:val="left"/>
        </w:tabs>
        <w:bidi w:val="0"/>
        <w:spacing w:before="0" w:after="0"/>
        <w:ind w:left="0" w:right="0" w:firstLine="440"/>
        <w:jc w:val="both"/>
      </w:pPr>
      <w:bookmarkStart w:id="232" w:name="bookmark232"/>
      <w:bookmarkEnd w:id="232"/>
      <w:r>
        <w:rPr>
          <w:color w:val="000000"/>
          <w:spacing w:val="0"/>
          <w:w w:val="100"/>
          <w:position w:val="0"/>
        </w:rPr>
        <w:t>进一步夯实传统优势业务</w:t>
      </w:r>
    </w:p>
    <w:p>
      <w:pPr>
        <w:pStyle w:val="Style2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公司将深入了解挖掘现有金融、政府与公用事业、企业客户的需求，利用公司长年的技术和经验的积 累对客户的需求加以引领、合理规划，引导客户形成及完善新的需求，以获取继续与客户进行深入合作的 机会，增强客户粘性，进一步夯实公司在传统领域的优势业务。</w:t>
      </w:r>
    </w:p>
    <w:p>
      <w:pPr>
        <w:pStyle w:val="Style25"/>
        <w:keepNext w:val="0"/>
        <w:keepLines w:val="0"/>
        <w:widowControl w:val="0"/>
        <w:numPr>
          <w:ilvl w:val="0"/>
          <w:numId w:val="7"/>
        </w:numPr>
        <w:shd w:val="clear" w:color="auto" w:fill="auto"/>
        <w:tabs>
          <w:tab w:pos="774" w:val="left"/>
        </w:tabs>
        <w:bidi w:val="0"/>
        <w:spacing w:before="0" w:after="0"/>
        <w:ind w:left="0" w:right="0" w:firstLine="440"/>
        <w:jc w:val="both"/>
      </w:pPr>
      <w:bookmarkStart w:id="233" w:name="bookmark233"/>
      <w:bookmarkEnd w:id="233"/>
      <w:r>
        <w:rPr>
          <w:color w:val="000000"/>
          <w:spacing w:val="0"/>
          <w:w w:val="100"/>
          <w:position w:val="0"/>
        </w:rPr>
        <w:t>进一步加大技术投入</w:t>
      </w:r>
    </w:p>
    <w:p>
      <w:pPr>
        <w:pStyle w:val="Style2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在技术创新方面，公司将继续加大在主营业务领域的核心产品和技术研发及产业化投入，不断增强区 块链、隐私计算、数字货币、开放银行、数字化转型等领域的技术实力，保持行业技术领先水平，增强企 业的核心竞争能力，为公司的成长提供产品和技术优势。</w:t>
      </w:r>
    </w:p>
    <w:p>
      <w:pPr>
        <w:pStyle w:val="Style25"/>
        <w:keepNext w:val="0"/>
        <w:keepLines w:val="0"/>
        <w:widowControl w:val="0"/>
        <w:numPr>
          <w:ilvl w:val="0"/>
          <w:numId w:val="7"/>
        </w:numPr>
        <w:shd w:val="clear" w:color="auto" w:fill="auto"/>
        <w:tabs>
          <w:tab w:pos="774" w:val="left"/>
        </w:tabs>
        <w:bidi w:val="0"/>
        <w:spacing w:before="0" w:after="0"/>
        <w:ind w:left="0" w:right="0" w:firstLine="440"/>
        <w:jc w:val="both"/>
      </w:pPr>
      <w:bookmarkStart w:id="234" w:name="bookmark234"/>
      <w:bookmarkEnd w:id="234"/>
      <w:r>
        <w:rPr>
          <w:color w:val="000000"/>
          <w:spacing w:val="0"/>
          <w:w w:val="100"/>
          <w:position w:val="0"/>
        </w:rPr>
        <w:t>配合公司战略，积极利用收购兼并等手段进行资源整合</w:t>
      </w:r>
    </w:p>
    <w:p>
      <w:pPr>
        <w:pStyle w:val="Style2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根据公司的经营发展战略，进一步分解投资并购战略，做到与公司整体战略配合，聚焦不脱节。建立 健全投后管理体系和流程，帮助公司实现协同发展，完善战略布局，提升综合竞争优势。</w:t>
      </w:r>
    </w:p>
    <w:p>
      <w:pPr>
        <w:pStyle w:val="Style25"/>
        <w:keepNext w:val="0"/>
        <w:keepLines w:val="0"/>
        <w:widowControl w:val="0"/>
        <w:numPr>
          <w:ilvl w:val="0"/>
          <w:numId w:val="7"/>
        </w:numPr>
        <w:shd w:val="clear" w:color="auto" w:fill="auto"/>
        <w:tabs>
          <w:tab w:pos="774" w:val="left"/>
        </w:tabs>
        <w:bidi w:val="0"/>
        <w:spacing w:before="0" w:after="0"/>
        <w:ind w:left="0" w:right="0" w:firstLine="440"/>
        <w:jc w:val="both"/>
      </w:pPr>
      <w:bookmarkStart w:id="235" w:name="bookmark235"/>
      <w:bookmarkEnd w:id="235"/>
      <w:r>
        <w:rPr>
          <w:color w:val="000000"/>
          <w:spacing w:val="0"/>
          <w:w w:val="100"/>
          <w:position w:val="0"/>
        </w:rPr>
        <w:t>深入开展党建活动，提高员工的凝聚力和公司竞争力</w:t>
      </w:r>
    </w:p>
    <w:p>
      <w:pPr>
        <w:pStyle w:val="Style25"/>
        <w:keepNext w:val="0"/>
        <w:keepLines w:val="0"/>
        <w:widowControl w:val="0"/>
        <w:shd w:val="clear" w:color="auto" w:fill="auto"/>
        <w:bidi w:val="0"/>
        <w:spacing w:before="0" w:after="240" w:line="48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年，公司将继续以基层党组织为依托，深入开展党建活动，为党组织的活动提供必要的条件，注 重发挥党员的先锋模范作用，提高员工的凝聚力和公司竞争力。</w:t>
      </w:r>
    </w:p>
    <w:p>
      <w:pPr>
        <w:pStyle w:val="Style25"/>
        <w:keepNext w:val="0"/>
        <w:keepLines w:val="0"/>
        <w:widowControl w:val="0"/>
        <w:numPr>
          <w:ilvl w:val="0"/>
          <w:numId w:val="7"/>
        </w:numPr>
        <w:shd w:val="clear" w:color="auto" w:fill="auto"/>
        <w:tabs>
          <w:tab w:pos="774" w:val="left"/>
        </w:tabs>
        <w:bidi w:val="0"/>
        <w:spacing w:before="0" w:after="0" w:line="497" w:lineRule="auto"/>
        <w:ind w:left="0" w:right="0" w:firstLine="440"/>
        <w:jc w:val="both"/>
      </w:pPr>
      <w:bookmarkStart w:id="236" w:name="bookmark236"/>
      <w:bookmarkEnd w:id="236"/>
      <w:r>
        <w:rPr>
          <w:color w:val="000000"/>
          <w:spacing w:val="0"/>
          <w:w w:val="100"/>
          <w:position w:val="0"/>
        </w:rPr>
        <w:t>持续推进企业文化建设，升级公司多层级合伙人制度，实施中台赋能战略</w:t>
      </w:r>
    </w:p>
    <w:p>
      <w:pPr>
        <w:pStyle w:val="Style25"/>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年，公司业务增长要配合多层级合伙人制度升级、企业文化考核、中台赋能战略进一步实施等措 施，提升业务部门协同性，增强公司核心竞争力，为奋斗者搭建实现梦想的舞台。</w:t>
      </w:r>
    </w:p>
    <w:p>
      <w:pPr>
        <w:pStyle w:val="Style25"/>
        <w:keepNext w:val="0"/>
        <w:keepLines w:val="0"/>
        <w:widowControl w:val="0"/>
        <w:shd w:val="clear" w:color="auto" w:fill="auto"/>
        <w:bidi w:val="0"/>
        <w:spacing w:before="0" w:after="240" w:line="475" w:lineRule="exact"/>
        <w:ind w:left="0" w:right="0" w:firstLine="440"/>
        <w:jc w:val="both"/>
      </w:pPr>
      <w:bookmarkStart w:id="237" w:name="bookmark237"/>
      <w:r>
        <w:rPr>
          <w:color w:val="000000"/>
          <w:spacing w:val="0"/>
          <w:w w:val="100"/>
          <w:position w:val="0"/>
        </w:rPr>
        <w:t>（</w:t>
      </w:r>
      <w:bookmarkEnd w:id="237"/>
      <w:r>
        <w:rPr>
          <w:color w:val="000000"/>
          <w:spacing w:val="0"/>
          <w:w w:val="100"/>
          <w:position w:val="0"/>
        </w:rPr>
        <w:t>四）可能面对的风险</w:t>
      </w:r>
    </w:p>
    <w:p>
      <w:pPr>
        <w:pStyle w:val="Style25"/>
        <w:keepNext w:val="0"/>
        <w:keepLines w:val="0"/>
        <w:widowControl w:val="0"/>
        <w:numPr>
          <w:ilvl w:val="0"/>
          <w:numId w:val="9"/>
        </w:numPr>
        <w:shd w:val="clear" w:color="auto" w:fill="auto"/>
        <w:bidi w:val="0"/>
        <w:spacing w:before="0" w:after="240" w:line="497" w:lineRule="auto"/>
        <w:ind w:left="0" w:right="0" w:firstLine="440"/>
        <w:jc w:val="both"/>
      </w:pPr>
      <w:bookmarkStart w:id="238" w:name="bookmark238"/>
      <w:bookmarkEnd w:id="238"/>
      <w:r>
        <w:rPr>
          <w:color w:val="000000"/>
          <w:spacing w:val="0"/>
          <w:w w:val="100"/>
          <w:position w:val="0"/>
        </w:rPr>
        <w:t>市场竞争风险</w:t>
      </w:r>
    </w:p>
    <w:p>
      <w:pPr>
        <w:pStyle w:val="Style25"/>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公司正在积极布局的行业具有广阔的市场空间，但同时也面临激烈的市场竞争。如果公司不能充分利 用现有优势和资源，持续升级产品和服务，快速扩大市场份额，可能导致公司未来持续高速发展存在一定 的不确定因素。</w:t>
      </w:r>
    </w:p>
    <w:p>
      <w:pPr>
        <w:pStyle w:val="Style25"/>
        <w:keepNext w:val="0"/>
        <w:keepLines w:val="0"/>
        <w:widowControl w:val="0"/>
        <w:shd w:val="clear" w:color="auto" w:fill="auto"/>
        <w:bidi w:val="0"/>
        <w:spacing w:before="0" w:after="220" w:line="474" w:lineRule="exact"/>
        <w:ind w:left="0" w:right="0" w:firstLine="440"/>
        <w:jc w:val="both"/>
      </w:pPr>
      <w:r>
        <w:rPr>
          <w:color w:val="000000"/>
          <w:spacing w:val="0"/>
          <w:w w:val="100"/>
          <w:position w:val="0"/>
        </w:rPr>
        <w:t>针对上述风险，公司将积极顺应行业发展趋势，加快业务布局，快速推进各项业务；同时充分发挥公 司的核心竞争优势，加大市场拓展力度，以规避市场竞争加剧对公司造成的风险。</w:t>
      </w:r>
    </w:p>
    <w:p>
      <w:pPr>
        <w:pStyle w:val="Style25"/>
        <w:keepNext w:val="0"/>
        <w:keepLines w:val="0"/>
        <w:widowControl w:val="0"/>
        <w:numPr>
          <w:ilvl w:val="0"/>
          <w:numId w:val="9"/>
        </w:numPr>
        <w:shd w:val="clear" w:color="auto" w:fill="auto"/>
        <w:tabs>
          <w:tab w:pos="774" w:val="left"/>
        </w:tabs>
        <w:bidi w:val="0"/>
        <w:spacing w:before="0" w:after="0"/>
        <w:ind w:left="0" w:right="0" w:firstLine="440"/>
        <w:jc w:val="both"/>
      </w:pPr>
      <w:bookmarkStart w:id="239" w:name="bookmark239"/>
      <w:bookmarkEnd w:id="239"/>
      <w:r>
        <w:rPr>
          <w:color w:val="000000"/>
          <w:spacing w:val="0"/>
          <w:w w:val="100"/>
          <w:position w:val="0"/>
        </w:rPr>
        <w:t>行业技术风险</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公司所处行业存在对产品的技术要求高，技术更新换代快，市场需求变化快的特点，如果不能及时准 确地把握新技术及市场需求的发展和变化，将会影响公司的快速发展。</w:t>
      </w:r>
    </w:p>
    <w:p>
      <w:pPr>
        <w:pStyle w:val="Style2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针对上述风险，公司将进一步加大技术研发投入，完善公司技术研发体系，加强研发技术人才的引进, 并在公司内部形成良好的知识共享、传递机制，不断提升创新能力。</w:t>
      </w:r>
    </w:p>
    <w:p>
      <w:pPr>
        <w:pStyle w:val="Style25"/>
        <w:keepNext w:val="0"/>
        <w:keepLines w:val="0"/>
        <w:widowControl w:val="0"/>
        <w:numPr>
          <w:ilvl w:val="0"/>
          <w:numId w:val="9"/>
        </w:numPr>
        <w:shd w:val="clear" w:color="auto" w:fill="auto"/>
        <w:tabs>
          <w:tab w:pos="774" w:val="left"/>
        </w:tabs>
        <w:bidi w:val="0"/>
        <w:spacing w:before="0" w:after="0"/>
        <w:ind w:left="0" w:right="0" w:firstLine="440"/>
        <w:jc w:val="both"/>
      </w:pPr>
      <w:bookmarkStart w:id="240" w:name="bookmark240"/>
      <w:bookmarkEnd w:id="240"/>
      <w:r>
        <w:rPr>
          <w:color w:val="000000"/>
          <w:spacing w:val="0"/>
          <w:w w:val="100"/>
          <w:position w:val="0"/>
        </w:rPr>
        <w:t>人力资源风险</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人才资源是公司生存和发展的关键，随着公司业务发展，对经营人才、业务人才、技术人才、运营人 才及有丰富经验的产品研发、项目管理人才的需求日益增强，同时员工行为管理也更加复杂。公司人才队 伍的数量及质量，是公司能否健康快速发展的重要保障因素。</w:t>
      </w:r>
    </w:p>
    <w:p>
      <w:pPr>
        <w:pStyle w:val="Style2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针对上述风险，公司将进一步完善人才保障的常态化机制，通过升级多层级合伙人经营责任制等方式 加大人才培养和引进力度，提供畅通的晋升渠道、推行有效的绩效考核与激励机制等措施，来满足公司业 务跨越式发展对人才的需求。</w:t>
      </w:r>
    </w:p>
    <w:p>
      <w:pPr>
        <w:pStyle w:val="Style25"/>
        <w:keepNext w:val="0"/>
        <w:keepLines w:val="0"/>
        <w:widowControl w:val="0"/>
        <w:numPr>
          <w:ilvl w:val="0"/>
          <w:numId w:val="9"/>
        </w:numPr>
        <w:shd w:val="clear" w:color="auto" w:fill="auto"/>
        <w:tabs>
          <w:tab w:pos="774" w:val="left"/>
        </w:tabs>
        <w:bidi w:val="0"/>
        <w:spacing w:before="0" w:after="0"/>
        <w:ind w:left="0" w:right="0" w:firstLine="440"/>
        <w:jc w:val="both"/>
      </w:pPr>
      <w:bookmarkStart w:id="241" w:name="bookmark241"/>
      <w:bookmarkEnd w:id="241"/>
      <w:r>
        <w:rPr>
          <w:color w:val="000000"/>
          <w:spacing w:val="0"/>
          <w:w w:val="100"/>
          <w:position w:val="0"/>
        </w:rPr>
        <w:t>政策风险</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行业政策是影响公司及行业发展的重要因素。若未来国家对相关行业政策进行调整或完善，将对行业 发展方向和竞争格局产生深刻影响，从而可能对公司业务发展的方向和速度产生一定影响。</w:t>
      </w:r>
    </w:p>
    <w:p>
      <w:pPr>
        <w:pStyle w:val="Style25"/>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针对上述风险，公司在发展业务的过程中，将进一步严格按照可参考、可依据的相关法律法规及政策 开展业务，持续跟踪和研究相关政策及变化，防范风险。</w:t>
      </w:r>
    </w:p>
    <w:p>
      <w:pPr>
        <w:pStyle w:val="Style23"/>
        <w:keepNext/>
        <w:keepLines/>
        <w:widowControl w:val="0"/>
        <w:shd w:val="clear" w:color="auto" w:fill="auto"/>
        <w:bidi w:val="0"/>
        <w:spacing w:before="0" w:after="360" w:line="240" w:lineRule="auto"/>
        <w:ind w:left="0" w:right="0" w:firstLine="0"/>
        <w:jc w:val="left"/>
      </w:pPr>
      <w:bookmarkStart w:id="242" w:name="bookmark242"/>
      <w:bookmarkStart w:id="243" w:name="bookmark243"/>
      <w:bookmarkStart w:id="244" w:name="bookmark244"/>
      <w:r>
        <w:rPr>
          <w:color w:val="000000"/>
          <w:spacing w:val="0"/>
          <w:w w:val="100"/>
          <w:position w:val="0"/>
          <w:sz w:val="24"/>
          <w:szCs w:val="24"/>
        </w:rPr>
        <w:t>十、接待调研、沟通、采访等活动</w:t>
      </w:r>
      <w:bookmarkEnd w:id="242"/>
      <w:bookmarkEnd w:id="243"/>
      <w:bookmarkEnd w:id="244"/>
    </w:p>
    <w:p>
      <w:pPr>
        <w:pStyle w:val="Style31"/>
        <w:keepNext/>
        <w:keepLines/>
        <w:widowControl w:val="0"/>
        <w:shd w:val="clear" w:color="auto" w:fill="auto"/>
        <w:bidi w:val="0"/>
        <w:spacing w:before="0" w:after="120" w:line="48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、报告期内接待调研、沟通、采访等活动登记表</w:t>
      </w:r>
      <w:bookmarkEnd w:id="245"/>
      <w:bookmarkEnd w:id="246"/>
      <w:bookmarkEnd w:id="248"/>
    </w:p>
    <w:p>
      <w:pPr>
        <w:pStyle w:val="Style25"/>
        <w:keepNext w:val="0"/>
        <w:keepLines w:val="0"/>
        <w:widowControl w:val="0"/>
        <w:shd w:val="clear" w:color="auto" w:fill="auto"/>
        <w:bidi w:val="0"/>
        <w:spacing w:before="0" w:after="1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25"/>
        <w:keepNext w:val="0"/>
        <w:keepLines w:val="0"/>
        <w:widowControl w:val="0"/>
        <w:shd w:val="clear" w:color="auto" w:fill="auto"/>
        <w:bidi w:val="0"/>
        <w:spacing w:before="0" w:after="220" w:line="240" w:lineRule="auto"/>
        <w:ind w:left="0" w:right="0" w:firstLine="0"/>
        <w:jc w:val="left"/>
        <w:rPr>
          <w:sz w:val="19"/>
          <w:szCs w:val="19"/>
        </w:rPr>
      </w:pPr>
      <w:r>
        <w:rPr>
          <w:color w:val="000000"/>
          <w:spacing w:val="0"/>
          <w:w w:val="100"/>
          <w:position w:val="0"/>
          <w:sz w:val="19"/>
          <w:szCs w:val="19"/>
        </w:rPr>
        <w:t>公司报告期内未发生接待调研、沟通、采访等活动。</w:t>
      </w:r>
    </w:p>
    <w:p>
      <w:pPr>
        <w:pStyle w:val="Style13"/>
        <w:keepNext/>
        <w:keepLines/>
        <w:widowControl w:val="0"/>
        <w:shd w:val="clear" w:color="auto" w:fill="auto"/>
        <w:bidi w:val="0"/>
        <w:spacing w:before="0" w:line="240" w:lineRule="auto"/>
        <w:ind w:left="0" w:right="0" w:firstLine="0"/>
        <w:jc w:val="center"/>
      </w:pPr>
      <w:bookmarkStart w:id="249" w:name="bookmark249"/>
      <w:bookmarkStart w:id="250" w:name="bookmark250"/>
      <w:bookmarkStart w:id="251" w:name="bookmark251"/>
      <w:r>
        <w:rPr>
          <w:color w:val="000000"/>
          <w:spacing w:val="0"/>
          <w:w w:val="100"/>
          <w:position w:val="0"/>
        </w:rPr>
        <w:t>第五节重要事项</w:t>
      </w:r>
      <w:bookmarkEnd w:id="249"/>
      <w:bookmarkEnd w:id="250"/>
      <w:bookmarkEnd w:id="251"/>
    </w:p>
    <w:p>
      <w:pPr>
        <w:pStyle w:val="Style23"/>
        <w:keepNext/>
        <w:keepLines/>
        <w:widowControl w:val="0"/>
        <w:shd w:val="clear" w:color="auto" w:fill="auto"/>
        <w:bidi w:val="0"/>
        <w:spacing w:before="0" w:after="220" w:line="240" w:lineRule="auto"/>
        <w:ind w:left="0" w:right="0" w:firstLine="0"/>
        <w:jc w:val="both"/>
      </w:pPr>
      <w:bookmarkStart w:id="252" w:name="bookmark252"/>
      <w:bookmarkStart w:id="253" w:name="bookmark253"/>
      <w:bookmarkStart w:id="254" w:name="bookmark254"/>
      <w:bookmarkStart w:id="255" w:name="bookmark255"/>
      <w:r>
        <w:rPr>
          <w:color w:val="000000"/>
          <w:spacing w:val="0"/>
          <w:w w:val="100"/>
          <w:position w:val="0"/>
          <w:sz w:val="24"/>
          <w:szCs w:val="24"/>
        </w:rPr>
        <w:t>一</w:t>
      </w:r>
      <w:bookmarkEnd w:id="254"/>
      <w:r>
        <w:rPr>
          <w:color w:val="000000"/>
          <w:spacing w:val="0"/>
          <w:w w:val="100"/>
          <w:position w:val="0"/>
          <w:sz w:val="24"/>
          <w:szCs w:val="24"/>
        </w:rPr>
        <w:t>、公司普通股利润分配及资本公积金转增股本情况</w:t>
      </w:r>
      <w:bookmarkEnd w:id="252"/>
      <w:bookmarkEnd w:id="253"/>
      <w:bookmarkEnd w:id="255"/>
    </w:p>
    <w:p>
      <w:pPr>
        <w:pStyle w:val="Style25"/>
        <w:keepNext w:val="0"/>
        <w:keepLines w:val="0"/>
        <w:widowControl w:val="0"/>
        <w:shd w:val="clear" w:color="auto" w:fill="auto"/>
        <w:bidi w:val="0"/>
        <w:spacing w:before="0" w:after="0" w:line="350" w:lineRule="exact"/>
        <w:ind w:left="0" w:right="0" w:firstLine="0"/>
        <w:jc w:val="both"/>
        <w:rPr>
          <w:sz w:val="19"/>
          <w:szCs w:val="19"/>
        </w:rPr>
      </w:pPr>
      <w:r>
        <w:rPr>
          <w:color w:val="000000"/>
          <w:spacing w:val="0"/>
          <w:w w:val="100"/>
          <w:position w:val="0"/>
          <w:sz w:val="19"/>
          <w:szCs w:val="19"/>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2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日第五届董事会第九次会议审议通过了 </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 分配方案为</w:t>
      </w:r>
      <w:r>
        <w:rPr>
          <w:rFonts w:ascii="Times New Roman" w:eastAsia="Times New Roman" w:hAnsi="Times New Roman" w:cs="Times New Roman"/>
          <w:color w:val="000000"/>
          <w:spacing w:val="0"/>
          <w:w w:val="100"/>
          <w:position w:val="0"/>
        </w:rPr>
        <w:t>2019</w:t>
      </w:r>
      <w:r>
        <w:rPr>
          <w:color w:val="000000"/>
          <w:spacing w:val="0"/>
          <w:w w:val="100"/>
          <w:position w:val="0"/>
        </w:rPr>
        <w:t>年度不派发现金红利，不送红股，不以资本公积转增股本。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 年度股东大会审议通过了上述利润分配方案。</w:t>
      </w:r>
    </w:p>
    <w:p>
      <w:pPr>
        <w:pStyle w:val="Style2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公司在《公司章程》中规定了明确的利润分配政策，公司的利润分配政策保持连续性和稳定性，同时 兼顾公司的长远利益、全体股东的整体利益及公司的可持续发展。</w:t>
      </w:r>
    </w:p>
    <w:p>
      <w:pPr>
        <w:pStyle w:val="Style2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报告期内，公司结合经营发展情况，严格按照《公司章程》的规定制定了利润分配方案，充分考虑和 听取股东（特别是中小股东）、独立董事、监事会的意见，坚持优先采用现金分红的原则。决策过程中独 立董事尽职尽责履行了相关职责，审议程序合法合规，利润分配政策的执行符合《公司章程》规定。</w:t>
      </w:r>
    </w:p>
    <w:p>
      <w:pPr>
        <w:pStyle w:val="Style25"/>
        <w:keepNext w:val="0"/>
        <w:keepLines w:val="0"/>
        <w:widowControl w:val="0"/>
        <w:shd w:val="clear" w:color="auto" w:fill="auto"/>
        <w:bidi w:val="0"/>
        <w:spacing w:before="0" w:after="100" w:line="473" w:lineRule="exact"/>
        <w:ind w:left="0" w:right="0" w:firstLine="440"/>
        <w:jc w:val="both"/>
      </w:pPr>
      <w:r>
        <w:rPr>
          <w:color w:val="000000"/>
          <w:spacing w:val="0"/>
          <w:w w:val="100"/>
          <w:position w:val="0"/>
        </w:rPr>
        <w:t>报告期内，公司严格执行利润分配政策，利润分配政策未作调整或变更，公司利润分配政策的制定及 执行情况，符合《公司章程》的规定和股东大会决议的要求。公司的利润分配方案均由独立董事发表独立 意见，监事会审核，股东大会审议，并提供了网络投票的方式，对中小股东的投票情况进行单独统计，中 小投资者的合法权益得到了充分保护。</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报告期内，公司现金分红政策未进行调整或变更。</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年（包括本报告期）的普通股股利分配方案（预案）、资本公积金转增股本方案（预案）情况</w:t>
      </w:r>
    </w:p>
    <w:p>
      <w:pPr>
        <w:widowControl w:val="0"/>
        <w:spacing w:after="219" w:line="1" w:lineRule="exact"/>
      </w:pPr>
    </w:p>
    <w:p>
      <w:pPr>
        <w:pStyle w:val="Style2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年度利润分配方案：以公司总股本</w:t>
      </w:r>
      <w:r>
        <w:rPr>
          <w:rFonts w:ascii="Times New Roman" w:eastAsia="Times New Roman" w:hAnsi="Times New Roman" w:cs="Times New Roman"/>
          <w:color w:val="000000"/>
          <w:spacing w:val="0"/>
          <w:w w:val="100"/>
          <w:position w:val="0"/>
        </w:rPr>
        <w:t>337,576,686</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p>
    <w:p>
      <w:pPr>
        <w:pStyle w:val="Style25"/>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0.05</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,687,883.43</w:t>
      </w:r>
      <w:r>
        <w:rPr>
          <w:color w:val="000000"/>
          <w:spacing w:val="0"/>
          <w:w w:val="100"/>
          <w:position w:val="0"/>
        </w:rPr>
        <w:t>元。</w:t>
      </w:r>
    </w:p>
    <w:p>
      <w:pPr>
        <w:pStyle w:val="Style2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w:t>
      </w:r>
      <w:r>
        <w:rPr>
          <w:rFonts w:ascii="Times New Roman" w:eastAsia="Times New Roman" w:hAnsi="Times New Roman" w:cs="Times New Roman"/>
          <w:color w:val="000000"/>
          <w:spacing w:val="0"/>
          <w:w w:val="100"/>
          <w:position w:val="0"/>
        </w:rPr>
        <w:t>2019</w:t>
      </w:r>
      <w:r>
        <w:rPr>
          <w:color w:val="000000"/>
          <w:spacing w:val="0"/>
          <w:w w:val="100"/>
          <w:position w:val="0"/>
        </w:rPr>
        <w:t>年度不派发现金红利，不送红股，不以资本公积转增股本。</w:t>
      </w:r>
    </w:p>
    <w:p>
      <w:pPr>
        <w:pStyle w:val="Style2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年度利润分配方案：以公司总股本</w:t>
      </w:r>
      <w:r>
        <w:rPr>
          <w:rFonts w:ascii="Times New Roman" w:eastAsia="Times New Roman" w:hAnsi="Times New Roman" w:cs="Times New Roman"/>
          <w:color w:val="000000"/>
          <w:spacing w:val="0"/>
          <w:w w:val="100"/>
          <w:position w:val="0"/>
        </w:rPr>
        <w:t>337,576,686</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br w:type="page"/>
      </w:r>
    </w:p>
    <w:p>
      <w:pPr>
        <w:pStyle w:val="Style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0.032</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,080,569.24</w:t>
      </w:r>
      <w:r>
        <w:rPr>
          <w:color w:val="000000"/>
          <w:spacing w:val="0"/>
          <w:w w:val="100"/>
          <w:position w:val="0"/>
        </w:rPr>
        <w:t>元。</w:t>
      </w:r>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公司近三年（包括本报告期）普通股现金分红情况表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现金分红金额</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以其他方式</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现金分红总额</w:t>
            </w:r>
          </w:p>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1,080,569.24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6,900,186.74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1,080,569.24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-281,841,963.9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1,687,883.43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8,209,514.73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1,687,883.43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公司报告期内盈利且母公司可供普通股股东分配利润为正但未提出普通股现金红利分配预案</w:t>
      </w:r>
    </w:p>
    <w:p>
      <w:pPr>
        <w:pStyle w:val="Style25"/>
        <w:keepNext w:val="0"/>
        <w:keepLines w:val="0"/>
        <w:widowControl w:val="0"/>
        <w:shd w:val="clear" w:color="auto" w:fill="auto"/>
        <w:bidi w:val="0"/>
        <w:spacing w:before="0" w:after="3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3"/>
        <w:keepNext/>
        <w:keepLines/>
        <w:widowControl w:val="0"/>
        <w:shd w:val="clear" w:color="auto" w:fill="auto"/>
        <w:bidi w:val="0"/>
        <w:spacing w:before="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二</w:t>
      </w:r>
      <w:bookmarkEnd w:id="258"/>
      <w:r>
        <w:rPr>
          <w:color w:val="000000"/>
          <w:spacing w:val="0"/>
          <w:w w:val="100"/>
          <w:position w:val="0"/>
          <w:sz w:val="24"/>
          <w:szCs w:val="24"/>
        </w:rPr>
        <w:t>、本报告期利润分配及资本公积金转增股本情况</w:t>
      </w:r>
      <w:bookmarkEnd w:id="256"/>
      <w:bookmarkEnd w:id="257"/>
      <w:bookmarkEnd w:id="259"/>
    </w:p>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337,576,686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1,080,569.24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1,080,569.24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71,454,134.78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现金分红总额（含其他方式）占利润分配总额的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年度利润分配方案：以公司总股本</w:t>
            </w:r>
            <w:r>
              <w:rPr>
                <w:rFonts w:ascii="Times New Roman" w:eastAsia="Times New Roman" w:hAnsi="Times New Roman" w:cs="Times New Roman"/>
                <w:color w:val="000000"/>
                <w:spacing w:val="0"/>
                <w:w w:val="100"/>
                <w:position w:val="0"/>
                <w:sz w:val="18"/>
                <w:szCs w:val="18"/>
              </w:rPr>
              <w:t>337,576,686</w:t>
            </w:r>
            <w:r>
              <w:rPr>
                <w:color w:val="000000"/>
                <w:spacing w:val="0"/>
                <w:w w:val="100"/>
                <w:position w:val="0"/>
                <w:sz w:val="17"/>
                <w:szCs w:val="17"/>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股派发现金红利</w:t>
            </w:r>
            <w:r>
              <w:rPr>
                <w:rFonts w:ascii="Times New Roman" w:eastAsia="Times New Roman" w:hAnsi="Times New Roman" w:cs="Times New Roman"/>
                <w:color w:val="000000"/>
                <w:spacing w:val="0"/>
                <w:w w:val="100"/>
                <w:position w:val="0"/>
                <w:sz w:val="18"/>
                <w:szCs w:val="18"/>
              </w:rPr>
              <w:t>0.032</w:t>
            </w:r>
            <w:r>
              <w:rPr>
                <w:color w:val="000000"/>
                <w:spacing w:val="0"/>
                <w:w w:val="100"/>
                <w:position w:val="0"/>
                <w:sz w:val="17"/>
                <w:szCs w:val="17"/>
              </w:rPr>
              <w:t>元（含税）， 共计派发现金股利</w:t>
            </w:r>
            <w:r>
              <w:rPr>
                <w:rFonts w:ascii="Times New Roman" w:eastAsia="Times New Roman" w:hAnsi="Times New Roman" w:cs="Times New Roman"/>
                <w:color w:val="000000"/>
                <w:spacing w:val="0"/>
                <w:w w:val="100"/>
                <w:position w:val="0"/>
                <w:sz w:val="18"/>
                <w:szCs w:val="18"/>
              </w:rPr>
              <w:t>1,080,569.24</w:t>
            </w:r>
            <w:r>
              <w:rPr>
                <w:color w:val="000000"/>
                <w:spacing w:val="0"/>
                <w:w w:val="100"/>
                <w:position w:val="0"/>
                <w:sz w:val="17"/>
                <w:szCs w:val="17"/>
              </w:rPr>
              <w:t>元。</w:t>
            </w:r>
          </w:p>
        </w:tc>
      </w:tr>
    </w:tbl>
    <w:p>
      <w:pPr>
        <w:spacing w:lineRule="exact" w:line="1"/>
        <w:rPr>
          <w:sz w:val="2"/>
          <w:szCs w:val="2"/>
        </w:rPr>
      </w:pPr>
      <w:r>
        <w:br w:type="page"/>
      </w:r>
    </w:p>
    <w:p>
      <w:pPr>
        <w:pStyle w:val="Style23"/>
        <w:keepNext/>
        <w:keepLines/>
        <w:widowControl w:val="0"/>
        <w:shd w:val="clear" w:color="auto" w:fill="auto"/>
        <w:bidi w:val="0"/>
        <w:spacing w:before="0" w:after="26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三</w:t>
      </w:r>
      <w:bookmarkEnd w:id="262"/>
      <w:r>
        <w:rPr>
          <w:color w:val="000000"/>
          <w:spacing w:val="0"/>
          <w:w w:val="100"/>
          <w:position w:val="0"/>
          <w:sz w:val="24"/>
          <w:szCs w:val="24"/>
        </w:rPr>
        <w:t>、承诺事项履行情况</w:t>
      </w:r>
      <w:bookmarkEnd w:id="260"/>
      <w:bookmarkEnd w:id="261"/>
      <w:bookmarkEnd w:id="263"/>
    </w:p>
    <w:p>
      <w:pPr>
        <w:pStyle w:val="Style31"/>
        <w:keepNext/>
        <w:keepLines/>
        <w:widowControl w:val="0"/>
        <w:shd w:val="clear" w:color="auto" w:fill="auto"/>
        <w:bidi w:val="0"/>
        <w:spacing w:before="0" w:line="326" w:lineRule="exact"/>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、公司实际控制人、股东、关联方、收购人以及公司等承诺相关方在报告期内履行完毕及截至报告期末 尚未履行完毕的承诺事项</w:t>
      </w:r>
      <w:bookmarkEnd w:id="264"/>
      <w:bookmarkEnd w:id="265"/>
      <w:bookmarkEnd w:id="267"/>
    </w:p>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1992"/>
        <w:gridCol w:w="1421"/>
        <w:gridCol w:w="1272"/>
        <w:gridCol w:w="1843"/>
        <w:gridCol w:w="994"/>
        <w:gridCol w:w="1133"/>
        <w:gridCol w:w="93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刘开同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董书倩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 运龙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天津滨河数 据信息技术有限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关于保持上市 公司独立性的 承诺函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交易对方关于保持中 科金财和滨河创新独 立性，出具如下承诺：</w:t>
            </w:r>
          </w:p>
          <w:p>
            <w:pPr>
              <w:pStyle w:val="Style2"/>
              <w:keepNext w:val="0"/>
              <w:keepLines w:val="0"/>
              <w:widowControl w:val="0"/>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一、</w:t>
              <w:tab/>
              <w:t>保证中科金财、滨 河创新的人员独立：</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.保证本次交易完成 后中科金财、滨河创新 的劳动、人事及薪酬管 理与本人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本公司控制的其他 公司或者其他经济组 织等关联方之间完全 独立。</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.保证本次交 易完成后中科金财、滨 河创新的高级管理人 员均专职在中科金财、 滨河创新任职并领取 薪酬，不在本人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本公司控制的 其他公司、企业或者其 他经济组织等关联方 担任董事以外的职务。</w:t>
            </w:r>
          </w:p>
          <w:p>
            <w:pPr>
              <w:pStyle w:val="Style2"/>
              <w:keepNext w:val="0"/>
              <w:keepLines w:val="0"/>
              <w:widowControl w:val="0"/>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二、</w:t>
              <w:tab/>
              <w:t>保证中科金财、滨 河创新的机构独立：</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.保证本次交易完成 后中科金财、滨河创新 构建健全的公司法人 治理结构，拥有独立、 完整的组织机构。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.保 证本次交易完成后中 科金财、滨河创新的股 东（大）会、董事会、 监事会等依照法律、法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widowControl w:val="0"/>
        <w:spacing w:line="1" w:lineRule="exact"/>
      </w:pPr>
      <w:r>
        <w:br w:type="page"/>
      </w:r>
    </w:p>
    <w:tbl>
      <w:tblPr>
        <w:tblOverlap w:val="never"/>
        <w:jc w:val="center"/>
        <w:tblLayout w:type="fixed"/>
      </w:tblPr>
      <w:tblGrid>
        <w:gridCol w:w="1992"/>
        <w:gridCol w:w="1421"/>
        <w:gridCol w:w="1272"/>
        <w:gridCol w:w="1843"/>
        <w:gridCol w:w="994"/>
        <w:gridCol w:w="1133"/>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规及中科金财、滨河创 新公司章程独立行使 职权。三、保证中科金 财、滨河创新的资产 独立、完整：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 本次交易完成后中科 金财、滨河创新拥有与 生产经营有关的独立、 完整的资产。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保证 本次交易完成后中科 金财、滨河创新的经营 场所独立于本人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 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本公司控制 的其他公司、企业或者 其他经济组织等关联 方。</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.除正常经营性 往来外，保证本次交易 完成后中科金财、滨河 创新不存在资金、资产 被本人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本公司控制的其他公 司、企业或者其他经济 组织等关联方占用的 情形。四、保证中科金 财、滨河创新的业务独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.保证本次交易 完成后中科金财、滨 河创新拥有独立开展 经营活动的相关资质， 具有面向市场的独立、 自主、持续的经营能 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保证本次交易 完成后本人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本公司及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本公司控制的其 他公司、企业或者其他 经济组织等关联方避 免从事与中科金财、滨 河创新及其控制的其 他公司、企业或者其他 经济组织具有竞争关 系的业务。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保证本 次交易完成后本人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本公司控 制的其他公司、企业或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421"/>
        <w:gridCol w:w="1272"/>
        <w:gridCol w:w="1843"/>
        <w:gridCol w:w="994"/>
        <w:gridCol w:w="1133"/>
        <w:gridCol w:w="931"/>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者其他经济组织等关 联方减少与中科金财、 滨河创新及其控制的 其他公司、企业或者其 他经济组织的关联交 易；对于确有必要且无 法避免的关联交易，保 证按市场原则和公允 价格进行公平操作，并 按相关法律、法规及规 范性文件的规定履行 相关审批程序及信息 披露义务。五、保证中 科金财、滨河创新的财 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.保证中科 金财、滨河创新本次交 易完成后分别具备独 立的财务部门以及独 立的财务核算体系，具 有规范、独立的财务会 计制度。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保证中科 金财、滨河创新本次交 易完成后独立在银行 开户，不与本人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本公司控制的 其他公司、企业或者其 他经济组织等关联方 共用银行账户。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保 证本次交易完成后中 科金财、滨河创新的财 务人员不在本人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 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本公司控制 的其他公司、企业或者 其他经济组织等关联 方兼职。</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.保证本次 交易完成后中科金财、 滨河创新能够独立做 出财务决策，本人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 司不干预中科金财、滨 河创新的资金使用。</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.保证本次交易完成 后中科金财、滨河创新 依法独立纳税。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刘开同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董书倩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关于同业竞争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一、关于同业竞争：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1992"/>
        <w:gridCol w:w="1421"/>
        <w:gridCol w:w="1272"/>
        <w:gridCol w:w="1843"/>
        <w:gridCol w:w="994"/>
        <w:gridCol w:w="1133"/>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运龙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天津滨河数 据信息技术有限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和规范减少关 联交易的承诺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.截至本承诺函签署 日，本人/本公司及包 括本人/本公司控制 的其他公司、企业或者 其他经济组织等关联 方未从事与中科金财、 滨河创新及其控制的 其他公司、企业或者其 他经济组织存在同业 竞争关系的业务。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 作为中科金财的股东 且持股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以上（含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）期间，本人/本公 司及包括本人/本公 司控制的其他公司、企 业或者其他经济组织 等关联方将避免以任 何形式从事任何与中 科金财、滨河创新及其 控制的其他公司、企业 或者其他经济组织相 同或相似且构成或可 能构成竞争关系的业 务，亦不从事任何可能 损害中科金财、滨河创 新及其控制的其他公 司、企业或者其他经济 组织利益的活动。如本 人/本公司及其控制 的其他公司、企业或者 其他经济组织遇到中 科金财、滨河创新及其 控制的其他公司、企业 或者其他经济组织主 营业务范围内的业务 机会，本人/本公司及 其控制的其他公司、企 业或者其他经济组织 承诺将该等合作机会 让予中科金财、滨河创 新及其控制的其他公 司、企业或者其他经济 组织。本人/本公司若 违反上述承诺，将承担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w:t>
            </w:r>
          </w:p>
        </w:tc>
      </w:tr>
    </w:tbl>
    <w:p>
      <w:pPr>
        <w:widowControl w:val="0"/>
        <w:spacing w:line="1" w:lineRule="exact"/>
      </w:pPr>
      <w:r>
        <w:br w:type="page"/>
      </w:r>
    </w:p>
    <w:tbl>
      <w:tblPr>
        <w:tblOverlap w:val="never"/>
        <w:jc w:val="center"/>
        <w:tblLayout w:type="fixed"/>
      </w:tblPr>
      <w:tblGrid>
        <w:gridCol w:w="1992"/>
        <w:gridCol w:w="1421"/>
        <w:gridCol w:w="1272"/>
        <w:gridCol w:w="1843"/>
        <w:gridCol w:w="994"/>
        <w:gridCol w:w="1133"/>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因此而给中科金财、滨 河创新及其控制的其 他公司、企业或者其他 经济组织造成的一切 损失。二、关于规范及 减少关联交易：本人/ 本公司在作为中科金 财的股东期间，本人/ 本公司及所控制的其 他公司、企业或者其他 经济组织将尽量减少 并规范与中科金财、滨 河创新及其控制的其 他公司、企业或者其他 经济组织之间的关联 交易。对于无法避免或 有合理原因而发生的 关联交易，本人/本公 司及所控制的其他公 司、企业或者其他经济 组织将遵循市场原则 以公允、合理的市场价 格进行，根据有关法 律、法规及规范性文件 的规定履行关联交易 决策程序，依法履行信 息披露义务和办理有 关报批程序，不利用股 东优势地位损害中科 金财及其他股东的合 法权益。本人/本公司 若违反上述承诺，将承 担因此而给中科金财、 滨河创新及其控制的 其他公司、企业或者其 他经济组织造成的一 切损失。三、关于资金 占用：除正常经营性往 来外，保证本次交易完 成后中科金财、滨河创 新不存在资金、资产被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本公司控制的其他公 司、企业或者其他经济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421"/>
        <w:gridCol w:w="1272"/>
        <w:gridCol w:w="1843"/>
        <w:gridCol w:w="994"/>
        <w:gridCol w:w="1133"/>
        <w:gridCol w:w="931"/>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组织等关联方占用的 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刘开同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胡卫彬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蔡 宝宇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温长建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徐灵 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任职期限和竞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业禁止承诺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、任职期限：刘开同 及滨河创新核心人员 胡卫彬、蔡宝宇、温长 建、徐灵慧就任职期限 达成协议如下：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乙方 承诺自发行股份购买 资产实施结束之日起 其在滨河创新的服务 期限不少于</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 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、竞业限制：刘 开同及滨河创新核心 人员胡卫彬、蔡宝宇、 温长建、徐灵慧就竞业 限制达成协议如下：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自本协议生效之日至 其从滨河创新离职后 </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个月内，乙方不得从 事与甲方或滨河创新 业务相同或类似的投 资或任职行为，即无论 在何种情况下，不得以 任何方式受聘或经营 于任何与甲方及其控 股子公司、滨河创新及 其下属公司业务有直 接或间接竞争或利益 冲突之公司及业务，不 能到生产、开发、经营 与甲方及其控股子公 司、滨河创新及其下属 公司生产、开发、经营 同类产品或经营同类 业务或有竞争关系的 其他用人单位兼职或 全职；也不能自行或以 任何第三者的名义设 立、投资或控股与甲方 及其控股子公司、滨河 创新及其下属公司有 任何竞争关系或利益 冲突的同类企业或经 营单位，或从事与滨河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28 </w:t>
            </w:r>
            <w:r>
              <w:rPr>
                <w:rFonts w:ascii="Arial" w:eastAsia="Arial" w:hAnsi="Arial" w:cs="Arial"/>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正常履行 中。天津中 科原核心 人员徐灵 慧等涉嫌 职务侵占， 损害天津 中科的利 益，正在公 安机关的 刑事侦查 过程中。</w:t>
            </w:r>
          </w:p>
        </w:tc>
      </w:tr>
    </w:tbl>
    <w:p>
      <w:pPr>
        <w:widowControl w:val="0"/>
        <w:spacing w:line="1" w:lineRule="exact"/>
      </w:pPr>
      <w:r>
        <w:br w:type="page"/>
      </w:r>
    </w:p>
    <w:tbl>
      <w:tblPr>
        <w:tblOverlap w:val="never"/>
        <w:jc w:val="center"/>
        <w:tblLayout w:type="fixed"/>
      </w:tblPr>
      <w:tblGrid>
        <w:gridCol w:w="1992"/>
        <w:gridCol w:w="1421"/>
        <w:gridCol w:w="1272"/>
        <w:gridCol w:w="1843"/>
        <w:gridCol w:w="994"/>
        <w:gridCol w:w="1133"/>
        <w:gridCol w:w="931"/>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创新有竞争关系的业 务；如乙方或其所控制 的除滨河创新外的其 他企业从任何第三方 获得的商业机会与甲 方、滨河创新及其下属 公司的业务有竞争或 可能存在竞争，则将该 商业机会让予甲方或 其控股子公司、滨河创 新或其下属公司；但滨 河创新在乙方未违反 其劳动合同或者未完 成工作目标等义务的 情况下辞退乙方的除 外。自本协议生效之日 至其从滨河创新离职 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个月内，乙方不 得以任何理由或方式</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（包括但不限于劝喻、 拉拢、雇用）导致滨河 创新其他经营管理人 员离开滨河创新。同 时，乙方不得以任何名 义或形式与离开滨河 创新的经营管理人员 合作或投资与滨河创 新有相同或有竞争关 系的业务，也不得雇佣 滨河创新经营管理人 员（包括离职人员）。 乙方承诺严守甲方及 其控股子公司、滨河创 新及其下属公司秘密， 不泄露其所知悉或掌 握的甲方及其控股子 公司、滨河创新及其下 属公司的商业秘密。乙 方不得以任何方式和 手段（包括但不限于侵 占、受贿、舞弊、盗窃、 挪用等不当或不法手 段和方式）损害或侵害 滨河创新利益。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421"/>
        <w:gridCol w:w="1272"/>
        <w:gridCol w:w="1843"/>
        <w:gridCol w:w="994"/>
        <w:gridCol w:w="1133"/>
        <w:gridCol w:w="931"/>
      </w:tblGrid>
      <w:tr>
        <w:trPr>
          <w:trHeight w:val="851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刘开同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董书倩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 运龙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天津滨河数 据信息技术有限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关于不谋求公 司实际控制权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本次交易完成后，本人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本公司仍认可并尊重 沈飒女士作为控股股 东，以及朱烨东先生和 沈飒女士的中科金财 实际控制人地位，不对 朱烨东先生和沈飒女 士在中科金财经营发 展中的实际控制地位 提出任何形式的异议。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本公司不会单方 面的通过增持股份等 行为主动谋求中科金 财的控制权，不单独或 与任何其他方协作（包 括但不限于签署一致 行动协议、实际形成一 致行动等）对沈飒女士 控股股东地位及朱烨 东先生和沈飒女士的 实际控制人地位进行 任何形式的威胁，如有 必要，将采取一切有利 于维持中科金财实际 控制权稳定的行为对 朱烨东先生和沈飒女 士提供支持。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刘开同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董书倩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 运龙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天津滨河数 据信息技术有限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交易对手方关 于所提供信息 真实、准确、完 整的承诺函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本人/本公司为本次 发行股份及支付现金 购买资产事宜所提供 的有关信息真实、准确 和完整，不存在任何虚 假记载、误导性陈述或 者重大遗漏，并对所提 供信息的真实性、准确 性和完整性承担法律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临沂市志东方网 络信息科技合伙 企业（有限合伙）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张广清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陈志延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 嘉玮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业绩承诺及补 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业绩承诺：承诺北京志 东方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年度对应的 净利润分别为不低于 </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sz w:val="17"/>
                <w:szCs w:val="17"/>
              </w:rPr>
              <w:t xml:space="preserve">万元、 </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sz w:val="17"/>
                <w:szCs w:val="17"/>
              </w:rPr>
              <w:t>万元。盈利补偿：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15 </w:t>
            </w:r>
            <w:r>
              <w:rPr>
                <w:rFonts w:ascii="Arial" w:eastAsia="Arial" w:hAnsi="Arial" w:cs="Arial"/>
                <w:color w:val="000000"/>
                <w:spacing w:val="0"/>
                <w:w w:val="100"/>
                <w:position w:val="0"/>
                <w:sz w:val="15"/>
                <w:szCs w:val="15"/>
              </w:rPr>
              <w:t xml:space="preserve">0 </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正常履行 中</w:t>
            </w:r>
          </w:p>
        </w:tc>
      </w:tr>
    </w:tbl>
    <w:p>
      <w:pPr>
        <w:widowControl w:val="0"/>
        <w:spacing w:line="1" w:lineRule="exact"/>
      </w:pPr>
      <w:r>
        <w:br w:type="page"/>
      </w:r>
    </w:p>
    <w:tbl>
      <w:tblPr>
        <w:tblOverlap w:val="never"/>
        <w:jc w:val="center"/>
        <w:tblLayout w:type="fixed"/>
      </w:tblPr>
      <w:tblGrid>
        <w:gridCol w:w="1992"/>
        <w:gridCol w:w="1421"/>
        <w:gridCol w:w="1272"/>
        <w:gridCol w:w="1843"/>
        <w:gridCol w:w="994"/>
        <w:gridCol w:w="1133"/>
        <w:gridCol w:w="931"/>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如北京志东方未能完 成承诺净利润，则业绩 承诺方应自中科金财 发出书面补偿通知之 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日内按照如下 公式向中科金财承担 补偿义务，将补偿现金 金额一次性汇入中科 金财指定的账户：某一 年度补偿金额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截至当 期期末承诺净利润数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截至当期期末实现净 利润数广补偿期间内各 年的预测净利润数总 和</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本次股权收购交易 价格。总补偿金额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各 年度补偿金额之和。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临沂市志东方网 络信息科技合伙 企业（有限合伙）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张广清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陈志延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 嘉玮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关于不谋求公 司实际控制权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本次交易实施完成后 </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个月内，本人及本人 控制的主体将不会谋 求中科金财第一大股 东或控股股东、实际控 制人地位，也不以与中 科金财其他主要股东 及其关联方、一致行动 人之间签署一致行动 协议或达成类似协议、 安排等其他任何方式 谋求中科金财第一大 股东或控股股东、实际 控制人地位，且不会协 助或促使任何其他方 通过任何方式谋求中 科金财的控股股东及 实际控制人地位。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临沂市志东方网 络信息科技合伙 企业（有限合伙）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张广清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陈志延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 嘉玮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张广清、陈志延、陈嘉 玮收到分配的资金后， 将使用相当于本次股 权转让价款</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的资 金用于购买中科金财 的股票。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15 </w:t>
            </w:r>
            <w:r>
              <w:rPr>
                <w:rFonts w:ascii="Arial" w:eastAsia="Arial" w:hAnsi="Arial" w:cs="Arial"/>
                <w:color w:val="000000"/>
                <w:spacing w:val="0"/>
                <w:w w:val="100"/>
                <w:position w:val="0"/>
                <w:sz w:val="15"/>
                <w:szCs w:val="15"/>
              </w:rPr>
              <w:t xml:space="preserve">0 </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首次公开发行或再融资 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朱烨东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沈飒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关于关联交易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尽量避免不必要的关 联交易发生，对持续经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widowControl w:val="0"/>
        <w:spacing w:line="1" w:lineRule="exact"/>
      </w:pPr>
      <w:r>
        <w:br w:type="page"/>
      </w:r>
    </w:p>
    <w:tbl>
      <w:tblPr>
        <w:tblOverlap w:val="never"/>
        <w:jc w:val="center"/>
        <w:tblLayout w:type="fixed"/>
      </w:tblPr>
      <w:tblGrid>
        <w:gridCol w:w="1992"/>
        <w:gridCol w:w="1421"/>
        <w:gridCol w:w="1272"/>
        <w:gridCol w:w="1843"/>
        <w:gridCol w:w="994"/>
        <w:gridCol w:w="1133"/>
        <w:gridCol w:w="931"/>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营所发生的必要的关 联交易，应以双方协议 规定的方式进行处理， 遵循市场化的定价原 则，避免损害广大中小 股东权益的情况发生。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朱哗东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沈飒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蔡迦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关于同业竞争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不存在直接或间接地 从事任何与中科金财 所从事的业务构成同 业竞争的任何业务活 动，今后的任何时间亦 不会直接或间接地以 任何方式（包括但不限 于独资、合营、合作和 联营）参与或进行任何 与中科金财所从事的 业务有实质性竞争或 可能有实质性竞争的 业务活动。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r>
        <w:trPr>
          <w:trHeight w:val="78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谢晓梅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周惠明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 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吴红心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赫喆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杨承宏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关于保持上市 公司独立性的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交易对方关于保持中 科金财和滨河创新独 立性，出具如下承诺：</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 保证中科金财、滨 河创新的人员独立</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.保证本次交易完成 后中科金财、滨河创新 的劳动、人事及薪酬管 理与本人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本公司控制的其他 公司或者其他经济组 织等关联方之间完全 独立。</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.保证本次交 易完成后中科金财、滨 河创新的高级管理人 员均专职在中科金财、 滨河创新任职并领取 薪酬，不在本人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本公司控制的 其他公司、企业或者其 他经济组织等关联方 担任董事以外的职务。</w:t>
            </w:r>
          </w:p>
          <w:p>
            <w:pPr>
              <w:pStyle w:val="Style2"/>
              <w:keepNext w:val="0"/>
              <w:keepLines w:val="0"/>
              <w:widowControl w:val="0"/>
              <w:shd w:val="clear" w:color="auto" w:fill="auto"/>
              <w:tabs>
                <w:tab w:pos="355" w:val="left"/>
              </w:tabs>
              <w:bidi w:val="0"/>
              <w:spacing w:before="0" w:after="100" w:line="312" w:lineRule="exact"/>
              <w:ind w:left="0" w:right="0" w:firstLine="0"/>
              <w:jc w:val="both"/>
              <w:rPr>
                <w:sz w:val="17"/>
                <w:szCs w:val="17"/>
              </w:rPr>
            </w:pPr>
            <w:r>
              <w:rPr>
                <w:color w:val="000000"/>
                <w:spacing w:val="0"/>
                <w:w w:val="100"/>
                <w:position w:val="0"/>
                <w:sz w:val="17"/>
                <w:szCs w:val="17"/>
              </w:rPr>
              <w:t>二、</w:t>
              <w:tab/>
              <w:t>保证中科金财、滨 河创新的机构独立</w:t>
            </w:r>
          </w:p>
          <w:p>
            <w:pPr>
              <w:pStyle w:val="Style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.保证本次交易完成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widowControl w:val="0"/>
        <w:spacing w:line="1" w:lineRule="exact"/>
      </w:pPr>
      <w:r>
        <w:br w:type="page"/>
      </w:r>
    </w:p>
    <w:tbl>
      <w:tblPr>
        <w:tblOverlap w:val="never"/>
        <w:jc w:val="center"/>
        <w:tblLayout w:type="fixed"/>
      </w:tblPr>
      <w:tblGrid>
        <w:gridCol w:w="1992"/>
        <w:gridCol w:w="1421"/>
        <w:gridCol w:w="1272"/>
        <w:gridCol w:w="1843"/>
        <w:gridCol w:w="994"/>
        <w:gridCol w:w="1133"/>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后中科金财、滨河创新 构建健全的公司法人 治理结构，拥有独立、 完整的组织机构。</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保证本次交易完成 后中科金财、滨河创新 的股东（大）会、董事 会、监事会等依照法 律、法规及中科金财、 滨河创新公司章程独 立行使职权。三、保证 中科金财、滨河创新的 资产独立、完整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 证本次交易完成后中 科金财、滨河创新拥有 与生产经营有关的独 立、完整的资产。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.保 证本次交易完成后中 科金财、滨河创新的经 营场所独立于本人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本公司控 制的其他公司、企业或 者其他经济组织等关 联方。</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除正常经营 性往来外，保证本次交 易完成后中科金财、滨 河创新不存在资金、资 产被本人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本公司控制的其他 公司、企业或者其他经 济组织等关联方占用 的情形。四、保证中科 金财、滨河创新的业务 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.保证本次交易 完成后中科金财、滨河 创新拥有独立开展经 营活动的相关资质，具 有面向市场的独立、自 主、持续的经营能力。</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保证本次交易完成 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本公司控制的其他公 司、企业或者其他经济 组织等关联方避免从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421"/>
        <w:gridCol w:w="1272"/>
        <w:gridCol w:w="1843"/>
        <w:gridCol w:w="994"/>
        <w:gridCol w:w="1133"/>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事与中科金财、滨河创 新及其控制的其他公 司、企业或者其他经济 组织具有竞争关系的 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保证本次交 易完成后本人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本公司控制的 其他公司、企业或者其 他经济组织等关联方 减少与中科金财、滨河 创新及其控制的其他 公司、企业或者其他经 济组织的关联交易；对 于确有必要且无法避 免的关联交易，保证按 市场原则和公允价格 进行公平操作，并按相 关法律、法规及规范性 文件的规定履行相关 审批程序及信息披露 义务。五、保证中科金 财、滨河创新的财务独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.保证中科金财、 滨河创新本次交易完 成后分别具备独立的 财务部门以及独立的 财务核算体系，具有规 范、独立的财务会计制 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保证中科金财、 滨河创新本次交易完 成后独立在银行开户， 不与本人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本公司及本 </w:t>
            </w:r>
            <w:r>
              <w:rPr>
                <w:i/>
                <w:iCs/>
                <w:color w:val="000000"/>
                <w:spacing w:val="0"/>
                <w:w w:val="100"/>
                <w:position w:val="0"/>
                <w:sz w:val="19"/>
                <w:szCs w:val="19"/>
              </w:rPr>
              <w:t>人/</w:t>
            </w:r>
            <w:r>
              <w:rPr>
                <w:color w:val="000000"/>
                <w:spacing w:val="0"/>
                <w:w w:val="100"/>
                <w:position w:val="0"/>
                <w:sz w:val="17"/>
                <w:szCs w:val="17"/>
              </w:rPr>
              <w:t>本公司控制的其他 公司、企业或者其他经 济组织等关联方共用 银行账户。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保证本 次交易完成后中科金 财、滨河创新的财务人 员不在本人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本公司及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本公司控制的其 他公司、企业或者其他 经济组织等关联方兼 职。</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.保证本次交易 完成后中科金财、滨河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421"/>
        <w:gridCol w:w="1272"/>
        <w:gridCol w:w="1843"/>
        <w:gridCol w:w="994"/>
        <w:gridCol w:w="1133"/>
        <w:gridCol w:w="931"/>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创新能够独立做出财 务决策，本人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本公司不 干预中科金财、滨河创 新的资金使用。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保 证本次交易完成后中 科金财、滨河创新依法 独立纳税。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谢晓梅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吴红心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 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周惠明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赫喆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杨承宏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关于同业竞争 和关联交易的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一、关于同业竞争：</w:t>
            </w:r>
          </w:p>
          <w:p>
            <w:pPr>
              <w:pStyle w:val="Style2"/>
              <w:keepNext w:val="0"/>
              <w:keepLines w:val="0"/>
              <w:widowControl w:val="0"/>
              <w:numPr>
                <w:ilvl w:val="0"/>
                <w:numId w:val="11"/>
              </w:numPr>
              <w:shd w:val="clear" w:color="auto" w:fill="auto"/>
              <w:tabs>
                <w:tab w:pos="264" w:val="left"/>
              </w:tabs>
              <w:bidi w:val="0"/>
              <w:spacing w:before="0" w:after="0" w:line="312" w:lineRule="exact"/>
              <w:ind w:left="0" w:right="0" w:firstLine="0"/>
              <w:jc w:val="left"/>
              <w:rPr>
                <w:sz w:val="17"/>
                <w:szCs w:val="17"/>
              </w:rPr>
            </w:pPr>
            <w:r>
              <w:rPr>
                <w:color w:val="000000"/>
                <w:spacing w:val="0"/>
                <w:w w:val="100"/>
                <w:position w:val="0"/>
                <w:sz w:val="17"/>
                <w:szCs w:val="17"/>
              </w:rPr>
              <w:t>截至本承诺函签署 日，本人及包括本人控 制的其他公司、企业或 者其他经济组织等关 联方未从事与中科金 财、滨河创新及其控制 的其他公司、企业或者 其他经济组织存在同 业竞争关系的业务。</w:t>
            </w:r>
          </w:p>
          <w:p>
            <w:pPr>
              <w:pStyle w:val="Style2"/>
              <w:keepNext w:val="0"/>
              <w:keepLines w:val="0"/>
              <w:widowControl w:val="0"/>
              <w:numPr>
                <w:ilvl w:val="0"/>
                <w:numId w:val="11"/>
              </w:numPr>
              <w:shd w:val="clear" w:color="auto" w:fill="auto"/>
              <w:tabs>
                <w:tab w:pos="274" w:val="left"/>
              </w:tabs>
              <w:bidi w:val="0"/>
              <w:spacing w:before="0" w:after="0" w:line="312" w:lineRule="exact"/>
              <w:ind w:left="0" w:right="0" w:firstLine="0"/>
              <w:jc w:val="left"/>
              <w:rPr>
                <w:sz w:val="17"/>
                <w:szCs w:val="17"/>
              </w:rPr>
            </w:pPr>
            <w:r>
              <w:rPr>
                <w:color w:val="000000"/>
                <w:spacing w:val="0"/>
                <w:w w:val="100"/>
                <w:position w:val="0"/>
                <w:sz w:val="17"/>
                <w:szCs w:val="17"/>
              </w:rPr>
              <w:t>在作为中科金财的 股东期间，本人及包括 本人控制的其他公司、 企业或者其他经济组 织等关联方将避免以 任何形式从事任何与 中科金财、滨河创新及 其控制的其他公司、企 业或者其他经济组织 相同或相似且构成或 可能构成竞争关系的 业务，亦不从事任何可 能损害中科金财、滨河 创新及其控制的其他 公司、企业或者其他经 济组织利益的活动。如 本人及其控制的其他 公司、企业或者其他经 济组织遇到中科金财、 滨河创新及其控制的 其他公司、企业或者其 他经济组织主营业务 范围内的业务机会，本 人及其控制的其他公 司、企业或者其他经济 组织承诺将该等合作 机会让予中科金财、滨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widowControl w:val="0"/>
        <w:spacing w:line="1" w:lineRule="exact"/>
      </w:pPr>
      <w:r>
        <w:br w:type="page"/>
      </w:r>
    </w:p>
    <w:tbl>
      <w:tblPr>
        <w:tblOverlap w:val="never"/>
        <w:jc w:val="center"/>
        <w:tblLayout w:type="fixed"/>
      </w:tblPr>
      <w:tblGrid>
        <w:gridCol w:w="1992"/>
        <w:gridCol w:w="1421"/>
        <w:gridCol w:w="1272"/>
        <w:gridCol w:w="1843"/>
        <w:gridCol w:w="994"/>
        <w:gridCol w:w="1133"/>
        <w:gridCol w:w="931"/>
      </w:tblGrid>
      <w:tr>
        <w:trPr>
          <w:trHeight w:val="131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河创新及其控制的其 他公司、企业或者其他 经济组织。二、关于规 范及减少关联交易：本 人在作为中科金财的 股东期间，本人及所控 制的其他公司、企业或 者其他经济组织将尽 量减少并规范与中科 金财、滨河创新及其控 制的其他公司、企业或 者其他经济组织之间 的关联交易。对于无法 避免或有合理原因而 发生的关联交易，本人 及所控制的其他公司、 企业或者其他经济组 织将遵循市场原则以 公允、合理的市场价格 进行，根据有关法律、 法规及规范性文件的 规定履行关联交易决 策程序，依法履行信息 披露义务和办理有关 报批程序，不利用股东 优势地位损害中科金 财及其他股东的合法 权益。本人若违反上述 承诺，将承担因此而给 中科金财、滨河创新及 其控制的其他公司、企 业或者其他经济组织 造成的一切损失。三、 关于资金占用：除正常 经营性往来外，保证本 次交易完成后中科金 财、滨河创新不存在资 金、资产被本人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本公司控制的 其他公司、企业或者其 他经济组织等关联方 占用的情形。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421"/>
        <w:gridCol w:w="1272"/>
        <w:gridCol w:w="1843"/>
        <w:gridCol w:w="994"/>
        <w:gridCol w:w="1133"/>
        <w:gridCol w:w="93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其他对公司中小股东所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239" w:line="1" w:lineRule="exact"/>
      </w:pPr>
    </w:p>
    <w:p>
      <w:pPr>
        <w:pStyle w:val="Style31"/>
        <w:keepNext/>
        <w:keepLines/>
        <w:widowControl w:val="0"/>
        <w:shd w:val="clear" w:color="auto" w:fill="auto"/>
        <w:bidi w:val="0"/>
        <w:spacing w:before="0" w:after="360" w:line="322" w:lineRule="exact"/>
        <w:ind w:left="0" w:right="0" w:firstLine="0"/>
        <w:jc w:val="both"/>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2</w:t>
      </w:r>
      <w:bookmarkEnd w:id="270"/>
      <w:r>
        <w:rPr>
          <w:color w:val="000000"/>
          <w:spacing w:val="0"/>
          <w:w w:val="100"/>
          <w:position w:val="0"/>
        </w:rPr>
        <w:t>、公司资产或项目存在盈利预测，且报告期仍处在盈利预测期间，公司就资产或项目达到原盈利预测及 其原因做出说明</w:t>
      </w:r>
      <w:bookmarkEnd w:id="268"/>
      <w:bookmarkEnd w:id="269"/>
      <w:bookmarkEnd w:id="271"/>
    </w:p>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1315"/>
        <w:gridCol w:w="1176"/>
        <w:gridCol w:w="1181"/>
        <w:gridCol w:w="1181"/>
        <w:gridCol w:w="1181"/>
        <w:gridCol w:w="1181"/>
        <w:gridCol w:w="1181"/>
        <w:gridCol w:w="118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当期预测业绩</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当期实际业绩</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原预测披露日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原预测披露索 引</w:t>
            </w: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北京志东方科 技有限责任公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 xml:space="preserve">日巨潮资讯 网 </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nfo.com.cn</w:t>
            </w:r>
            <w:r>
              <w:rPr>
                <w:color w:val="000000"/>
                <w:spacing w:val="0"/>
                <w:w w:val="100"/>
                <w:position w:val="0"/>
                <w:sz w:val="17"/>
                <w:szCs w:val="17"/>
              </w:rPr>
              <w:t xml:space="preserve">《关 于现金收购北 京志东方科技 有限责任公司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 xml:space="preserve">股权的 公告》，公告编 号 </w:t>
            </w:r>
            <w:r>
              <w:rPr>
                <w:rFonts w:ascii="Times New Roman" w:eastAsia="Times New Roman" w:hAnsi="Times New Roman" w:cs="Times New Roman"/>
                <w:color w:val="000000"/>
                <w:spacing w:val="0"/>
                <w:w w:val="100"/>
                <w:position w:val="0"/>
                <w:sz w:val="18"/>
                <w:szCs w:val="18"/>
              </w:rPr>
              <w:t>2019-056</w:t>
            </w:r>
          </w:p>
        </w:tc>
      </w:tr>
    </w:tbl>
    <w:p>
      <w:pPr>
        <w:pStyle w:val="Style25"/>
        <w:keepNext w:val="0"/>
        <w:keepLines w:val="0"/>
        <w:widowControl w:val="0"/>
        <w:shd w:val="clear" w:color="auto" w:fill="auto"/>
        <w:bidi w:val="0"/>
        <w:spacing w:before="0" w:after="0" w:line="346" w:lineRule="exact"/>
        <w:ind w:left="0" w:right="0" w:firstLine="0"/>
        <w:jc w:val="both"/>
        <w:rPr>
          <w:sz w:val="19"/>
          <w:szCs w:val="19"/>
        </w:rPr>
      </w:pPr>
      <w:r>
        <w:rPr>
          <w:color w:val="000000"/>
          <w:spacing w:val="0"/>
          <w:w w:val="100"/>
          <w:position w:val="0"/>
          <w:sz w:val="19"/>
          <w:szCs w:val="19"/>
        </w:rPr>
        <w:t xml:space="preserve">公司股东、交易对手方在报告年度经营业绩做出的承诺情况 </w:t>
      </w:r>
      <w:r>
        <w:rPr>
          <w:rFonts w:ascii="Times New Roman" w:eastAsia="Times New Roman" w:hAnsi="Times New Roman" w:cs="Times New Roman"/>
          <w:color w:val="000000"/>
          <w:spacing w:val="0"/>
          <w:w w:val="100"/>
          <w:position w:val="0"/>
          <w:sz w:val="20"/>
          <w:szCs w:val="20"/>
        </w:rPr>
        <w:t>V</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25"/>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日第五届董事会第四次会议审议通过，公司与临沂市志东方网络信息科技合伙企 业（有限合伙）、张广清、陈志延、陈嘉玮签署了《股权收购协议》和《股权收购协议之补充协议》，公 司以自有资金</w:t>
      </w:r>
      <w:r>
        <w:rPr>
          <w:rFonts w:ascii="Times New Roman" w:eastAsia="Times New Roman" w:hAnsi="Times New Roman" w:cs="Times New Roman"/>
          <w:color w:val="000000"/>
          <w:spacing w:val="0"/>
          <w:w w:val="100"/>
          <w:position w:val="0"/>
        </w:rPr>
        <w:t>25,000</w:t>
      </w:r>
      <w:r>
        <w:rPr>
          <w:color w:val="000000"/>
          <w:spacing w:val="0"/>
          <w:w w:val="100"/>
          <w:position w:val="0"/>
        </w:rPr>
        <w:t>万元人民币的价格收购北京志东方</w:t>
      </w:r>
      <w:r>
        <w:rPr>
          <w:rFonts w:ascii="Times New Roman" w:eastAsia="Times New Roman" w:hAnsi="Times New Roman" w:cs="Times New Roman"/>
          <w:color w:val="000000"/>
          <w:spacing w:val="0"/>
          <w:w w:val="100"/>
          <w:position w:val="0"/>
        </w:rPr>
        <w:t>100%</w:t>
      </w:r>
      <w:r>
        <w:rPr>
          <w:color w:val="000000"/>
          <w:spacing w:val="0"/>
          <w:w w:val="100"/>
          <w:position w:val="0"/>
        </w:rPr>
        <w:t>股权。交易对方向公司承诺北京志东方</w:t>
      </w:r>
      <w:r>
        <w:rPr>
          <w:rFonts w:ascii="Times New Roman" w:eastAsia="Times New Roman" w:hAnsi="Times New Roman" w:cs="Times New Roman"/>
          <w:color w:val="000000"/>
          <w:spacing w:val="0"/>
          <w:w w:val="100"/>
          <w:position w:val="0"/>
        </w:rPr>
        <w:t>2019</w:t>
      </w:r>
      <w:r>
        <w:rPr>
          <w:color w:val="000000"/>
          <w:spacing w:val="0"/>
          <w:w w:val="100"/>
          <w:position w:val="0"/>
        </w:rPr>
        <w:t>年 度、</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2021</w:t>
      </w:r>
      <w:r>
        <w:rPr>
          <w:color w:val="000000"/>
          <w:spacing w:val="0"/>
          <w:w w:val="100"/>
          <w:position w:val="0"/>
        </w:rPr>
        <w:t>年度对应的净利润分别为不低于</w:t>
      </w:r>
      <w:r>
        <w:rPr>
          <w:rFonts w:ascii="Times New Roman" w:eastAsia="Times New Roman" w:hAnsi="Times New Roman" w:cs="Times New Roman"/>
          <w:color w:val="000000"/>
          <w:spacing w:val="0"/>
          <w:w w:val="100"/>
          <w:position w:val="0"/>
        </w:rPr>
        <w:t>1,800</w:t>
      </w:r>
      <w:r>
        <w:rPr>
          <w:color w:val="000000"/>
          <w:spacing w:val="0"/>
          <w:w w:val="100"/>
          <w:position w:val="0"/>
        </w:rPr>
        <w:t>万元、</w:t>
      </w:r>
      <w:r>
        <w:rPr>
          <w:rFonts w:ascii="Times New Roman" w:eastAsia="Times New Roman" w:hAnsi="Times New Roman" w:cs="Times New Roman"/>
          <w:color w:val="000000"/>
          <w:spacing w:val="0"/>
          <w:w w:val="100"/>
          <w:position w:val="0"/>
        </w:rPr>
        <w:t>2,200</w:t>
      </w:r>
      <w:r>
        <w:rPr>
          <w:color w:val="000000"/>
          <w:spacing w:val="0"/>
          <w:w w:val="100"/>
          <w:position w:val="0"/>
        </w:rPr>
        <w:t>万元、</w:t>
      </w:r>
      <w:r>
        <w:rPr>
          <w:rFonts w:ascii="Times New Roman" w:eastAsia="Times New Roman" w:hAnsi="Times New Roman" w:cs="Times New Roman"/>
          <w:color w:val="000000"/>
          <w:spacing w:val="0"/>
          <w:w w:val="100"/>
          <w:position w:val="0"/>
        </w:rPr>
        <w:t>2,700</w:t>
      </w:r>
      <w:r>
        <w:rPr>
          <w:color w:val="000000"/>
          <w:spacing w:val="0"/>
          <w:w w:val="100"/>
          <w:position w:val="0"/>
        </w:rPr>
        <w:t>万元。</w:t>
      </w:r>
    </w:p>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业绩承诺的完成情况及其对商誉减值测试的影响</w:t>
      </w:r>
    </w:p>
    <w:p>
      <w:pPr>
        <w:pStyle w:val="Style25"/>
        <w:keepNext w:val="0"/>
        <w:keepLines w:val="0"/>
        <w:widowControl w:val="0"/>
        <w:shd w:val="clear" w:color="auto" w:fill="auto"/>
        <w:bidi w:val="0"/>
        <w:spacing w:before="0" w:after="420" w:line="4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年度，北京志东方的净利润金额为</w:t>
      </w:r>
      <w:r>
        <w:rPr>
          <w:rFonts w:ascii="Times New Roman" w:eastAsia="Times New Roman" w:hAnsi="Times New Roman" w:cs="Times New Roman"/>
          <w:color w:val="000000"/>
          <w:spacing w:val="0"/>
          <w:w w:val="100"/>
          <w:position w:val="0"/>
        </w:rPr>
        <w:t>2,344.54</w:t>
      </w:r>
      <w:r>
        <w:rPr>
          <w:color w:val="000000"/>
          <w:spacing w:val="0"/>
          <w:w w:val="100"/>
          <w:position w:val="0"/>
        </w:rPr>
        <w:t>万元，扣除非经常性损益后的净利润金额为</w:t>
      </w:r>
      <w:r>
        <w:rPr>
          <w:rFonts w:ascii="Times New Roman" w:eastAsia="Times New Roman" w:hAnsi="Times New Roman" w:cs="Times New Roman"/>
          <w:color w:val="000000"/>
          <w:spacing w:val="0"/>
          <w:w w:val="100"/>
          <w:position w:val="0"/>
        </w:rPr>
        <w:t>2,261.10</w:t>
      </w:r>
      <w:r>
        <w:rPr>
          <w:color w:val="000000"/>
          <w:spacing w:val="0"/>
          <w:w w:val="100"/>
          <w:position w:val="0"/>
        </w:rPr>
        <w:t xml:space="preserve">万 元；完成了 </w:t>
      </w:r>
      <w:r>
        <w:rPr>
          <w:rFonts w:ascii="Times New Roman" w:eastAsia="Times New Roman" w:hAnsi="Times New Roman" w:cs="Times New Roman"/>
          <w:color w:val="000000"/>
          <w:spacing w:val="0"/>
          <w:w w:val="100"/>
          <w:position w:val="0"/>
        </w:rPr>
        <w:t>2020</w:t>
      </w:r>
      <w:r>
        <w:rPr>
          <w:color w:val="000000"/>
          <w:spacing w:val="0"/>
          <w:w w:val="100"/>
          <w:position w:val="0"/>
        </w:rPr>
        <w:t>年度的业绩承诺。预计北京志东方可实现未来年度的业绩承诺，对商誉减值测试无影响。</w:t>
      </w:r>
    </w:p>
    <w:p>
      <w:pPr>
        <w:pStyle w:val="Style23"/>
        <w:keepNext/>
        <w:keepLines/>
        <w:widowControl w:val="0"/>
        <w:shd w:val="clear" w:color="auto" w:fill="auto"/>
        <w:bidi w:val="0"/>
        <w:spacing w:before="0" w:after="360" w:line="240" w:lineRule="auto"/>
        <w:ind w:left="0" w:right="0" w:firstLine="0"/>
        <w:jc w:val="both"/>
      </w:pPr>
      <w:bookmarkStart w:id="272" w:name="bookmark272"/>
      <w:bookmarkStart w:id="273" w:name="bookmark273"/>
      <w:bookmarkStart w:id="274" w:name="bookmark274"/>
      <w:bookmarkStart w:id="275" w:name="bookmark275"/>
      <w:r>
        <w:rPr>
          <w:color w:val="000000"/>
          <w:spacing w:val="0"/>
          <w:w w:val="100"/>
          <w:position w:val="0"/>
          <w:sz w:val="24"/>
          <w:szCs w:val="24"/>
        </w:rPr>
        <w:t>四</w:t>
      </w:r>
      <w:bookmarkEnd w:id="274"/>
      <w:r>
        <w:rPr>
          <w:color w:val="000000"/>
          <w:spacing w:val="0"/>
          <w:w w:val="100"/>
          <w:position w:val="0"/>
          <w:sz w:val="24"/>
          <w:szCs w:val="24"/>
        </w:rPr>
        <w:t>、控股股东及其关联方对上市公司的非经营性占用资金情况</w:t>
      </w:r>
      <w:bookmarkEnd w:id="272"/>
      <w:bookmarkEnd w:id="273"/>
      <w:bookmarkEnd w:id="275"/>
    </w:p>
    <w:p>
      <w:pPr>
        <w:pStyle w:val="Style25"/>
        <w:keepNext w:val="0"/>
        <w:keepLines w:val="0"/>
        <w:widowControl w:val="0"/>
        <w:shd w:val="clear" w:color="auto" w:fill="auto"/>
        <w:bidi w:val="0"/>
        <w:spacing w:before="0" w:after="12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V</w:t>
      </w:r>
      <w:r>
        <w:rPr>
          <w:color w:val="000000"/>
          <w:spacing w:val="0"/>
          <w:w w:val="100"/>
          <w:position w:val="0"/>
          <w:sz w:val="19"/>
          <w:szCs w:val="19"/>
        </w:rPr>
        <w:t>不适用</w:t>
      </w:r>
    </w:p>
    <w:p>
      <w:pPr>
        <w:pStyle w:val="Style25"/>
        <w:keepNext w:val="0"/>
        <w:keepLines w:val="0"/>
        <w:widowControl w:val="0"/>
        <w:shd w:val="clear" w:color="auto" w:fill="auto"/>
        <w:bidi w:val="0"/>
        <w:spacing w:before="0" w:after="300" w:line="240" w:lineRule="auto"/>
        <w:ind w:left="0" w:right="0" w:firstLine="0"/>
        <w:jc w:val="both"/>
        <w:rPr>
          <w:sz w:val="19"/>
          <w:szCs w:val="19"/>
        </w:rPr>
      </w:pPr>
      <w:r>
        <w:rPr>
          <w:color w:val="000000"/>
          <w:spacing w:val="0"/>
          <w:w w:val="100"/>
          <w:position w:val="0"/>
          <w:sz w:val="19"/>
          <w:szCs w:val="19"/>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五</w:t>
      </w:r>
      <w:bookmarkEnd w:id="27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6"/>
      <w:bookmarkEnd w:id="277"/>
      <w:bookmarkEnd w:id="279"/>
    </w:p>
    <w:p>
      <w:pPr>
        <w:pStyle w:val="Style25"/>
        <w:keepNext w:val="0"/>
        <w:keepLines w:val="0"/>
        <w:widowControl w:val="0"/>
        <w:shd w:val="clear" w:color="auto" w:fill="auto"/>
        <w:bidi w:val="0"/>
        <w:spacing w:before="0" w:after="100" w:line="499"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23"/>
        <w:keepNext/>
        <w:keepLines/>
        <w:widowControl w:val="0"/>
        <w:shd w:val="clear" w:color="auto" w:fill="auto"/>
        <w:tabs>
          <w:tab w:pos="517" w:val="left"/>
        </w:tabs>
        <w:bidi w:val="0"/>
        <w:spacing w:before="0" w:after="100" w:line="240" w:lineRule="auto"/>
        <w:ind w:left="0" w:right="0" w:firstLine="0"/>
        <w:jc w:val="both"/>
      </w:pPr>
      <w:bookmarkStart w:id="280" w:name="bookmark280"/>
      <w:bookmarkStart w:id="281" w:name="bookmark281"/>
      <w:bookmarkStart w:id="282" w:name="bookmark282"/>
      <w:bookmarkStart w:id="283" w:name="bookmark283"/>
      <w:r>
        <w:rPr>
          <w:color w:val="000000"/>
          <w:spacing w:val="0"/>
          <w:w w:val="100"/>
          <w:position w:val="0"/>
          <w:sz w:val="24"/>
          <w:szCs w:val="24"/>
        </w:rPr>
        <w:t>六</w:t>
      </w:r>
      <w:bookmarkEnd w:id="282"/>
      <w:r>
        <w:rPr>
          <w:color w:val="000000"/>
          <w:spacing w:val="0"/>
          <w:w w:val="100"/>
          <w:position w:val="0"/>
          <w:sz w:val="24"/>
          <w:szCs w:val="24"/>
        </w:rPr>
        <w:t>、</w:t>
        <w:tab/>
        <w:t>与上年度财务报告相比，会计政策、会计估计和核算方法发生变化的情况说明</w:t>
      </w:r>
      <w:bookmarkEnd w:id="280"/>
      <w:bookmarkEnd w:id="281"/>
      <w:bookmarkEnd w:id="283"/>
    </w:p>
    <w:p>
      <w:pPr>
        <w:pStyle w:val="Style25"/>
        <w:keepNext w:val="0"/>
        <w:keepLines w:val="0"/>
        <w:widowControl w:val="0"/>
        <w:shd w:val="clear" w:color="auto" w:fill="auto"/>
        <w:bidi w:val="0"/>
        <w:spacing w:before="0" w:after="220" w:line="479" w:lineRule="exact"/>
        <w:ind w:left="0" w:right="0" w:firstLine="0"/>
        <w:jc w:val="both"/>
        <w:rPr>
          <w:sz w:val="19"/>
          <w:szCs w:val="19"/>
        </w:rPr>
      </w:pPr>
      <w:r>
        <w:rPr>
          <w:color w:val="000000"/>
          <w:spacing w:val="0"/>
          <w:w w:val="100"/>
          <w:position w:val="0"/>
          <w:sz w:val="20"/>
          <w:szCs w:val="20"/>
        </w:rPr>
        <w:t>寸</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25"/>
        <w:keepNext w:val="0"/>
        <w:keepLines w:val="0"/>
        <w:widowControl w:val="0"/>
        <w:shd w:val="clear" w:color="auto" w:fill="auto"/>
        <w:bidi w:val="0"/>
        <w:spacing w:before="0" w:after="0" w:line="499" w:lineRule="auto"/>
        <w:ind w:left="0" w:right="0" w:firstLine="440"/>
        <w:jc w:val="both"/>
      </w:pPr>
      <w:bookmarkStart w:id="284" w:name="bookmark284"/>
      <w:r>
        <w:rPr>
          <w:rFonts w:ascii="Times New Roman" w:eastAsia="Times New Roman" w:hAnsi="Times New Roman" w:cs="Times New Roman"/>
          <w:color w:val="000000"/>
          <w:spacing w:val="0"/>
          <w:w w:val="100"/>
          <w:position w:val="0"/>
        </w:rPr>
        <w:t>1</w:t>
      </w:r>
      <w:bookmarkEnd w:id="284"/>
      <w:r>
        <w:rPr>
          <w:color w:val="000000"/>
          <w:spacing w:val="0"/>
          <w:w w:val="100"/>
          <w:position w:val="0"/>
        </w:rPr>
        <w:t>、重要会计政策变更</w:t>
      </w:r>
    </w:p>
    <w:p>
      <w:pPr>
        <w:pStyle w:val="Style25"/>
        <w:keepNext w:val="0"/>
        <w:keepLines w:val="0"/>
        <w:widowControl w:val="0"/>
        <w:shd w:val="clear" w:color="auto" w:fill="auto"/>
        <w:bidi w:val="0"/>
        <w:spacing w:before="0" w:after="0" w:line="485" w:lineRule="exact"/>
        <w:ind w:left="0" w:right="0" w:firstLine="440"/>
        <w:jc w:val="left"/>
      </w:pPr>
      <w:bookmarkStart w:id="285" w:name="bookmark285"/>
      <w:r>
        <w:rPr>
          <w:color w:val="000000"/>
          <w:spacing w:val="0"/>
          <w:w w:val="100"/>
          <w:position w:val="0"/>
        </w:rPr>
        <w:t>（</w:t>
      </w:r>
      <w:bookmarkEnd w:id="285"/>
      <w:r>
        <w:rPr>
          <w:color w:val="000000"/>
          <w:spacing w:val="0"/>
          <w:w w:val="100"/>
          <w:position w:val="0"/>
        </w:rPr>
        <w:t>1）</w:t>
      </w:r>
      <w:r>
        <w:rPr>
          <w:color w:val="000000"/>
          <w:spacing w:val="0"/>
          <w:w w:val="100"/>
          <w:position w:val="0"/>
        </w:rPr>
        <w:t>执行《企业会计准则第</w:t>
      </w:r>
      <w:r>
        <w:rPr>
          <w:color w:val="000000"/>
          <w:spacing w:val="0"/>
          <w:w w:val="100"/>
          <w:position w:val="0"/>
        </w:rPr>
        <w:t>14</w:t>
      </w:r>
      <w:r>
        <w:rPr>
          <w:color w:val="000000"/>
          <w:spacing w:val="0"/>
          <w:w w:val="100"/>
          <w:position w:val="0"/>
        </w:rPr>
        <w:t>号一一收入》</w:t>
      </w:r>
      <w:r>
        <w:rPr>
          <w:color w:val="000000"/>
          <w:spacing w:val="0"/>
          <w:w w:val="100"/>
          <w:position w:val="0"/>
        </w:rPr>
        <w:t>（2017</w:t>
      </w:r>
      <w:r>
        <w:rPr>
          <w:color w:val="000000"/>
          <w:spacing w:val="0"/>
          <w:w w:val="100"/>
          <w:position w:val="0"/>
        </w:rPr>
        <w:t>年修订</w:t>
      </w:r>
      <w:r>
        <w:rPr>
          <w:color w:val="000000"/>
          <w:spacing w:val="0"/>
          <w:w w:val="100"/>
          <w:position w:val="0"/>
        </w:rPr>
        <w:t>）（</w:t>
      </w:r>
      <w:r>
        <w:rPr>
          <w:color w:val="000000"/>
          <w:spacing w:val="0"/>
          <w:w w:val="100"/>
          <w:position w:val="0"/>
        </w:rPr>
        <w:t>以下简称“新收入准则”</w:t>
      </w:r>
      <w:r>
        <w:rPr>
          <w:color w:val="000000"/>
          <w:spacing w:val="0"/>
          <w:w w:val="100"/>
          <w:position w:val="0"/>
        </w:rPr>
        <w:t>）</w:t>
      </w:r>
    </w:p>
    <w:p>
      <w:pPr>
        <w:pStyle w:val="Style25"/>
        <w:keepNext w:val="0"/>
        <w:keepLines w:val="0"/>
        <w:widowControl w:val="0"/>
        <w:shd w:val="clear" w:color="auto" w:fill="auto"/>
        <w:bidi w:val="0"/>
        <w:spacing w:before="0" w:after="0" w:line="485"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号一收入》。修订后的准则规定，首次执行该准则应 当根据累积影响数调整当年年初留存收益及财务报表其他相关项目金额，对可比期间信息不予调整。</w:t>
      </w:r>
    </w:p>
    <w:p>
      <w:pPr>
        <w:pStyle w:val="Style25"/>
        <w:keepNext w:val="0"/>
        <w:keepLines w:val="0"/>
        <w:widowControl w:val="0"/>
        <w:shd w:val="clear" w:color="auto" w:fill="auto"/>
        <w:bidi w:val="0"/>
        <w:spacing w:before="0" w:after="100" w:line="473"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日起执行新收入准则。根据准则的规定，本公司仅对在首次执行日尚未完成的合 同的累积影响数调整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年年初留存收益以及财务报表其他相关项目金额，比较财务报表不做调整。执行 该准则的主要影响如下：</w:t>
      </w:r>
    </w:p>
    <w:tbl>
      <w:tblPr>
        <w:tblOverlap w:val="never"/>
        <w:jc w:val="center"/>
        <w:tblLayout w:type="fixed"/>
      </w:tblPr>
      <w:tblGrid>
        <w:gridCol w:w="2093"/>
        <w:gridCol w:w="1430"/>
        <w:gridCol w:w="1493"/>
        <w:gridCol w:w="1613"/>
        <w:gridCol w:w="1426"/>
      </w:tblGrid>
      <w:tr>
        <w:trPr>
          <w:trHeight w:val="65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会计政策变更的内容和 原因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审批程序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9"/>
                <w:szCs w:val="19"/>
              </w:rPr>
            </w:pPr>
            <w:r>
              <w:rPr>
                <w:color w:val="000000"/>
                <w:spacing w:val="0"/>
                <w:w w:val="100"/>
                <w:position w:val="0"/>
                <w:sz w:val="19"/>
                <w:szCs w:val="19"/>
              </w:rPr>
              <w:t>受影响的报表项</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9"/>
                <w:szCs w:val="19"/>
              </w:rPr>
            </w:pPr>
            <w:r>
              <w:rPr>
                <w:color w:val="000000"/>
                <w:spacing w:val="0"/>
                <w:w w:val="100"/>
                <w:position w:val="0"/>
                <w:sz w:val="19"/>
                <w:szCs w:val="19"/>
              </w:rPr>
              <w:t>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日余额的影响金额</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（元）</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母公司</w:t>
            </w:r>
          </w:p>
        </w:tc>
      </w:tr>
      <w:tr>
        <w:trPr>
          <w:trHeight w:val="34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与销售商品相关的预收 款项重分类至合同负债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董事会审批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47,418,175.48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47,418,175.48</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4,531,509.28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4,531,509.28</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-51,949,684.76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-51,949,684.76</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-319,061,022.84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-296,226,974.26</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316,735,118.96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294,148,496.18</w:t>
            </w:r>
          </w:p>
        </w:tc>
      </w:tr>
      <w:tr>
        <w:trPr>
          <w:trHeight w:val="35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2,325,903.88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2,078,478.08</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与原收入准则相比，执行新收入准则对</w:t>
      </w:r>
      <w:r>
        <w:rPr>
          <w:color w:val="000000"/>
          <w:spacing w:val="0"/>
          <w:w w:val="100"/>
          <w:position w:val="0"/>
        </w:rPr>
        <w:t>2020</w:t>
      </w:r>
      <w:r>
        <w:rPr>
          <w:color w:val="000000"/>
          <w:spacing w:val="0"/>
          <w:w w:val="100"/>
          <w:position w:val="0"/>
        </w:rPr>
        <w:t>年度财务报表相关项目的影响如下（增加</w:t>
      </w:r>
      <w:r>
        <w:rPr>
          <w:color w:val="000000"/>
          <w:spacing w:val="0"/>
          <w:w w:val="100"/>
          <w:position w:val="0"/>
        </w:rPr>
        <w:t xml:space="preserve">/ </w:t>
      </w:r>
      <w:r>
        <w:rPr>
          <w:color w:val="000000"/>
          <w:spacing w:val="0"/>
          <w:w w:val="100"/>
          <w:position w:val="0"/>
        </w:rPr>
        <w:t>（减少）</w:t>
      </w:r>
      <w:r>
        <w:rPr>
          <w:color w:val="000000"/>
          <w:spacing w:val="0"/>
          <w:w w:val="100"/>
          <w:position w:val="0"/>
        </w:rPr>
        <w:t>：</w:t>
      </w:r>
    </w:p>
    <w:tbl>
      <w:tblPr>
        <w:tblOverlap w:val="never"/>
        <w:jc w:val="center"/>
        <w:tblLayout w:type="fixed"/>
      </w:tblPr>
      <w:tblGrid>
        <w:gridCol w:w="2962"/>
        <w:gridCol w:w="2424"/>
        <w:gridCol w:w="2443"/>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受影响的资产负债表项目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日余额的影响金额（元）</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母公司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389,183,581.91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308,399,261.49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-392,270,620.91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-309,569,286.71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3,087,039.00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1,170,025.22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-69,479,688.75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-69,359,988.75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9,849,845.35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9,849,845.35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59,629,843.40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59,510,143.40</w:t>
            </w:r>
          </w:p>
        </w:tc>
      </w:tr>
    </w:tbl>
    <w:p>
      <w:pPr>
        <w:widowControl w:val="0"/>
        <w:spacing w:after="99" w:line="1" w:lineRule="exact"/>
      </w:pPr>
    </w:p>
    <w:p>
      <w:pPr>
        <w:pStyle w:val="Style25"/>
        <w:keepNext w:val="0"/>
        <w:keepLines w:val="0"/>
        <w:widowControl w:val="0"/>
        <w:shd w:val="clear" w:color="auto" w:fill="auto"/>
        <w:bidi w:val="0"/>
        <w:spacing w:before="0" w:after="220" w:line="240" w:lineRule="auto"/>
        <w:ind w:left="0" w:right="0" w:firstLine="440"/>
        <w:jc w:val="both"/>
      </w:pPr>
      <w:bookmarkStart w:id="286" w:name="bookmark286"/>
      <w:r>
        <w:rPr>
          <w:color w:val="000000"/>
          <w:spacing w:val="0"/>
          <w:w w:val="100"/>
          <w:position w:val="0"/>
        </w:rPr>
        <w:t>（</w:t>
      </w:r>
      <w:bookmarkEnd w:id="286"/>
      <w:r>
        <w:rPr>
          <w:color w:val="000000"/>
          <w:spacing w:val="0"/>
          <w:w w:val="100"/>
          <w:position w:val="0"/>
        </w:rPr>
        <w:t>2）</w:t>
      </w:r>
      <w:r>
        <w:rPr>
          <w:color w:val="000000"/>
          <w:spacing w:val="0"/>
          <w:w w:val="100"/>
          <w:position w:val="0"/>
        </w:rPr>
        <w:t>执行《企业会计准则解释第</w:t>
      </w:r>
      <w:r>
        <w:rPr>
          <w:color w:val="000000"/>
          <w:spacing w:val="0"/>
          <w:w w:val="100"/>
          <w:position w:val="0"/>
        </w:rPr>
        <w:t>13</w:t>
      </w:r>
      <w:r>
        <w:rPr>
          <w:color w:val="000000"/>
          <w:spacing w:val="0"/>
          <w:w w:val="100"/>
          <w:position w:val="0"/>
        </w:rPr>
        <w:t>号》</w:t>
      </w:r>
    </w:p>
    <w:p>
      <w:pPr>
        <w:pStyle w:val="Style2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财政部于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日发布了《企业会计准则解释第</w:t>
      </w:r>
      <w:r>
        <w:rPr>
          <w:color w:val="000000"/>
          <w:spacing w:val="0"/>
          <w:w w:val="100"/>
          <w:position w:val="0"/>
        </w:rPr>
        <w:t>13</w:t>
      </w:r>
      <w:r>
        <w:rPr>
          <w:color w:val="000000"/>
          <w:spacing w:val="0"/>
          <w:w w:val="100"/>
          <w:position w:val="0"/>
        </w:rPr>
        <w:t>号》（财会〔</w:t>
      </w:r>
      <w:r>
        <w:rPr>
          <w:color w:val="000000"/>
          <w:spacing w:val="0"/>
          <w:w w:val="100"/>
          <w:position w:val="0"/>
        </w:rPr>
        <w:t>2019） 21</w:t>
      </w:r>
      <w:r>
        <w:rPr>
          <w:color w:val="000000"/>
          <w:spacing w:val="0"/>
          <w:w w:val="100"/>
          <w:position w:val="0"/>
        </w:rPr>
        <w:t>号，以下简称“解释</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第</w:t>
      </w:r>
      <w:r>
        <w:rPr>
          <w:color w:val="000000"/>
          <w:spacing w:val="0"/>
          <w:w w:val="100"/>
          <w:position w:val="0"/>
        </w:rPr>
        <w:t>13</w:t>
      </w:r>
      <w:r>
        <w:rPr>
          <w:color w:val="000000"/>
          <w:spacing w:val="0"/>
          <w:w w:val="100"/>
          <w:position w:val="0"/>
        </w:rPr>
        <w:t>号”</w:t>
      </w:r>
      <w:r>
        <w:rPr>
          <w:color w:val="000000"/>
          <w:spacing w:val="0"/>
          <w:w w:val="100"/>
          <w:position w:val="0"/>
        </w:rPr>
        <w:t>）</w:t>
      </w: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日起施行，不要求追溯调整。</w:t>
      </w:r>
    </w:p>
    <w:p>
      <w:pPr>
        <w:pStyle w:val="Style25"/>
        <w:keepNext w:val="0"/>
        <w:keepLines w:val="0"/>
        <w:widowControl w:val="0"/>
        <w:numPr>
          <w:ilvl w:val="0"/>
          <w:numId w:val="13"/>
        </w:numPr>
        <w:shd w:val="clear" w:color="auto" w:fill="auto"/>
        <w:bidi w:val="0"/>
        <w:spacing w:before="0" w:after="160" w:line="240" w:lineRule="auto"/>
        <w:ind w:left="0" w:right="0" w:firstLine="440"/>
        <w:jc w:val="both"/>
      </w:pPr>
      <w:bookmarkStart w:id="287" w:name="bookmark287"/>
      <w:bookmarkEnd w:id="287"/>
      <w:r>
        <w:rPr>
          <w:color w:val="000000"/>
          <w:spacing w:val="0"/>
          <w:w w:val="100"/>
          <w:position w:val="0"/>
        </w:rPr>
        <w:t>关联方的认定</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解释第</w:t>
      </w:r>
      <w:r>
        <w:rPr>
          <w:color w:val="000000"/>
          <w:spacing w:val="0"/>
          <w:w w:val="100"/>
          <w:position w:val="0"/>
        </w:rPr>
        <w:t>13</w:t>
      </w:r>
      <w:r>
        <w:rPr>
          <w:color w:val="000000"/>
          <w:spacing w:val="0"/>
          <w:w w:val="100"/>
          <w:position w:val="0"/>
        </w:rPr>
        <w:t>号明确了以下情形构成关联方：企业与其所属企业集团的其他成员单位（包括母公司和子公 司）的合营企业或联营企业；企业的合营企业与企业的其他合营企业或联营企业。此外，解释第</w:t>
      </w:r>
      <w:r>
        <w:rPr>
          <w:color w:val="000000"/>
          <w:spacing w:val="0"/>
          <w:w w:val="100"/>
          <w:position w:val="0"/>
        </w:rPr>
        <w:t>13</w:t>
      </w:r>
      <w:r>
        <w:rPr>
          <w:color w:val="000000"/>
          <w:spacing w:val="0"/>
          <w:w w:val="100"/>
          <w:position w:val="0"/>
        </w:rPr>
        <w:t>号也明 确了仅仅同受一方重大影响的两方或两方以上的企业不构成关联方，并补充说明了联营企业包括联营企业 及其子公司，合营企业包括合营企业及其子公司。</w:t>
      </w:r>
    </w:p>
    <w:p>
      <w:pPr>
        <w:pStyle w:val="Style25"/>
        <w:keepNext w:val="0"/>
        <w:keepLines w:val="0"/>
        <w:widowControl w:val="0"/>
        <w:numPr>
          <w:ilvl w:val="0"/>
          <w:numId w:val="13"/>
        </w:numPr>
        <w:shd w:val="clear" w:color="auto" w:fill="auto"/>
        <w:bidi w:val="0"/>
        <w:spacing w:before="0" w:after="0" w:line="470" w:lineRule="exact"/>
        <w:ind w:left="0" w:right="0" w:firstLine="440"/>
        <w:jc w:val="both"/>
      </w:pPr>
      <w:bookmarkStart w:id="288" w:name="bookmark288"/>
      <w:bookmarkEnd w:id="288"/>
      <w:r>
        <w:rPr>
          <w:color w:val="000000"/>
          <w:spacing w:val="0"/>
          <w:w w:val="100"/>
          <w:position w:val="0"/>
        </w:rPr>
        <w:t>业务的定义</w:t>
      </w:r>
    </w:p>
    <w:p>
      <w:pPr>
        <w:pStyle w:val="Style25"/>
        <w:keepNext w:val="0"/>
        <w:keepLines w:val="0"/>
        <w:widowControl w:val="0"/>
        <w:shd w:val="clear" w:color="auto" w:fill="auto"/>
        <w:bidi w:val="0"/>
        <w:spacing w:before="0" w:after="0" w:line="490" w:lineRule="exact"/>
        <w:ind w:left="0" w:right="0" w:firstLine="440"/>
        <w:jc w:val="both"/>
      </w:pPr>
      <w:r>
        <w:rPr>
          <w:color w:val="000000"/>
          <w:spacing w:val="0"/>
          <w:w w:val="100"/>
          <w:position w:val="0"/>
        </w:rPr>
        <w:t>解释第</w:t>
      </w:r>
      <w:r>
        <w:rPr>
          <w:color w:val="000000"/>
          <w:spacing w:val="0"/>
          <w:w w:val="100"/>
          <w:position w:val="0"/>
        </w:rPr>
        <w:t>13</w:t>
      </w:r>
      <w:r>
        <w:rPr>
          <w:color w:val="000000"/>
          <w:spacing w:val="0"/>
          <w:w w:val="100"/>
          <w:position w:val="0"/>
        </w:rPr>
        <w:t>号完善了业务构成的三个要素，细化了构成业务的判断条件，同时引入“集中度测试”选择, 以在一定程度上简化非同一控制下取得组合是否构成业务的判断等问题。</w:t>
      </w:r>
    </w:p>
    <w:p>
      <w:pPr>
        <w:pStyle w:val="Style25"/>
        <w:keepNext w:val="0"/>
        <w:keepLines w:val="0"/>
        <w:widowControl w:val="0"/>
        <w:shd w:val="clear" w:color="auto" w:fill="auto"/>
        <w:bidi w:val="0"/>
        <w:spacing w:before="0" w:after="0" w:line="490" w:lineRule="exact"/>
        <w:ind w:left="0" w:right="0" w:firstLine="440"/>
        <w:jc w:val="both"/>
      </w:pPr>
      <w:r>
        <w:rPr>
          <w:color w:val="000000"/>
          <w:spacing w:val="0"/>
          <w:w w:val="100"/>
          <w:position w:val="0"/>
        </w:rPr>
        <w:t>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日起执行解释第</w:t>
      </w:r>
      <w:r>
        <w:rPr>
          <w:color w:val="000000"/>
          <w:spacing w:val="0"/>
          <w:w w:val="100"/>
          <w:position w:val="0"/>
        </w:rPr>
        <w:t>13</w:t>
      </w:r>
      <w:r>
        <w:rPr>
          <w:color w:val="000000"/>
          <w:spacing w:val="0"/>
          <w:w w:val="100"/>
          <w:position w:val="0"/>
        </w:rPr>
        <w:t>号，比较财务报表不做调整，执行解释第</w:t>
      </w:r>
      <w:r>
        <w:rPr>
          <w:color w:val="000000"/>
          <w:spacing w:val="0"/>
          <w:w w:val="100"/>
          <w:position w:val="0"/>
        </w:rPr>
        <w:t>13</w:t>
      </w:r>
      <w:r>
        <w:rPr>
          <w:color w:val="000000"/>
          <w:spacing w:val="0"/>
          <w:w w:val="100"/>
          <w:position w:val="0"/>
        </w:rPr>
        <w:t>号未对本公司财务 状况和经营成果产生重大影响。</w:t>
      </w:r>
    </w:p>
    <w:p>
      <w:pPr>
        <w:pStyle w:val="Style25"/>
        <w:keepNext w:val="0"/>
        <w:keepLines w:val="0"/>
        <w:widowControl w:val="0"/>
        <w:shd w:val="clear" w:color="auto" w:fill="auto"/>
        <w:tabs>
          <w:tab w:pos="925" w:val="left"/>
        </w:tabs>
        <w:bidi w:val="0"/>
        <w:spacing w:before="0" w:after="0" w:line="474" w:lineRule="exact"/>
        <w:ind w:left="0" w:right="0" w:firstLine="440"/>
        <w:jc w:val="both"/>
      </w:pPr>
      <w:bookmarkStart w:id="289" w:name="bookmark289"/>
      <w:r>
        <w:rPr>
          <w:color w:val="000000"/>
          <w:spacing w:val="0"/>
          <w:w w:val="100"/>
          <w:position w:val="0"/>
        </w:rPr>
        <w:t>（</w:t>
      </w:r>
      <w:bookmarkEnd w:id="289"/>
      <w:r>
        <w:rPr>
          <w:color w:val="000000"/>
          <w:spacing w:val="0"/>
          <w:w w:val="100"/>
          <w:position w:val="0"/>
        </w:rPr>
        <w:t>3）</w:t>
        <w:tab/>
      </w:r>
      <w:r>
        <w:rPr>
          <w:color w:val="000000"/>
          <w:spacing w:val="0"/>
          <w:w w:val="100"/>
          <w:position w:val="0"/>
        </w:rPr>
        <w:t>执行《碳排放权交易有关会计处理暂行规定》</w:t>
      </w:r>
    </w:p>
    <w:p>
      <w:pPr>
        <w:pStyle w:val="Style25"/>
        <w:keepNext w:val="0"/>
        <w:keepLines w:val="0"/>
        <w:widowControl w:val="0"/>
        <w:shd w:val="clear" w:color="auto" w:fill="auto"/>
        <w:bidi w:val="0"/>
        <w:spacing w:before="0" w:after="0" w:line="474" w:lineRule="exact"/>
        <w:ind w:left="0" w:right="0" w:firstLine="440"/>
        <w:jc w:val="both"/>
      </w:pPr>
      <w:r>
        <w:rPr>
          <w:color w:val="000000"/>
          <w:spacing w:val="0"/>
          <w:w w:val="100"/>
          <w:position w:val="0"/>
        </w:rPr>
        <w:t>财政部于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日发布了《碳排放权交易有关会计处理暂行规定》（财会</w:t>
      </w:r>
      <w:r>
        <w:rPr>
          <w:color w:val="000000"/>
          <w:spacing w:val="0"/>
          <w:w w:val="100"/>
          <w:position w:val="0"/>
        </w:rPr>
        <w:t>[2019]22</w:t>
      </w:r>
      <w:r>
        <w:rPr>
          <w:color w:val="000000"/>
          <w:spacing w:val="0"/>
          <w:w w:val="100"/>
          <w:position w:val="0"/>
        </w:rPr>
        <w:t>号）</w:t>
      </w:r>
      <w:r>
        <w:rPr>
          <w:color w:val="000000"/>
          <w:spacing w:val="0"/>
          <w:w w:val="100"/>
          <w:position w:val="0"/>
        </w:rPr>
        <w:t>，</w:t>
      </w:r>
      <w:r>
        <w:rPr>
          <w:color w:val="000000"/>
          <w:spacing w:val="0"/>
          <w:w w:val="100"/>
          <w:position w:val="0"/>
        </w:rPr>
        <w:t>适用 于按照《碳排放权交易管理暂行办法》等有关规定开展碳排放权交易业务的重点排放单位中的相关企业（以 下简称重点排放企业）。该规定自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日起施行，重点排放企业应当采用未来适用法应用该规定。</w:t>
      </w:r>
    </w:p>
    <w:p>
      <w:pPr>
        <w:pStyle w:val="Style25"/>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日起执行该规定，比较财务报表不做调整，执行该规定未对本公司财务状况和经 营成果产生重大影响。</w:t>
      </w:r>
    </w:p>
    <w:p>
      <w:pPr>
        <w:pStyle w:val="Style25"/>
        <w:keepNext w:val="0"/>
        <w:keepLines w:val="0"/>
        <w:widowControl w:val="0"/>
        <w:shd w:val="clear" w:color="auto" w:fill="auto"/>
        <w:tabs>
          <w:tab w:pos="925" w:val="left"/>
        </w:tabs>
        <w:bidi w:val="0"/>
        <w:spacing w:before="0" w:after="0" w:line="474" w:lineRule="exact"/>
        <w:ind w:left="0" w:right="0" w:firstLine="440"/>
        <w:jc w:val="both"/>
      </w:pPr>
      <w:bookmarkStart w:id="290" w:name="bookmark290"/>
      <w:r>
        <w:rPr>
          <w:color w:val="000000"/>
          <w:spacing w:val="0"/>
          <w:w w:val="100"/>
          <w:position w:val="0"/>
        </w:rPr>
        <w:t>（</w:t>
      </w:r>
      <w:bookmarkEnd w:id="290"/>
      <w:r>
        <w:rPr>
          <w:color w:val="000000"/>
          <w:spacing w:val="0"/>
          <w:w w:val="100"/>
          <w:position w:val="0"/>
        </w:rPr>
        <w:t>4）</w:t>
        <w:tab/>
      </w:r>
      <w:r>
        <w:rPr>
          <w:color w:val="000000"/>
          <w:spacing w:val="0"/>
          <w:w w:val="100"/>
          <w:position w:val="0"/>
        </w:rPr>
        <w:t>执行《新冠肺炎疫情相关租金减让会计处理规定》</w:t>
      </w:r>
    </w:p>
    <w:p>
      <w:pPr>
        <w:pStyle w:val="Style25"/>
        <w:keepNext w:val="0"/>
        <w:keepLines w:val="0"/>
        <w:widowControl w:val="0"/>
        <w:shd w:val="clear" w:color="auto" w:fill="auto"/>
        <w:tabs>
          <w:tab w:pos="8984" w:val="left"/>
        </w:tabs>
        <w:bidi w:val="0"/>
        <w:spacing w:before="0" w:after="0" w:line="474" w:lineRule="exact"/>
        <w:ind w:left="0" w:right="0" w:firstLine="440"/>
        <w:jc w:val="both"/>
      </w:pPr>
      <w:r>
        <w:rPr>
          <w:color w:val="000000"/>
          <w:spacing w:val="0"/>
          <w:w w:val="100"/>
          <w:position w:val="0"/>
        </w:rPr>
        <w:t>财政部于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日发布了《新冠肺炎疫情相关租金减让会计处理规定》（财会〔</w:t>
      </w:r>
      <w:r>
        <w:rPr>
          <w:color w:val="000000"/>
          <w:spacing w:val="0"/>
          <w:w w:val="100"/>
          <w:position w:val="0"/>
        </w:rPr>
        <w:t>2020）</w:t>
        <w:tab/>
        <w:t>10</w:t>
      </w:r>
      <w:r>
        <w:rPr>
          <w:color w:val="000000"/>
          <w:spacing w:val="0"/>
          <w:w w:val="100"/>
          <w:position w:val="0"/>
        </w:rPr>
        <w:t>号）</w:t>
      </w:r>
      <w:r>
        <w:rPr>
          <w:color w:val="000000"/>
          <w:spacing w:val="0"/>
          <w:w w:val="100"/>
          <w:position w:val="0"/>
        </w:rPr>
        <w:t>，</w:t>
      </w:r>
    </w:p>
    <w:p>
      <w:pPr>
        <w:pStyle w:val="Style25"/>
        <w:keepNext w:val="0"/>
        <w:keepLines w:val="0"/>
        <w:widowControl w:val="0"/>
        <w:shd w:val="clear" w:color="auto" w:fill="auto"/>
        <w:bidi w:val="0"/>
        <w:spacing w:before="0" w:after="0" w:line="474" w:lineRule="exact"/>
        <w:ind w:left="0" w:right="0" w:firstLine="0"/>
        <w:jc w:val="left"/>
      </w:pP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日起施行，允许企业对</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日至该规定施行日之间发生的相关租金减让进行调整。 按照该规定，对于满足条件的由新冠肺炎疫情直接引发的租金减免、延期支付租金等租金减让，企业可以 选择采用简化方法进行会计处理。</w:t>
      </w:r>
    </w:p>
    <w:p>
      <w:pPr>
        <w:pStyle w:val="Style25"/>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本公司对于属于该规定适用范围的租金减让全部选择采用简化方法进行会计处理，并对</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 至该规定施行日之间发生的相关租金减让根据该规定进行相应调整。执行该规定未对本公司财务状况和经 营成果产生重大影响。</w:t>
      </w:r>
    </w:p>
    <w:p>
      <w:pPr>
        <w:pStyle w:val="Style25"/>
        <w:keepNext w:val="0"/>
        <w:keepLines w:val="0"/>
        <w:widowControl w:val="0"/>
        <w:shd w:val="clear" w:color="auto" w:fill="auto"/>
        <w:bidi w:val="0"/>
        <w:spacing w:before="0" w:after="160" w:line="474" w:lineRule="exact"/>
        <w:ind w:left="0" w:right="0" w:firstLine="440"/>
        <w:jc w:val="both"/>
      </w:pPr>
      <w:bookmarkStart w:id="291" w:name="bookmark291"/>
      <w:r>
        <w:rPr>
          <w:color w:val="000000"/>
          <w:spacing w:val="0"/>
          <w:w w:val="100"/>
          <w:position w:val="0"/>
        </w:rPr>
        <w:t>2</w:t>
      </w:r>
      <w:bookmarkEnd w:id="291"/>
      <w:r>
        <w:rPr>
          <w:color w:val="000000"/>
          <w:spacing w:val="0"/>
          <w:w w:val="100"/>
          <w:position w:val="0"/>
        </w:rPr>
        <w:t>、首次执行新收入准则调整首次执行当年年初财务报表相关项目情况</w:t>
      </w:r>
    </w:p>
    <w:p>
      <w:pPr>
        <w:pStyle w:val="Style25"/>
        <w:keepNext w:val="0"/>
        <w:keepLines w:val="0"/>
        <w:widowControl w:val="0"/>
        <w:shd w:val="clear" w:color="auto" w:fill="auto"/>
        <w:bidi w:val="0"/>
        <w:spacing w:before="0" w:after="60" w:line="240" w:lineRule="auto"/>
        <w:ind w:left="0" w:right="0" w:firstLine="0"/>
        <w:jc w:val="center"/>
        <w:rPr>
          <w:sz w:val="19"/>
          <w:szCs w:val="19"/>
        </w:rPr>
      </w:pPr>
      <w:r>
        <w:rPr>
          <w:color w:val="000000"/>
          <w:spacing w:val="0"/>
          <w:w w:val="100"/>
          <w:position w:val="0"/>
          <w:sz w:val="19"/>
          <w:szCs w:val="19"/>
        </w:rPr>
        <w:t>合并资产负债表</w:t>
      </w:r>
    </w:p>
    <w:p>
      <w:pPr>
        <w:pStyle w:val="Style40"/>
        <w:keepNext w:val="0"/>
        <w:keepLines w:val="0"/>
        <w:widowControl w:val="0"/>
        <w:shd w:val="clear" w:color="auto" w:fill="auto"/>
        <w:bidi w:val="0"/>
        <w:spacing w:before="0" w:after="0" w:line="240" w:lineRule="auto"/>
        <w:ind w:left="6394" w:right="0" w:firstLine="0"/>
        <w:jc w:val="left"/>
      </w:pPr>
      <w:r>
        <w:rPr>
          <w:color w:val="000000"/>
          <w:spacing w:val="0"/>
          <w:w w:val="100"/>
          <w:position w:val="0"/>
        </w:rPr>
        <w:t>单位：元</w:t>
      </w:r>
    </w:p>
    <w:tbl>
      <w:tblPr>
        <w:tblOverlap w:val="never"/>
        <w:jc w:val="center"/>
        <w:tblLayout w:type="fixed"/>
      </w:tblPr>
      <w:tblGrid>
        <w:gridCol w:w="1450"/>
        <w:gridCol w:w="1464"/>
        <w:gridCol w:w="1435"/>
        <w:gridCol w:w="1402"/>
        <w:gridCol w:w="667"/>
        <w:gridCol w:w="1406"/>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上年年末余额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调整数</w:t>
            </w:r>
          </w:p>
        </w:tc>
      </w:tr>
      <w:tr>
        <w:trPr>
          <w:trHeight w:val="65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重新计 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319,061,022.84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-319,061,022.84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-319,061,022.84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316,735,118.96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316,735,118.96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316,735,118.96</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2,325,903.88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2,325,903.88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2,325,903.88</w:t>
            </w:r>
          </w:p>
        </w:tc>
      </w:tr>
    </w:tbl>
    <w:p>
      <w:pPr>
        <w:widowControl w:val="0"/>
        <w:spacing w:line="1" w:lineRule="exact"/>
      </w:pPr>
    </w:p>
    <w:tbl>
      <w:tblPr>
        <w:tblOverlap w:val="never"/>
        <w:jc w:val="center"/>
        <w:tblLayout w:type="fixed"/>
      </w:tblPr>
      <w:tblGrid>
        <w:gridCol w:w="1450"/>
        <w:gridCol w:w="1464"/>
        <w:gridCol w:w="1435"/>
        <w:gridCol w:w="1402"/>
        <w:gridCol w:w="667"/>
        <w:gridCol w:w="140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47,418,175.48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47,418,175.48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47,418,175.48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4,531,509.28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4,531,509.28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4,531,509.28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51,949,684.76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-51,949,684.76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-51,949,684.76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-51,949,684.76</w:t>
            </w:r>
          </w:p>
        </w:tc>
      </w:tr>
    </w:tbl>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各项目调整情况的说明：</w:t>
      </w:r>
    </w:p>
    <w:p>
      <w:pPr>
        <w:pStyle w:val="Style25"/>
        <w:keepNext w:val="0"/>
        <w:keepLines w:val="0"/>
        <w:widowControl w:val="0"/>
        <w:shd w:val="clear" w:color="auto" w:fill="auto"/>
        <w:bidi w:val="0"/>
        <w:spacing w:before="0" w:after="160" w:line="466" w:lineRule="exact"/>
        <w:ind w:left="0" w:right="0" w:firstLine="440"/>
        <w:jc w:val="left"/>
      </w:pPr>
      <w:r>
        <w:rPr>
          <w:color w:val="000000"/>
          <w:spacing w:val="0"/>
          <w:w w:val="100"/>
          <w:position w:val="0"/>
        </w:rPr>
        <w:t>将与收入相关的不满足无条件收款权的质量保证金，根据其流动性重分类至合同资产处或其他非流动 资产，并对合同资产和其他非流动资产以预期信用减值损失为基础确认损失准备；与合同相关的预收款项 重分类至合同负债、其他流动负债。</w:t>
      </w:r>
    </w:p>
    <w:p>
      <w:pPr>
        <w:pStyle w:val="Style25"/>
        <w:keepNext w:val="0"/>
        <w:keepLines w:val="0"/>
        <w:widowControl w:val="0"/>
        <w:shd w:val="clear" w:color="auto" w:fill="auto"/>
        <w:bidi w:val="0"/>
        <w:spacing w:before="0" w:line="240" w:lineRule="auto"/>
        <w:ind w:left="0" w:right="0" w:firstLine="0"/>
        <w:jc w:val="center"/>
        <w:rPr>
          <w:sz w:val="19"/>
          <w:szCs w:val="19"/>
        </w:rPr>
      </w:pPr>
      <w:r>
        <w:rPr>
          <w:color w:val="000000"/>
          <w:spacing w:val="0"/>
          <w:w w:val="100"/>
          <w:position w:val="0"/>
          <w:sz w:val="19"/>
          <w:szCs w:val="19"/>
        </w:rPr>
        <w:t>母公司资产负债表</w:t>
      </w:r>
    </w:p>
    <w:p>
      <w:pPr>
        <w:pStyle w:val="Style40"/>
        <w:keepNext w:val="0"/>
        <w:keepLines w:val="0"/>
        <w:widowControl w:val="0"/>
        <w:shd w:val="clear" w:color="auto" w:fill="auto"/>
        <w:bidi w:val="0"/>
        <w:spacing w:before="0" w:after="0" w:line="240" w:lineRule="auto"/>
        <w:ind w:left="6946"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37"/>
        <w:gridCol w:w="1334"/>
        <w:gridCol w:w="1339"/>
        <w:gridCol w:w="1469"/>
        <w:gridCol w:w="1133"/>
        <w:gridCol w:w="1426"/>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上年年末余额</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年初余额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调整数</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重新计量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296,226,974.26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-296,226,974.26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294,148,496.18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294,148,496.18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294,148,496.18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2,078,478.08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2,078,478.08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2,078,478.08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47,418,175.48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47,418,175.48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47,418,175.48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4,531,509.28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4,531,509.28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4,531,509.28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51,949,684.76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-51,949,684.76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-51,949,684.76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-51,949,684.76</w:t>
            </w:r>
          </w:p>
        </w:tc>
      </w:tr>
    </w:tbl>
    <w:p>
      <w:pPr>
        <w:widowControl w:val="0"/>
        <w:spacing w:after="299" w:line="1" w:lineRule="exact"/>
      </w:pPr>
    </w:p>
    <w:p>
      <w:pPr>
        <w:pStyle w:val="Style23"/>
        <w:keepNext/>
        <w:keepLines/>
        <w:widowControl w:val="0"/>
        <w:shd w:val="clear" w:color="auto" w:fill="auto"/>
        <w:tabs>
          <w:tab w:pos="522" w:val="left"/>
        </w:tabs>
        <w:bidi w:val="0"/>
        <w:spacing w:before="0" w:after="360" w:line="240" w:lineRule="auto"/>
        <w:ind w:left="0" w:right="0" w:firstLine="0"/>
        <w:jc w:val="both"/>
      </w:pPr>
      <w:bookmarkStart w:id="292" w:name="bookmark292"/>
      <w:bookmarkStart w:id="293" w:name="bookmark293"/>
      <w:bookmarkStart w:id="294" w:name="bookmark294"/>
      <w:bookmarkStart w:id="295" w:name="bookmark295"/>
      <w:r>
        <w:rPr>
          <w:color w:val="000000"/>
          <w:spacing w:val="0"/>
          <w:w w:val="100"/>
          <w:position w:val="0"/>
          <w:sz w:val="24"/>
          <w:szCs w:val="24"/>
        </w:rPr>
        <w:t>七</w:t>
      </w:r>
      <w:bookmarkEnd w:id="294"/>
      <w:r>
        <w:rPr>
          <w:color w:val="000000"/>
          <w:spacing w:val="0"/>
          <w:w w:val="100"/>
          <w:position w:val="0"/>
          <w:sz w:val="24"/>
          <w:szCs w:val="24"/>
        </w:rPr>
        <w:t>、</w:t>
        <w:tab/>
        <w:t>报告期内发生重大会计差错更正需追溯重述的情况说明</w:t>
      </w:r>
      <w:bookmarkEnd w:id="292"/>
      <w:bookmarkEnd w:id="293"/>
      <w:bookmarkEnd w:id="295"/>
    </w:p>
    <w:p>
      <w:pPr>
        <w:pStyle w:val="Style25"/>
        <w:keepNext w:val="0"/>
        <w:keepLines w:val="0"/>
        <w:widowControl w:val="0"/>
        <w:shd w:val="clear" w:color="auto" w:fill="auto"/>
        <w:bidi w:val="0"/>
        <w:spacing w:before="0" w:after="12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360" w:line="240" w:lineRule="auto"/>
        <w:ind w:left="0" w:right="0" w:firstLine="0"/>
        <w:jc w:val="both"/>
        <w:rPr>
          <w:sz w:val="19"/>
          <w:szCs w:val="19"/>
        </w:rPr>
      </w:pPr>
      <w:r>
        <w:rPr>
          <w:color w:val="000000"/>
          <w:spacing w:val="0"/>
          <w:w w:val="100"/>
          <w:position w:val="0"/>
          <w:sz w:val="19"/>
          <w:szCs w:val="19"/>
        </w:rPr>
        <w:t>公司报告期无重大会计差错更正需追溯重述的情况。</w:t>
      </w:r>
    </w:p>
    <w:p>
      <w:pPr>
        <w:pStyle w:val="Style23"/>
        <w:keepNext/>
        <w:keepLines/>
        <w:widowControl w:val="0"/>
        <w:shd w:val="clear" w:color="auto" w:fill="auto"/>
        <w:tabs>
          <w:tab w:pos="522" w:val="left"/>
        </w:tabs>
        <w:bidi w:val="0"/>
        <w:spacing w:before="0" w:after="360" w:line="240" w:lineRule="auto"/>
        <w:ind w:left="0" w:right="0" w:firstLine="0"/>
        <w:jc w:val="both"/>
      </w:pPr>
      <w:bookmarkStart w:id="296" w:name="bookmark296"/>
      <w:bookmarkStart w:id="297" w:name="bookmark297"/>
      <w:bookmarkStart w:id="298" w:name="bookmark298"/>
      <w:bookmarkStart w:id="299" w:name="bookmark299"/>
      <w:r>
        <w:rPr>
          <w:color w:val="000000"/>
          <w:spacing w:val="0"/>
          <w:w w:val="100"/>
          <w:position w:val="0"/>
          <w:sz w:val="24"/>
          <w:szCs w:val="24"/>
        </w:rPr>
        <w:t>八</w:t>
      </w:r>
      <w:bookmarkEnd w:id="298"/>
      <w:r>
        <w:rPr>
          <w:color w:val="000000"/>
          <w:spacing w:val="0"/>
          <w:w w:val="100"/>
          <w:position w:val="0"/>
          <w:sz w:val="24"/>
          <w:szCs w:val="24"/>
        </w:rPr>
        <w:t>、</w:t>
        <w:tab/>
        <w:t>与上年度财务报告相比，合并报表范围发生变化的情况说明</w:t>
      </w:r>
      <w:bookmarkEnd w:id="296"/>
      <w:bookmarkEnd w:id="297"/>
      <w:bookmarkEnd w:id="299"/>
    </w:p>
    <w:p>
      <w:pPr>
        <w:pStyle w:val="Style25"/>
        <w:keepNext w:val="0"/>
        <w:keepLines w:val="0"/>
        <w:widowControl w:val="0"/>
        <w:shd w:val="clear" w:color="auto" w:fill="auto"/>
        <w:bidi w:val="0"/>
        <w:spacing w:before="0" w:after="16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25"/>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本年与上年比较减少合并单位</w:t>
      </w:r>
      <w:r>
        <w:rPr>
          <w:rFonts w:ascii="Times New Roman" w:eastAsia="Times New Roman" w:hAnsi="Times New Roman" w:cs="Times New Roman"/>
          <w:color w:val="000000"/>
          <w:spacing w:val="0"/>
          <w:w w:val="100"/>
          <w:position w:val="0"/>
        </w:rPr>
        <w:t>1</w:t>
      </w:r>
      <w:r>
        <w:rPr>
          <w:color w:val="000000"/>
          <w:spacing w:val="0"/>
          <w:w w:val="100"/>
          <w:position w:val="0"/>
        </w:rPr>
        <w:t>家，增加</w:t>
      </w:r>
      <w:r>
        <w:rPr>
          <w:rFonts w:ascii="Times New Roman" w:eastAsia="Times New Roman" w:hAnsi="Times New Roman" w:cs="Times New Roman"/>
          <w:color w:val="000000"/>
          <w:spacing w:val="0"/>
          <w:w w:val="100"/>
          <w:position w:val="0"/>
        </w:rPr>
        <w:t>1</w:t>
      </w:r>
      <w:r>
        <w:rPr>
          <w:color w:val="000000"/>
          <w:spacing w:val="0"/>
          <w:w w:val="100"/>
          <w:position w:val="0"/>
        </w:rPr>
        <w:t>家。报告期内因撤资减少北京国信金泽投资中心（有限合伙）。</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报告期内因投资设立增加杭州中科金财科技有限公司。</w:t>
      </w:r>
    </w:p>
    <w:p>
      <w:pPr>
        <w:pStyle w:val="Style23"/>
        <w:keepNext/>
        <w:keepLines/>
        <w:widowControl w:val="0"/>
        <w:shd w:val="clear" w:color="auto" w:fill="auto"/>
        <w:bidi w:val="0"/>
        <w:spacing w:before="0" w:after="360" w:line="240" w:lineRule="auto"/>
        <w:ind w:left="0" w:right="0" w:firstLine="0"/>
        <w:jc w:val="both"/>
      </w:pPr>
      <w:bookmarkStart w:id="300" w:name="bookmark300"/>
      <w:bookmarkStart w:id="301" w:name="bookmark301"/>
      <w:bookmarkStart w:id="302" w:name="bookmark302"/>
      <w:bookmarkStart w:id="303" w:name="bookmark303"/>
      <w:r>
        <w:rPr>
          <w:color w:val="000000"/>
          <w:spacing w:val="0"/>
          <w:w w:val="100"/>
          <w:position w:val="0"/>
          <w:sz w:val="24"/>
          <w:szCs w:val="24"/>
        </w:rPr>
        <w:t>九</w:t>
      </w:r>
      <w:bookmarkEnd w:id="302"/>
      <w:r>
        <w:rPr>
          <w:color w:val="000000"/>
          <w:spacing w:val="0"/>
          <w:w w:val="100"/>
          <w:position w:val="0"/>
          <w:sz w:val="24"/>
          <w:szCs w:val="24"/>
        </w:rPr>
        <w:t>、聘任、解聘会计师事务所情况</w:t>
      </w:r>
      <w:bookmarkEnd w:id="300"/>
      <w:bookmarkEnd w:id="301"/>
      <w:bookmarkEnd w:id="303"/>
    </w:p>
    <w:p>
      <w:pPr>
        <w:pStyle w:val="Style25"/>
        <w:keepNext w:val="0"/>
        <w:keepLines w:val="0"/>
        <w:widowControl w:val="0"/>
        <w:shd w:val="clear" w:color="auto" w:fill="auto"/>
        <w:bidi w:val="0"/>
        <w:spacing w:before="0" w:line="240" w:lineRule="auto"/>
        <w:ind w:left="0" w:right="0" w:firstLine="0"/>
        <w:jc w:val="both"/>
        <w:rPr>
          <w:sz w:val="19"/>
          <w:szCs w:val="19"/>
        </w:rPr>
      </w:pPr>
      <w:r>
        <w:rPr>
          <w:color w:val="000000"/>
          <w:spacing w:val="0"/>
          <w:w w:val="100"/>
          <w:position w:val="0"/>
          <w:sz w:val="19"/>
          <w:szCs w:val="19"/>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张金华、郭晓清</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40"/>
        <w:keepNext w:val="0"/>
        <w:keepLines w:val="0"/>
        <w:widowControl w:val="0"/>
        <w:shd w:val="clear" w:color="auto" w:fill="auto"/>
        <w:bidi w:val="0"/>
        <w:spacing w:before="0" w:after="0" w:line="240" w:lineRule="auto"/>
        <w:ind w:left="5" w:right="0" w:firstLine="0"/>
        <w:jc w:val="left"/>
      </w:pPr>
      <w:r>
        <w:rPr>
          <w:color w:val="000000"/>
          <w:spacing w:val="0"/>
          <w:w w:val="100"/>
          <w:position w:val="0"/>
        </w:rPr>
        <w:t>当期是否改聘会计师事务所</w:t>
      </w:r>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20"/>
          <w:szCs w:val="20"/>
        </w:rPr>
        <w:t>口</w:t>
      </w:r>
      <w:r>
        <w:rPr>
          <w:color w:val="000000"/>
          <w:spacing w:val="0"/>
          <w:w w:val="100"/>
          <w:position w:val="0"/>
          <w:sz w:val="19"/>
          <w:szCs w:val="19"/>
        </w:rPr>
        <w:t>是</w:t>
      </w:r>
      <w:r>
        <w:rPr>
          <w:i/>
          <w:iCs/>
          <w:color w:val="000000"/>
          <w:spacing w:val="0"/>
          <w:w w:val="100"/>
          <w:position w:val="0"/>
          <w:sz w:val="19"/>
          <w:szCs w:val="19"/>
        </w:rPr>
        <w:t>寸否</w:t>
      </w:r>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聘请内部控制审计会计师事务所、财务顾问或保荐人情况</w:t>
      </w:r>
    </w:p>
    <w:p>
      <w:pPr>
        <w:pStyle w:val="Style25"/>
        <w:keepNext w:val="0"/>
        <w:keepLines w:val="0"/>
        <w:widowControl w:val="0"/>
        <w:shd w:val="clear" w:color="auto" w:fill="auto"/>
        <w:bidi w:val="0"/>
        <w:spacing w:before="0" w:after="3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3"/>
        <w:keepNext/>
        <w:keepLines/>
        <w:widowControl w:val="0"/>
        <w:shd w:val="clear" w:color="auto" w:fill="auto"/>
        <w:bidi w:val="0"/>
        <w:spacing w:before="0" w:line="240" w:lineRule="auto"/>
        <w:ind w:left="0" w:right="0" w:firstLine="0"/>
        <w:jc w:val="left"/>
      </w:pPr>
      <w:bookmarkStart w:id="304" w:name="bookmark304"/>
      <w:bookmarkStart w:id="305" w:name="bookmark305"/>
      <w:bookmarkStart w:id="306" w:name="bookmark306"/>
      <w:r>
        <w:rPr>
          <w:color w:val="000000"/>
          <w:spacing w:val="0"/>
          <w:w w:val="100"/>
          <w:position w:val="0"/>
          <w:sz w:val="24"/>
          <w:szCs w:val="24"/>
        </w:rPr>
        <w:t>十、年度报告披露后面临退市情况</w:t>
      </w:r>
      <w:bookmarkEnd w:id="304"/>
      <w:bookmarkEnd w:id="305"/>
      <w:bookmarkEnd w:id="306"/>
    </w:p>
    <w:p>
      <w:pPr>
        <w:pStyle w:val="Style25"/>
        <w:keepNext w:val="0"/>
        <w:keepLines w:val="0"/>
        <w:widowControl w:val="0"/>
        <w:shd w:val="clear" w:color="auto" w:fill="auto"/>
        <w:bidi w:val="0"/>
        <w:spacing w:before="0" w:after="3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3"/>
        <w:keepNext/>
        <w:keepLines/>
        <w:widowControl w:val="0"/>
        <w:shd w:val="clear" w:color="auto" w:fill="auto"/>
        <w:bidi w:val="0"/>
        <w:spacing w:before="0" w:line="240" w:lineRule="auto"/>
        <w:ind w:left="0" w:right="0" w:firstLine="0"/>
        <w:jc w:val="left"/>
      </w:pPr>
      <w:bookmarkStart w:id="307" w:name="bookmark307"/>
      <w:bookmarkStart w:id="308" w:name="bookmark308"/>
      <w:bookmarkStart w:id="309" w:name="bookmark309"/>
      <w:r>
        <w:rPr>
          <w:color w:val="000000"/>
          <w:spacing w:val="0"/>
          <w:w w:val="100"/>
          <w:position w:val="0"/>
          <w:sz w:val="24"/>
          <w:szCs w:val="24"/>
        </w:rPr>
        <w:t>十一、破产重整相关事项</w:t>
      </w:r>
      <w:bookmarkEnd w:id="307"/>
      <w:bookmarkEnd w:id="308"/>
      <w:bookmarkEnd w:id="309"/>
    </w:p>
    <w:p>
      <w:pPr>
        <w:pStyle w:val="Style25"/>
        <w:keepNext w:val="0"/>
        <w:keepLines w:val="0"/>
        <w:widowControl w:val="0"/>
        <w:shd w:val="clear" w:color="auto" w:fill="auto"/>
        <w:bidi w:val="0"/>
        <w:spacing w:before="0" w:after="1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340" w:line="240" w:lineRule="auto"/>
        <w:ind w:left="0" w:right="0" w:firstLine="0"/>
        <w:jc w:val="left"/>
        <w:rPr>
          <w:sz w:val="19"/>
          <w:szCs w:val="19"/>
        </w:rPr>
      </w:pPr>
      <w:r>
        <w:rPr>
          <w:color w:val="000000"/>
          <w:spacing w:val="0"/>
          <w:w w:val="100"/>
          <w:position w:val="0"/>
          <w:sz w:val="19"/>
          <w:szCs w:val="19"/>
        </w:rPr>
        <w:t>公司报告期未发生破产重整相关事项。</w:t>
      </w:r>
    </w:p>
    <w:p>
      <w:pPr>
        <w:pStyle w:val="Style23"/>
        <w:keepNext/>
        <w:keepLines/>
        <w:widowControl w:val="0"/>
        <w:shd w:val="clear" w:color="auto" w:fill="auto"/>
        <w:bidi w:val="0"/>
        <w:spacing w:before="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十二、重大诉讼、仲裁事项</w:t>
      </w:r>
      <w:bookmarkEnd w:id="310"/>
      <w:bookmarkEnd w:id="311"/>
      <w:bookmarkEnd w:id="312"/>
    </w:p>
    <w:p>
      <w:pPr>
        <w:pStyle w:val="Style25"/>
        <w:keepNext w:val="0"/>
        <w:keepLines w:val="0"/>
        <w:widowControl w:val="0"/>
        <w:shd w:val="clear" w:color="auto" w:fill="auto"/>
        <w:bidi w:val="0"/>
        <w:spacing w:before="0" w:after="6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涉案金额（万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公司已经结案的诉 讼、仲裁案件共计</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执行完毕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执行完毕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r>
        <w:rPr>
          <w:color w:val="000000"/>
          <w:spacing w:val="0"/>
          <w:w w:val="100"/>
          <w:position w:val="0"/>
          <w:sz w:val="24"/>
          <w:szCs w:val="24"/>
        </w:rPr>
        <w:t>十三、处罚及整改情况</w:t>
      </w:r>
      <w:bookmarkEnd w:id="313"/>
      <w:bookmarkEnd w:id="314"/>
      <w:bookmarkEnd w:id="315"/>
    </w:p>
    <w:p>
      <w:pPr>
        <w:pStyle w:val="Style25"/>
        <w:keepNext w:val="0"/>
        <w:keepLines w:val="0"/>
        <w:widowControl w:val="0"/>
        <w:shd w:val="clear" w:color="auto" w:fill="auto"/>
        <w:bidi w:val="0"/>
        <w:spacing w:before="0" w:after="1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340" w:line="240" w:lineRule="auto"/>
        <w:ind w:left="0" w:right="0" w:firstLine="0"/>
        <w:jc w:val="left"/>
        <w:rPr>
          <w:sz w:val="19"/>
          <w:szCs w:val="19"/>
        </w:rPr>
      </w:pPr>
      <w:r>
        <w:rPr>
          <w:color w:val="000000"/>
          <w:spacing w:val="0"/>
          <w:w w:val="100"/>
          <w:position w:val="0"/>
          <w:sz w:val="19"/>
          <w:szCs w:val="19"/>
        </w:rPr>
        <w:t>公司报告期不存在处罚及整改情况。</w:t>
      </w:r>
    </w:p>
    <w:p>
      <w:pPr>
        <w:pStyle w:val="Style23"/>
        <w:keepNext/>
        <w:keepLines/>
        <w:widowControl w:val="0"/>
        <w:shd w:val="clear" w:color="auto" w:fill="auto"/>
        <w:bidi w:val="0"/>
        <w:spacing w:before="0" w:line="240" w:lineRule="auto"/>
        <w:ind w:left="0" w:right="0" w:firstLine="0"/>
        <w:jc w:val="left"/>
      </w:pPr>
      <w:bookmarkStart w:id="316" w:name="bookmark316"/>
      <w:bookmarkStart w:id="317" w:name="bookmark317"/>
      <w:bookmarkStart w:id="318" w:name="bookmark318"/>
      <w:r>
        <w:rPr>
          <w:color w:val="000000"/>
          <w:spacing w:val="0"/>
          <w:w w:val="100"/>
          <w:position w:val="0"/>
          <w:sz w:val="24"/>
          <w:szCs w:val="24"/>
        </w:rPr>
        <w:t>十四、公司及其控股股东、实际控制人的诚信状况</w:t>
      </w:r>
      <w:bookmarkEnd w:id="316"/>
      <w:bookmarkEnd w:id="317"/>
      <w:bookmarkEnd w:id="318"/>
    </w:p>
    <w:p>
      <w:pPr>
        <w:pStyle w:val="Style25"/>
        <w:keepNext w:val="0"/>
        <w:keepLines w:val="0"/>
        <w:widowControl w:val="0"/>
        <w:shd w:val="clear" w:color="auto" w:fill="auto"/>
        <w:bidi w:val="0"/>
        <w:spacing w:before="0" w:after="0" w:line="492"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25"/>
        <w:keepNext w:val="0"/>
        <w:keepLines w:val="0"/>
        <w:widowControl w:val="0"/>
        <w:shd w:val="clear" w:color="auto" w:fill="auto"/>
        <w:bidi w:val="0"/>
        <w:spacing w:before="0" w:after="420" w:line="470" w:lineRule="exact"/>
        <w:ind w:left="0" w:right="0" w:firstLine="420"/>
        <w:jc w:val="left"/>
        <w:rPr>
          <w:sz w:val="19"/>
          <w:szCs w:val="19"/>
        </w:rPr>
      </w:pPr>
      <w:r>
        <w:rPr>
          <w:color w:val="000000"/>
          <w:spacing w:val="0"/>
          <w:w w:val="100"/>
          <w:position w:val="0"/>
          <w:sz w:val="19"/>
          <w:szCs w:val="19"/>
        </w:rPr>
        <w:t>报告期内，公司及控股股东、实际控制人依法诚信经营，信用状况良好，不存在未履行法院生效判决、所 负数额较大的债务到期未清偿等情况。</w:t>
      </w:r>
    </w:p>
    <w:p>
      <w:pPr>
        <w:pStyle w:val="Style23"/>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十五、公司股权激励计划、员工持股计划或其他员工激励措施的实施情况</w:t>
      </w:r>
      <w:bookmarkEnd w:id="319"/>
      <w:bookmarkEnd w:id="320"/>
      <w:bookmarkEnd w:id="321"/>
    </w:p>
    <w:p>
      <w:pPr>
        <w:pStyle w:val="Style25"/>
        <w:keepNext w:val="0"/>
        <w:keepLines w:val="0"/>
        <w:widowControl w:val="0"/>
        <w:shd w:val="clear" w:color="auto" w:fill="auto"/>
        <w:bidi w:val="0"/>
        <w:spacing w:before="0" w:after="1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340" w:line="240" w:lineRule="auto"/>
        <w:ind w:left="0" w:right="0" w:firstLine="0"/>
        <w:jc w:val="left"/>
        <w:rPr>
          <w:sz w:val="19"/>
          <w:szCs w:val="19"/>
        </w:rPr>
      </w:pPr>
      <w:r>
        <w:rPr>
          <w:color w:val="000000"/>
          <w:spacing w:val="0"/>
          <w:w w:val="100"/>
          <w:position w:val="0"/>
          <w:sz w:val="19"/>
          <w:szCs w:val="19"/>
        </w:rPr>
        <w:t>公司报告期无股权激励计划、员工持股计划或其他员工激励措施及其实施情况。</w:t>
      </w:r>
    </w:p>
    <w:p>
      <w:pPr>
        <w:pStyle w:val="Style23"/>
        <w:keepNext/>
        <w:keepLines/>
        <w:widowControl w:val="0"/>
        <w:shd w:val="clear" w:color="auto" w:fill="auto"/>
        <w:bidi w:val="0"/>
        <w:spacing w:before="0" w:after="360" w:line="240" w:lineRule="auto"/>
        <w:ind w:left="0" w:right="0" w:firstLine="0"/>
        <w:jc w:val="left"/>
      </w:pPr>
      <w:bookmarkStart w:id="322" w:name="bookmark322"/>
      <w:bookmarkStart w:id="323" w:name="bookmark323"/>
      <w:bookmarkStart w:id="324" w:name="bookmark324"/>
      <w:r>
        <w:rPr>
          <w:color w:val="000000"/>
          <w:spacing w:val="0"/>
          <w:w w:val="100"/>
          <w:position w:val="0"/>
          <w:sz w:val="24"/>
          <w:szCs w:val="24"/>
        </w:rPr>
        <w:t>十六、重大关联交易</w:t>
      </w:r>
      <w:bookmarkEnd w:id="322"/>
      <w:bookmarkEnd w:id="323"/>
      <w:bookmarkEnd w:id="324"/>
    </w:p>
    <w:p>
      <w:pPr>
        <w:pStyle w:val="Style31"/>
        <w:keepNext/>
        <w:keepLines/>
        <w:widowControl w:val="0"/>
        <w:shd w:val="clear" w:color="auto" w:fill="auto"/>
        <w:tabs>
          <w:tab w:pos="368" w:val="left"/>
        </w:tabs>
        <w:bidi w:val="0"/>
        <w:spacing w:before="0" w:after="36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1</w:t>
      </w:r>
      <w:bookmarkEnd w:id="327"/>
      <w:r>
        <w:rPr>
          <w:color w:val="000000"/>
          <w:spacing w:val="0"/>
          <w:w w:val="100"/>
          <w:position w:val="0"/>
        </w:rPr>
        <w:t>、</w:t>
        <w:tab/>
        <w:t>与日常经营相关的关联交易</w:t>
      </w:r>
      <w:bookmarkEnd w:id="325"/>
      <w:bookmarkEnd w:id="326"/>
      <w:bookmarkEnd w:id="328"/>
    </w:p>
    <w:p>
      <w:pPr>
        <w:pStyle w:val="Style25"/>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25"/>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公司报告期未发生与日常经营相关的关联交易。</w:t>
      </w:r>
    </w:p>
    <w:p>
      <w:pPr>
        <w:pStyle w:val="Style31"/>
        <w:keepNext/>
        <w:keepLines/>
        <w:widowControl w:val="0"/>
        <w:shd w:val="clear" w:color="auto" w:fill="auto"/>
        <w:tabs>
          <w:tab w:pos="378" w:val="left"/>
        </w:tabs>
        <w:bidi w:val="0"/>
        <w:spacing w:before="0" w:after="36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2</w:t>
      </w:r>
      <w:bookmarkEnd w:id="331"/>
      <w:r>
        <w:rPr>
          <w:color w:val="000000"/>
          <w:spacing w:val="0"/>
          <w:w w:val="100"/>
          <w:position w:val="0"/>
        </w:rPr>
        <w:t>、</w:t>
        <w:tab/>
        <w:t>资产或股权收购、出售发生的关联交易</w:t>
      </w:r>
      <w:bookmarkEnd w:id="329"/>
      <w:bookmarkEnd w:id="330"/>
      <w:bookmarkEnd w:id="332"/>
    </w:p>
    <w:p>
      <w:pPr>
        <w:pStyle w:val="Style25"/>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25"/>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公司报告期未发生资产或股权收购、出售的关联交易。</w:t>
      </w:r>
    </w:p>
    <w:p>
      <w:pPr>
        <w:pStyle w:val="Style31"/>
        <w:keepNext/>
        <w:keepLines/>
        <w:widowControl w:val="0"/>
        <w:shd w:val="clear" w:color="auto" w:fill="auto"/>
        <w:tabs>
          <w:tab w:pos="378" w:val="left"/>
        </w:tabs>
        <w:bidi w:val="0"/>
        <w:spacing w:before="0" w:after="36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3</w:t>
      </w:r>
      <w:bookmarkEnd w:id="335"/>
      <w:r>
        <w:rPr>
          <w:color w:val="000000"/>
          <w:spacing w:val="0"/>
          <w:w w:val="100"/>
          <w:position w:val="0"/>
        </w:rPr>
        <w:t>、</w:t>
        <w:tab/>
        <w:t>共同对外投资的关联交易</w:t>
      </w:r>
      <w:bookmarkEnd w:id="333"/>
      <w:bookmarkEnd w:id="334"/>
      <w:bookmarkEnd w:id="336"/>
    </w:p>
    <w:p>
      <w:pPr>
        <w:pStyle w:val="Style25"/>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25"/>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公司报告期未发生共同对外投资的关联交易。</w:t>
      </w:r>
    </w:p>
    <w:p>
      <w:pPr>
        <w:pStyle w:val="Style31"/>
        <w:keepNext/>
        <w:keepLines/>
        <w:widowControl w:val="0"/>
        <w:shd w:val="clear" w:color="auto" w:fill="auto"/>
        <w:tabs>
          <w:tab w:pos="378" w:val="left"/>
        </w:tabs>
        <w:bidi w:val="0"/>
        <w:spacing w:before="0" w:after="36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4</w:t>
      </w:r>
      <w:bookmarkEnd w:id="339"/>
      <w:r>
        <w:rPr>
          <w:color w:val="000000"/>
          <w:spacing w:val="0"/>
          <w:w w:val="100"/>
          <w:position w:val="0"/>
        </w:rPr>
        <w:t>、</w:t>
        <w:tab/>
        <w:t>关联债权债务往来</w:t>
      </w:r>
      <w:bookmarkEnd w:id="337"/>
      <w:bookmarkEnd w:id="338"/>
      <w:bookmarkEnd w:id="340"/>
    </w:p>
    <w:p>
      <w:pPr>
        <w:pStyle w:val="Style25"/>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25"/>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公司报告期不存在关联债权债务往来。</w:t>
      </w:r>
    </w:p>
    <w:p>
      <w:pPr>
        <w:pStyle w:val="Style31"/>
        <w:keepNext/>
        <w:keepLines/>
        <w:widowControl w:val="0"/>
        <w:shd w:val="clear" w:color="auto" w:fill="auto"/>
        <w:tabs>
          <w:tab w:pos="378" w:val="left"/>
        </w:tabs>
        <w:bidi w:val="0"/>
        <w:spacing w:before="0" w:after="36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5</w:t>
      </w:r>
      <w:bookmarkEnd w:id="343"/>
      <w:r>
        <w:rPr>
          <w:color w:val="000000"/>
          <w:spacing w:val="0"/>
          <w:w w:val="100"/>
          <w:position w:val="0"/>
        </w:rPr>
        <w:t>、</w:t>
        <w:tab/>
        <w:t>其他重大关联交易</w:t>
      </w:r>
      <w:bookmarkEnd w:id="341"/>
      <w:bookmarkEnd w:id="342"/>
      <w:bookmarkEnd w:id="344"/>
    </w:p>
    <w:p>
      <w:pPr>
        <w:pStyle w:val="Style25"/>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25"/>
        <w:keepNext w:val="0"/>
        <w:keepLines w:val="0"/>
        <w:widowControl w:val="0"/>
        <w:shd w:val="clear" w:color="auto" w:fill="auto"/>
        <w:bidi w:val="0"/>
        <w:spacing w:before="0" w:after="360" w:line="240" w:lineRule="auto"/>
        <w:ind w:left="0" w:right="0" w:firstLine="0"/>
        <w:jc w:val="both"/>
        <w:rPr>
          <w:sz w:val="19"/>
          <w:szCs w:val="19"/>
        </w:rPr>
      </w:pPr>
      <w:r>
        <w:rPr>
          <w:color w:val="000000"/>
          <w:spacing w:val="0"/>
          <w:w w:val="100"/>
          <w:position w:val="0"/>
          <w:sz w:val="19"/>
          <w:szCs w:val="19"/>
        </w:rPr>
        <w:t>公司报告期无其他重大关联交易。</w:t>
      </w:r>
    </w:p>
    <w:p>
      <w:pPr>
        <w:pStyle w:val="Style23"/>
        <w:keepNext/>
        <w:keepLines/>
        <w:widowControl w:val="0"/>
        <w:shd w:val="clear" w:color="auto" w:fill="auto"/>
        <w:bidi w:val="0"/>
        <w:spacing w:before="0" w:after="360" w:line="240" w:lineRule="auto"/>
        <w:ind w:left="0" w:right="0" w:firstLine="0"/>
        <w:jc w:val="both"/>
      </w:pPr>
      <w:bookmarkStart w:id="345" w:name="bookmark345"/>
      <w:bookmarkStart w:id="346" w:name="bookmark346"/>
      <w:bookmarkStart w:id="347" w:name="bookmark347"/>
      <w:r>
        <w:rPr>
          <w:color w:val="000000"/>
          <w:spacing w:val="0"/>
          <w:w w:val="100"/>
          <w:position w:val="0"/>
          <w:sz w:val="24"/>
          <w:szCs w:val="24"/>
        </w:rPr>
        <w:t>十七、重大合同及其履行情况</w:t>
      </w:r>
      <w:bookmarkEnd w:id="345"/>
      <w:bookmarkEnd w:id="346"/>
      <w:bookmarkEnd w:id="347"/>
    </w:p>
    <w:p>
      <w:pPr>
        <w:pStyle w:val="Style31"/>
        <w:keepNext/>
        <w:keepLines/>
        <w:widowControl w:val="0"/>
        <w:shd w:val="clear" w:color="auto" w:fill="auto"/>
        <w:bidi w:val="0"/>
        <w:spacing w:before="0" w:after="360" w:line="240" w:lineRule="auto"/>
        <w:ind w:left="0" w:right="0" w:firstLine="0"/>
        <w:jc w:val="both"/>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、托管、承包、租赁事项情况</w:t>
      </w:r>
      <w:bookmarkEnd w:id="348"/>
      <w:bookmarkEnd w:id="349"/>
      <w:bookmarkEnd w:id="351"/>
    </w:p>
    <w:p>
      <w:pPr>
        <w:pStyle w:val="Style37"/>
        <w:keepNext/>
        <w:keepLines/>
        <w:widowControl w:val="0"/>
        <w:shd w:val="clear" w:color="auto" w:fill="auto"/>
        <w:tabs>
          <w:tab w:pos="493" w:val="left"/>
        </w:tabs>
        <w:bidi w:val="0"/>
        <w:spacing w:before="0" w:line="240" w:lineRule="auto"/>
        <w:ind w:left="0" w:right="0" w:firstLine="0"/>
        <w:jc w:val="both"/>
      </w:pPr>
      <w:bookmarkStart w:id="352" w:name="bookmark352"/>
      <w:bookmarkStart w:id="353" w:name="bookmark353"/>
      <w:bookmarkStart w:id="354" w:name="bookmark354"/>
      <w:bookmarkStart w:id="355" w:name="bookmark355"/>
      <w:r>
        <w:rPr>
          <w:color w:val="000000"/>
          <w:spacing w:val="0"/>
          <w:w w:val="100"/>
          <w:position w:val="0"/>
        </w:rPr>
        <w:t>（</w:t>
      </w:r>
      <w:bookmarkEnd w:id="35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2"/>
      <w:bookmarkEnd w:id="353"/>
      <w:bookmarkEnd w:id="355"/>
    </w:p>
    <w:p>
      <w:pPr>
        <w:pStyle w:val="Style25"/>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25"/>
        <w:keepNext w:val="0"/>
        <w:keepLines w:val="0"/>
        <w:widowControl w:val="0"/>
        <w:shd w:val="clear" w:color="auto" w:fill="auto"/>
        <w:bidi w:val="0"/>
        <w:spacing w:before="0" w:after="360" w:line="240" w:lineRule="auto"/>
        <w:ind w:left="0" w:right="0" w:firstLine="0"/>
        <w:jc w:val="both"/>
        <w:rPr>
          <w:sz w:val="19"/>
          <w:szCs w:val="19"/>
        </w:rPr>
      </w:pPr>
      <w:r>
        <w:rPr>
          <w:color w:val="000000"/>
          <w:spacing w:val="0"/>
          <w:w w:val="100"/>
          <w:position w:val="0"/>
          <w:sz w:val="19"/>
          <w:szCs w:val="19"/>
        </w:rPr>
        <w:t>公司报告期不存在托管情况。</w:t>
      </w:r>
    </w:p>
    <w:p>
      <w:pPr>
        <w:pStyle w:val="Style37"/>
        <w:keepNext/>
        <w:keepLines/>
        <w:widowControl w:val="0"/>
        <w:shd w:val="clear" w:color="auto" w:fill="auto"/>
        <w:tabs>
          <w:tab w:pos="493" w:val="left"/>
        </w:tabs>
        <w:bidi w:val="0"/>
        <w:spacing w:before="0" w:line="240" w:lineRule="auto"/>
        <w:ind w:left="0" w:right="0" w:firstLine="0"/>
        <w:jc w:val="both"/>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6"/>
      <w:bookmarkEnd w:id="357"/>
      <w:bookmarkEnd w:id="359"/>
    </w:p>
    <w:p>
      <w:pPr>
        <w:pStyle w:val="Style25"/>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25"/>
        <w:keepNext w:val="0"/>
        <w:keepLines w:val="0"/>
        <w:widowControl w:val="0"/>
        <w:shd w:val="clear" w:color="auto" w:fill="auto"/>
        <w:bidi w:val="0"/>
        <w:spacing w:before="0" w:after="360" w:line="240" w:lineRule="auto"/>
        <w:ind w:left="0" w:right="0" w:firstLine="0"/>
        <w:jc w:val="both"/>
        <w:rPr>
          <w:sz w:val="19"/>
          <w:szCs w:val="19"/>
        </w:rPr>
      </w:pPr>
      <w:r>
        <w:rPr>
          <w:color w:val="000000"/>
          <w:spacing w:val="0"/>
          <w:w w:val="100"/>
          <w:position w:val="0"/>
          <w:sz w:val="19"/>
          <w:szCs w:val="19"/>
        </w:rPr>
        <w:t>公司报告期不存在承包情况。</w:t>
      </w:r>
    </w:p>
    <w:p>
      <w:pPr>
        <w:pStyle w:val="Style37"/>
        <w:keepNext/>
        <w:keepLines/>
        <w:widowControl w:val="0"/>
        <w:shd w:val="clear" w:color="auto" w:fill="auto"/>
        <w:tabs>
          <w:tab w:pos="493" w:val="left"/>
        </w:tabs>
        <w:bidi w:val="0"/>
        <w:spacing w:before="0" w:line="240" w:lineRule="auto"/>
        <w:ind w:left="0" w:right="0" w:firstLine="0"/>
        <w:jc w:val="both"/>
      </w:pPr>
      <w:bookmarkStart w:id="360" w:name="bookmark360"/>
      <w:bookmarkStart w:id="361" w:name="bookmark361"/>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0"/>
      <w:bookmarkEnd w:id="361"/>
      <w:bookmarkEnd w:id="363"/>
    </w:p>
    <w:p>
      <w:pPr>
        <w:pStyle w:val="Style25"/>
        <w:keepNext w:val="0"/>
        <w:keepLines w:val="0"/>
        <w:widowControl w:val="0"/>
        <w:shd w:val="clear" w:color="auto" w:fill="auto"/>
        <w:bidi w:val="0"/>
        <w:spacing w:before="0" w:after="36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r>
        <w:br w:type="page"/>
      </w:r>
    </w:p>
    <w:p>
      <w:pPr>
        <w:pStyle w:val="Style25"/>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公司报告期不存在租赁情况。</w:t>
      </w:r>
    </w:p>
    <w:p>
      <w:pPr>
        <w:pStyle w:val="Style31"/>
        <w:keepNext/>
        <w:keepLines/>
        <w:widowControl w:val="0"/>
        <w:shd w:val="clear" w:color="auto" w:fill="auto"/>
        <w:bidi w:val="0"/>
        <w:spacing w:before="0" w:after="36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、重大担保</w:t>
      </w:r>
      <w:bookmarkEnd w:id="364"/>
      <w:bookmarkEnd w:id="365"/>
      <w:bookmarkEnd w:id="367"/>
    </w:p>
    <w:p>
      <w:pPr>
        <w:pStyle w:val="Style25"/>
        <w:keepNext w:val="0"/>
        <w:keepLines w:val="0"/>
        <w:widowControl w:val="0"/>
        <w:shd w:val="clear" w:color="auto" w:fill="auto"/>
        <w:bidi w:val="0"/>
        <w:spacing w:before="0" w:after="36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37"/>
        <w:keepNext/>
        <w:keepLines/>
        <w:widowControl w:val="0"/>
        <w:shd w:val="clear" w:color="auto" w:fill="auto"/>
        <w:bidi w:val="0"/>
        <w:spacing w:before="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68"/>
      <w:bookmarkEnd w:id="369"/>
      <w:bookmarkEnd w:id="371"/>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718"/>
        <w:gridCol w:w="922"/>
        <w:gridCol w:w="922"/>
        <w:gridCol w:w="1301"/>
        <w:gridCol w:w="1061"/>
        <w:gridCol w:w="1037"/>
        <w:gridCol w:w="1046"/>
        <w:gridCol w:w="792"/>
        <w:gridCol w:w="792"/>
      </w:tblGrid>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天津中科金财科技有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主债务履行 期届满之日 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报告期内审批对子公司担保额度 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报告期内对子公司担保实 际发生额合计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报告期末已审批的对子公司担保 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报告期内担保实际发生额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报告期末实际担保余额合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为股东、实际控制人及其关联方提供担保的余额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的被担保对象提供的债务 担保余额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4862"/>
        <w:gridCol w:w="47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59" w:line="1" w:lineRule="exact"/>
      </w:pPr>
    </w:p>
    <w:p>
      <w:pPr>
        <w:pStyle w:val="Style37"/>
        <w:keepNext/>
        <w:keepLines/>
        <w:widowControl w:val="0"/>
        <w:shd w:val="clear" w:color="auto" w:fill="auto"/>
        <w:bidi w:val="0"/>
        <w:spacing w:before="0" w:after="100" w:line="240" w:lineRule="auto"/>
        <w:ind w:left="0" w:right="0" w:firstLine="140"/>
        <w:jc w:val="left"/>
        <w:rPr>
          <w:sz w:val="19"/>
          <w:szCs w:val="19"/>
        </w:rPr>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sz w:val="20"/>
          <w:szCs w:val="20"/>
        </w:rPr>
        <w:t>（</w:t>
      </w:r>
      <w:bookmarkEnd w:id="37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）违规对外担保情况</w:t>
      </w:r>
      <w:bookmarkEnd w:id="372"/>
      <w:bookmarkEnd w:id="373"/>
      <w:bookmarkEnd w:id="375"/>
      <w:r>
        <w:rPr>
          <w:color w:val="000000"/>
          <w:spacing w:val="0"/>
          <w:w w:val="100"/>
          <w:position w:val="0"/>
          <w:sz w:val="20"/>
          <w:szCs w:val="20"/>
        </w:rPr>
        <w:t xml:space="preserve"> </w:t>
      </w:r>
      <w:r>
        <w:rPr>
          <w:rStyle w:val="CharStyle26"/>
          <w:rFonts w:ascii="Times New Roman" w:eastAsia="Times New Roman" w:hAnsi="Times New Roman" w:cs="Times New Roman"/>
          <w:b w:val="0"/>
          <w:bCs w:val="0"/>
        </w:rPr>
        <w:t>□</w:t>
      </w:r>
      <w:r>
        <w:rPr>
          <w:rStyle w:val="CharStyle26"/>
          <w:b w:val="0"/>
          <w:bCs w:val="0"/>
          <w:sz w:val="19"/>
          <w:szCs w:val="19"/>
        </w:rPr>
        <w:t>适用</w:t>
      </w:r>
      <w:r>
        <w:rPr>
          <w:rStyle w:val="CharStyle26"/>
          <w:rFonts w:ascii="Times New Roman" w:eastAsia="Times New Roman" w:hAnsi="Times New Roman" w:cs="Times New Roman"/>
          <w:b w:val="0"/>
          <w:bCs w:val="0"/>
        </w:rPr>
        <w:t>4</w:t>
      </w:r>
      <w:r>
        <w:rPr>
          <w:rStyle w:val="CharStyle26"/>
          <w:b w:val="0"/>
          <w:bCs w:val="0"/>
          <w:sz w:val="19"/>
          <w:szCs w:val="19"/>
        </w:rPr>
        <w:t>不适用</w:t>
      </w:r>
    </w:p>
    <w:p>
      <w:pPr>
        <w:pStyle w:val="Style25"/>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公司报告期无违规对外担保情况。</w:t>
      </w:r>
    </w:p>
    <w:p>
      <w:pPr>
        <w:pStyle w:val="Style31"/>
        <w:keepNext/>
        <w:keepLines/>
        <w:widowControl w:val="0"/>
        <w:shd w:val="clear" w:color="auto" w:fill="auto"/>
        <w:bidi w:val="0"/>
        <w:spacing w:before="0" w:after="36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3</w:t>
      </w:r>
      <w:bookmarkEnd w:id="378"/>
      <w:r>
        <w:rPr>
          <w:color w:val="000000"/>
          <w:spacing w:val="0"/>
          <w:w w:val="100"/>
          <w:position w:val="0"/>
        </w:rPr>
        <w:t>、委托他人进行现金资产管理情况</w:t>
      </w:r>
      <w:bookmarkEnd w:id="376"/>
      <w:bookmarkEnd w:id="377"/>
      <w:bookmarkEnd w:id="379"/>
    </w:p>
    <w:p>
      <w:pPr>
        <w:pStyle w:val="Style37"/>
        <w:keepNext/>
        <w:keepLines/>
        <w:widowControl w:val="0"/>
        <w:shd w:val="clear" w:color="auto" w:fill="auto"/>
        <w:bidi w:val="0"/>
        <w:spacing w:before="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0"/>
      <w:bookmarkEnd w:id="381"/>
      <w:bookmarkEnd w:id="383"/>
    </w:p>
    <w:p>
      <w:pPr>
        <w:pStyle w:val="Style25"/>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报告期内委托理财概况</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877"/>
        <w:gridCol w:w="1963"/>
        <w:gridCol w:w="1978"/>
        <w:gridCol w:w="1910"/>
        <w:gridCol w:w="18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单项金额重大或安全性较低、流动性较差、不保本的高风险委托理财具体情况</w:t>
      </w:r>
    </w:p>
    <w:p>
      <w:pPr>
        <w:pStyle w:val="Style25"/>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40"/>
        <w:keepNext w:val="0"/>
        <w:keepLines w:val="0"/>
        <w:widowControl w:val="0"/>
        <w:shd w:val="clear" w:color="auto" w:fill="auto"/>
        <w:bidi w:val="0"/>
        <w:spacing w:before="0" w:after="0" w:line="240" w:lineRule="auto"/>
        <w:ind w:left="8736"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受托 机构 名称</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（或 受托 人姓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受托 机构 （或</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受托 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起始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终止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资金 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参考 年化 收益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预期 收益</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（如</w:t>
            </w:r>
          </w:p>
          <w:p>
            <w:pPr>
              <w:pStyle w:val="Style2"/>
              <w:keepNext w:val="0"/>
              <w:keepLines w:val="0"/>
              <w:widowControl w:val="0"/>
              <w:shd w:val="clear" w:color="auto" w:fill="auto"/>
              <w:bidi w:val="0"/>
              <w:spacing w:before="0" w:after="0" w:line="312" w:lineRule="exact"/>
              <w:ind w:left="0" w:right="0" w:firstLine="180"/>
              <w:jc w:val="left"/>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报告 期实 际损 益金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 期损 益实 际收 回情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计提 减值 准备 金额</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 经过 法定 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未来 是否 还有 委托 理财 计划</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事项 概述 及相 关查 询索 引（如 有）</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厦门 国际 银行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商业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 浮动收 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银行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到期 一次 还本 付息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rPr>
                <w:sz w:val="18"/>
                <w:szCs w:val="18"/>
              </w:rPr>
            </w:pPr>
            <w:r>
              <w:rPr>
                <w:color w:val="000000"/>
                <w:spacing w:val="0"/>
                <w:w w:val="100"/>
                <w:position w:val="0"/>
                <w:sz w:val="17"/>
                <w:szCs w:val="17"/>
              </w:rPr>
              <w:t xml:space="preserve">巨潮 资讯 网 </w:t>
            </w:r>
            <w:r>
              <w:rPr>
                <w:rFonts w:ascii="Times New Roman" w:eastAsia="Times New Roman" w:hAnsi="Times New Roman" w:cs="Times New Roman"/>
                <w:color w:val="000000"/>
                <w:spacing w:val="0"/>
                <w:w w:val="100"/>
                <w:position w:val="0"/>
                <w:sz w:val="18"/>
                <w:szCs w:val="18"/>
              </w:rPr>
              <w:t>http:// www. cninfo</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 n</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兴业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非保本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浮动收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到期 一次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巨潮 资讯</w:t>
            </w:r>
          </w:p>
        </w:tc>
      </w:tr>
    </w:tbl>
    <w:p>
      <w:pPr>
        <w:widowControl w:val="0"/>
        <w:spacing w:line="1" w:lineRule="exact"/>
      </w:pP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192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股份 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还本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8" w:lineRule="exact"/>
              <w:ind w:left="0" w:right="0" w:firstLine="0"/>
              <w:jc w:val="left"/>
              <w:rPr>
                <w:sz w:val="18"/>
                <w:szCs w:val="18"/>
              </w:rPr>
            </w:pPr>
            <w:r>
              <w:rPr>
                <w:color w:val="000000"/>
                <w:spacing w:val="0"/>
                <w:w w:val="100"/>
                <w:position w:val="0"/>
                <w:sz w:val="17"/>
                <w:szCs w:val="17"/>
              </w:rPr>
              <w:t xml:space="preserve">网 </w:t>
            </w:r>
            <w:r>
              <w:rPr>
                <w:rFonts w:ascii="Times New Roman" w:eastAsia="Times New Roman" w:hAnsi="Times New Roman" w:cs="Times New Roman"/>
                <w:color w:val="000000"/>
                <w:spacing w:val="0"/>
                <w:w w:val="100"/>
                <w:position w:val="0"/>
                <w:sz w:val="18"/>
                <w:szCs w:val="18"/>
              </w:rPr>
              <w:t>http:// www. cninfo</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 n</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宁波 银行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商业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非保本 浮动收 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银行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到期 一次 还本 付息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355" w:lineRule="exact"/>
        <w:ind w:left="0" w:right="0" w:firstLine="0"/>
        <w:jc w:val="distribute"/>
      </w:pPr>
      <w:r>
        <w:rPr>
          <w:color w:val="000000"/>
          <w:spacing w:val="0"/>
          <w:w w:val="100"/>
          <w:position w:val="0"/>
        </w:rPr>
        <w:t xml:space="preserve">委托理财出现预期无法收回本金或存在其他可能导致减值的情形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widowControl w:val="0"/>
        <w:spacing w:after="39" w:line="1" w:lineRule="exact"/>
      </w:pPr>
    </w:p>
    <w:p>
      <w:pPr>
        <w:pStyle w:val="Style37"/>
        <w:keepNext/>
        <w:keepLines/>
        <w:widowControl w:val="0"/>
        <w:shd w:val="clear" w:color="auto" w:fill="auto"/>
        <w:bidi w:val="0"/>
        <w:spacing w:before="0" w:line="469" w:lineRule="exact"/>
        <w:ind w:left="0" w:right="0" w:firstLine="0"/>
        <w:jc w:val="both"/>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4"/>
      <w:bookmarkEnd w:id="385"/>
      <w:bookmarkEnd w:id="387"/>
    </w:p>
    <w:p>
      <w:pPr>
        <w:pStyle w:val="Style25"/>
        <w:keepNext w:val="0"/>
        <w:keepLines w:val="0"/>
        <w:widowControl w:val="0"/>
        <w:shd w:val="clear" w:color="auto" w:fill="auto"/>
        <w:bidi w:val="0"/>
        <w:spacing w:before="0" w:after="12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公司报告期不存在委托贷款。</w:t>
      </w:r>
    </w:p>
    <w:p>
      <w:pPr>
        <w:pStyle w:val="Style31"/>
        <w:keepNext/>
        <w:keepLines/>
        <w:widowControl w:val="0"/>
        <w:shd w:val="clear" w:color="auto" w:fill="auto"/>
        <w:tabs>
          <w:tab w:pos="378" w:val="left"/>
        </w:tabs>
        <w:bidi w:val="0"/>
        <w:spacing w:before="0" w:after="120" w:line="469" w:lineRule="exact"/>
        <w:ind w:left="0" w:right="0" w:firstLine="0"/>
        <w:jc w:val="both"/>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4</w:t>
      </w:r>
      <w:bookmarkEnd w:id="390"/>
      <w:r>
        <w:rPr>
          <w:color w:val="000000"/>
          <w:spacing w:val="0"/>
          <w:w w:val="100"/>
          <w:position w:val="0"/>
        </w:rPr>
        <w:t>、</w:t>
        <w:tab/>
        <w:t>日常经营重大合同</w:t>
      </w:r>
      <w:bookmarkEnd w:id="388"/>
      <w:bookmarkEnd w:id="389"/>
      <w:bookmarkEnd w:id="391"/>
    </w:p>
    <w:p>
      <w:pPr>
        <w:pStyle w:val="Style25"/>
        <w:keepNext w:val="0"/>
        <w:keepLines w:val="0"/>
        <w:widowControl w:val="0"/>
        <w:shd w:val="clear" w:color="auto" w:fill="auto"/>
        <w:bidi w:val="0"/>
        <w:spacing w:before="0" w:after="120" w:line="469" w:lineRule="exact"/>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31"/>
        <w:keepNext/>
        <w:keepLines/>
        <w:widowControl w:val="0"/>
        <w:shd w:val="clear" w:color="auto" w:fill="auto"/>
        <w:tabs>
          <w:tab w:pos="378" w:val="left"/>
        </w:tabs>
        <w:bidi w:val="0"/>
        <w:spacing w:before="0" w:after="360" w:line="469" w:lineRule="exact"/>
        <w:ind w:left="0" w:right="0" w:firstLine="0"/>
        <w:jc w:val="both"/>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5</w:t>
      </w:r>
      <w:bookmarkEnd w:id="394"/>
      <w:r>
        <w:rPr>
          <w:color w:val="000000"/>
          <w:spacing w:val="0"/>
          <w:w w:val="100"/>
          <w:position w:val="0"/>
        </w:rPr>
        <w:t>、</w:t>
        <w:tab/>
        <w:t>其他重大合同</w:t>
      </w:r>
      <w:bookmarkEnd w:id="392"/>
      <w:bookmarkEnd w:id="393"/>
      <w:bookmarkEnd w:id="395"/>
    </w:p>
    <w:p>
      <w:pPr>
        <w:pStyle w:val="Style25"/>
        <w:keepNext w:val="0"/>
        <w:keepLines w:val="0"/>
        <w:widowControl w:val="0"/>
        <w:shd w:val="clear" w:color="auto" w:fill="auto"/>
        <w:bidi w:val="0"/>
        <w:spacing w:before="0" w:after="12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360" w:line="240" w:lineRule="auto"/>
        <w:ind w:left="0" w:right="0" w:firstLine="0"/>
        <w:jc w:val="both"/>
        <w:rPr>
          <w:sz w:val="19"/>
          <w:szCs w:val="19"/>
        </w:rPr>
      </w:pPr>
      <w:r>
        <w:rPr>
          <w:color w:val="000000"/>
          <w:spacing w:val="0"/>
          <w:w w:val="100"/>
          <w:position w:val="0"/>
          <w:sz w:val="19"/>
          <w:szCs w:val="19"/>
        </w:rPr>
        <w:t>公司报告期不存在其他重大合同。</w:t>
      </w:r>
    </w:p>
    <w:p>
      <w:pPr>
        <w:pStyle w:val="Style23"/>
        <w:keepNext/>
        <w:keepLines/>
        <w:widowControl w:val="0"/>
        <w:shd w:val="clear" w:color="auto" w:fill="auto"/>
        <w:bidi w:val="0"/>
        <w:spacing w:before="0" w:after="120" w:line="240" w:lineRule="auto"/>
        <w:ind w:left="0" w:right="0" w:firstLine="0"/>
        <w:jc w:val="both"/>
      </w:pPr>
      <w:bookmarkStart w:id="396" w:name="bookmark396"/>
      <w:bookmarkStart w:id="397" w:name="bookmark397"/>
      <w:bookmarkStart w:id="398" w:name="bookmark398"/>
      <w:r>
        <w:rPr>
          <w:color w:val="000000"/>
          <w:spacing w:val="0"/>
          <w:w w:val="100"/>
          <w:position w:val="0"/>
          <w:sz w:val="24"/>
          <w:szCs w:val="24"/>
        </w:rPr>
        <w:t>十八、社会责任情况</w:t>
      </w:r>
      <w:bookmarkEnd w:id="396"/>
      <w:bookmarkEnd w:id="397"/>
      <w:bookmarkEnd w:id="398"/>
    </w:p>
    <w:p>
      <w:pPr>
        <w:pStyle w:val="Style31"/>
        <w:keepNext/>
        <w:keepLines/>
        <w:widowControl w:val="0"/>
        <w:shd w:val="clear" w:color="auto" w:fill="auto"/>
        <w:bidi w:val="0"/>
        <w:spacing w:before="0" w:after="200" w:line="469" w:lineRule="exact"/>
        <w:ind w:left="0" w:right="0" w:firstLine="0"/>
        <w:jc w:val="both"/>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1</w:t>
      </w:r>
      <w:bookmarkEnd w:id="401"/>
      <w:r>
        <w:rPr>
          <w:color w:val="000000"/>
          <w:spacing w:val="0"/>
          <w:w w:val="100"/>
          <w:position w:val="0"/>
        </w:rPr>
        <w:t>、履行社会责任情况</w:t>
      </w:r>
      <w:bookmarkEnd w:id="399"/>
      <w:bookmarkEnd w:id="400"/>
      <w:bookmarkEnd w:id="402"/>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公司在努力做好各项业务的同时，积极主动履行社会责任，具体如下：</w:t>
      </w:r>
    </w:p>
    <w:p>
      <w:pPr>
        <w:pStyle w:val="Style25"/>
        <w:keepNext w:val="0"/>
        <w:keepLines w:val="0"/>
        <w:widowControl w:val="0"/>
        <w:shd w:val="clear" w:color="auto" w:fill="auto"/>
        <w:bidi w:val="0"/>
        <w:spacing w:before="0" w:after="0" w:line="469" w:lineRule="exact"/>
        <w:ind w:left="0" w:right="0" w:firstLine="440"/>
        <w:jc w:val="both"/>
      </w:pPr>
      <w:bookmarkStart w:id="403" w:name="bookmark403"/>
      <w:r>
        <w:rPr>
          <w:color w:val="000000"/>
          <w:spacing w:val="0"/>
          <w:w w:val="100"/>
          <w:position w:val="0"/>
        </w:rPr>
        <w:t>（</w:t>
      </w:r>
      <w:bookmarkEnd w:id="403"/>
      <w:r>
        <w:rPr>
          <w:color w:val="000000"/>
          <w:spacing w:val="0"/>
          <w:w w:val="100"/>
          <w:position w:val="0"/>
        </w:rPr>
        <w:t>一）股东与债权人的权益保护</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公司严格按照《公司法》、《证券法》、《上市公司治理准则》等法律法规要求，不断完善公司治理, 制定了《股东大会议事规则》、《董事会议事规则》、《监事会议事规则》、《对外投资管理制度》、《关 联交易决策制度》等制度，建立了以《公司章程》为基础的内控体系，以股东大会、董事会、监事会及管 理层为主的决策与经营体系，从制度上切实保障全体股东及债权人的权益。</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公司自成立以来，一直努力确保公司发展的持续性、成长性和竞争力，依法经营，稳步推进公司业务, </w:t>
      </w:r>
      <w:r>
        <w:rPr>
          <w:color w:val="000000"/>
          <w:spacing w:val="0"/>
          <w:w w:val="100"/>
          <w:position w:val="0"/>
        </w:rPr>
        <w:t>逐步巩固和深化在金融机构、企业、政府等行业客户中的市场领先地位，本着诚信勤勉、尽职守责的原则， 努力经营，规范运作，努力实现资产、所有者权益和营业总收入的稳定增长，为投资者创造稳定的回报。</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在保护股东权益方面，</w:t>
      </w:r>
      <w:r>
        <w:rPr>
          <w:rFonts w:ascii="Times New Roman" w:eastAsia="Times New Roman" w:hAnsi="Times New Roman" w:cs="Times New Roman"/>
          <w:color w:val="000000"/>
          <w:spacing w:val="0"/>
          <w:w w:val="100"/>
          <w:position w:val="0"/>
        </w:rPr>
        <w:t>2020</w:t>
      </w:r>
      <w:r>
        <w:rPr>
          <w:color w:val="000000"/>
          <w:spacing w:val="0"/>
          <w:w w:val="100"/>
          <w:position w:val="0"/>
        </w:rPr>
        <w:t>年公司召开了两次股东大会，大会的召集、召开、表决程序均合法有效， 符合《公司章程》及《股东大会议事规则》的规定，确保了股东对公司重大事项的知情权、参与权和表决 权。信息披露方面，公司严格按照深圳证券交易所《股票上市规则》及《规范运作指引》的要求开展工作, 所有达到信息披露标准的事项公司均进行了公告，不存在应披露而未披露的信息。与此同时，公司积极开 展与投资者的沟通交流工作，</w:t>
      </w:r>
      <w:r>
        <w:rPr>
          <w:rFonts w:ascii="Times New Roman" w:eastAsia="Times New Roman" w:hAnsi="Times New Roman" w:cs="Times New Roman"/>
          <w:color w:val="000000"/>
          <w:spacing w:val="0"/>
          <w:w w:val="100"/>
          <w:position w:val="0"/>
        </w:rPr>
        <w:t>2020</w:t>
      </w:r>
      <w:r>
        <w:rPr>
          <w:color w:val="000000"/>
          <w:spacing w:val="0"/>
          <w:w w:val="100"/>
          <w:position w:val="0"/>
        </w:rPr>
        <w:t>年通过业绩说明会、电话交流、投资者互动平台等方式，搭建了与投资 者沟通的桥梁，增进了投资者对公司价值的了解。</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公司高度重视债权人合法权益的保护，制订了严格的经营管理制度和风险控制措施，确保公司财务稳 健与公司资产、资金安全，公司严格按照与债权人签订的合同履行债务，积极保护债权人的权益。</w:t>
      </w:r>
    </w:p>
    <w:p>
      <w:pPr>
        <w:pStyle w:val="Style25"/>
        <w:keepNext w:val="0"/>
        <w:keepLines w:val="0"/>
        <w:widowControl w:val="0"/>
        <w:shd w:val="clear" w:color="auto" w:fill="auto"/>
        <w:tabs>
          <w:tab w:pos="974" w:val="left"/>
        </w:tabs>
        <w:bidi w:val="0"/>
        <w:spacing w:before="0" w:after="0" w:line="468" w:lineRule="exact"/>
        <w:ind w:left="0" w:right="0" w:firstLine="440"/>
        <w:jc w:val="both"/>
      </w:pPr>
      <w:bookmarkStart w:id="404" w:name="bookmark404"/>
      <w:r>
        <w:rPr>
          <w:color w:val="000000"/>
          <w:spacing w:val="0"/>
          <w:w w:val="100"/>
          <w:position w:val="0"/>
        </w:rPr>
        <w:t>（</w:t>
      </w:r>
      <w:bookmarkEnd w:id="404"/>
      <w:r>
        <w:rPr>
          <w:color w:val="000000"/>
          <w:spacing w:val="0"/>
          <w:w w:val="100"/>
          <w:position w:val="0"/>
        </w:rPr>
        <w:t>二）</w:t>
        <w:tab/>
        <w:t>与供应商和客户精诚合作</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公司相关商品和服务的采购，均严格选择在工商部门登记注册、合法纳税并具备与所采购规模相匹配 的生产服务能力的供应商，合法签订合同，实行互惠共赢，确保企业产品、服务的质量信誉与消费者安全。</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为了提高客户满意度，公司不断提高公司产品、服务的质量及研发水平，获得了相关的专利权证书和 计算机软件著作权证书，并拥有包括计算机信息系统集成及服务一级资质、</w:t>
      </w:r>
      <w:r>
        <w:rPr>
          <w:rFonts w:ascii="Times New Roman" w:eastAsia="Times New Roman" w:hAnsi="Times New Roman" w:cs="Times New Roman"/>
          <w:color w:val="000000"/>
          <w:spacing w:val="0"/>
          <w:w w:val="100"/>
          <w:position w:val="0"/>
        </w:rPr>
        <w:t>ITSS</w:t>
      </w:r>
      <w:r>
        <w:rPr>
          <w:color w:val="000000"/>
          <w:spacing w:val="0"/>
          <w:w w:val="100"/>
          <w:position w:val="0"/>
        </w:rPr>
        <w:t>信息技术服务运行维护能 力成熟度一级证书、安防工程企业一级资质、音视频智能系统集成工程资质证书（一级）、信息安全服务 资质证书（安全工程一级）、电信与信息服务业务经营许可证、</w:t>
      </w:r>
      <w:r>
        <w:rPr>
          <w:rFonts w:ascii="Times New Roman" w:eastAsia="Times New Roman" w:hAnsi="Times New Roman" w:cs="Times New Roman"/>
          <w:color w:val="000000"/>
          <w:spacing w:val="0"/>
          <w:w w:val="100"/>
          <w:position w:val="0"/>
        </w:rPr>
        <w:t>IS020000</w:t>
      </w:r>
      <w:r>
        <w:rPr>
          <w:color w:val="000000"/>
          <w:spacing w:val="0"/>
          <w:w w:val="100"/>
          <w:position w:val="0"/>
        </w:rPr>
        <w:t>服务管理体系认证、</w:t>
      </w:r>
      <w:r>
        <w:rPr>
          <w:rFonts w:ascii="Times New Roman" w:eastAsia="Times New Roman" w:hAnsi="Times New Roman" w:cs="Times New Roman"/>
          <w:color w:val="000000"/>
          <w:spacing w:val="0"/>
          <w:w w:val="100"/>
          <w:position w:val="0"/>
        </w:rPr>
        <w:t xml:space="preserve">IS027001 </w:t>
      </w:r>
      <w:r>
        <w:rPr>
          <w:color w:val="000000"/>
          <w:spacing w:val="0"/>
          <w:w w:val="100"/>
          <w:position w:val="0"/>
        </w:rPr>
        <w:t>信息安全管理体系认证、</w:t>
      </w:r>
      <w:r>
        <w:rPr>
          <w:rFonts w:ascii="Times New Roman" w:eastAsia="Times New Roman" w:hAnsi="Times New Roman" w:cs="Times New Roman"/>
          <w:color w:val="000000"/>
          <w:spacing w:val="0"/>
          <w:w w:val="100"/>
          <w:position w:val="0"/>
        </w:rPr>
        <w:t>IS09001</w:t>
      </w:r>
      <w:r>
        <w:rPr>
          <w:color w:val="000000"/>
          <w:spacing w:val="0"/>
          <w:w w:val="100"/>
          <w:position w:val="0"/>
        </w:rPr>
        <w:t>质量管理体系认证、</w:t>
      </w:r>
      <w:r>
        <w:rPr>
          <w:rFonts w:ascii="Times New Roman" w:eastAsia="Times New Roman" w:hAnsi="Times New Roman" w:cs="Times New Roman"/>
          <w:color w:val="000000"/>
          <w:spacing w:val="0"/>
          <w:w w:val="100"/>
          <w:position w:val="0"/>
        </w:rPr>
        <w:t>IS014001</w:t>
      </w:r>
      <w:r>
        <w:rPr>
          <w:color w:val="000000"/>
          <w:spacing w:val="0"/>
          <w:w w:val="100"/>
          <w:position w:val="0"/>
        </w:rPr>
        <w:t>环境管理体系认证、</w:t>
      </w:r>
      <w:r>
        <w:rPr>
          <w:rFonts w:ascii="Times New Roman" w:eastAsia="Times New Roman" w:hAnsi="Times New Roman" w:cs="Times New Roman"/>
          <w:color w:val="000000"/>
          <w:spacing w:val="0"/>
          <w:w w:val="100"/>
          <w:position w:val="0"/>
        </w:rPr>
        <w:t>IS045001</w:t>
      </w:r>
      <w:r>
        <w:rPr>
          <w:color w:val="000000"/>
          <w:spacing w:val="0"/>
          <w:w w:val="100"/>
          <w:position w:val="0"/>
        </w:rPr>
        <w:t>职业健康管 理体系认证、软件能力成熟度模型</w:t>
      </w:r>
      <w:r>
        <w:rPr>
          <w:rFonts w:ascii="Times New Roman" w:eastAsia="Times New Roman" w:hAnsi="Times New Roman" w:cs="Times New Roman"/>
          <w:color w:val="000000"/>
          <w:spacing w:val="0"/>
          <w:w w:val="100"/>
          <w:position w:val="0"/>
        </w:rPr>
        <w:t>CMMI</w:t>
      </w:r>
      <w:r>
        <w:rPr>
          <w:color w:val="000000"/>
          <w:spacing w:val="0"/>
          <w:w w:val="100"/>
          <w:position w:val="0"/>
        </w:rPr>
        <w:t>三级认证、</w:t>
      </w:r>
      <w:r>
        <w:rPr>
          <w:rFonts w:ascii="Times New Roman" w:eastAsia="Times New Roman" w:hAnsi="Times New Roman" w:cs="Times New Roman"/>
          <w:color w:val="000000"/>
          <w:spacing w:val="0"/>
          <w:w w:val="100"/>
          <w:position w:val="0"/>
        </w:rPr>
        <w:t>AAA</w:t>
      </w:r>
      <w:r>
        <w:rPr>
          <w:color w:val="000000"/>
          <w:spacing w:val="0"/>
          <w:w w:val="100"/>
          <w:position w:val="0"/>
        </w:rPr>
        <w:t>级重合同守信用单位等各种资质，为客户提供优 质的产品及服务，并不断提高公司行业声誉。</w:t>
      </w:r>
    </w:p>
    <w:p>
      <w:pPr>
        <w:pStyle w:val="Style25"/>
        <w:keepNext w:val="0"/>
        <w:keepLines w:val="0"/>
        <w:widowControl w:val="0"/>
        <w:shd w:val="clear" w:color="auto" w:fill="auto"/>
        <w:tabs>
          <w:tab w:pos="974" w:val="left"/>
        </w:tabs>
        <w:bidi w:val="0"/>
        <w:spacing w:before="0" w:after="0" w:line="468" w:lineRule="exact"/>
        <w:ind w:left="0" w:right="0" w:firstLine="440"/>
        <w:jc w:val="both"/>
      </w:pPr>
      <w:bookmarkStart w:id="405" w:name="bookmark405"/>
      <w:r>
        <w:rPr>
          <w:color w:val="000000"/>
          <w:spacing w:val="0"/>
          <w:w w:val="100"/>
          <w:position w:val="0"/>
        </w:rPr>
        <w:t>（</w:t>
      </w:r>
      <w:bookmarkEnd w:id="405"/>
      <w:r>
        <w:rPr>
          <w:color w:val="000000"/>
          <w:spacing w:val="0"/>
          <w:w w:val="100"/>
          <w:position w:val="0"/>
        </w:rPr>
        <w:t>三）</w:t>
        <w:tab/>
        <w:t>重视员工权益和个人发展</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公司始终视人才为公司最重要的战略资源，是公司核心的生产要素。近年来在公司推行并不断升级</w:t>
      </w:r>
      <w:r>
        <w:rPr>
          <w:rFonts w:ascii="Times New Roman" w:eastAsia="Times New Roman" w:hAnsi="Times New Roman" w:cs="Times New Roman"/>
          <w:color w:val="000000"/>
          <w:spacing w:val="0"/>
          <w:w w:val="100"/>
          <w:position w:val="0"/>
        </w:rPr>
        <w:t>“</w:t>
      </w:r>
      <w:r>
        <w:rPr>
          <w:color w:val="000000"/>
          <w:spacing w:val="0"/>
          <w:w w:val="100"/>
          <w:position w:val="0"/>
        </w:rPr>
        <w:t>中 科金财多层级合伙人经营责任制</w:t>
      </w:r>
      <w:r>
        <w:rPr>
          <w:color w:val="000000"/>
          <w:spacing w:val="0"/>
          <w:w w:val="100"/>
          <w:position w:val="0"/>
        </w:rPr>
        <w:t>''，</w:t>
      </w:r>
      <w:r>
        <w:rPr>
          <w:color w:val="000000"/>
          <w:spacing w:val="0"/>
          <w:w w:val="100"/>
          <w:position w:val="0"/>
        </w:rPr>
        <w:t>将公司划分为独立经营单元，通过建立与市场直接联系的独立核算制 进行运营，调动员工参与经营管理，从而实现全员参与的经营模式。中科金财多层级合伙人经营责任制注 重发现及培养经营人才，强调以客户为中心、全局观及组织协同性，打破了传统企业部门间的隔阂，有效 调动员工参与经营管理的自主性和积极性，极大提升了员工的经营热情及主人翁意识。在实际经营过程中 各经营单元体现出极强的经营智慧与合作意识，大大降低了沟通成本、交易成本、营销成本及运营成本， 操作风险大幅降低，劳动生产率大幅提高，同时吸引了大量的各领域精英加盟中科金财。</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公司一直非常注重提高员工的个人能力，通过各种培训及讲座提高员工业务能力和管理水平。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公司组织了包括新员工入职培训、在职员工业务培训、管理人员业务培训、管理能力提升培训及其他单场 </w:t>
      </w:r>
      <w:r>
        <w:rPr>
          <w:color w:val="000000"/>
          <w:spacing w:val="0"/>
          <w:w w:val="100"/>
          <w:position w:val="0"/>
        </w:rPr>
        <w:t>讲座等多层次培训，事前通过调查员工需求，寻求各种培训资源和渠道，来提高培训的有效性和效率，这 些培训充分调动了员工学习积极性，既能促进公司整体战略目标的实施，又能满足员工个人能力和职业发 展的需求，实现企业和员工的共同进步，共同发展。</w:t>
      </w:r>
    </w:p>
    <w:p>
      <w:pPr>
        <w:pStyle w:val="Style25"/>
        <w:keepNext w:val="0"/>
        <w:keepLines w:val="0"/>
        <w:widowControl w:val="0"/>
        <w:shd w:val="clear" w:color="auto" w:fill="auto"/>
        <w:bidi w:val="0"/>
        <w:spacing w:before="0" w:after="46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年，公司将继续努力提升公司竞争能力和经营业绩，保障股东利益，维护债权人的权益，与供应 商和客户精诚合作，促进员工发展与成长，深入切实地履行企业的社会责任，实现商业利益与社会责任的 和谐共赢。</w:t>
      </w:r>
    </w:p>
    <w:p>
      <w:pPr>
        <w:pStyle w:val="Style31"/>
        <w:keepNext/>
        <w:keepLines/>
        <w:widowControl w:val="0"/>
        <w:shd w:val="clear" w:color="auto" w:fill="auto"/>
        <w:tabs>
          <w:tab w:pos="378" w:val="left"/>
        </w:tabs>
        <w:bidi w:val="0"/>
        <w:spacing w:before="0" w:after="0" w:line="492" w:lineRule="auto"/>
        <w:ind w:left="0" w:right="0" w:firstLine="0"/>
        <w:jc w:val="both"/>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2</w:t>
      </w:r>
      <w:bookmarkEnd w:id="408"/>
      <w:r>
        <w:rPr>
          <w:color w:val="000000"/>
          <w:spacing w:val="0"/>
          <w:w w:val="100"/>
          <w:position w:val="0"/>
        </w:rPr>
        <w:t>、</w:t>
        <w:tab/>
        <w:t>履行精准扶贫社会责任情况</w:t>
      </w:r>
      <w:bookmarkEnd w:id="406"/>
      <w:bookmarkEnd w:id="407"/>
      <w:bookmarkEnd w:id="409"/>
    </w:p>
    <w:p>
      <w:pPr>
        <w:pStyle w:val="Style25"/>
        <w:keepNext w:val="0"/>
        <w:keepLines w:val="0"/>
        <w:widowControl w:val="0"/>
        <w:shd w:val="clear" w:color="auto" w:fill="auto"/>
        <w:bidi w:val="0"/>
        <w:spacing w:before="0" w:after="360" w:line="470" w:lineRule="exact"/>
        <w:ind w:left="0" w:right="0" w:firstLine="0"/>
        <w:jc w:val="both"/>
        <w:rPr>
          <w:sz w:val="19"/>
          <w:szCs w:val="19"/>
        </w:rPr>
      </w:pPr>
      <w:r>
        <w:rPr>
          <w:color w:val="000000"/>
          <w:spacing w:val="0"/>
          <w:w w:val="100"/>
          <w:position w:val="0"/>
          <w:sz w:val="19"/>
          <w:szCs w:val="19"/>
        </w:rPr>
        <w:t>公司报告年度暂未开展精准扶贫工作，也暂无后续精准扶贫计划。</w:t>
      </w:r>
    </w:p>
    <w:p>
      <w:pPr>
        <w:pStyle w:val="Style31"/>
        <w:keepNext/>
        <w:keepLines/>
        <w:widowControl w:val="0"/>
        <w:shd w:val="clear" w:color="auto" w:fill="auto"/>
        <w:tabs>
          <w:tab w:pos="378" w:val="left"/>
        </w:tabs>
        <w:bidi w:val="0"/>
        <w:spacing w:before="0" w:after="120" w:line="492" w:lineRule="auto"/>
        <w:ind w:left="0" w:right="0" w:firstLine="0"/>
        <w:jc w:val="both"/>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3</w:t>
      </w:r>
      <w:bookmarkEnd w:id="412"/>
      <w:r>
        <w:rPr>
          <w:color w:val="000000"/>
          <w:spacing w:val="0"/>
          <w:w w:val="100"/>
          <w:position w:val="0"/>
        </w:rPr>
        <w:t>、</w:t>
        <w:tab/>
        <w:t>环境保护相关的情况</w:t>
      </w:r>
      <w:bookmarkEnd w:id="410"/>
      <w:bookmarkEnd w:id="411"/>
      <w:bookmarkEnd w:id="413"/>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上市公司及其子公司是否属于环境保护部门公布的重点排污单位</w:t>
      </w:r>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20"/>
          <w:szCs w:val="20"/>
        </w:rPr>
        <w:t>口</w:t>
      </w:r>
      <w:r>
        <w:rPr>
          <w:color w:val="000000"/>
          <w:spacing w:val="0"/>
          <w:w w:val="100"/>
          <w:position w:val="0"/>
          <w:sz w:val="19"/>
          <w:szCs w:val="19"/>
        </w:rPr>
        <w:t>是</w:t>
      </w:r>
      <w:r>
        <w:rPr>
          <w:color w:val="000000"/>
          <w:spacing w:val="0"/>
          <w:w w:val="100"/>
          <w:position w:val="0"/>
          <w:sz w:val="20"/>
          <w:szCs w:val="20"/>
        </w:rPr>
        <w:t>寸</w:t>
      </w:r>
      <w:r>
        <w:rPr>
          <w:color w:val="000000"/>
          <w:spacing w:val="0"/>
          <w:w w:val="100"/>
          <w:position w:val="0"/>
          <w:sz w:val="19"/>
          <w:szCs w:val="19"/>
        </w:rPr>
        <w:t>否</w:t>
      </w:r>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否</w:t>
      </w:r>
    </w:p>
    <w:p>
      <w:pPr>
        <w:pStyle w:val="Style25"/>
        <w:keepNext w:val="0"/>
        <w:keepLines w:val="0"/>
        <w:widowControl w:val="0"/>
        <w:shd w:val="clear" w:color="auto" w:fill="auto"/>
        <w:bidi w:val="0"/>
        <w:spacing w:before="0" w:after="660" w:line="240" w:lineRule="auto"/>
        <w:ind w:left="0" w:right="0" w:firstLine="0"/>
        <w:jc w:val="both"/>
      </w:pPr>
      <w:r>
        <w:rPr>
          <w:color w:val="000000"/>
          <w:spacing w:val="0"/>
          <w:w w:val="100"/>
          <w:position w:val="0"/>
        </w:rPr>
        <w:t>公司及子公司不属于环境保护部门公布的重点排污单位。</w:t>
      </w:r>
    </w:p>
    <w:p>
      <w:pPr>
        <w:pStyle w:val="Style23"/>
        <w:keepNext/>
        <w:keepLines/>
        <w:widowControl w:val="0"/>
        <w:shd w:val="clear" w:color="auto" w:fill="auto"/>
        <w:bidi w:val="0"/>
        <w:spacing w:before="0" w:after="360" w:line="240" w:lineRule="auto"/>
        <w:ind w:left="0" w:right="0" w:firstLine="0"/>
        <w:jc w:val="both"/>
      </w:pPr>
      <w:bookmarkStart w:id="414" w:name="bookmark414"/>
      <w:bookmarkStart w:id="415" w:name="bookmark415"/>
      <w:bookmarkStart w:id="416" w:name="bookmark416"/>
      <w:r>
        <w:rPr>
          <w:color w:val="000000"/>
          <w:spacing w:val="0"/>
          <w:w w:val="100"/>
          <w:position w:val="0"/>
          <w:sz w:val="24"/>
          <w:szCs w:val="24"/>
        </w:rPr>
        <w:t>十九、其他重大事项的说明</w:t>
      </w:r>
      <w:bookmarkEnd w:id="414"/>
      <w:bookmarkEnd w:id="415"/>
      <w:bookmarkEnd w:id="416"/>
    </w:p>
    <w:p>
      <w:pPr>
        <w:pStyle w:val="Style25"/>
        <w:keepNext w:val="0"/>
        <w:keepLines w:val="0"/>
        <w:widowControl w:val="0"/>
        <w:shd w:val="clear" w:color="auto" w:fill="auto"/>
        <w:bidi w:val="0"/>
        <w:spacing w:before="0" w:after="12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25"/>
        <w:keepNext w:val="0"/>
        <w:keepLines w:val="0"/>
        <w:widowControl w:val="0"/>
        <w:shd w:val="clear" w:color="auto" w:fill="auto"/>
        <w:bidi w:val="0"/>
        <w:spacing w:before="0" w:after="360" w:line="240" w:lineRule="auto"/>
        <w:ind w:left="0" w:right="0" w:firstLine="0"/>
        <w:jc w:val="both"/>
        <w:rPr>
          <w:sz w:val="19"/>
          <w:szCs w:val="19"/>
        </w:rPr>
      </w:pPr>
      <w:r>
        <w:rPr>
          <w:color w:val="000000"/>
          <w:spacing w:val="0"/>
          <w:w w:val="100"/>
          <w:position w:val="0"/>
          <w:sz w:val="19"/>
          <w:szCs w:val="19"/>
        </w:rPr>
        <w:t>公司报告期不存在需要说明的其他重大事项。</w:t>
      </w:r>
    </w:p>
    <w:p>
      <w:pPr>
        <w:pStyle w:val="Style23"/>
        <w:keepNext/>
        <w:keepLines/>
        <w:widowControl w:val="0"/>
        <w:shd w:val="clear" w:color="auto" w:fill="auto"/>
        <w:bidi w:val="0"/>
        <w:spacing w:before="0" w:after="360" w:line="240" w:lineRule="auto"/>
        <w:ind w:left="0" w:right="0" w:firstLine="0"/>
        <w:jc w:val="both"/>
      </w:pPr>
      <w:bookmarkStart w:id="417" w:name="bookmark417"/>
      <w:bookmarkStart w:id="418" w:name="bookmark418"/>
      <w:bookmarkStart w:id="419" w:name="bookmark419"/>
      <w:r>
        <w:rPr>
          <w:color w:val="000000"/>
          <w:spacing w:val="0"/>
          <w:w w:val="100"/>
          <w:position w:val="0"/>
          <w:sz w:val="24"/>
          <w:szCs w:val="24"/>
        </w:rPr>
        <w:t>二十、公司子公司重大事项</w:t>
      </w:r>
      <w:bookmarkEnd w:id="417"/>
      <w:bookmarkEnd w:id="418"/>
      <w:bookmarkEnd w:id="419"/>
    </w:p>
    <w:p>
      <w:pPr>
        <w:pStyle w:val="Style25"/>
        <w:keepNext w:val="0"/>
        <w:keepLines w:val="0"/>
        <w:widowControl w:val="0"/>
        <w:shd w:val="clear" w:color="auto" w:fill="auto"/>
        <w:bidi w:val="0"/>
        <w:spacing w:before="0" w:after="360" w:line="492"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r>
        <w:br w:type="page"/>
      </w:r>
    </w:p>
    <w:p>
      <w:pPr>
        <w:pStyle w:val="Style13"/>
        <w:keepNext/>
        <w:keepLines/>
        <w:widowControl w:val="0"/>
        <w:shd w:val="clear" w:color="auto" w:fill="auto"/>
        <w:bidi w:val="0"/>
        <w:spacing w:before="0" w:line="240" w:lineRule="auto"/>
        <w:ind w:left="0" w:right="0" w:firstLine="0"/>
        <w:jc w:val="center"/>
      </w:pPr>
      <w:bookmarkStart w:id="420" w:name="bookmark420"/>
      <w:bookmarkStart w:id="421" w:name="bookmark421"/>
      <w:bookmarkStart w:id="422" w:name="bookmark422"/>
      <w:r>
        <w:rPr>
          <w:color w:val="000000"/>
          <w:spacing w:val="0"/>
          <w:w w:val="100"/>
          <w:position w:val="0"/>
        </w:rPr>
        <w:t>第六节股份变动及股东情况</w:t>
      </w:r>
      <w:bookmarkEnd w:id="420"/>
      <w:bookmarkEnd w:id="421"/>
      <w:bookmarkEnd w:id="422"/>
    </w:p>
    <w:p>
      <w:pPr>
        <w:pStyle w:val="Style23"/>
        <w:keepNext/>
        <w:keepLines/>
        <w:widowControl w:val="0"/>
        <w:shd w:val="clear" w:color="auto" w:fill="auto"/>
        <w:bidi w:val="0"/>
        <w:spacing w:before="0" w:after="36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sz w:val="24"/>
          <w:szCs w:val="24"/>
        </w:rPr>
        <w:t>一</w:t>
      </w:r>
      <w:bookmarkEnd w:id="425"/>
      <w:r>
        <w:rPr>
          <w:color w:val="000000"/>
          <w:spacing w:val="0"/>
          <w:w w:val="100"/>
          <w:position w:val="0"/>
          <w:sz w:val="24"/>
          <w:szCs w:val="24"/>
        </w:rPr>
        <w:t>、股份变动情况</w:t>
      </w:r>
      <w:bookmarkEnd w:id="423"/>
      <w:bookmarkEnd w:id="424"/>
      <w:bookmarkEnd w:id="426"/>
    </w:p>
    <w:p>
      <w:pPr>
        <w:pStyle w:val="Style31"/>
        <w:keepNext/>
        <w:keepLines/>
        <w:widowControl w:val="0"/>
        <w:shd w:val="clear" w:color="auto" w:fill="auto"/>
        <w:bidi w:val="0"/>
        <w:spacing w:before="0" w:after="36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、股份变动情况</w:t>
      </w:r>
      <w:bookmarkEnd w:id="427"/>
      <w:bookmarkEnd w:id="428"/>
      <w:bookmarkEnd w:id="430"/>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公积金转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52,410,25</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-12,157,4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40,252,76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52,410,25</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-12,157,4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40,252,76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52,410,25</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-12,157,4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40,252,76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285,166,4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12,157,49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12,157,49</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297,323,9</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285,166,4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12,157,49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12,157,49</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297,323,9</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337,576,6</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337,576,6</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股份变动的原因</w:t>
      </w:r>
    </w:p>
    <w:p>
      <w:pPr>
        <w:pStyle w:val="Style25"/>
        <w:keepNext w:val="0"/>
        <w:keepLines w:val="0"/>
        <w:widowControl w:val="0"/>
        <w:shd w:val="clear" w:color="auto" w:fill="auto"/>
        <w:bidi w:val="0"/>
        <w:spacing w:before="0" w:after="1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25"/>
        <w:keepNext w:val="0"/>
        <w:keepLines w:val="0"/>
        <w:widowControl w:val="0"/>
        <w:shd w:val="clear" w:color="auto" w:fill="auto"/>
        <w:bidi w:val="0"/>
        <w:spacing w:before="0" w:after="180" w:line="240" w:lineRule="auto"/>
        <w:ind w:left="0" w:right="0" w:firstLine="0"/>
        <w:jc w:val="left"/>
        <w:rPr>
          <w:sz w:val="19"/>
          <w:szCs w:val="19"/>
        </w:rPr>
      </w:pPr>
      <w:r>
        <w:rPr>
          <w:color w:val="000000"/>
          <w:spacing w:val="0"/>
          <w:w w:val="100"/>
          <w:position w:val="0"/>
          <w:sz w:val="19"/>
          <w:szCs w:val="19"/>
        </w:rPr>
        <w:t>公司董事于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月任期届满不再担任董事，截至报告期末已满</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个月。</w:t>
      </w: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股份变动的批准情况</w:t>
      </w:r>
    </w:p>
    <w:p>
      <w:pPr>
        <w:pStyle w:val="Style25"/>
        <w:keepNext w:val="0"/>
        <w:keepLines w:val="0"/>
        <w:widowControl w:val="0"/>
        <w:shd w:val="clear" w:color="auto" w:fill="auto"/>
        <w:bidi w:val="0"/>
        <w:spacing w:before="0" w:after="1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120" w:line="312" w:lineRule="exact"/>
        <w:ind w:left="0" w:right="0" w:firstLine="0"/>
        <w:jc w:val="left"/>
        <w:rPr>
          <w:sz w:val="19"/>
          <w:szCs w:val="19"/>
        </w:rPr>
      </w:pPr>
      <w:r>
        <w:rPr>
          <w:color w:val="000000"/>
          <w:spacing w:val="0"/>
          <w:w w:val="100"/>
          <w:position w:val="0"/>
          <w:sz w:val="19"/>
          <w:szCs w:val="19"/>
        </w:rPr>
        <w:t>股份变动的过户情况</w:t>
      </w:r>
    </w:p>
    <w:p>
      <w:pPr>
        <w:pStyle w:val="Style25"/>
        <w:keepNext w:val="0"/>
        <w:keepLines w:val="0"/>
        <w:widowControl w:val="0"/>
        <w:shd w:val="clear" w:color="auto" w:fill="auto"/>
        <w:bidi w:val="0"/>
        <w:spacing w:before="0" w:after="0" w:line="326"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120" w:line="312" w:lineRule="exact"/>
        <w:ind w:left="0" w:right="0" w:firstLine="0"/>
        <w:jc w:val="left"/>
        <w:rPr>
          <w:sz w:val="19"/>
          <w:szCs w:val="19"/>
        </w:rPr>
      </w:pPr>
      <w:r>
        <w:rPr>
          <w:color w:val="000000"/>
          <w:spacing w:val="0"/>
          <w:w w:val="100"/>
          <w:position w:val="0"/>
          <w:sz w:val="19"/>
          <w:szCs w:val="19"/>
        </w:rPr>
        <w:t>股份回购的实施进展情况</w:t>
      </w:r>
    </w:p>
    <w:p>
      <w:pPr>
        <w:pStyle w:val="Style25"/>
        <w:keepNext w:val="0"/>
        <w:keepLines w:val="0"/>
        <w:widowControl w:val="0"/>
        <w:shd w:val="clear" w:color="auto" w:fill="auto"/>
        <w:bidi w:val="0"/>
        <w:spacing w:before="0" w:after="0" w:line="326"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120" w:line="312" w:lineRule="exact"/>
        <w:ind w:left="0" w:right="0" w:firstLine="0"/>
        <w:jc w:val="left"/>
        <w:rPr>
          <w:sz w:val="19"/>
          <w:szCs w:val="19"/>
        </w:rPr>
      </w:pPr>
      <w:r>
        <w:rPr>
          <w:color w:val="000000"/>
          <w:spacing w:val="0"/>
          <w:w w:val="100"/>
          <w:position w:val="0"/>
          <w:sz w:val="19"/>
          <w:szCs w:val="19"/>
        </w:rPr>
        <w:t>采用集中竞价方式减持回购股份的实施进展情况</w:t>
      </w:r>
    </w:p>
    <w:p>
      <w:pPr>
        <w:pStyle w:val="Style25"/>
        <w:keepNext w:val="0"/>
        <w:keepLines w:val="0"/>
        <w:widowControl w:val="0"/>
        <w:shd w:val="clear" w:color="auto" w:fill="auto"/>
        <w:bidi w:val="0"/>
        <w:spacing w:before="0" w:after="0" w:line="326"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120" w:line="312" w:lineRule="exact"/>
        <w:ind w:left="0" w:right="0" w:firstLine="0"/>
        <w:jc w:val="left"/>
        <w:rPr>
          <w:sz w:val="19"/>
          <w:szCs w:val="19"/>
        </w:rPr>
      </w:pPr>
      <w:r>
        <w:rPr>
          <w:color w:val="000000"/>
          <w:spacing w:val="0"/>
          <w:w w:val="100"/>
          <w:position w:val="0"/>
          <w:sz w:val="19"/>
          <w:szCs w:val="19"/>
        </w:rPr>
        <w:t>股份变动对最近一年和最近一期基本每股收益和稀释每股收益、归属于公司普通股股东的每股净资产等财务指 标的影响</w:t>
      </w:r>
    </w:p>
    <w:p>
      <w:pPr>
        <w:pStyle w:val="Style25"/>
        <w:keepNext w:val="0"/>
        <w:keepLines w:val="0"/>
        <w:widowControl w:val="0"/>
        <w:shd w:val="clear" w:color="auto" w:fill="auto"/>
        <w:bidi w:val="0"/>
        <w:spacing w:before="0" w:after="0" w:line="326"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120" w:line="312" w:lineRule="exact"/>
        <w:ind w:left="0" w:right="0" w:firstLine="0"/>
        <w:jc w:val="left"/>
        <w:rPr>
          <w:sz w:val="19"/>
          <w:szCs w:val="19"/>
        </w:rPr>
      </w:pPr>
      <w:r>
        <w:rPr>
          <w:color w:val="000000"/>
          <w:spacing w:val="0"/>
          <w:w w:val="100"/>
          <w:position w:val="0"/>
          <w:sz w:val="19"/>
          <w:szCs w:val="19"/>
        </w:rPr>
        <w:t>公司认为必要或证券监管机构要求披露的其他内容</w:t>
      </w:r>
    </w:p>
    <w:p>
      <w:pPr>
        <w:pStyle w:val="Style25"/>
        <w:keepNext w:val="0"/>
        <w:keepLines w:val="0"/>
        <w:widowControl w:val="0"/>
        <w:shd w:val="clear" w:color="auto" w:fill="auto"/>
        <w:bidi w:val="0"/>
        <w:spacing w:before="0" w:after="200" w:line="326"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31"/>
        <w:keepNext/>
        <w:keepLines/>
        <w:widowControl w:val="0"/>
        <w:shd w:val="clear" w:color="auto" w:fill="auto"/>
        <w:bidi w:val="0"/>
        <w:spacing w:before="0" w:after="360" w:line="312" w:lineRule="exact"/>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、限售股份变动情况</w:t>
      </w:r>
      <w:bookmarkEnd w:id="431"/>
      <w:bookmarkEnd w:id="432"/>
      <w:bookmarkEnd w:id="434"/>
    </w:p>
    <w:p>
      <w:pPr>
        <w:pStyle w:val="Style25"/>
        <w:keepNext w:val="0"/>
        <w:keepLines w:val="0"/>
        <w:widowControl w:val="0"/>
        <w:shd w:val="clear" w:color="auto" w:fill="auto"/>
        <w:bidi w:val="0"/>
        <w:spacing w:before="0" w:after="0" w:line="326"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解除限售日期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37,794,688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37,794,688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每年度第一个交 易日解锁持股总 数的</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每年度第一个交 易日解锁持股总 数的</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刘开同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12,157,490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12,157,490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月离任</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个月后股份解 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每年度第一个交 易日解锁持股总 数的</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52,410,253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12,157,490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40,252,763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sz w:val="24"/>
          <w:szCs w:val="24"/>
        </w:rPr>
        <w:t>二</w:t>
      </w:r>
      <w:bookmarkEnd w:id="437"/>
      <w:r>
        <w:rPr>
          <w:color w:val="000000"/>
          <w:spacing w:val="0"/>
          <w:w w:val="100"/>
          <w:position w:val="0"/>
          <w:sz w:val="24"/>
          <w:szCs w:val="24"/>
        </w:rPr>
        <w:t>、证券发行与上市情况</w:t>
      </w:r>
      <w:bookmarkEnd w:id="435"/>
      <w:bookmarkEnd w:id="436"/>
      <w:bookmarkEnd w:id="438"/>
    </w:p>
    <w:p>
      <w:pPr>
        <w:pStyle w:val="Style31"/>
        <w:keepNext/>
        <w:keepLines/>
        <w:widowControl w:val="0"/>
        <w:shd w:val="clear" w:color="auto" w:fill="auto"/>
        <w:tabs>
          <w:tab w:pos="368" w:val="left"/>
        </w:tabs>
        <w:bidi w:val="0"/>
        <w:spacing w:before="0" w:after="36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w:t>
        <w:tab/>
        <w:t>报告期内证券发行（不含优先股）情况</w:t>
      </w:r>
      <w:bookmarkEnd w:id="439"/>
      <w:bookmarkEnd w:id="440"/>
      <w:bookmarkEnd w:id="442"/>
    </w:p>
    <w:p>
      <w:pPr>
        <w:pStyle w:val="Style25"/>
        <w:keepNext w:val="0"/>
        <w:keepLines w:val="0"/>
        <w:widowControl w:val="0"/>
        <w:shd w:val="clear" w:color="auto" w:fill="auto"/>
        <w:bidi w:val="0"/>
        <w:spacing w:before="0" w:after="36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w:t>
        <w:tab/>
        <w:t>公司股份总数及股东结构的变动、公司资产和负债结构的变动情况说明</w:t>
      </w:r>
      <w:bookmarkEnd w:id="443"/>
      <w:bookmarkEnd w:id="444"/>
      <w:bookmarkEnd w:id="446"/>
    </w:p>
    <w:p>
      <w:pPr>
        <w:pStyle w:val="Style25"/>
        <w:keepNext w:val="0"/>
        <w:keepLines w:val="0"/>
        <w:widowControl w:val="0"/>
        <w:shd w:val="clear" w:color="auto" w:fill="auto"/>
        <w:bidi w:val="0"/>
        <w:spacing w:before="0" w:after="26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19"/>
          <w:szCs w:val="19"/>
        </w:rPr>
        <w:t xml:space="preserve">适用 </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19"/>
          <w:szCs w:val="19"/>
        </w:rPr>
        <w:t>不适用</w:t>
      </w:r>
      <w:r>
        <w:br w:type="page"/>
      </w:r>
    </w:p>
    <w:p>
      <w:pPr>
        <w:pStyle w:val="Style31"/>
        <w:keepNext/>
        <w:keepLines/>
        <w:widowControl w:val="0"/>
        <w:shd w:val="clear" w:color="auto" w:fill="auto"/>
        <w:bidi w:val="0"/>
        <w:spacing w:before="0" w:after="36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3</w:t>
      </w:r>
      <w:bookmarkEnd w:id="449"/>
      <w:r>
        <w:rPr>
          <w:color w:val="000000"/>
          <w:spacing w:val="0"/>
          <w:w w:val="100"/>
          <w:position w:val="0"/>
        </w:rPr>
        <w:t>、现存的内部职工股情况</w:t>
      </w:r>
      <w:bookmarkEnd w:id="447"/>
      <w:bookmarkEnd w:id="448"/>
      <w:bookmarkEnd w:id="450"/>
    </w:p>
    <w:p>
      <w:pPr>
        <w:pStyle w:val="Style25"/>
        <w:keepNext w:val="0"/>
        <w:keepLines w:val="0"/>
        <w:widowControl w:val="0"/>
        <w:shd w:val="clear" w:color="auto" w:fill="auto"/>
        <w:bidi w:val="0"/>
        <w:spacing w:before="0" w:after="36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3"/>
        <w:keepNext/>
        <w:keepLines/>
        <w:widowControl w:val="0"/>
        <w:shd w:val="clear" w:color="auto" w:fill="auto"/>
        <w:bidi w:val="0"/>
        <w:spacing w:before="0" w:after="36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sz w:val="24"/>
          <w:szCs w:val="24"/>
        </w:rPr>
        <w:t>三</w:t>
      </w:r>
      <w:bookmarkEnd w:id="453"/>
      <w:r>
        <w:rPr>
          <w:color w:val="000000"/>
          <w:spacing w:val="0"/>
          <w:w w:val="100"/>
          <w:position w:val="0"/>
          <w:sz w:val="24"/>
          <w:szCs w:val="24"/>
        </w:rPr>
        <w:t>、股东和实际控制人情况</w:t>
      </w:r>
      <w:bookmarkEnd w:id="451"/>
      <w:bookmarkEnd w:id="452"/>
      <w:bookmarkEnd w:id="454"/>
    </w:p>
    <w:p>
      <w:pPr>
        <w:pStyle w:val="Style31"/>
        <w:keepNext/>
        <w:keepLines/>
        <w:widowControl w:val="0"/>
        <w:shd w:val="clear" w:color="auto" w:fill="auto"/>
        <w:bidi w:val="0"/>
        <w:spacing w:before="0" w:after="36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、公司股东数量及持股情况</w:t>
      </w:r>
      <w:bookmarkEnd w:id="455"/>
      <w:bookmarkEnd w:id="456"/>
      <w:bookmarkEnd w:id="45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797"/>
        <w:gridCol w:w="778"/>
        <w:gridCol w:w="331"/>
        <w:gridCol w:w="456"/>
        <w:gridCol w:w="787"/>
        <w:gridCol w:w="221"/>
        <w:gridCol w:w="619"/>
        <w:gridCol w:w="442"/>
        <w:gridCol w:w="907"/>
        <w:gridCol w:w="422"/>
        <w:gridCol w:w="93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54,859</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53,351</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50,392,91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37,794,68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12,598,23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19,827,599</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刘开同</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12,157,49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12,157,49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天津滨河数据信 息技术有限公司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7,323,666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7,323,666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赫喆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6,566,378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6,566,378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杨承宏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6,309,660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6,309,660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青岛城投金融控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股集团有限公司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4,696,937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4,696,937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3,264,533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2,448,400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816,133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席燕平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3,150,295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+3,150,29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3,150,295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华融国际信托有 限责任公司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2,754,007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2,754,007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张广清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2,190,539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+2,190,53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2,190,539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上述股东关联关系或一致行动的说 明</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上述股东中朱哗东、沈飒为夫妻关系，天津滨河数据信息技术有限公司是股东刘开同 及其配偶董书倩共同控制的企业，董书倩为公司股东。除上述关系外，公司未知上述</w:t>
            </w:r>
          </w:p>
        </w:tc>
      </w:tr>
    </w:tbl>
    <w:p>
      <w:pPr>
        <w:widowControl w:val="0"/>
        <w:spacing w:line="1" w:lineRule="exact"/>
      </w:pPr>
      <w:r>
        <w:br w:type="page"/>
      </w:r>
    </w:p>
    <w:tbl>
      <w:tblPr>
        <w:tblOverlap w:val="never"/>
        <w:jc w:val="center"/>
        <w:tblLayout w:type="fixed"/>
      </w:tblPr>
      <w:tblGrid>
        <w:gridCol w:w="2890"/>
        <w:gridCol w:w="3989"/>
        <w:gridCol w:w="1349"/>
        <w:gridCol w:w="1358"/>
      </w:tblGrid>
      <w:tr>
        <w:trPr>
          <w:trHeight w:val="677"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其他股东是否存在其他关联关系或属于《上市公司收购管理办法》中规定的一致行动 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受托表决权、放 弃表决权情况的说明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12,598,230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刘开同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12,157,490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12,157,490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天津滨河数据信息技术有限公司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7,323,666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7,323,666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赫喆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6,566,378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6,566,378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杨承宏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6,309,660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6,309,660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青岛城投金融控股集团有限公司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4,696,937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4,696,937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席燕平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3,150,295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3,150,295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华融国际信托有限责任公司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2,754,007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2,754,007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张广清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2,190,539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2,190,539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凯银投资管理有限公司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1,950,991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1,950,991</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上述股东中朱哗东、沈飒为夫妻关系，天津滨河数据信息技术有限公司是股东刘开同 的配偶董书倩控制的企业，董书倩为公司股东。除上述关系外，公司未知上述其他股 东是否存在其他关联关系或属于《上市公司收购管理办法》中规定的一致行动人。</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上述</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名无限售条件股东中，股东席燕平在期初不持有公司股份，报告期末，通过 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股、通过信用证券账户持有</w:t>
            </w:r>
            <w:r>
              <w:rPr>
                <w:rFonts w:ascii="Times New Roman" w:eastAsia="Times New Roman" w:hAnsi="Times New Roman" w:cs="Times New Roman"/>
                <w:color w:val="000000"/>
                <w:spacing w:val="0"/>
                <w:w w:val="100"/>
                <w:position w:val="0"/>
                <w:sz w:val="18"/>
                <w:szCs w:val="18"/>
              </w:rPr>
              <w:t>3,150,295</w:t>
            </w:r>
            <w:r>
              <w:rPr>
                <w:color w:val="000000"/>
                <w:spacing w:val="0"/>
                <w:w w:val="100"/>
                <w:position w:val="0"/>
                <w:sz w:val="17"/>
                <w:szCs w:val="17"/>
              </w:rPr>
              <w:t>股，合计持有</w:t>
            </w:r>
            <w:r>
              <w:rPr>
                <w:rFonts w:ascii="Times New Roman" w:eastAsia="Times New Roman" w:hAnsi="Times New Roman" w:cs="Times New Roman"/>
                <w:color w:val="000000"/>
                <w:spacing w:val="0"/>
                <w:w w:val="100"/>
                <w:position w:val="0"/>
                <w:sz w:val="18"/>
                <w:szCs w:val="18"/>
              </w:rPr>
              <w:t>3,150,295</w:t>
            </w:r>
            <w:r>
              <w:rPr>
                <w:color w:val="000000"/>
                <w:spacing w:val="0"/>
                <w:w w:val="100"/>
                <w:position w:val="0"/>
                <w:sz w:val="17"/>
                <w:szCs w:val="17"/>
              </w:rPr>
              <w:t>股。 报告期通过融资融券持有公司股份增加数量为</w:t>
            </w:r>
            <w:r>
              <w:rPr>
                <w:rFonts w:ascii="Times New Roman" w:eastAsia="Times New Roman" w:hAnsi="Times New Roman" w:cs="Times New Roman"/>
                <w:color w:val="000000"/>
                <w:spacing w:val="0"/>
                <w:w w:val="100"/>
                <w:position w:val="0"/>
                <w:sz w:val="18"/>
                <w:szCs w:val="18"/>
              </w:rPr>
              <w:t>3,150,295</w:t>
            </w:r>
            <w:r>
              <w:rPr>
                <w:color w:val="000000"/>
                <w:spacing w:val="0"/>
                <w:w w:val="100"/>
                <w:position w:val="0"/>
                <w:sz w:val="17"/>
                <w:szCs w:val="17"/>
              </w:rPr>
              <w:t>股。</w:t>
            </w:r>
          </w:p>
        </w:tc>
      </w:tr>
    </w:tbl>
    <w:p>
      <w:pPr>
        <w:pStyle w:val="Style25"/>
        <w:keepNext w:val="0"/>
        <w:keepLines w:val="0"/>
        <w:widowControl w:val="0"/>
        <w:shd w:val="clear" w:color="auto" w:fill="auto"/>
        <w:bidi w:val="0"/>
        <w:spacing w:before="0" w:after="0" w:line="350" w:lineRule="exact"/>
        <w:ind w:left="0" w:right="0" w:firstLine="0"/>
        <w:jc w:val="left"/>
        <w:rPr>
          <w:sz w:val="19"/>
          <w:szCs w:val="19"/>
        </w:rPr>
      </w:pPr>
      <w:r>
        <w:rPr>
          <w:color w:val="000000"/>
          <w:spacing w:val="0"/>
          <w:w w:val="100"/>
          <w:position w:val="0"/>
          <w:sz w:val="19"/>
          <w:szCs w:val="19"/>
        </w:rPr>
        <w:t>公司前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名普通股股东、前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 xml:space="preserve">名无限售条件普通股股东在报告期内是否进行约定购回交易 </w:t>
      </w:r>
      <w:r>
        <w:rPr>
          <w:color w:val="000000"/>
          <w:spacing w:val="0"/>
          <w:w w:val="100"/>
          <w:position w:val="0"/>
          <w:sz w:val="20"/>
          <w:szCs w:val="20"/>
        </w:rPr>
        <w:t>口</w:t>
      </w:r>
      <w:r>
        <w:rPr>
          <w:color w:val="000000"/>
          <w:spacing w:val="0"/>
          <w:w w:val="100"/>
          <w:position w:val="0"/>
          <w:sz w:val="19"/>
          <w:szCs w:val="19"/>
        </w:rPr>
        <w:t>是</w:t>
      </w:r>
      <w:r>
        <w:rPr>
          <w:i/>
          <w:iCs/>
          <w:color w:val="000000"/>
          <w:spacing w:val="0"/>
          <w:w w:val="100"/>
          <w:position w:val="0"/>
          <w:sz w:val="19"/>
          <w:szCs w:val="19"/>
        </w:rPr>
        <w:t>。否</w:t>
      </w:r>
    </w:p>
    <w:p>
      <w:pPr>
        <w:pStyle w:val="Style25"/>
        <w:keepNext w:val="0"/>
        <w:keepLines w:val="0"/>
        <w:widowControl w:val="0"/>
        <w:shd w:val="clear" w:color="auto" w:fill="auto"/>
        <w:bidi w:val="0"/>
        <w:spacing w:before="0" w:after="360" w:line="350" w:lineRule="exact"/>
        <w:ind w:left="0" w:right="0" w:firstLine="0"/>
        <w:jc w:val="left"/>
        <w:rPr>
          <w:sz w:val="19"/>
          <w:szCs w:val="19"/>
        </w:rPr>
      </w:pPr>
      <w:r>
        <w:rPr>
          <w:color w:val="000000"/>
          <w:spacing w:val="0"/>
          <w:w w:val="100"/>
          <w:position w:val="0"/>
          <w:sz w:val="19"/>
          <w:szCs w:val="19"/>
        </w:rPr>
        <w:t>公司前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名普通股股东、前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名无限售条件普通股股东在报告期内未进行约定购回交易。</w:t>
      </w:r>
    </w:p>
    <w:p>
      <w:pPr>
        <w:pStyle w:val="Style31"/>
        <w:keepNext/>
        <w:keepLines/>
        <w:widowControl w:val="0"/>
        <w:shd w:val="clear" w:color="auto" w:fill="auto"/>
        <w:bidi w:val="0"/>
        <w:spacing w:before="0" w:after="36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、公司控股股东情况</w:t>
      </w:r>
      <w:bookmarkEnd w:id="459"/>
      <w:bookmarkEnd w:id="460"/>
      <w:bookmarkEnd w:id="462"/>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控股股东性质：自然人控股</w:t>
      </w:r>
    </w:p>
    <w:p>
      <w:pPr>
        <w:pStyle w:val="Style25"/>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rPr>
        <w:t>控股股东类型：自然人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北京中科金财科技股份有限公司副董事长兼总经理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控股股东报告期内变更</w:t>
      </w:r>
      <w:r>
        <w:br w:type="page"/>
      </w:r>
    </w:p>
    <w:p>
      <w:pPr>
        <w:pStyle w:val="Style25"/>
        <w:keepNext w:val="0"/>
        <w:keepLines w:val="0"/>
        <w:widowControl w:val="0"/>
        <w:shd w:val="clear" w:color="auto" w:fill="auto"/>
        <w:bidi w:val="0"/>
        <w:spacing w:before="0" w:after="1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公司报告期控股股东未发生变更。</w:t>
      </w:r>
    </w:p>
    <w:p>
      <w:pPr>
        <w:pStyle w:val="Style31"/>
        <w:keepNext/>
        <w:keepLines/>
        <w:widowControl w:val="0"/>
        <w:shd w:val="clear" w:color="auto" w:fill="auto"/>
        <w:bidi w:val="0"/>
        <w:spacing w:before="0" w:after="24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、公司实际控制人及其一致行动人</w:t>
      </w:r>
      <w:bookmarkEnd w:id="463"/>
      <w:bookmarkEnd w:id="464"/>
      <w:bookmarkEnd w:id="466"/>
    </w:p>
    <w:p>
      <w:pPr>
        <w:pStyle w:val="Style25"/>
        <w:keepNext w:val="0"/>
        <w:keepLines w:val="0"/>
        <w:widowControl w:val="0"/>
        <w:shd w:val="clear" w:color="auto" w:fill="auto"/>
        <w:bidi w:val="0"/>
        <w:spacing w:before="0" w:line="350" w:lineRule="exact"/>
        <w:ind w:left="0" w:right="0" w:firstLine="0"/>
        <w:jc w:val="left"/>
        <w:rPr>
          <w:sz w:val="19"/>
          <w:szCs w:val="19"/>
        </w:rPr>
      </w:pPr>
      <w:r>
        <w:rPr>
          <w:color w:val="000000"/>
          <w:spacing w:val="0"/>
          <w:w w:val="100"/>
          <w:position w:val="0"/>
          <w:sz w:val="19"/>
          <w:szCs w:val="19"/>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朱烨东任职于北京中科金财科技股份有限公司，担任董事长一职。沈飒任职于北京中科金财 科技股份有限公司，担任副董事长兼总经理一职。</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4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公司与实际控制人之间的产权及控制关系的方框图</w:t>
      </w:r>
    </w:p>
    <w:p>
      <w:pPr>
        <w:widowControl w:val="0"/>
        <w:spacing w:after="359" w:line="1" w:lineRule="exact"/>
      </w:pPr>
    </w:p>
    <w:p>
      <w:pPr>
        <w:widowControl w:val="0"/>
        <w:spacing w:line="1" w:lineRule="exact"/>
      </w:pPr>
    </w:p>
    <w:p>
      <w:pPr>
        <w:widowControl w:val="0"/>
        <w:jc w:val="center"/>
        <w:rPr>
          <w:sz w:val="2"/>
          <w:szCs w:val="2"/>
        </w:rPr>
      </w:pPr>
      <w:r>
        <w:drawing>
          <wp:inline>
            <wp:extent cx="3810000" cy="225552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3810000" cy="2255520"/>
                    </a:xfrm>
                    <a:prstGeom prst="rect"/>
                  </pic:spPr>
                </pic:pic>
              </a:graphicData>
            </a:graphic>
          </wp:inline>
        </w:drawing>
      </w:r>
    </w:p>
    <w:p>
      <w:pPr>
        <w:widowControl w:val="0"/>
        <w:spacing w:after="359" w:line="1" w:lineRule="exact"/>
      </w:pPr>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实际控制人通过信托或其他资产管理方式控制公司</w:t>
      </w:r>
    </w:p>
    <w:p>
      <w:pPr>
        <w:pStyle w:val="Style25"/>
        <w:keepNext w:val="0"/>
        <w:keepLines w:val="0"/>
        <w:widowControl w:val="0"/>
        <w:shd w:val="clear" w:color="auto" w:fill="auto"/>
        <w:bidi w:val="0"/>
        <w:spacing w:before="0" w:after="36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4</w:t>
      </w:r>
      <w:bookmarkEnd w:id="46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7"/>
      <w:bookmarkEnd w:id="468"/>
      <w:bookmarkEnd w:id="470"/>
    </w:p>
    <w:p>
      <w:pPr>
        <w:pStyle w:val="Style25"/>
        <w:keepNext w:val="0"/>
        <w:keepLines w:val="0"/>
        <w:widowControl w:val="0"/>
        <w:shd w:val="clear" w:color="auto" w:fill="auto"/>
        <w:bidi w:val="0"/>
        <w:spacing w:before="0" w:after="36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5</w:t>
      </w:r>
      <w:bookmarkEnd w:id="473"/>
      <w:r>
        <w:rPr>
          <w:color w:val="000000"/>
          <w:spacing w:val="0"/>
          <w:w w:val="100"/>
          <w:position w:val="0"/>
        </w:rPr>
        <w:t>、</w:t>
        <w:tab/>
        <w:t>控股股东、实际控制人、重组方及其他承诺主体股份限制减持情况</w:t>
      </w:r>
      <w:bookmarkEnd w:id="471"/>
      <w:bookmarkEnd w:id="472"/>
      <w:bookmarkEnd w:id="474"/>
    </w:p>
    <w:p>
      <w:pPr>
        <w:pStyle w:val="Style25"/>
        <w:keepNext w:val="0"/>
        <w:keepLines w:val="0"/>
        <w:widowControl w:val="0"/>
        <w:shd w:val="clear" w:color="auto" w:fill="auto"/>
        <w:bidi w:val="0"/>
        <w:spacing w:before="0" w:after="36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19"/>
          <w:szCs w:val="19"/>
        </w:rPr>
        <w:t xml:space="preserve">适用 </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19"/>
          <w:szCs w:val="19"/>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2716530</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78" w:name="bookmark78"/>
                            <w:bookmarkStart w:id="79" w:name="bookmark79"/>
                            <w:bookmarkStart w:id="80" w:name="bookmark80"/>
                            <w:r>
                              <w:rPr>
                                <w:color w:val="000000"/>
                                <w:spacing w:val="0"/>
                                <w:w w:val="100"/>
                                <w:position w:val="0"/>
                              </w:rPr>
                              <w:t>第七节优先股相关情况</w:t>
                            </w:r>
                            <w:bookmarkEnd w:id="78"/>
                            <w:bookmarkEnd w:id="79"/>
                            <w:bookmarkEnd w:id="80"/>
                          </w:p>
                        </w:txbxContent>
                      </wps:txbx>
                      <wps:bodyPr wrap="none" lIns="0" tIns="0" rIns="0" bIns="0">
                        <a:noAutoFit/>
                      </wps:bodyPr>
                    </wps:wsp>
                  </a:graphicData>
                </a:graphic>
              </wp:anchor>
            </w:drawing>
          </mc:Choice>
          <mc:Fallback>
            <w:pict>
              <v:shape id="_x0000_s1038" type="#_x0000_t202" style="position:absolute;margin-left:213.90000000000001pt;margin-top:0;width:170.90000000000001pt;height:19.19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78" w:name="bookmark78"/>
                      <w:bookmarkStart w:id="79" w:name="bookmark79"/>
                      <w:bookmarkStart w:id="80" w:name="bookmark80"/>
                      <w:r>
                        <w:rPr>
                          <w:color w:val="000000"/>
                          <w:spacing w:val="0"/>
                          <w:w w:val="100"/>
                          <w:position w:val="0"/>
                        </w:rPr>
                        <w:t>第七节优先股相关情况</w:t>
                      </w:r>
                      <w:bookmarkEnd w:id="78"/>
                      <w:bookmarkEnd w:id="79"/>
                      <w:bookmarkEnd w:id="80"/>
                    </w:p>
                  </w:txbxContent>
                </v:textbox>
                <w10:wrap type="topAndBottom" anchorx="page"/>
              </v:shape>
            </w:pict>
          </mc:Fallback>
        </mc:AlternateContent>
      </w:r>
    </w:p>
    <w:p>
      <w:pPr>
        <w:pStyle w:val="Style25"/>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25"/>
        <w:keepNext w:val="0"/>
        <w:keepLines w:val="0"/>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pgSz w:w="11900" w:h="16840"/>
          <w:pgMar w:top="1311" w:right="1060" w:bottom="1445" w:left="1047" w:header="0" w:footer="3" w:gutter="0"/>
          <w:cols w:space="720"/>
          <w:noEndnote/>
          <w:rtlGutter w:val="0"/>
          <w:docGrid w:linePitch="360"/>
        </w:sectPr>
      </w:pPr>
      <w:r>
        <w:rPr>
          <w:color w:val="000000"/>
          <w:spacing w:val="0"/>
          <w:w w:val="100"/>
          <w:position w:val="0"/>
          <w:sz w:val="19"/>
          <w:szCs w:val="19"/>
        </w:rPr>
        <w:t>报告期公司不存在优先股。</w:t>
      </w:r>
    </w:p>
    <w:p>
      <w:pPr>
        <w:pStyle w:val="Style13"/>
        <w:keepNext/>
        <w:keepLines/>
        <w:widowControl w:val="0"/>
        <w:shd w:val="clear" w:color="auto" w:fill="auto"/>
        <w:bidi w:val="0"/>
        <w:spacing w:before="620" w:after="560" w:line="240" w:lineRule="auto"/>
        <w:ind w:left="0" w:right="0" w:firstLine="0"/>
        <w:jc w:val="center"/>
      </w:pPr>
      <w:bookmarkStart w:id="475" w:name="bookmark475"/>
      <w:bookmarkStart w:id="476" w:name="bookmark476"/>
      <w:bookmarkStart w:id="477" w:name="bookmark477"/>
      <w:r>
        <w:rPr>
          <w:color w:val="000000"/>
          <w:spacing w:val="0"/>
          <w:w w:val="100"/>
          <w:position w:val="0"/>
        </w:rPr>
        <w:t>第八节可转换公司债券相关情况</w:t>
      </w:r>
      <w:bookmarkEnd w:id="475"/>
      <w:bookmarkEnd w:id="476"/>
      <w:bookmarkEnd w:id="477"/>
    </w:p>
    <w:p>
      <w:pPr>
        <w:pStyle w:val="Style25"/>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25"/>
        <w:keepNext w:val="0"/>
        <w:keepLines w:val="0"/>
        <w:widowControl w:val="0"/>
        <w:shd w:val="clear" w:color="auto" w:fill="auto"/>
        <w:bidi w:val="0"/>
        <w:spacing w:before="0" w:after="320" w:line="240" w:lineRule="auto"/>
        <w:ind w:left="0" w:right="0" w:firstLine="0"/>
        <w:jc w:val="left"/>
        <w:rPr>
          <w:sz w:val="19"/>
          <w:szCs w:val="19"/>
        </w:rPr>
      </w:pPr>
      <w:r>
        <w:rPr>
          <w:color w:val="000000"/>
          <w:spacing w:val="0"/>
          <w:w w:val="100"/>
          <w:position w:val="0"/>
          <w:sz w:val="19"/>
          <w:szCs w:val="19"/>
        </w:rPr>
        <w:t>报告期公司不存在可转换公司债券。</w:t>
      </w:r>
      <w:r>
        <w:br w:type="page"/>
      </w:r>
    </w:p>
    <w:p>
      <w:pPr>
        <w:pStyle w:val="Style13"/>
        <w:keepNext/>
        <w:keepLines/>
        <w:widowControl w:val="0"/>
        <w:shd w:val="clear" w:color="auto" w:fill="auto"/>
        <w:bidi w:val="0"/>
        <w:spacing w:before="0" w:after="520" w:line="240" w:lineRule="auto"/>
        <w:ind w:left="0" w:right="0" w:firstLine="0"/>
        <w:jc w:val="center"/>
      </w:pPr>
      <w:bookmarkStart w:id="478" w:name="bookmark478"/>
      <w:bookmarkStart w:id="479" w:name="bookmark479"/>
      <w:bookmarkStart w:id="480" w:name="bookmark480"/>
      <w:r>
        <w:rPr>
          <w:color w:val="000000"/>
          <w:spacing w:val="0"/>
          <w:w w:val="100"/>
          <w:position w:val="0"/>
        </w:rPr>
        <w:t>第九节董事、监事、高级管理人员和员工情况</w:t>
      </w:r>
      <w:bookmarkEnd w:id="478"/>
      <w:bookmarkEnd w:id="479"/>
      <w:bookmarkEnd w:id="480"/>
    </w:p>
    <w:p>
      <w:pPr>
        <w:pStyle w:val="Style23"/>
        <w:keepNext/>
        <w:keepLines/>
        <w:widowControl w:val="0"/>
        <w:shd w:val="clear" w:color="auto" w:fill="auto"/>
        <w:bidi w:val="0"/>
        <w:spacing w:before="0" w:after="32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一</w:t>
      </w:r>
      <w:bookmarkEnd w:id="483"/>
      <w:r>
        <w:rPr>
          <w:color w:val="000000"/>
          <w:spacing w:val="0"/>
          <w:w w:val="100"/>
          <w:position w:val="0"/>
          <w:sz w:val="24"/>
          <w:szCs w:val="24"/>
        </w:rPr>
        <w:t>、董事、监事和高级管理人员持股变动</w:t>
      </w:r>
      <w:bookmarkEnd w:id="481"/>
      <w:bookmarkEnd w:id="482"/>
      <w:bookmarkEnd w:id="484"/>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rPr>
                <w:sz w:val="17"/>
                <w:szCs w:val="17"/>
              </w:rPr>
            </w:pPr>
            <w:r>
              <w:rPr>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3,264,533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副董事</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长、总经</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50,392,91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50,392,91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赵学荣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洪珊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董事、副 总经理、 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董事、副 总经理、 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刘书锦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季成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监事会主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w:t>
            </w:r>
          </w:p>
        </w:tc>
      </w:tr>
    </w:tbl>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王之瑜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路一名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319" w:line="1" w:lineRule="exact"/>
      </w:pPr>
    </w:p>
    <w:p>
      <w:pPr>
        <w:pStyle w:val="Style23"/>
        <w:keepNext/>
        <w:keepLines/>
        <w:widowControl w:val="0"/>
        <w:shd w:val="clear" w:color="auto" w:fill="auto"/>
        <w:tabs>
          <w:tab w:pos="485" w:val="left"/>
        </w:tabs>
        <w:bidi w:val="0"/>
        <w:spacing w:before="0" w:after="32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sz w:val="24"/>
          <w:szCs w:val="24"/>
        </w:rPr>
        <w:t>二</w:t>
      </w:r>
      <w:bookmarkEnd w:id="487"/>
      <w:r>
        <w:rPr>
          <w:color w:val="000000"/>
          <w:spacing w:val="0"/>
          <w:w w:val="100"/>
          <w:position w:val="0"/>
          <w:sz w:val="24"/>
          <w:szCs w:val="24"/>
        </w:rPr>
        <w:t>、</w:t>
        <w:tab/>
        <w:t>公司董事、监事、高级管理人员变动情况</w:t>
      </w:r>
      <w:bookmarkEnd w:id="485"/>
      <w:bookmarkEnd w:id="486"/>
      <w:bookmarkEnd w:id="488"/>
    </w:p>
    <w:p>
      <w:pPr>
        <w:pStyle w:val="Style25"/>
        <w:keepNext w:val="0"/>
        <w:keepLines w:val="0"/>
        <w:widowControl w:val="0"/>
        <w:shd w:val="clear" w:color="auto" w:fill="auto"/>
        <w:bidi w:val="0"/>
        <w:spacing w:before="0" w:after="120"/>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3"/>
        <w:keepNext/>
        <w:keepLines/>
        <w:widowControl w:val="0"/>
        <w:shd w:val="clear" w:color="auto" w:fill="auto"/>
        <w:tabs>
          <w:tab w:pos="485" w:val="left"/>
        </w:tabs>
        <w:bidi w:val="0"/>
        <w:spacing w:before="0" w:after="12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sz w:val="24"/>
          <w:szCs w:val="24"/>
        </w:rPr>
        <w:t>三</w:t>
      </w:r>
      <w:bookmarkEnd w:id="491"/>
      <w:r>
        <w:rPr>
          <w:color w:val="000000"/>
          <w:spacing w:val="0"/>
          <w:w w:val="100"/>
          <w:position w:val="0"/>
          <w:sz w:val="24"/>
          <w:szCs w:val="24"/>
        </w:rPr>
        <w:t>、</w:t>
        <w:tab/>
        <w:t>任职情况</w:t>
      </w:r>
      <w:bookmarkEnd w:id="489"/>
      <w:bookmarkEnd w:id="490"/>
      <w:bookmarkEnd w:id="492"/>
    </w:p>
    <w:p>
      <w:pPr>
        <w:pStyle w:val="Style25"/>
        <w:keepNext w:val="0"/>
        <w:keepLines w:val="0"/>
        <w:widowControl w:val="0"/>
        <w:shd w:val="clear" w:color="auto" w:fill="auto"/>
        <w:bidi w:val="0"/>
        <w:spacing w:before="0" w:after="0" w:line="432" w:lineRule="exact"/>
        <w:ind w:left="0" w:right="0" w:firstLine="0"/>
        <w:jc w:val="left"/>
      </w:pPr>
      <w:r>
        <w:rPr>
          <w:color w:val="000000"/>
          <w:spacing w:val="0"/>
          <w:w w:val="100"/>
          <w:position w:val="0"/>
          <w:sz w:val="19"/>
          <w:szCs w:val="19"/>
        </w:rPr>
        <w:t xml:space="preserve">公司现任董事、监事、高级管理人员专业背景、主要工作经历以及目前在公司的主要职责 </w:t>
      </w:r>
      <w:r>
        <w:rPr>
          <w:color w:val="000000"/>
          <w:spacing w:val="0"/>
          <w:w w:val="100"/>
          <w:position w:val="0"/>
        </w:rPr>
        <w:t>董事：</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朱烨东，男，中国国籍，无境外永久居留权，</w:t>
      </w:r>
      <w:r>
        <w:rPr>
          <w:rFonts w:ascii="Times New Roman" w:eastAsia="Times New Roman" w:hAnsi="Times New Roman" w:cs="Times New Roman"/>
          <w:color w:val="000000"/>
          <w:spacing w:val="0"/>
          <w:w w:val="100"/>
          <w:position w:val="0"/>
        </w:rPr>
        <w:t>1968</w:t>
      </w:r>
      <w:r>
        <w:rPr>
          <w:color w:val="000000"/>
          <w:spacing w:val="0"/>
          <w:w w:val="100"/>
          <w:position w:val="0"/>
        </w:rPr>
        <w:t>年出生。南京理工大学计算机系软件专业学士、北 京大学经济学院金融学硕士、北京大学经济学院政治经济学博士、高级工程师，</w:t>
      </w:r>
      <w:r>
        <w:rPr>
          <w:rFonts w:ascii="Times New Roman" w:eastAsia="Times New Roman" w:hAnsi="Times New Roman" w:cs="Times New Roman"/>
          <w:color w:val="000000"/>
          <w:spacing w:val="0"/>
          <w:w w:val="100"/>
          <w:position w:val="0"/>
        </w:rPr>
        <w:t>2007</w:t>
      </w:r>
      <w:r>
        <w:rPr>
          <w:color w:val="000000"/>
          <w:spacing w:val="0"/>
          <w:w w:val="100"/>
          <w:position w:val="0"/>
        </w:rPr>
        <w:t>年获得信息产业部计 算机信息系统集成高级项目经理证书。曾任北京大学北佳公司软件工程师，香港伟仕集团金融事业部总经 理，北京奥德映真计算机技术有限公司董事、总经理，北京北大青鸟计算机智能技术有限公司董事、总经 理等职，现任公司董事长。</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沈飒，女，中国国籍，无境外永久居留权，</w:t>
      </w:r>
      <w:r>
        <w:rPr>
          <w:rFonts w:ascii="Times New Roman" w:eastAsia="Times New Roman" w:hAnsi="Times New Roman" w:cs="Times New Roman"/>
          <w:color w:val="000000"/>
          <w:spacing w:val="0"/>
          <w:w w:val="100"/>
          <w:position w:val="0"/>
        </w:rPr>
        <w:t>1973</w:t>
      </w:r>
      <w:r>
        <w:rPr>
          <w:color w:val="000000"/>
          <w:spacing w:val="0"/>
          <w:w w:val="100"/>
          <w:position w:val="0"/>
        </w:rPr>
        <w:t>年出生，北京大学经济学院金融专业硕士，中共党员。 曾任北京奥德映真计算机技术有限公司销售经理、方正奥德集团公司大客户部销售总监、北京北大青鸟计 算机智能技术有限公司营销副总经理、优利系统（中国）有限公司金融行业销售经理，现任公司副董事长 兼总经理。</w:t>
      </w:r>
    </w:p>
    <w:p>
      <w:pPr>
        <w:pStyle w:val="Style25"/>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赵学荣，女，中国国籍，无境外永久居留权，</w:t>
      </w:r>
      <w:r>
        <w:rPr>
          <w:rFonts w:ascii="Times New Roman" w:eastAsia="Times New Roman" w:hAnsi="Times New Roman" w:cs="Times New Roman"/>
          <w:color w:val="000000"/>
          <w:spacing w:val="0"/>
          <w:w w:val="100"/>
          <w:position w:val="0"/>
        </w:rPr>
        <w:t>1973</w:t>
      </w:r>
      <w:r>
        <w:rPr>
          <w:color w:val="000000"/>
          <w:spacing w:val="0"/>
          <w:w w:val="100"/>
          <w:position w:val="0"/>
        </w:rPr>
        <w:t>年出生，上海交通大学上海高级金融学院</w:t>
      </w:r>
      <w:r>
        <w:rPr>
          <w:rFonts w:ascii="Times New Roman" w:eastAsia="Times New Roman" w:hAnsi="Times New Roman" w:cs="Times New Roman"/>
          <w:color w:val="000000"/>
          <w:spacing w:val="0"/>
          <w:w w:val="100"/>
          <w:position w:val="0"/>
        </w:rPr>
        <w:t>EMBA</w:t>
      </w:r>
      <w:r>
        <w:rPr>
          <w:color w:val="000000"/>
          <w:spacing w:val="0"/>
          <w:w w:val="100"/>
          <w:position w:val="0"/>
        </w:rPr>
        <w:t xml:space="preserve">， </w:t>
      </w:r>
      <w:r>
        <w:rPr>
          <w:color w:val="000000"/>
          <w:spacing w:val="0"/>
          <w:w w:val="100"/>
          <w:position w:val="0"/>
        </w:rPr>
        <w:t>高级会计师。曾任北京伟仕科技发展公司会计、北京奥德映真计算机技术有限公司财务主管、财务部经理、 北京北大青鸟计算机智能技术有限公司财务经理。从事财务管理工作</w:t>
      </w:r>
      <w:r>
        <w:rPr>
          <w:rFonts w:ascii="Times New Roman" w:eastAsia="Times New Roman" w:hAnsi="Times New Roman" w:cs="Times New Roman"/>
          <w:color w:val="000000"/>
          <w:spacing w:val="0"/>
          <w:w w:val="100"/>
          <w:position w:val="0"/>
        </w:rPr>
        <w:t>20</w:t>
      </w:r>
      <w:r>
        <w:rPr>
          <w:color w:val="000000"/>
          <w:spacing w:val="0"/>
          <w:w w:val="100"/>
          <w:position w:val="0"/>
        </w:rPr>
        <w:t>余年，具有丰富的</w:t>
      </w:r>
      <w:r>
        <w:rPr>
          <w:rFonts w:ascii="Times New Roman" w:eastAsia="Times New Roman" w:hAnsi="Times New Roman" w:cs="Times New Roman"/>
          <w:color w:val="000000"/>
          <w:spacing w:val="0"/>
          <w:w w:val="100"/>
          <w:position w:val="0"/>
        </w:rPr>
        <w:t>IT</w:t>
      </w:r>
      <w:r>
        <w:rPr>
          <w:color w:val="000000"/>
          <w:spacing w:val="0"/>
          <w:w w:val="100"/>
          <w:position w:val="0"/>
        </w:rPr>
        <w:t>类企业财务核 算与管理经验。现任公司董事。</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汪亮，男，中国国籍，无境外永久居留权，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年出生。北京城市学院生物计算机专业，大专学历。 现任公司董事兼政府行业总监。</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洪珊，女，中国国籍，无境外永久居留权，</w:t>
      </w:r>
      <w:r>
        <w:rPr>
          <w:rFonts w:ascii="Times New Roman" w:eastAsia="Times New Roman" w:hAnsi="Times New Roman" w:cs="Times New Roman"/>
          <w:color w:val="000000"/>
          <w:spacing w:val="0"/>
          <w:w w:val="100"/>
          <w:position w:val="0"/>
        </w:rPr>
        <w:t>1981</w:t>
      </w:r>
      <w:r>
        <w:rPr>
          <w:color w:val="000000"/>
          <w:spacing w:val="0"/>
          <w:w w:val="100"/>
          <w:position w:val="0"/>
        </w:rPr>
        <w:t>年出生，中央财经大学会计硕士研究生毕业，中级 会计师。曾任中瑞岳华会计师事务所审计经理、现任公司董事、副总经理兼财务总监。</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赵剑，男，中国国籍，无境外永久居留权，</w:t>
      </w:r>
      <w:r>
        <w:rPr>
          <w:rFonts w:ascii="Times New Roman" w:eastAsia="Times New Roman" w:hAnsi="Times New Roman" w:cs="Times New Roman"/>
          <w:color w:val="000000"/>
          <w:spacing w:val="0"/>
          <w:w w:val="100"/>
          <w:position w:val="0"/>
        </w:rPr>
        <w:t>1983</w:t>
      </w:r>
      <w:r>
        <w:rPr>
          <w:color w:val="000000"/>
          <w:spacing w:val="0"/>
          <w:w w:val="100"/>
          <w:position w:val="0"/>
        </w:rPr>
        <w:t>年出生，中共党员。中国政法大学法学学士，本科学 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月取得深圳证券交易所颁发的董事会秘书资格证书。曾任北京市金杜律师事务所律师，现任 公司董事、副总经理兼董事会秘书。</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顾凌云，男，中国国籍，美国永久居留权，</w:t>
      </w:r>
      <w:r>
        <w:rPr>
          <w:rFonts w:ascii="Times New Roman" w:eastAsia="Times New Roman" w:hAnsi="Times New Roman" w:cs="Times New Roman"/>
          <w:color w:val="000000"/>
          <w:spacing w:val="0"/>
          <w:w w:val="100"/>
          <w:position w:val="0"/>
        </w:rPr>
        <w:t>1976</w:t>
      </w:r>
      <w:r>
        <w:rPr>
          <w:color w:val="000000"/>
          <w:spacing w:val="0"/>
          <w:w w:val="100"/>
          <w:position w:val="0"/>
        </w:rPr>
        <w:t>年出生，美国卡内基梅隆大学计算机科学专业，博士 学历。曾任</w:t>
      </w:r>
      <w:r>
        <w:rPr>
          <w:rFonts w:ascii="Times New Roman" w:eastAsia="Times New Roman" w:hAnsi="Times New Roman" w:cs="Times New Roman"/>
          <w:color w:val="000000"/>
          <w:spacing w:val="0"/>
          <w:w w:val="100"/>
          <w:position w:val="0"/>
        </w:rPr>
        <w:t>IDG</w:t>
      </w:r>
      <w:r>
        <w:rPr>
          <w:color w:val="000000"/>
          <w:spacing w:val="0"/>
          <w:w w:val="100"/>
          <w:position w:val="0"/>
        </w:rPr>
        <w:t>资本驻站企业家兼投资顾问，现任上海冰鉴信息科技有限公司董事长兼</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兼任公司独 立董事。</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刘书锦，男，中国国籍，无境外永久居留权，</w:t>
      </w:r>
      <w:r>
        <w:rPr>
          <w:rFonts w:ascii="Times New Roman" w:eastAsia="Times New Roman" w:hAnsi="Times New Roman" w:cs="Times New Roman"/>
          <w:color w:val="000000"/>
          <w:spacing w:val="0"/>
          <w:w w:val="100"/>
          <w:position w:val="0"/>
        </w:rPr>
        <w:t>1969</w:t>
      </w:r>
      <w:r>
        <w:rPr>
          <w:color w:val="000000"/>
          <w:spacing w:val="0"/>
          <w:w w:val="100"/>
          <w:position w:val="0"/>
        </w:rPr>
        <w:t>年出生。厦门大学会计学硕士，注册会计师，注册 资产评估师。历任甘肃会计师事务所项目经理；甘肃证券公司投资银行部高级经理；海通证券有限公司投 资银行总部融资八部部门经理；长城证券有限责任公司投资银行事业部总经理助理，杭州营业部总经理； 联合证券有限责任公司销售交易部副总经理；第一创业证券有限责任公司质量控制部执行董事，副总经理; 太平洋证券股份有限公司投资银行总部</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执行总经理；新时代证券股份有限公司投资银行总部董事总 经理。现任华林证券股份有限公司投资银行事业部董事总经理，兼任公司独立董事。</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季成，男，中国国籍，无境外永久居留权，</w:t>
      </w:r>
      <w:r>
        <w:rPr>
          <w:rFonts w:ascii="Times New Roman" w:eastAsia="Times New Roman" w:hAnsi="Times New Roman" w:cs="Times New Roman"/>
          <w:color w:val="000000"/>
          <w:spacing w:val="0"/>
          <w:w w:val="100"/>
          <w:position w:val="0"/>
        </w:rPr>
        <w:t>1975</w:t>
      </w:r>
      <w:r>
        <w:rPr>
          <w:color w:val="000000"/>
          <w:spacing w:val="0"/>
          <w:w w:val="100"/>
          <w:position w:val="0"/>
        </w:rPr>
        <w:t>年出生，致公党员。毕业于中国政法大学，本科学 历。曾任平安保险股份有限公司陕西分公司法务经理；北京电风文化发展有限公司业务经理；德衡律师集 团（北京）律师事务所律师，现任北京德和衡律师事务所高级合伙人，全球精品律所联盟（</w:t>
      </w:r>
      <w:r>
        <w:rPr>
          <w:rFonts w:ascii="Times New Roman" w:eastAsia="Times New Roman" w:hAnsi="Times New Roman" w:cs="Times New Roman"/>
          <w:color w:val="000000"/>
          <w:spacing w:val="0"/>
          <w:w w:val="100"/>
          <w:position w:val="0"/>
        </w:rPr>
        <w:t>EGLA</w:t>
      </w:r>
      <w:r>
        <w:rPr>
          <w:color w:val="000000"/>
          <w:spacing w:val="0"/>
          <w:w w:val="100"/>
          <w:position w:val="0"/>
        </w:rPr>
        <w:t>）执行 主席，兼任公司独立董事。</w:t>
      </w:r>
    </w:p>
    <w:p>
      <w:pPr>
        <w:pStyle w:val="Style25"/>
        <w:keepNext w:val="0"/>
        <w:keepLines w:val="0"/>
        <w:widowControl w:val="0"/>
        <w:shd w:val="clear" w:color="auto" w:fill="auto"/>
        <w:bidi w:val="0"/>
        <w:spacing w:before="0" w:after="0" w:line="469" w:lineRule="exact"/>
        <w:ind w:left="0" w:right="0" w:firstLine="0"/>
        <w:jc w:val="left"/>
      </w:pPr>
      <w:r>
        <w:rPr>
          <w:color w:val="000000"/>
          <w:spacing w:val="0"/>
          <w:w w:val="100"/>
          <w:position w:val="0"/>
        </w:rPr>
        <w:t>监事：</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孙昕，男，中国国籍，无境外永久居留权，</w:t>
      </w:r>
      <w:r>
        <w:rPr>
          <w:rFonts w:ascii="Times New Roman" w:eastAsia="Times New Roman" w:hAnsi="Times New Roman" w:cs="Times New Roman"/>
          <w:color w:val="000000"/>
          <w:spacing w:val="0"/>
          <w:w w:val="100"/>
          <w:position w:val="0"/>
        </w:rPr>
        <w:t>1975</w:t>
      </w:r>
      <w:r>
        <w:rPr>
          <w:color w:val="000000"/>
          <w:spacing w:val="0"/>
          <w:w w:val="100"/>
          <w:position w:val="0"/>
        </w:rPr>
        <w:t>年出生。毕业于北京航空航天大学网络信息安全专 业，硕士学位。现任公司</w:t>
      </w:r>
      <w:r>
        <w:rPr>
          <w:rFonts w:ascii="Times New Roman" w:eastAsia="Times New Roman" w:hAnsi="Times New Roman" w:cs="Times New Roman"/>
          <w:color w:val="000000"/>
          <w:spacing w:val="0"/>
          <w:w w:val="100"/>
          <w:position w:val="0"/>
        </w:rPr>
        <w:t>RPA</w:t>
      </w:r>
      <w:r>
        <w:rPr>
          <w:color w:val="000000"/>
          <w:spacing w:val="0"/>
          <w:w w:val="100"/>
          <w:position w:val="0"/>
        </w:rPr>
        <w:t>事业部总经理。</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郭通，男，中国国籍，无境外永久居留权，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年出生。哈尔滨工业大学计算机及应用专业学士、高 级工程师，</w:t>
      </w:r>
      <w:r>
        <w:rPr>
          <w:rFonts w:ascii="Times New Roman" w:eastAsia="Times New Roman" w:hAnsi="Times New Roman" w:cs="Times New Roman"/>
          <w:color w:val="000000"/>
          <w:spacing w:val="0"/>
          <w:w w:val="100"/>
          <w:position w:val="0"/>
        </w:rPr>
        <w:t>2006</w:t>
      </w:r>
      <w:r>
        <w:rPr>
          <w:color w:val="000000"/>
          <w:spacing w:val="0"/>
          <w:w w:val="100"/>
          <w:position w:val="0"/>
        </w:rPr>
        <w:t>年获得信息产业部计算机信息系统集成项目经理证书。曾任北京联想集团有限公司高性能 服务器事业部技术支持工程师，现任公司</w:t>
      </w:r>
      <w:r>
        <w:rPr>
          <w:rFonts w:ascii="Times New Roman" w:eastAsia="Times New Roman" w:hAnsi="Times New Roman" w:cs="Times New Roman"/>
          <w:color w:val="000000"/>
          <w:spacing w:val="0"/>
          <w:w w:val="100"/>
          <w:position w:val="0"/>
        </w:rPr>
        <w:t>IT</w:t>
      </w:r>
      <w:r>
        <w:rPr>
          <w:color w:val="000000"/>
          <w:spacing w:val="0"/>
          <w:w w:val="100"/>
          <w:position w:val="0"/>
        </w:rPr>
        <w:t>服务实施部经理。</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张旭，男，中国国籍，无境外永久居留权，</w:t>
      </w:r>
      <w:r>
        <w:rPr>
          <w:rFonts w:ascii="Times New Roman" w:eastAsia="Times New Roman" w:hAnsi="Times New Roman" w:cs="Times New Roman"/>
          <w:color w:val="000000"/>
          <w:spacing w:val="0"/>
          <w:w w:val="100"/>
          <w:position w:val="0"/>
        </w:rPr>
        <w:t>1976</w:t>
      </w:r>
      <w:r>
        <w:rPr>
          <w:color w:val="000000"/>
          <w:spacing w:val="0"/>
          <w:w w:val="100"/>
          <w:position w:val="0"/>
        </w:rPr>
        <w:t>年出生。西安电子科技大学学士学位，大学本科学 历。曾任西安未来国际信息股份有限公司软件工程师、项目经理，北京弘远新世纪科技有限公司售前经理、 项目经理、部门经理等职务，现任公司</w:t>
      </w:r>
      <w:r>
        <w:rPr>
          <w:rFonts w:ascii="Times New Roman" w:eastAsia="Times New Roman" w:hAnsi="Times New Roman" w:cs="Times New Roman"/>
          <w:color w:val="000000"/>
          <w:spacing w:val="0"/>
          <w:w w:val="100"/>
          <w:position w:val="0"/>
        </w:rPr>
        <w:t>IT</w:t>
      </w:r>
      <w:r>
        <w:rPr>
          <w:color w:val="000000"/>
          <w:spacing w:val="0"/>
          <w:w w:val="100"/>
          <w:position w:val="0"/>
        </w:rPr>
        <w:t>服务实施事业部经理。</w:t>
      </w:r>
    </w:p>
    <w:p>
      <w:pPr>
        <w:pStyle w:val="Style25"/>
        <w:keepNext w:val="0"/>
        <w:keepLines w:val="0"/>
        <w:widowControl w:val="0"/>
        <w:shd w:val="clear" w:color="auto" w:fill="auto"/>
        <w:bidi w:val="0"/>
        <w:spacing w:before="0" w:after="0" w:line="469" w:lineRule="exact"/>
        <w:ind w:left="0" w:right="0" w:firstLine="0"/>
        <w:jc w:val="both"/>
      </w:pPr>
      <w:r>
        <w:rPr>
          <w:color w:val="000000"/>
          <w:spacing w:val="0"/>
          <w:w w:val="100"/>
          <w:position w:val="0"/>
        </w:rPr>
        <w:t>高级管理人员：</w:t>
      </w:r>
    </w:p>
    <w:p>
      <w:pPr>
        <w:pStyle w:val="Style25"/>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沈飒，现任公司副董事长、总经理，简历同上。</w:t>
      </w:r>
    </w:p>
    <w:p>
      <w:pPr>
        <w:pStyle w:val="Style25"/>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洪珊，现任公司董事、副总经理兼财务总监，简历同上。</w:t>
      </w:r>
    </w:p>
    <w:p>
      <w:pPr>
        <w:pStyle w:val="Style25"/>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赵剑，现任公司董事、副总经理兼董事会秘书，简历同上。</w:t>
      </w:r>
    </w:p>
    <w:p>
      <w:pPr>
        <w:pStyle w:val="Style25"/>
        <w:keepNext w:val="0"/>
        <w:keepLines w:val="0"/>
        <w:widowControl w:val="0"/>
        <w:shd w:val="clear" w:color="auto" w:fill="auto"/>
        <w:bidi w:val="0"/>
        <w:spacing w:before="0" w:after="0" w:line="475" w:lineRule="exact"/>
        <w:ind w:left="0" w:right="0" w:firstLine="440"/>
        <w:jc w:val="both"/>
      </w:pPr>
      <w:r>
        <w:rPr>
          <w:color w:val="000000"/>
          <w:spacing w:val="0"/>
          <w:w w:val="100"/>
          <w:position w:val="0"/>
        </w:rPr>
        <w:t>王之瑜，男，中国国籍，无境外永久居留权，</w:t>
      </w:r>
      <w:r>
        <w:rPr>
          <w:rFonts w:ascii="Times New Roman" w:eastAsia="Times New Roman" w:hAnsi="Times New Roman" w:cs="Times New Roman"/>
          <w:color w:val="000000"/>
          <w:spacing w:val="0"/>
          <w:w w:val="100"/>
          <w:position w:val="0"/>
        </w:rPr>
        <w:t>1976</w:t>
      </w:r>
      <w:r>
        <w:rPr>
          <w:color w:val="000000"/>
          <w:spacing w:val="0"/>
          <w:w w:val="100"/>
          <w:position w:val="0"/>
        </w:rPr>
        <w:t>年出生。沈阳大学，本科学历。曾任北京网新易尚 科技有限公司沈阳办事处经理，现任公司副总经理。</w:t>
      </w:r>
    </w:p>
    <w:p>
      <w:pPr>
        <w:pStyle w:val="Style25"/>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路一名，男，中国国籍，无境外永久居留权，</w:t>
      </w:r>
      <w:r>
        <w:rPr>
          <w:rFonts w:ascii="Times New Roman" w:eastAsia="Times New Roman" w:hAnsi="Times New Roman" w:cs="Times New Roman"/>
          <w:color w:val="000000"/>
          <w:spacing w:val="0"/>
          <w:w w:val="100"/>
          <w:position w:val="0"/>
        </w:rPr>
        <w:t>1983</w:t>
      </w:r>
      <w:r>
        <w:rPr>
          <w:color w:val="000000"/>
          <w:spacing w:val="0"/>
          <w:w w:val="100"/>
          <w:position w:val="0"/>
        </w:rPr>
        <w:t>年出生。黑龙江工程学院，本科学历。曾任同方知 网</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技术有限公司销售总监，现任公司副总经理。</w:t>
      </w:r>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在股东单位任职情况</w:t>
      </w:r>
    </w:p>
    <w:p>
      <w:pPr>
        <w:pStyle w:val="Style25"/>
        <w:keepNext w:val="0"/>
        <w:keepLines w:val="0"/>
        <w:widowControl w:val="0"/>
        <w:shd w:val="clear" w:color="auto" w:fill="auto"/>
        <w:bidi w:val="0"/>
        <w:spacing w:before="0" w:after="12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在其他单位任职情况</w:t>
      </w:r>
    </w:p>
    <w:p>
      <w:pPr>
        <w:pStyle w:val="Style25"/>
        <w:keepNext w:val="0"/>
        <w:keepLines w:val="0"/>
        <w:widowControl w:val="0"/>
        <w:shd w:val="clear" w:color="auto" w:fill="auto"/>
        <w:bidi w:val="0"/>
        <w:spacing w:before="0" w:after="6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tbl>
      <w:tblPr>
        <w:tblOverlap w:val="never"/>
        <w:jc w:val="center"/>
        <w:tblLayout w:type="fixed"/>
      </w:tblPr>
      <w:tblGrid>
        <w:gridCol w:w="1243"/>
        <w:gridCol w:w="3274"/>
        <w:gridCol w:w="1094"/>
        <w:gridCol w:w="1229"/>
        <w:gridCol w:w="1358"/>
        <w:gridCol w:w="1387"/>
      </w:tblGrid>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任期起始日期</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在其他单位是否</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领取报酬津贴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北京盛贸智博投资有限公司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北京坤洲投资管理有限公司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执行董事兼</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北京合伙时代咨询有限公司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执行董事兼</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广州众鑫智达科技有限公司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执行董事兼</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天津赋能时代科技咨询有限公司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执行董事兼</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安粮期货股份有限公司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中科环嘉电子商务有限公司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北京中关村科技金融信息服务中心有限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北京中科弘仪信息科技服务有限公司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北京盛贸智博投资有限公司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北京坤洲投资管理有限公司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天津赋能时代科技咨询有限公司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安粮期货股份有限公司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中科环嘉电子商务有限公司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赵学荣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大连金融资产交易所有限公司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大连金融资产交易所有限公司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安粮期货股份有限公司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上海冰鉴信息科技有限公司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董事兼总经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上海冰鉴企业征信服务有限公司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董事兼总经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北京冰鉴信息科技有限公司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董事兼总经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成都冰鉴信息科技有限公司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17"/>
                <w:szCs w:val="17"/>
              </w:rPr>
            </w:pPr>
            <w:r>
              <w:rPr>
                <w:color w:val="000000"/>
                <w:spacing w:val="0"/>
                <w:w w:val="100"/>
                <w:position w:val="0"/>
                <w:sz w:val="17"/>
                <w:szCs w:val="17"/>
              </w:rPr>
              <w:t>董事兼总经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南京冰鉴信息科技有限公司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董事兼总经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常州冰鉴信息科技有限公司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董事兼总经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景宁本立道生数据科技有限公司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董事兼总经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深圳冰鉴信息科技有限公司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17"/>
                <w:szCs w:val="17"/>
              </w:rPr>
            </w:pPr>
            <w:r>
              <w:rPr>
                <w:color w:val="000000"/>
                <w:spacing w:val="0"/>
                <w:w w:val="100"/>
                <w:position w:val="0"/>
                <w:sz w:val="17"/>
                <w:szCs w:val="17"/>
              </w:rPr>
              <w:t>董事兼总经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刘书锦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华林证券股份有限公司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投资银行事</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业部董事总</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刘书锦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陕西金叶科教集团股份有限公司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刘书锦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惠州中京电子科技股份有限公司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刘书锦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深圳安奈儿股份有限公司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季成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北京德和衡律师事务所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高级合伙人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widowControl w:val="0"/>
        <w:spacing w:after="359" w:line="1" w:lineRule="exact"/>
      </w:pPr>
    </w:p>
    <w:p>
      <w:pPr>
        <w:pStyle w:val="Style23"/>
        <w:keepNext/>
        <w:keepLines/>
        <w:widowControl w:val="0"/>
        <w:shd w:val="clear" w:color="auto" w:fill="auto"/>
        <w:bidi w:val="0"/>
        <w:spacing w:before="0" w:after="12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sz w:val="24"/>
          <w:szCs w:val="24"/>
        </w:rPr>
        <w:t>四</w:t>
      </w:r>
      <w:bookmarkEnd w:id="495"/>
      <w:r>
        <w:rPr>
          <w:color w:val="000000"/>
          <w:spacing w:val="0"/>
          <w:w w:val="100"/>
          <w:position w:val="0"/>
          <w:sz w:val="24"/>
          <w:szCs w:val="24"/>
        </w:rPr>
        <w:t>、董事、监事、高级管理人员报酬情况</w:t>
      </w:r>
      <w:bookmarkEnd w:id="493"/>
      <w:bookmarkEnd w:id="494"/>
      <w:bookmarkEnd w:id="496"/>
    </w:p>
    <w:p>
      <w:pPr>
        <w:pStyle w:val="Style25"/>
        <w:keepNext w:val="0"/>
        <w:keepLines w:val="0"/>
        <w:widowControl w:val="0"/>
        <w:shd w:val="clear" w:color="auto" w:fill="auto"/>
        <w:bidi w:val="0"/>
        <w:spacing w:before="0" w:after="0" w:line="467" w:lineRule="exact"/>
        <w:ind w:left="0" w:right="0" w:firstLine="0"/>
        <w:jc w:val="left"/>
        <w:rPr>
          <w:sz w:val="19"/>
          <w:szCs w:val="19"/>
        </w:rPr>
      </w:pPr>
      <w:r>
        <w:rPr>
          <w:color w:val="000000"/>
          <w:spacing w:val="0"/>
          <w:w w:val="100"/>
          <w:position w:val="0"/>
          <w:sz w:val="19"/>
          <w:szCs w:val="19"/>
        </w:rPr>
        <w:t>董事、监事、高级管理人员报酬的决策程序、确定依据、实际支付情况</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高级管理人员报酬由董事会薪酬与考核委员会提出方案，经董事会审议通过；董事的报酬由董事会薪 酬与考核委员会提出方案，经董事会审议通过后，报送股东大会审议通过，兼任管理职务的董事，仅领取 管理职务薪酬，无董事职务薪酬；监事的报酬由监事会提出方案，经股东大会通过，职工代表监事和兼任 管理职务的监事，仅领取管理职务薪酬，无监事职务薪酬。</w:t>
      </w:r>
    </w:p>
    <w:p>
      <w:pPr>
        <w:pStyle w:val="Style25"/>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确定依据：董事、监事及高级管理人员的报酬根据岗位的主要范围、职责、重要性、其它相关企业相 关岗位的薪酬水平、履职情况、绩效考核结果和公司经营业绩的情况确定。</w:t>
      </w:r>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公司报告期内董事、监事和高级管理人员报酬情况</w:t>
      </w:r>
    </w:p>
    <w:p>
      <w:pPr>
        <w:pStyle w:val="Style3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副董事长、总经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赵学荣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洪珊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董事、副总经理、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董事、副总经理、 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刘书锦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季成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王之瑜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路一名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公司董事、高级管理人员报告期内被授予的股权激励情况</w:t>
      </w:r>
    </w:p>
    <w:p>
      <w:pPr>
        <w:pStyle w:val="Style25"/>
        <w:keepNext w:val="0"/>
        <w:keepLines w:val="0"/>
        <w:widowControl w:val="0"/>
        <w:shd w:val="clear" w:color="auto" w:fill="auto"/>
        <w:bidi w:val="0"/>
        <w:spacing w:before="0" w:after="3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3"/>
        <w:keepNext/>
        <w:keepLines/>
        <w:widowControl w:val="0"/>
        <w:shd w:val="clear" w:color="auto" w:fill="auto"/>
        <w:bidi w:val="0"/>
        <w:spacing w:before="0" w:after="38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4"/>
          <w:szCs w:val="24"/>
        </w:rPr>
        <w:t>五</w:t>
      </w:r>
      <w:bookmarkEnd w:id="499"/>
      <w:r>
        <w:rPr>
          <w:color w:val="000000"/>
          <w:spacing w:val="0"/>
          <w:w w:val="100"/>
          <w:position w:val="0"/>
          <w:sz w:val="24"/>
          <w:szCs w:val="24"/>
        </w:rPr>
        <w:t>、公司员工情况</w:t>
      </w:r>
      <w:bookmarkEnd w:id="497"/>
      <w:bookmarkEnd w:id="498"/>
      <w:bookmarkEnd w:id="500"/>
    </w:p>
    <w:p>
      <w:pPr>
        <w:pStyle w:val="Style31"/>
        <w:keepNext/>
        <w:keepLines/>
        <w:widowControl w:val="0"/>
        <w:shd w:val="clear" w:color="auto" w:fill="auto"/>
        <w:bidi w:val="0"/>
        <w:spacing w:before="0" w:after="32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1</w:t>
      </w:r>
      <w:bookmarkEnd w:id="503"/>
      <w:r>
        <w:rPr>
          <w:color w:val="000000"/>
          <w:spacing w:val="0"/>
          <w:w w:val="100"/>
          <w:position w:val="0"/>
        </w:rPr>
        <w:t>、员工数量、专业构成及教育程度</w:t>
      </w:r>
      <w:bookmarkEnd w:id="501"/>
      <w:bookmarkEnd w:id="502"/>
      <w:bookmarkEnd w:id="504"/>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758</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中高职及以下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w:t>
            </w:r>
          </w:p>
        </w:tc>
      </w:tr>
    </w:tbl>
    <w:p>
      <w:pPr>
        <w:widowControl w:val="0"/>
        <w:spacing w:after="99" w:line="1" w:lineRule="exact"/>
      </w:pPr>
    </w:p>
    <w:p>
      <w:pPr>
        <w:pStyle w:val="Style31"/>
        <w:keepNext/>
        <w:keepLines/>
        <w:widowControl w:val="0"/>
        <w:shd w:val="clear" w:color="auto" w:fill="auto"/>
        <w:tabs>
          <w:tab w:pos="368" w:val="left"/>
        </w:tabs>
        <w:bidi w:val="0"/>
        <w:spacing w:before="0" w:after="220" w:line="466" w:lineRule="exact"/>
        <w:ind w:left="0" w:right="0" w:firstLine="0"/>
        <w:jc w:val="both"/>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2</w:t>
      </w:r>
      <w:bookmarkEnd w:id="507"/>
      <w:r>
        <w:rPr>
          <w:color w:val="000000"/>
          <w:spacing w:val="0"/>
          <w:w w:val="100"/>
          <w:position w:val="0"/>
        </w:rPr>
        <w:t>、</w:t>
        <w:tab/>
        <w:t>薪酬政策</w:t>
      </w:r>
      <w:bookmarkEnd w:id="505"/>
      <w:bookmarkEnd w:id="506"/>
      <w:bookmarkEnd w:id="508"/>
    </w:p>
    <w:p>
      <w:pPr>
        <w:pStyle w:val="Style25"/>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公司实行中科金财多层级合伙人经营责任制，让全体员工参与经营管理，实现</w:t>
      </w:r>
      <w:r>
        <w:rPr>
          <w:rFonts w:ascii="Times New Roman" w:eastAsia="Times New Roman" w:hAnsi="Times New Roman" w:cs="Times New Roman"/>
          <w:color w:val="000000"/>
          <w:spacing w:val="0"/>
          <w:w w:val="100"/>
          <w:position w:val="0"/>
        </w:rPr>
        <w:t>“</w:t>
      </w:r>
      <w:r>
        <w:rPr>
          <w:color w:val="000000"/>
          <w:spacing w:val="0"/>
          <w:w w:val="100"/>
          <w:position w:val="0"/>
        </w:rPr>
        <w:t>全员参与</w:t>
      </w:r>
      <w:r>
        <w:rPr>
          <w:rFonts w:ascii="Times New Roman" w:eastAsia="Times New Roman" w:hAnsi="Times New Roman" w:cs="Times New Roman"/>
          <w:color w:val="000000"/>
          <w:spacing w:val="0"/>
          <w:w w:val="100"/>
          <w:position w:val="0"/>
        </w:rPr>
        <w:t>''</w:t>
      </w:r>
      <w:r>
        <w:rPr>
          <w:color w:val="000000"/>
          <w:spacing w:val="0"/>
          <w:w w:val="100"/>
          <w:position w:val="0"/>
        </w:rPr>
        <w:t>的经营理念。 公司向员工提供稳定且有竞争力的薪酬，通过业绩核算，将薪酬与绩效挂钩。公司积极加强对员工的激励, 以充分调动员工的积极性和主动性，充分发挥薪酬吸引、保留、激励人才的战略作用。</w:t>
      </w:r>
    </w:p>
    <w:p>
      <w:pPr>
        <w:pStyle w:val="Style25"/>
        <w:keepNext w:val="0"/>
        <w:keepLines w:val="0"/>
        <w:widowControl w:val="0"/>
        <w:shd w:val="clear" w:color="auto" w:fill="auto"/>
        <w:bidi w:val="0"/>
        <w:spacing w:before="0" w:after="0" w:line="326" w:lineRule="exact"/>
        <w:ind w:left="0" w:right="0" w:firstLine="0"/>
        <w:jc w:val="left"/>
        <w:rPr>
          <w:sz w:val="19"/>
          <w:szCs w:val="19"/>
        </w:rPr>
      </w:pPr>
      <w:r>
        <w:rPr>
          <w:color w:val="000000"/>
          <w:spacing w:val="0"/>
          <w:w w:val="100"/>
          <w:position w:val="0"/>
          <w:sz w:val="19"/>
          <w:szCs w:val="19"/>
        </w:rPr>
        <w:t>公司需遵守《深圳证券交易所行业信息披露指引第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号——上市公司从事软件与信息技术服务业务》的披露要 求</w:t>
      </w:r>
    </w:p>
    <w:p>
      <w:pPr>
        <w:pStyle w:val="Style25"/>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报告期内，公司职工薪酬总额</w:t>
      </w:r>
      <w:r>
        <w:rPr>
          <w:color w:val="000000"/>
          <w:spacing w:val="0"/>
          <w:w w:val="100"/>
          <w:position w:val="0"/>
        </w:rPr>
        <w:t>18,747.44</w:t>
      </w:r>
      <w:r>
        <w:rPr>
          <w:color w:val="000000"/>
          <w:spacing w:val="0"/>
          <w:w w:val="100"/>
          <w:position w:val="0"/>
        </w:rPr>
        <w:t>万元，占公司成本总额的</w:t>
      </w:r>
      <w:r>
        <w:rPr>
          <w:color w:val="000000"/>
          <w:spacing w:val="0"/>
          <w:w w:val="100"/>
          <w:position w:val="0"/>
        </w:rPr>
        <w:t>10.44%</w:t>
      </w:r>
      <w:r>
        <w:rPr>
          <w:color w:val="000000"/>
          <w:spacing w:val="0"/>
          <w:w w:val="100"/>
          <w:position w:val="0"/>
        </w:rPr>
        <w:t>，公司利润对职工薪酬变化 较为敏感。公司核心技术人员共计</w:t>
      </w:r>
      <w:r>
        <w:rPr>
          <w:color w:val="000000"/>
          <w:spacing w:val="0"/>
          <w:w w:val="100"/>
          <w:position w:val="0"/>
        </w:rPr>
        <w:t>220</w:t>
      </w:r>
      <w:r>
        <w:rPr>
          <w:color w:val="000000"/>
          <w:spacing w:val="0"/>
          <w:w w:val="100"/>
          <w:position w:val="0"/>
        </w:rPr>
        <w:t>人，占公司员工总数的</w:t>
      </w:r>
      <w:r>
        <w:rPr>
          <w:color w:val="000000"/>
          <w:spacing w:val="0"/>
          <w:w w:val="100"/>
          <w:position w:val="0"/>
        </w:rPr>
        <w:t>20.56%</w:t>
      </w:r>
      <w:r>
        <w:rPr>
          <w:color w:val="000000"/>
          <w:spacing w:val="0"/>
          <w:w w:val="100"/>
          <w:position w:val="0"/>
        </w:rPr>
        <w:t xml:space="preserve">，核心技术人员薪酬占公司薪酬总额 的 </w:t>
      </w:r>
      <w:r>
        <w:rPr>
          <w:color w:val="000000"/>
          <w:spacing w:val="0"/>
          <w:w w:val="100"/>
          <w:position w:val="0"/>
        </w:rPr>
        <w:t>24.5%</w:t>
      </w:r>
      <w:r>
        <w:rPr>
          <w:color w:val="000000"/>
          <w:spacing w:val="0"/>
          <w:w w:val="100"/>
          <w:position w:val="0"/>
        </w:rPr>
        <w:t>。</w:t>
      </w:r>
    </w:p>
    <w:p>
      <w:pPr>
        <w:pStyle w:val="Style31"/>
        <w:keepNext/>
        <w:keepLines/>
        <w:widowControl w:val="0"/>
        <w:shd w:val="clear" w:color="auto" w:fill="auto"/>
        <w:tabs>
          <w:tab w:pos="368" w:val="left"/>
        </w:tabs>
        <w:bidi w:val="0"/>
        <w:spacing w:before="0" w:after="220" w:line="466" w:lineRule="exact"/>
        <w:ind w:left="0" w:right="0" w:firstLine="0"/>
        <w:jc w:val="both"/>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3</w:t>
      </w:r>
      <w:bookmarkEnd w:id="511"/>
      <w:r>
        <w:rPr>
          <w:color w:val="000000"/>
          <w:spacing w:val="0"/>
          <w:w w:val="100"/>
          <w:position w:val="0"/>
        </w:rPr>
        <w:t>、</w:t>
        <w:tab/>
        <w:t>培训计划</w:t>
      </w:r>
      <w:bookmarkEnd w:id="509"/>
      <w:bookmarkEnd w:id="510"/>
      <w:bookmarkEnd w:id="512"/>
    </w:p>
    <w:p>
      <w:pPr>
        <w:pStyle w:val="Style25"/>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公司建立核心人才数据库，有层次有重点地推进人才培养，设计了从基础能力到战略落地的多层次人 才培养体系，通过线上、线下、内训、外训结合的方式，进行人才的发掘和培养，有效扩大了人才建设的 广度和深度。同时，公司高度重视组织学习能力提升，将公司的战略模式、经营指导、业务培训全部上线, 并将培训与绩效、员工转正挂钩，提高员工培训覆盖率，体现公司“全员参与”的经营理念。</w:t>
      </w:r>
    </w:p>
    <w:p>
      <w:pPr>
        <w:pStyle w:val="Style31"/>
        <w:keepNext/>
        <w:keepLines/>
        <w:widowControl w:val="0"/>
        <w:shd w:val="clear" w:color="auto" w:fill="auto"/>
        <w:tabs>
          <w:tab w:pos="368" w:val="left"/>
        </w:tabs>
        <w:bidi w:val="0"/>
        <w:spacing w:before="0" w:after="140" w:line="466" w:lineRule="exact"/>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4</w:t>
      </w:r>
      <w:bookmarkEnd w:id="515"/>
      <w:r>
        <w:rPr>
          <w:color w:val="000000"/>
          <w:spacing w:val="0"/>
          <w:w w:val="100"/>
          <w:position w:val="0"/>
        </w:rPr>
        <w:t>、</w:t>
        <w:tab/>
        <w:t>劳务外包情况</w:t>
      </w:r>
      <w:bookmarkEnd w:id="513"/>
      <w:bookmarkEnd w:id="514"/>
      <w:bookmarkEnd w:id="516"/>
    </w:p>
    <w:p>
      <w:pPr>
        <w:pStyle w:val="Style25"/>
        <w:keepNext w:val="0"/>
        <w:keepLines w:val="0"/>
        <w:widowControl w:val="0"/>
        <w:shd w:val="clear" w:color="auto" w:fill="auto"/>
        <w:bidi w:val="0"/>
        <w:spacing w:before="0" w:after="220" w:line="466"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13"/>
        <w:keepNext/>
        <w:keepLines/>
        <w:widowControl w:val="0"/>
        <w:shd w:val="clear" w:color="auto" w:fill="auto"/>
        <w:bidi w:val="0"/>
        <w:spacing w:before="0" w:after="560" w:line="240" w:lineRule="auto"/>
        <w:ind w:left="0" w:right="0" w:firstLine="0"/>
        <w:jc w:val="center"/>
      </w:pPr>
      <w:bookmarkStart w:id="517" w:name="bookmark517"/>
      <w:bookmarkStart w:id="518" w:name="bookmark518"/>
      <w:bookmarkStart w:id="519" w:name="bookmark519"/>
      <w:r>
        <w:rPr>
          <w:color w:val="000000"/>
          <w:spacing w:val="0"/>
          <w:w w:val="100"/>
          <w:position w:val="0"/>
        </w:rPr>
        <w:t>第十节公司治理</w:t>
      </w:r>
      <w:bookmarkEnd w:id="517"/>
      <w:bookmarkEnd w:id="518"/>
      <w:bookmarkEnd w:id="519"/>
    </w:p>
    <w:p>
      <w:pPr>
        <w:pStyle w:val="Style23"/>
        <w:keepNext/>
        <w:keepLines/>
        <w:widowControl w:val="0"/>
        <w:shd w:val="clear" w:color="auto" w:fill="auto"/>
        <w:bidi w:val="0"/>
        <w:spacing w:before="0" w:after="180" w:line="240" w:lineRule="auto"/>
        <w:ind w:left="0" w:right="0" w:firstLine="0"/>
        <w:jc w:val="both"/>
      </w:pPr>
      <w:bookmarkStart w:id="520" w:name="bookmark520"/>
      <w:bookmarkStart w:id="521" w:name="bookmark521"/>
      <w:bookmarkStart w:id="522" w:name="bookmark522"/>
      <w:bookmarkStart w:id="523" w:name="bookmark523"/>
      <w:r>
        <w:rPr>
          <w:color w:val="000000"/>
          <w:spacing w:val="0"/>
          <w:w w:val="100"/>
          <w:position w:val="0"/>
          <w:sz w:val="24"/>
          <w:szCs w:val="24"/>
        </w:rPr>
        <w:t>一</w:t>
      </w:r>
      <w:bookmarkEnd w:id="522"/>
      <w:r>
        <w:rPr>
          <w:color w:val="000000"/>
          <w:spacing w:val="0"/>
          <w:w w:val="100"/>
          <w:position w:val="0"/>
          <w:sz w:val="24"/>
          <w:szCs w:val="24"/>
        </w:rPr>
        <w:t>、公司治理的基本状况</w:t>
      </w:r>
      <w:bookmarkEnd w:id="520"/>
      <w:bookmarkEnd w:id="521"/>
      <w:bookmarkEnd w:id="523"/>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公司严格按照《公司法》、《证券法》、《上市公司治理准则》、《股票上市规则》等法律、法规的 要求，不断完善公司治理结构，建立健全内部管理和控制制度，规范公司运作，提高公司治理水平。截至 报告期末，公司已经形成了较为完善的法人治理结构，形成了完善的决策机制、监督机制和执行机制，公 司治理的实际情况与《公司法》和中国证监会相关规定的要求不存在差异。具体情况如下：</w:t>
      </w:r>
    </w:p>
    <w:p>
      <w:pPr>
        <w:pStyle w:val="Style25"/>
        <w:keepNext w:val="0"/>
        <w:keepLines w:val="0"/>
        <w:widowControl w:val="0"/>
        <w:shd w:val="clear" w:color="auto" w:fill="auto"/>
        <w:tabs>
          <w:tab w:pos="1015" w:val="left"/>
        </w:tabs>
        <w:bidi w:val="0"/>
        <w:spacing w:before="0" w:after="0" w:line="470" w:lineRule="exact"/>
        <w:ind w:left="0" w:right="0" w:firstLine="440"/>
        <w:jc w:val="both"/>
      </w:pPr>
      <w:bookmarkStart w:id="524" w:name="bookmark524"/>
      <w:r>
        <w:rPr>
          <w:color w:val="000000"/>
          <w:spacing w:val="0"/>
          <w:w w:val="100"/>
          <w:position w:val="0"/>
        </w:rPr>
        <w:t>（</w:t>
      </w:r>
      <w:bookmarkEnd w:id="524"/>
      <w:r>
        <w:rPr>
          <w:color w:val="000000"/>
          <w:spacing w:val="0"/>
          <w:w w:val="100"/>
          <w:position w:val="0"/>
        </w:rPr>
        <w:t>一）</w:t>
        <w:tab/>
        <w:t>关于股东与股东大会</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股东大会是公司的最高权力机构，公司依据《公司法》、《上市公司治理准则》、《公司章程》等文 件制定了《股东大会议事规则》，规范了股东大会召集、召开、表决程序，平等对待所有股东，积极采用 网络投票等形式，保障中小股东参与度，保证股东对公司重大事项的知情权和参与权，确保全体股东尤其 是中小股东享有平等地位，充分行使自己的权利。</w:t>
      </w:r>
    </w:p>
    <w:p>
      <w:pPr>
        <w:pStyle w:val="Style25"/>
        <w:keepNext w:val="0"/>
        <w:keepLines w:val="0"/>
        <w:widowControl w:val="0"/>
        <w:shd w:val="clear" w:color="auto" w:fill="auto"/>
        <w:tabs>
          <w:tab w:pos="1015" w:val="left"/>
        </w:tabs>
        <w:bidi w:val="0"/>
        <w:spacing w:before="0" w:after="0" w:line="470" w:lineRule="exact"/>
        <w:ind w:left="0" w:right="0" w:firstLine="440"/>
        <w:jc w:val="both"/>
      </w:pPr>
      <w:bookmarkStart w:id="525" w:name="bookmark525"/>
      <w:r>
        <w:rPr>
          <w:color w:val="000000"/>
          <w:spacing w:val="0"/>
          <w:w w:val="100"/>
          <w:position w:val="0"/>
        </w:rPr>
        <w:t>（</w:t>
      </w:r>
      <w:bookmarkEnd w:id="525"/>
      <w:r>
        <w:rPr>
          <w:color w:val="000000"/>
          <w:spacing w:val="0"/>
          <w:w w:val="100"/>
          <w:position w:val="0"/>
        </w:rPr>
        <w:t>二）</w:t>
        <w:tab/>
        <w:t>关于公司与控股股东</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公司拥有独立的业务和自主经营能力，在业务、人员、资产、机构、财务上独立于控股股东，公司董 事会、监事会和内部机构独立运作。公司控股股东严格根据《上市公司治理准则》、《股票上市规则》、</w:t>
      </w:r>
    </w:p>
    <w:p>
      <w:pPr>
        <w:pStyle w:val="Style25"/>
        <w:keepNext w:val="0"/>
        <w:keepLines w:val="0"/>
        <w:widowControl w:val="0"/>
        <w:shd w:val="clear" w:color="auto" w:fill="auto"/>
        <w:bidi w:val="0"/>
        <w:spacing w:before="0" w:after="0" w:line="470" w:lineRule="exact"/>
        <w:ind w:left="0" w:right="0" w:firstLine="0"/>
        <w:jc w:val="both"/>
      </w:pPr>
      <w:r>
        <w:rPr>
          <w:color w:val="000000"/>
          <w:spacing w:val="0"/>
          <w:w w:val="100"/>
          <w:position w:val="0"/>
        </w:rPr>
        <w:t>《公司章程》规范股东行为，通过股东大会行使股东权利，未发生超越股东大会及董事会而直接或间接干 预公司经营与决策的行为。</w:t>
      </w:r>
    </w:p>
    <w:p>
      <w:pPr>
        <w:pStyle w:val="Style25"/>
        <w:keepNext w:val="0"/>
        <w:keepLines w:val="0"/>
        <w:widowControl w:val="0"/>
        <w:shd w:val="clear" w:color="auto" w:fill="auto"/>
        <w:tabs>
          <w:tab w:pos="1015" w:val="left"/>
        </w:tabs>
        <w:bidi w:val="0"/>
        <w:spacing w:before="0" w:after="0" w:line="470" w:lineRule="exact"/>
        <w:ind w:left="0" w:right="0" w:firstLine="440"/>
        <w:jc w:val="both"/>
      </w:pPr>
      <w:bookmarkStart w:id="526" w:name="bookmark526"/>
      <w:r>
        <w:rPr>
          <w:color w:val="000000"/>
          <w:spacing w:val="0"/>
          <w:w w:val="100"/>
          <w:position w:val="0"/>
        </w:rPr>
        <w:t>（</w:t>
      </w:r>
      <w:bookmarkEnd w:id="526"/>
      <w:r>
        <w:rPr>
          <w:color w:val="000000"/>
          <w:spacing w:val="0"/>
          <w:w w:val="100"/>
          <w:position w:val="0"/>
        </w:rPr>
        <w:t>三）</w:t>
        <w:tab/>
        <w:t>关于董事与董事会</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公司严格按照《公司法》、《公司章程》等相关法律法规选举产生董事人选，公司目前有独立董事三 名，占全体董事的三分之一，董事会人数及人员构成符合法律法规和《公司章程》的要求。公司董事会严 格按照《公司章程》、《独立董事工作制度》及《董事会议事规则》、《规范运作指引》等相关规定召集 召开董事会，各董事按要求出席董事会，认真审议各项议案，勤勉尽责。独立董事独立履行职责，维护公 司整体利益，尤其关注中小股东的合法权益不受损害，对重要及重大事项发表独立意见。</w:t>
      </w:r>
    </w:p>
    <w:p>
      <w:pPr>
        <w:pStyle w:val="Style25"/>
        <w:keepNext w:val="0"/>
        <w:keepLines w:val="0"/>
        <w:widowControl w:val="0"/>
        <w:shd w:val="clear" w:color="auto" w:fill="auto"/>
        <w:tabs>
          <w:tab w:pos="1015" w:val="left"/>
        </w:tabs>
        <w:bidi w:val="0"/>
        <w:spacing w:before="0" w:after="0" w:line="470" w:lineRule="exact"/>
        <w:ind w:left="0" w:right="0" w:firstLine="440"/>
        <w:jc w:val="both"/>
      </w:pPr>
      <w:bookmarkStart w:id="527" w:name="bookmark527"/>
      <w:r>
        <w:rPr>
          <w:color w:val="000000"/>
          <w:spacing w:val="0"/>
          <w:w w:val="100"/>
          <w:position w:val="0"/>
        </w:rPr>
        <w:t>（</w:t>
      </w:r>
      <w:bookmarkEnd w:id="527"/>
      <w:r>
        <w:rPr>
          <w:color w:val="000000"/>
          <w:spacing w:val="0"/>
          <w:w w:val="100"/>
          <w:position w:val="0"/>
        </w:rPr>
        <w:t>四）</w:t>
        <w:tab/>
        <w:t>关于监事与监事会</w:t>
      </w:r>
    </w:p>
    <w:p>
      <w:pPr>
        <w:pStyle w:val="Style25"/>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公司严格按照《公司法》、《公司章程》等相关法律法规选举产生监事人选，公司监事会由</w:t>
      </w:r>
      <w:r>
        <w:rPr>
          <w:color w:val="000000"/>
          <w:spacing w:val="0"/>
          <w:w w:val="100"/>
          <w:position w:val="0"/>
        </w:rPr>
        <w:t>3</w:t>
      </w:r>
      <w:r>
        <w:rPr>
          <w:color w:val="000000"/>
          <w:spacing w:val="0"/>
          <w:w w:val="100"/>
          <w:position w:val="0"/>
        </w:rPr>
        <w:t>名监事 组成，监事会人数及人员构成符合法律法规的要求。公司监事会严格按照《公司章程》及《监事会议事规 则》等相关规定召集召开监事会，各监事按要求出席监事会，认真履行职责，对公司重大事项、关联交易、 财务状况等进行监督并发表意见，维护了公司及股东的合法权益。</w:t>
      </w:r>
    </w:p>
    <w:p>
      <w:pPr>
        <w:pStyle w:val="Style25"/>
        <w:keepNext w:val="0"/>
        <w:keepLines w:val="0"/>
        <w:widowControl w:val="0"/>
        <w:shd w:val="clear" w:color="auto" w:fill="auto"/>
        <w:tabs>
          <w:tab w:pos="1034" w:val="left"/>
        </w:tabs>
        <w:bidi w:val="0"/>
        <w:spacing w:before="0" w:after="0" w:line="469" w:lineRule="exact"/>
        <w:ind w:left="0" w:right="0" w:firstLine="440"/>
        <w:jc w:val="both"/>
      </w:pPr>
      <w:bookmarkStart w:id="528" w:name="bookmark528"/>
      <w:r>
        <w:rPr>
          <w:color w:val="000000"/>
          <w:spacing w:val="0"/>
          <w:w w:val="100"/>
          <w:position w:val="0"/>
        </w:rPr>
        <w:t>（</w:t>
      </w:r>
      <w:bookmarkEnd w:id="528"/>
      <w:r>
        <w:rPr>
          <w:color w:val="000000"/>
          <w:spacing w:val="0"/>
          <w:w w:val="100"/>
          <w:position w:val="0"/>
        </w:rPr>
        <w:t>五）</w:t>
        <w:tab/>
        <w:t>关于信息披露与透明度</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公司严格执行《信息披露管理制度》、《董事会秘书工作制度》、《内幕信息知情人管理制度》等， 由董事会秘书负责信息披露工作，建立投资者专线电话、电子邮箱，提高公司运作的透明度。公司指定《证 券时报》、《证券日报》、《中国证券报》、《上海证券报》及巨潮资讯网作为公司信息披露的法定媒体, 严格按照有关规定真实、准确、完整、及时地披露有关信息，确保所有投资者能够以平等的机会获取信息。</w:t>
      </w:r>
    </w:p>
    <w:p>
      <w:pPr>
        <w:pStyle w:val="Style25"/>
        <w:keepNext w:val="0"/>
        <w:keepLines w:val="0"/>
        <w:widowControl w:val="0"/>
        <w:shd w:val="clear" w:color="auto" w:fill="auto"/>
        <w:tabs>
          <w:tab w:pos="1034" w:val="left"/>
        </w:tabs>
        <w:bidi w:val="0"/>
        <w:spacing w:before="0" w:after="0" w:line="469" w:lineRule="exact"/>
        <w:ind w:left="0" w:right="0" w:firstLine="440"/>
        <w:jc w:val="both"/>
      </w:pPr>
      <w:bookmarkStart w:id="529" w:name="bookmark529"/>
      <w:r>
        <w:rPr>
          <w:color w:val="000000"/>
          <w:spacing w:val="0"/>
          <w:w w:val="100"/>
          <w:position w:val="0"/>
        </w:rPr>
        <w:t>（</w:t>
      </w:r>
      <w:bookmarkEnd w:id="529"/>
      <w:r>
        <w:rPr>
          <w:color w:val="000000"/>
          <w:spacing w:val="0"/>
          <w:w w:val="100"/>
          <w:position w:val="0"/>
        </w:rPr>
        <w:t>六）</w:t>
        <w:tab/>
        <w:t>关于相关利益者</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公司充分尊重和维护相关利益者的合法权益，积极加强与相关利益者的沟通和交流，推动公司持续、 稳定、健康地发展。公司的治理情况符合中国证监会有关上市公司治理的规范性文件要求。</w:t>
      </w:r>
    </w:p>
    <w:p>
      <w:pPr>
        <w:pStyle w:val="Style25"/>
        <w:keepNext w:val="0"/>
        <w:keepLines w:val="0"/>
        <w:widowControl w:val="0"/>
        <w:shd w:val="clear" w:color="auto" w:fill="auto"/>
        <w:tabs>
          <w:tab w:pos="1034" w:val="left"/>
        </w:tabs>
        <w:bidi w:val="0"/>
        <w:spacing w:before="0" w:after="0" w:line="469" w:lineRule="exact"/>
        <w:ind w:left="0" w:right="0" w:firstLine="440"/>
        <w:jc w:val="both"/>
      </w:pPr>
      <w:bookmarkStart w:id="530" w:name="bookmark530"/>
      <w:r>
        <w:rPr>
          <w:color w:val="000000"/>
          <w:spacing w:val="0"/>
          <w:w w:val="100"/>
          <w:position w:val="0"/>
        </w:rPr>
        <w:t>（</w:t>
      </w:r>
      <w:bookmarkEnd w:id="530"/>
      <w:r>
        <w:rPr>
          <w:color w:val="000000"/>
          <w:spacing w:val="0"/>
          <w:w w:val="100"/>
          <w:position w:val="0"/>
        </w:rPr>
        <w:t>七）</w:t>
        <w:tab/>
        <w:t>关于公司与投资者</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公司严格执行《投资者关系管理制度》、《机构投资者接待管理办法》，公司董事会秘书为投资者关 系管理负责人，组织实施投资者关系的日常管理工作。报告期内，公司通过电话、接待投资者、深交所投 资者关系互动平台等方式，加强与投资者的沟通。</w:t>
      </w:r>
    </w:p>
    <w:p>
      <w:pPr>
        <w:pStyle w:val="Style25"/>
        <w:keepNext w:val="0"/>
        <w:keepLines w:val="0"/>
        <w:widowControl w:val="0"/>
        <w:shd w:val="clear" w:color="auto" w:fill="auto"/>
        <w:tabs>
          <w:tab w:pos="1034" w:val="left"/>
        </w:tabs>
        <w:bidi w:val="0"/>
        <w:spacing w:before="0" w:after="0" w:line="469" w:lineRule="exact"/>
        <w:ind w:left="0" w:right="0" w:firstLine="440"/>
        <w:jc w:val="both"/>
      </w:pPr>
      <w:bookmarkStart w:id="531" w:name="bookmark531"/>
      <w:r>
        <w:rPr>
          <w:color w:val="000000"/>
          <w:spacing w:val="0"/>
          <w:w w:val="100"/>
          <w:position w:val="0"/>
        </w:rPr>
        <w:t>（</w:t>
      </w:r>
      <w:bookmarkEnd w:id="531"/>
      <w:r>
        <w:rPr>
          <w:color w:val="000000"/>
          <w:spacing w:val="0"/>
          <w:w w:val="100"/>
          <w:position w:val="0"/>
        </w:rPr>
        <w:t>八）</w:t>
        <w:tab/>
        <w:t>关于绩效评价与激励约束机制</w:t>
      </w:r>
    </w:p>
    <w:p>
      <w:pPr>
        <w:pStyle w:val="Style25"/>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公司逐步完善和建立公正、透明的董事、监事及高级管理人员绩效评价体系和激励约束机制，高级管 理人员的聘任公开、透明，符合有关法律法规和公司内部规章制度的要求。公司根据《公司章程》中对高 级管理人员履职行为、权限和职责的规定进行综合考评，本公司高级管理人员实行年薪制，根据高级管理 人员的年度履职情况、绩效考核结果和公司经营业绩的情况决定其年度薪酬。</w:t>
      </w:r>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20"/>
          <w:szCs w:val="20"/>
        </w:rPr>
        <w:t>口</w:t>
      </w:r>
      <w:r>
        <w:rPr>
          <w:color w:val="000000"/>
          <w:spacing w:val="0"/>
          <w:w w:val="100"/>
          <w:position w:val="0"/>
          <w:sz w:val="19"/>
          <w:szCs w:val="19"/>
        </w:rPr>
        <w:t>是</w:t>
      </w:r>
      <w:r>
        <w:rPr>
          <w:color w:val="000000"/>
          <w:spacing w:val="0"/>
          <w:w w:val="100"/>
          <w:position w:val="0"/>
          <w:sz w:val="20"/>
          <w:szCs w:val="20"/>
        </w:rPr>
        <w:t>寸</w:t>
      </w:r>
      <w:r>
        <w:rPr>
          <w:color w:val="000000"/>
          <w:spacing w:val="0"/>
          <w:w w:val="100"/>
          <w:position w:val="0"/>
          <w:sz w:val="19"/>
          <w:szCs w:val="19"/>
        </w:rPr>
        <w:t>否</w:t>
      </w:r>
    </w:p>
    <w:p>
      <w:pPr>
        <w:pStyle w:val="Style25"/>
        <w:keepNext w:val="0"/>
        <w:keepLines w:val="0"/>
        <w:widowControl w:val="0"/>
        <w:shd w:val="clear" w:color="auto" w:fill="auto"/>
        <w:bidi w:val="0"/>
        <w:spacing w:before="0" w:after="340" w:line="240" w:lineRule="auto"/>
        <w:ind w:left="0" w:right="0" w:firstLine="0"/>
        <w:jc w:val="left"/>
        <w:rPr>
          <w:sz w:val="19"/>
          <w:szCs w:val="19"/>
        </w:rPr>
      </w:pPr>
      <w:r>
        <w:rPr>
          <w:color w:val="000000"/>
          <w:spacing w:val="0"/>
          <w:w w:val="100"/>
          <w:position w:val="0"/>
          <w:sz w:val="19"/>
          <w:szCs w:val="19"/>
        </w:rPr>
        <w:t>公司治理的实际状况与中国证监会发布的有关上市公司治理的规范性文件不存在重大差异。</w:t>
      </w:r>
    </w:p>
    <w:p>
      <w:pPr>
        <w:pStyle w:val="Style23"/>
        <w:keepNext/>
        <w:keepLines/>
        <w:widowControl w:val="0"/>
        <w:shd w:val="clear" w:color="auto" w:fill="auto"/>
        <w:bidi w:val="0"/>
        <w:spacing w:before="0" w:after="20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sz w:val="24"/>
          <w:szCs w:val="24"/>
        </w:rPr>
        <w:t>二</w:t>
      </w:r>
      <w:bookmarkEnd w:id="534"/>
      <w:r>
        <w:rPr>
          <w:color w:val="000000"/>
          <w:spacing w:val="0"/>
          <w:w w:val="100"/>
          <w:position w:val="0"/>
          <w:sz w:val="24"/>
          <w:szCs w:val="24"/>
        </w:rPr>
        <w:t>、公司相对于控股股东在业务、人员、资产、机构、财务等方面的独立情况</w:t>
      </w:r>
      <w:bookmarkEnd w:id="532"/>
      <w:bookmarkEnd w:id="533"/>
      <w:bookmarkEnd w:id="535"/>
    </w:p>
    <w:p>
      <w:pPr>
        <w:pStyle w:val="Style25"/>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公司与控股股东在业务、人员、资产、机构、财务等方面完全分开，具有独立完整的业务及自主经营 能力。</w:t>
      </w:r>
    </w:p>
    <w:p>
      <w:pPr>
        <w:pStyle w:val="Style25"/>
        <w:keepNext w:val="0"/>
        <w:keepLines w:val="0"/>
        <w:widowControl w:val="0"/>
        <w:shd w:val="clear" w:color="auto" w:fill="auto"/>
        <w:tabs>
          <w:tab w:pos="1122" w:val="left"/>
        </w:tabs>
        <w:bidi w:val="0"/>
        <w:spacing w:before="0" w:after="0" w:line="473" w:lineRule="exact"/>
        <w:ind w:left="0" w:right="0" w:firstLine="440"/>
        <w:jc w:val="both"/>
      </w:pPr>
      <w:bookmarkStart w:id="536" w:name="bookmark536"/>
      <w:r>
        <w:rPr>
          <w:color w:val="000000"/>
          <w:spacing w:val="0"/>
          <w:w w:val="100"/>
          <w:position w:val="0"/>
        </w:rPr>
        <w:t>（</w:t>
      </w:r>
      <w:bookmarkEnd w:id="536"/>
      <w:r>
        <w:rPr>
          <w:color w:val="000000"/>
          <w:spacing w:val="0"/>
          <w:w w:val="100"/>
          <w:position w:val="0"/>
        </w:rPr>
        <w:t>一）</w:t>
        <w:tab/>
        <w:t>业务独立：公司拥有独立完整的业务体系及自主经营能力，能够面向市场独立经营、核算和决 策，独立承担责任与风险。公司的业务开展完全独立于控股股东，不存在受制于公司股东及其它关联方的 情况。</w:t>
      </w:r>
    </w:p>
    <w:p>
      <w:pPr>
        <w:pStyle w:val="Style25"/>
        <w:keepNext w:val="0"/>
        <w:keepLines w:val="0"/>
        <w:widowControl w:val="0"/>
        <w:shd w:val="clear" w:color="auto" w:fill="auto"/>
        <w:tabs>
          <w:tab w:pos="1117" w:val="left"/>
        </w:tabs>
        <w:bidi w:val="0"/>
        <w:spacing w:before="0" w:after="0" w:line="473" w:lineRule="exact"/>
        <w:ind w:left="0" w:right="0" w:firstLine="440"/>
        <w:jc w:val="both"/>
      </w:pPr>
      <w:bookmarkStart w:id="537" w:name="bookmark537"/>
      <w:r>
        <w:rPr>
          <w:color w:val="000000"/>
          <w:spacing w:val="0"/>
          <w:w w:val="100"/>
          <w:position w:val="0"/>
        </w:rPr>
        <w:t>（</w:t>
      </w:r>
      <w:bookmarkEnd w:id="537"/>
      <w:r>
        <w:rPr>
          <w:color w:val="000000"/>
          <w:spacing w:val="0"/>
          <w:w w:val="100"/>
          <w:position w:val="0"/>
        </w:rPr>
        <w:t>二）</w:t>
        <w:tab/>
        <w:t xml:space="preserve">人员独立：公司董事（含独立董事）、监事及高级管理人员严格按照《公司法》、《公司章程》 的有关规定产生，公司的总经理、副总经理、财务负责人、董事会秘书等高级管理人员均在公司专职工作 并领取薪酬，不存在在关联企业兼职领薪的情况；公司高级管理人员的任免均由公司董事会通过合法程序 </w:t>
      </w:r>
      <w:r>
        <w:rPr>
          <w:color w:val="000000"/>
          <w:spacing w:val="0"/>
          <w:w w:val="100"/>
          <w:position w:val="0"/>
        </w:rPr>
        <w:t>决定，不存在控股股东干涉人事任免决定的现象；公司拥有独立的员工队伍，并已建立较为完善的劳动用 工和人事管理制度。公司依据国家的法律法规与员工签定了劳动合同并缴纳社会保险费用，公司拥有独立 的劳动用工权利，不存在受控股股东控制的情形。</w:t>
      </w:r>
    </w:p>
    <w:p>
      <w:pPr>
        <w:pStyle w:val="Style25"/>
        <w:keepNext w:val="0"/>
        <w:keepLines w:val="0"/>
        <w:widowControl w:val="0"/>
        <w:shd w:val="clear" w:color="auto" w:fill="auto"/>
        <w:tabs>
          <w:tab w:pos="1126" w:val="left"/>
        </w:tabs>
        <w:bidi w:val="0"/>
        <w:spacing w:before="0" w:after="0" w:line="470" w:lineRule="exact"/>
        <w:ind w:left="0" w:right="0" w:firstLine="440"/>
        <w:jc w:val="both"/>
      </w:pPr>
      <w:bookmarkStart w:id="538" w:name="bookmark538"/>
      <w:r>
        <w:rPr>
          <w:color w:val="000000"/>
          <w:spacing w:val="0"/>
          <w:w w:val="100"/>
          <w:position w:val="0"/>
        </w:rPr>
        <w:t>（</w:t>
      </w:r>
      <w:bookmarkEnd w:id="538"/>
      <w:r>
        <w:rPr>
          <w:color w:val="000000"/>
          <w:spacing w:val="0"/>
          <w:w w:val="100"/>
          <w:position w:val="0"/>
        </w:rPr>
        <w:t>三）</w:t>
        <w:tab/>
        <w:t>资产独立：公司的资产完整，拥有与生产经营范围相适应的各项资质、设备、知识产权等资产。 公司的各项资产均拥有完整的所有权。公司资产独立于公司控股股东，对所有资产有完全的控制支配权， 不存在资产、资金被控股股东占用而损害公司利益的情况，亦不存在为股东和其他个人提供担保的情形。</w:t>
      </w:r>
    </w:p>
    <w:p>
      <w:pPr>
        <w:pStyle w:val="Style25"/>
        <w:keepNext w:val="0"/>
        <w:keepLines w:val="0"/>
        <w:widowControl w:val="0"/>
        <w:shd w:val="clear" w:color="auto" w:fill="auto"/>
        <w:tabs>
          <w:tab w:pos="1126" w:val="left"/>
        </w:tabs>
        <w:bidi w:val="0"/>
        <w:spacing w:before="0" w:after="0" w:line="470" w:lineRule="exact"/>
        <w:ind w:left="0" w:right="0" w:firstLine="440"/>
        <w:jc w:val="both"/>
      </w:pPr>
      <w:bookmarkStart w:id="539" w:name="bookmark539"/>
      <w:r>
        <w:rPr>
          <w:color w:val="000000"/>
          <w:spacing w:val="0"/>
          <w:w w:val="100"/>
          <w:position w:val="0"/>
        </w:rPr>
        <w:t>（</w:t>
      </w:r>
      <w:bookmarkEnd w:id="539"/>
      <w:r>
        <w:rPr>
          <w:color w:val="000000"/>
          <w:spacing w:val="0"/>
          <w:w w:val="100"/>
          <w:position w:val="0"/>
        </w:rPr>
        <w:t>四）</w:t>
        <w:tab/>
        <w:t>机构独立：公司依照《公司法》和《公司章程》的规定，设置了股东大会、董事会、监事会， 制定了议事规则，公司独立行使经营管理职权，独立于公司的控股股东、实际控制人及其控制的其他企业, 不存在机构混同的情形。公司的办公场所独立于股东单位，不存在混合经营、合署办公的情形。</w:t>
      </w:r>
    </w:p>
    <w:p>
      <w:pPr>
        <w:pStyle w:val="Style25"/>
        <w:keepNext w:val="0"/>
        <w:keepLines w:val="0"/>
        <w:widowControl w:val="0"/>
        <w:shd w:val="clear" w:color="auto" w:fill="auto"/>
        <w:tabs>
          <w:tab w:pos="1126" w:val="left"/>
        </w:tabs>
        <w:bidi w:val="0"/>
        <w:spacing w:before="0" w:after="420" w:line="470" w:lineRule="exact"/>
        <w:ind w:left="0" w:right="0" w:firstLine="440"/>
        <w:jc w:val="both"/>
      </w:pPr>
      <w:bookmarkStart w:id="540" w:name="bookmark540"/>
      <w:r>
        <w:rPr>
          <w:color w:val="000000"/>
          <w:spacing w:val="0"/>
          <w:w w:val="100"/>
          <w:position w:val="0"/>
        </w:rPr>
        <w:t>（</w:t>
      </w:r>
      <w:bookmarkEnd w:id="540"/>
      <w:r>
        <w:rPr>
          <w:color w:val="000000"/>
          <w:spacing w:val="0"/>
          <w:w w:val="100"/>
          <w:position w:val="0"/>
        </w:rPr>
        <w:t>五）</w:t>
        <w:tab/>
        <w:t>财务独立：公司设立了独立的财务部门，配备了专职财务人员，建立了独立的会计核算体系和 财务管理制度。公司在银行独立开户，依法独立纳税，具有独立作出财务决策的能力。</w:t>
      </w:r>
    </w:p>
    <w:p>
      <w:pPr>
        <w:pStyle w:val="Style23"/>
        <w:keepNext/>
        <w:keepLines/>
        <w:widowControl w:val="0"/>
        <w:shd w:val="clear" w:color="auto" w:fill="auto"/>
        <w:tabs>
          <w:tab w:pos="522" w:val="left"/>
        </w:tabs>
        <w:bidi w:val="0"/>
        <w:spacing w:before="0" w:after="36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sz w:val="24"/>
          <w:szCs w:val="24"/>
        </w:rPr>
        <w:t>三</w:t>
      </w:r>
      <w:bookmarkEnd w:id="543"/>
      <w:r>
        <w:rPr>
          <w:color w:val="000000"/>
          <w:spacing w:val="0"/>
          <w:w w:val="100"/>
          <w:position w:val="0"/>
          <w:sz w:val="24"/>
          <w:szCs w:val="24"/>
        </w:rPr>
        <w:t>、</w:t>
        <w:tab/>
        <w:t>同业竞争情况</w:t>
      </w:r>
      <w:bookmarkEnd w:id="541"/>
      <w:bookmarkEnd w:id="542"/>
      <w:bookmarkEnd w:id="544"/>
    </w:p>
    <w:p>
      <w:pPr>
        <w:pStyle w:val="Style25"/>
        <w:keepNext w:val="0"/>
        <w:keepLines w:val="0"/>
        <w:widowControl w:val="0"/>
        <w:shd w:val="clear" w:color="auto" w:fill="auto"/>
        <w:bidi w:val="0"/>
        <w:spacing w:before="0" w:line="492"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3"/>
        <w:keepNext/>
        <w:keepLines/>
        <w:widowControl w:val="0"/>
        <w:shd w:val="clear" w:color="auto" w:fill="auto"/>
        <w:tabs>
          <w:tab w:pos="522" w:val="left"/>
        </w:tabs>
        <w:bidi w:val="0"/>
        <w:spacing w:before="0" w:after="36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四</w:t>
      </w:r>
      <w:bookmarkEnd w:id="547"/>
      <w:r>
        <w:rPr>
          <w:color w:val="000000"/>
          <w:spacing w:val="0"/>
          <w:w w:val="100"/>
          <w:position w:val="0"/>
          <w:sz w:val="24"/>
          <w:szCs w:val="24"/>
        </w:rPr>
        <w:t>、</w:t>
        <w:tab/>
        <w:t>报告期内召开的年度股东大会和临时股东大会的有关情况</w:t>
      </w:r>
      <w:bookmarkEnd w:id="545"/>
      <w:bookmarkEnd w:id="546"/>
      <w:bookmarkEnd w:id="548"/>
    </w:p>
    <w:p>
      <w:pPr>
        <w:pStyle w:val="Style31"/>
        <w:keepNext/>
        <w:keepLines/>
        <w:widowControl w:val="0"/>
        <w:shd w:val="clear" w:color="auto" w:fill="auto"/>
        <w:bidi w:val="0"/>
        <w:spacing w:before="0" w:after="80" w:line="492"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color w:val="000000"/>
          <w:spacing w:val="0"/>
          <w:w w:val="100"/>
          <w:position w:val="0"/>
        </w:rPr>
        <w:t>、本报告期股东大会情况</w:t>
      </w:r>
      <w:bookmarkEnd w:id="549"/>
      <w:bookmarkEnd w:id="550"/>
      <w:bookmarkEnd w:id="552"/>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披露索引</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《北京中科金财科 技股份有限公司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年年度股东大 会决议公告》刊登于</w:t>
            </w:r>
          </w:p>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《证券时报》、《证券 日报》、《中国证券 报》、《上海证券报》 及巨潮资讯网 </w:t>
            </w:r>
            <w:r>
              <w:rPr>
                <w:rFonts w:ascii="Times New Roman" w:eastAsia="Times New Roman" w:hAnsi="Times New Roman" w:cs="Times New Roman"/>
                <w:color w:val="000000"/>
                <w:spacing w:val="0"/>
                <w:w w:val="100"/>
                <w:position w:val="0"/>
                <w:sz w:val="18"/>
                <w:szCs w:val="18"/>
              </w:rPr>
              <w:t>http: //www. cninfo. c o m.cn</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《北京中科金财科 技股份有限公司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 股东大会决议公告》 刊登于《证券时报》、</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《证券日报》、《中国 证券报》、《上海证券</w:t>
            </w:r>
          </w:p>
        </w:tc>
      </w:tr>
    </w:tbl>
    <w:tbl>
      <w:tblPr>
        <w:tblOverlap w:val="never"/>
        <w:jc w:val="center"/>
        <w:tblLayout w:type="fixed"/>
      </w:tblPr>
      <w:tblGrid>
        <w:gridCol w:w="1603"/>
        <w:gridCol w:w="1594"/>
        <w:gridCol w:w="1594"/>
        <w:gridCol w:w="1598"/>
        <w:gridCol w:w="1594"/>
        <w:gridCol w:w="1603"/>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报》及巨潮资讯网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 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both"/>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2</w:t>
      </w:r>
      <w:bookmarkEnd w:id="555"/>
      <w:r>
        <w:rPr>
          <w:color w:val="000000"/>
          <w:spacing w:val="0"/>
          <w:w w:val="100"/>
          <w:position w:val="0"/>
        </w:rPr>
        <w:t>、表决权恢复的优先股股东请求召开临时股东大会</w:t>
      </w:r>
      <w:bookmarkEnd w:id="553"/>
      <w:bookmarkEnd w:id="554"/>
      <w:bookmarkEnd w:id="556"/>
    </w:p>
    <w:p>
      <w:pPr>
        <w:pStyle w:val="Style25"/>
        <w:keepNext w:val="0"/>
        <w:keepLines w:val="0"/>
        <w:widowControl w:val="0"/>
        <w:shd w:val="clear" w:color="auto" w:fill="auto"/>
        <w:bidi w:val="0"/>
        <w:spacing w:before="0" w:after="34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3"/>
        <w:keepNext/>
        <w:keepLines/>
        <w:widowControl w:val="0"/>
        <w:shd w:val="clear" w:color="auto" w:fill="auto"/>
        <w:bidi w:val="0"/>
        <w:spacing w:before="0" w:line="240" w:lineRule="auto"/>
        <w:ind w:left="0" w:right="0" w:firstLine="0"/>
        <w:jc w:val="both"/>
      </w:pPr>
      <w:bookmarkStart w:id="557" w:name="bookmark557"/>
      <w:bookmarkStart w:id="558" w:name="bookmark558"/>
      <w:bookmarkStart w:id="559" w:name="bookmark559"/>
      <w:bookmarkStart w:id="560" w:name="bookmark560"/>
      <w:r>
        <w:rPr>
          <w:color w:val="000000"/>
          <w:spacing w:val="0"/>
          <w:w w:val="100"/>
          <w:position w:val="0"/>
          <w:sz w:val="24"/>
          <w:szCs w:val="24"/>
        </w:rPr>
        <w:t>五</w:t>
      </w:r>
      <w:bookmarkEnd w:id="559"/>
      <w:r>
        <w:rPr>
          <w:color w:val="000000"/>
          <w:spacing w:val="0"/>
          <w:w w:val="100"/>
          <w:position w:val="0"/>
          <w:sz w:val="24"/>
          <w:szCs w:val="24"/>
        </w:rPr>
        <w:t>、报告期内独立董事履行职责的情况</w:t>
      </w:r>
      <w:bookmarkEnd w:id="557"/>
      <w:bookmarkEnd w:id="558"/>
      <w:bookmarkEnd w:id="560"/>
    </w:p>
    <w:p>
      <w:pPr>
        <w:pStyle w:val="Style31"/>
        <w:keepNext/>
        <w:keepLines/>
        <w:widowControl w:val="0"/>
        <w:shd w:val="clear" w:color="auto" w:fill="auto"/>
        <w:bidi w:val="0"/>
        <w:spacing w:before="0" w:line="240" w:lineRule="auto"/>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bookmarkEnd w:id="563"/>
      <w:r>
        <w:rPr>
          <w:color w:val="000000"/>
          <w:spacing w:val="0"/>
          <w:w w:val="100"/>
          <w:position w:val="0"/>
        </w:rPr>
        <w:t>、独立董事出席董事会及股东大会的情况</w:t>
      </w:r>
      <w:bookmarkEnd w:id="561"/>
      <w:bookmarkEnd w:id="562"/>
      <w:bookmarkEnd w:id="564"/>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季成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刘书锦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19" w:line="1" w:lineRule="exact"/>
      </w:pPr>
    </w:p>
    <w:p>
      <w:pPr>
        <w:pStyle w:val="Style31"/>
        <w:keepNext/>
        <w:keepLines/>
        <w:widowControl w:val="0"/>
        <w:shd w:val="clear" w:color="auto" w:fill="auto"/>
        <w:tabs>
          <w:tab w:pos="378" w:val="left"/>
        </w:tabs>
        <w:bidi w:val="0"/>
        <w:spacing w:before="0" w:line="470" w:lineRule="exact"/>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2</w:t>
      </w:r>
      <w:bookmarkEnd w:id="567"/>
      <w:r>
        <w:rPr>
          <w:color w:val="000000"/>
          <w:spacing w:val="0"/>
          <w:w w:val="100"/>
          <w:position w:val="0"/>
        </w:rPr>
        <w:t>、</w:t>
        <w:tab/>
        <w:t>独立董事对公司有关事项提出异议的情况</w:t>
      </w:r>
      <w:bookmarkEnd w:id="565"/>
      <w:bookmarkEnd w:id="566"/>
      <w:bookmarkEnd w:id="568"/>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独立董事对公司有关事项是否提出异议</w:t>
      </w:r>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20"/>
          <w:szCs w:val="20"/>
        </w:rPr>
        <w:t>口</w:t>
      </w:r>
      <w:r>
        <w:rPr>
          <w:color w:val="000000"/>
          <w:spacing w:val="0"/>
          <w:w w:val="100"/>
          <w:position w:val="0"/>
          <w:sz w:val="19"/>
          <w:szCs w:val="19"/>
        </w:rPr>
        <w:t>是</w:t>
      </w:r>
      <w:r>
        <w:rPr>
          <w:i/>
          <w:iCs/>
          <w:color w:val="000000"/>
          <w:spacing w:val="0"/>
          <w:w w:val="100"/>
          <w:position w:val="0"/>
          <w:sz w:val="19"/>
          <w:szCs w:val="19"/>
        </w:rPr>
        <w:t>。否</w:t>
      </w:r>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报告期内独立董事对公司有关事项未提出异议。</w:t>
      </w:r>
    </w:p>
    <w:p>
      <w:pPr>
        <w:pStyle w:val="Style31"/>
        <w:keepNext/>
        <w:keepLines/>
        <w:widowControl w:val="0"/>
        <w:shd w:val="clear" w:color="auto" w:fill="auto"/>
        <w:tabs>
          <w:tab w:pos="378" w:val="left"/>
        </w:tabs>
        <w:bidi w:val="0"/>
        <w:spacing w:before="0" w:line="470" w:lineRule="exact"/>
        <w:ind w:left="0" w:right="0" w:firstLine="0"/>
        <w:jc w:val="both"/>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3</w:t>
      </w:r>
      <w:bookmarkEnd w:id="571"/>
      <w:r>
        <w:rPr>
          <w:color w:val="000000"/>
          <w:spacing w:val="0"/>
          <w:w w:val="100"/>
          <w:position w:val="0"/>
        </w:rPr>
        <w:t>、</w:t>
        <w:tab/>
        <w:t>独立董事履行职责的其他说明</w:t>
      </w:r>
      <w:bookmarkEnd w:id="569"/>
      <w:bookmarkEnd w:id="570"/>
      <w:bookmarkEnd w:id="572"/>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独立董事对公司有关建议是否被采纳</w:t>
      </w:r>
    </w:p>
    <w:p>
      <w:pPr>
        <w:pStyle w:val="Style25"/>
        <w:keepNext w:val="0"/>
        <w:keepLines w:val="0"/>
        <w:widowControl w:val="0"/>
        <w:shd w:val="clear" w:color="auto" w:fill="auto"/>
        <w:bidi w:val="0"/>
        <w:spacing w:before="0" w:after="12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否</w:t>
      </w:r>
    </w:p>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独立董事对公司有关建议被采纳或未被采纳的说明</w:t>
      </w:r>
    </w:p>
    <w:p>
      <w:pPr>
        <w:pStyle w:val="Style25"/>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公司独立董事在</w:t>
      </w:r>
      <w:r>
        <w:rPr>
          <w:rFonts w:ascii="Times New Roman" w:eastAsia="Times New Roman" w:hAnsi="Times New Roman" w:cs="Times New Roman"/>
          <w:color w:val="000000"/>
          <w:spacing w:val="0"/>
          <w:w w:val="100"/>
          <w:position w:val="0"/>
        </w:rPr>
        <w:t>2020</w:t>
      </w:r>
      <w:r>
        <w:rPr>
          <w:color w:val="000000"/>
          <w:spacing w:val="0"/>
          <w:w w:val="100"/>
          <w:position w:val="0"/>
        </w:rPr>
        <w:t>年度勤勉尽责，积极了解公司的生产经营情况和财务状况；及时关注经济形势以 及市场变化对公司经营状况的影响；关注传媒、网络有关公司的相关报道；及时获悉公司重大事项的进展 情况，认真审阅公司提供的定期报告、临时公告；对报告期内公司发生的相关事项出具了独立、公正的独 立董事意见，有效地履行了独立董事的职责，维护了公司和中小股东的合法权益。</w:t>
      </w:r>
    </w:p>
    <w:p>
      <w:pPr>
        <w:pStyle w:val="Style23"/>
        <w:keepNext/>
        <w:keepLines/>
        <w:widowControl w:val="0"/>
        <w:shd w:val="clear" w:color="auto" w:fill="auto"/>
        <w:bidi w:val="0"/>
        <w:spacing w:before="0" w:after="44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sz w:val="24"/>
          <w:szCs w:val="24"/>
        </w:rPr>
        <w:t>六</w:t>
      </w:r>
      <w:bookmarkEnd w:id="575"/>
      <w:r>
        <w:rPr>
          <w:color w:val="000000"/>
          <w:spacing w:val="0"/>
          <w:w w:val="100"/>
          <w:position w:val="0"/>
          <w:sz w:val="24"/>
          <w:szCs w:val="24"/>
        </w:rPr>
        <w:t>、董事会下设专门委员会在报告期内履行职责情况</w:t>
      </w:r>
      <w:bookmarkEnd w:id="573"/>
      <w:bookmarkEnd w:id="574"/>
      <w:bookmarkEnd w:id="576"/>
    </w:p>
    <w:p>
      <w:pPr>
        <w:pStyle w:val="Style25"/>
        <w:keepNext w:val="0"/>
        <w:keepLines w:val="0"/>
        <w:widowControl w:val="0"/>
        <w:numPr>
          <w:ilvl w:val="0"/>
          <w:numId w:val="15"/>
        </w:numPr>
        <w:shd w:val="clear" w:color="auto" w:fill="auto"/>
        <w:bidi w:val="0"/>
        <w:spacing w:before="0" w:after="0" w:line="492" w:lineRule="auto"/>
        <w:ind w:left="0" w:right="0" w:firstLine="440"/>
        <w:jc w:val="both"/>
      </w:pPr>
      <w:bookmarkStart w:id="577" w:name="bookmark577"/>
      <w:bookmarkEnd w:id="577"/>
      <w:r>
        <w:rPr>
          <w:color w:val="000000"/>
          <w:spacing w:val="0"/>
          <w:w w:val="100"/>
          <w:position w:val="0"/>
        </w:rPr>
        <w:t>战略委员会</w:t>
      </w:r>
    </w:p>
    <w:p>
      <w:pPr>
        <w:pStyle w:val="Style2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 xml:space="preserve">报告期内，战略委员会根据《董事会战略委员会工作制度》及其他有关规定积极开展工作，认真履行 </w:t>
      </w:r>
      <w:r>
        <w:rPr>
          <w:color w:val="000000"/>
          <w:spacing w:val="0"/>
          <w:w w:val="100"/>
          <w:position w:val="0"/>
        </w:rPr>
        <w:t>职责。报告期内，战略委员会向董事会提出的建议，明晰了公司的经营策略，对公司持续稳定健康的发展 起到了极其重要的促进作用，对公司重要事项进行深入的分析研究，为公司发展战略的实施提出了合理的 建议。</w:t>
      </w:r>
    </w:p>
    <w:p>
      <w:pPr>
        <w:pStyle w:val="Style25"/>
        <w:keepNext w:val="0"/>
        <w:keepLines w:val="0"/>
        <w:widowControl w:val="0"/>
        <w:numPr>
          <w:ilvl w:val="0"/>
          <w:numId w:val="15"/>
        </w:numPr>
        <w:shd w:val="clear" w:color="auto" w:fill="auto"/>
        <w:tabs>
          <w:tab w:pos="763" w:val="left"/>
        </w:tabs>
        <w:bidi w:val="0"/>
        <w:spacing w:before="0" w:after="0"/>
        <w:ind w:left="0" w:right="0" w:firstLine="440"/>
        <w:jc w:val="both"/>
      </w:pPr>
      <w:bookmarkStart w:id="578" w:name="bookmark578"/>
      <w:bookmarkEnd w:id="578"/>
      <w:r>
        <w:rPr>
          <w:color w:val="000000"/>
          <w:spacing w:val="0"/>
          <w:w w:val="100"/>
          <w:position w:val="0"/>
        </w:rPr>
        <w:t>审计委员会</w:t>
      </w:r>
    </w:p>
    <w:p>
      <w:pPr>
        <w:pStyle w:val="Style2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报告期内，审计委员会根据《董事会审计委员会工作制度》及其他有关规定积极开展工作，认真履行 职责，本着勤勉尽责的原则，充分发挥监督作用，维护审计的独立性，审议通过了内部审计部门</w:t>
      </w:r>
      <w:r>
        <w:rPr>
          <w:rFonts w:ascii="Times New Roman" w:eastAsia="Times New Roman" w:hAnsi="Times New Roman" w:cs="Times New Roman"/>
          <w:color w:val="000000"/>
          <w:spacing w:val="0"/>
          <w:w w:val="100"/>
          <w:position w:val="0"/>
        </w:rPr>
        <w:t>2020</w:t>
      </w:r>
      <w:r>
        <w:rPr>
          <w:color w:val="000000"/>
          <w:spacing w:val="0"/>
          <w:w w:val="100"/>
          <w:position w:val="0"/>
        </w:rPr>
        <w:t>年各 项审计工作汇报，对公司内部控制建立健全情况和财务审计情况进行了监督检查。审核了公司重要的会计 政策，定期了解公司财务状况和经营情况，督促和指导公司内部审计部门对公司财务管理运行情况进行定 期和不定期的检查和评估。</w:t>
      </w:r>
    </w:p>
    <w:p>
      <w:pPr>
        <w:pStyle w:val="Style25"/>
        <w:keepNext w:val="0"/>
        <w:keepLines w:val="0"/>
        <w:widowControl w:val="0"/>
        <w:numPr>
          <w:ilvl w:val="0"/>
          <w:numId w:val="15"/>
        </w:numPr>
        <w:shd w:val="clear" w:color="auto" w:fill="auto"/>
        <w:tabs>
          <w:tab w:pos="763" w:val="left"/>
        </w:tabs>
        <w:bidi w:val="0"/>
        <w:spacing w:before="0" w:after="0"/>
        <w:ind w:left="0" w:right="0" w:firstLine="440"/>
        <w:jc w:val="both"/>
      </w:pPr>
      <w:bookmarkStart w:id="579" w:name="bookmark579"/>
      <w:bookmarkEnd w:id="579"/>
      <w:r>
        <w:rPr>
          <w:color w:val="000000"/>
          <w:spacing w:val="0"/>
          <w:w w:val="100"/>
          <w:position w:val="0"/>
        </w:rPr>
        <w:t>薪酬与考核委员会</w:t>
      </w:r>
    </w:p>
    <w:p>
      <w:pPr>
        <w:pStyle w:val="Style2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报告期内，薪酬与考核委员会根据《董事会薪酬与考核委员会工作制度》及其他有关规定积极开展工 作，认真履行职责。报告期内，结合公司经营规模等实际情况并参照行业薪酬水平，对公司董事和高级管 理人员的薪酬情况进行了审核，并对公司薪酬体系的改善提出了合理化的建议。</w:t>
      </w:r>
    </w:p>
    <w:p>
      <w:pPr>
        <w:pStyle w:val="Style25"/>
        <w:keepNext w:val="0"/>
        <w:keepLines w:val="0"/>
        <w:widowControl w:val="0"/>
        <w:numPr>
          <w:ilvl w:val="0"/>
          <w:numId w:val="15"/>
        </w:numPr>
        <w:shd w:val="clear" w:color="auto" w:fill="auto"/>
        <w:tabs>
          <w:tab w:pos="763" w:val="left"/>
        </w:tabs>
        <w:bidi w:val="0"/>
        <w:spacing w:before="0" w:after="0"/>
        <w:ind w:left="0" w:right="0" w:firstLine="440"/>
        <w:jc w:val="both"/>
      </w:pPr>
      <w:bookmarkStart w:id="580" w:name="bookmark580"/>
      <w:bookmarkEnd w:id="580"/>
      <w:r>
        <w:rPr>
          <w:color w:val="000000"/>
          <w:spacing w:val="0"/>
          <w:w w:val="100"/>
          <w:position w:val="0"/>
        </w:rPr>
        <w:t>提名委员会</w:t>
      </w:r>
    </w:p>
    <w:p>
      <w:pPr>
        <w:pStyle w:val="Style25"/>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报告期内，提名委员会根据《董事会提名委员会工作制度》及其他有关规定积极开展工作，认真履行 职责。报告期内，提名委员会对公司董事和高级管理人员的构成情况及任职资格等相关情况进行了认真的 审核。</w:t>
      </w:r>
    </w:p>
    <w:p>
      <w:pPr>
        <w:pStyle w:val="Style23"/>
        <w:keepNext/>
        <w:keepLines/>
        <w:widowControl w:val="0"/>
        <w:shd w:val="clear" w:color="auto" w:fill="auto"/>
        <w:tabs>
          <w:tab w:pos="559" w:val="left"/>
        </w:tabs>
        <w:bidi w:val="0"/>
        <w:spacing w:before="0" w:after="36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sz w:val="24"/>
          <w:szCs w:val="24"/>
        </w:rPr>
        <w:t>七</w:t>
      </w:r>
      <w:bookmarkEnd w:id="583"/>
      <w:r>
        <w:rPr>
          <w:color w:val="000000"/>
          <w:spacing w:val="0"/>
          <w:w w:val="100"/>
          <w:position w:val="0"/>
          <w:sz w:val="24"/>
          <w:szCs w:val="24"/>
        </w:rPr>
        <w:t>、</w:t>
        <w:tab/>
        <w:t>监事会工作情况</w:t>
      </w:r>
      <w:bookmarkEnd w:id="581"/>
      <w:bookmarkEnd w:id="582"/>
      <w:bookmarkEnd w:id="584"/>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监事会在报告期内的监督活动中发现公司是否存在风险</w:t>
      </w:r>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20"/>
          <w:szCs w:val="20"/>
        </w:rPr>
        <w:t>口</w:t>
      </w:r>
      <w:r>
        <w:rPr>
          <w:color w:val="000000"/>
          <w:spacing w:val="0"/>
          <w:w w:val="100"/>
          <w:position w:val="0"/>
          <w:sz w:val="19"/>
          <w:szCs w:val="19"/>
        </w:rPr>
        <w:t>是</w:t>
      </w:r>
      <w:r>
        <w:rPr>
          <w:color w:val="000000"/>
          <w:spacing w:val="0"/>
          <w:w w:val="100"/>
          <w:position w:val="0"/>
          <w:sz w:val="20"/>
          <w:szCs w:val="20"/>
        </w:rPr>
        <w:t>寸</w:t>
      </w:r>
      <w:r>
        <w:rPr>
          <w:color w:val="000000"/>
          <w:spacing w:val="0"/>
          <w:w w:val="100"/>
          <w:position w:val="0"/>
          <w:sz w:val="19"/>
          <w:szCs w:val="19"/>
        </w:rPr>
        <w:t>否</w:t>
      </w:r>
    </w:p>
    <w:p>
      <w:pPr>
        <w:pStyle w:val="Style25"/>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监事会对报告期内的监督事项无异议。</w:t>
      </w:r>
    </w:p>
    <w:p>
      <w:pPr>
        <w:pStyle w:val="Style23"/>
        <w:keepNext/>
        <w:keepLines/>
        <w:widowControl w:val="0"/>
        <w:shd w:val="clear" w:color="auto" w:fill="auto"/>
        <w:tabs>
          <w:tab w:pos="559" w:val="left"/>
        </w:tabs>
        <w:bidi w:val="0"/>
        <w:spacing w:before="0" w:after="22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sz w:val="24"/>
          <w:szCs w:val="24"/>
        </w:rPr>
        <w:t>八</w:t>
      </w:r>
      <w:bookmarkEnd w:id="587"/>
      <w:r>
        <w:rPr>
          <w:color w:val="000000"/>
          <w:spacing w:val="0"/>
          <w:w w:val="100"/>
          <w:position w:val="0"/>
          <w:sz w:val="24"/>
          <w:szCs w:val="24"/>
        </w:rPr>
        <w:t>、</w:t>
        <w:tab/>
        <w:t>高级管理人员的考评及激励情况</w:t>
      </w:r>
      <w:bookmarkEnd w:id="585"/>
      <w:bookmarkEnd w:id="586"/>
      <w:bookmarkEnd w:id="588"/>
    </w:p>
    <w:p>
      <w:pPr>
        <w:pStyle w:val="Style2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公司建立了较为合理的高级管理人员的绩效评价标准和激励约束机制，根据高级管理人员的年度履职 情况、绩效考核结果和公司经营业绩的情况决定其年度薪酬。</w:t>
      </w:r>
      <w:r>
        <w:rPr>
          <w:rFonts w:ascii="Times New Roman" w:eastAsia="Times New Roman" w:hAnsi="Times New Roman" w:cs="Times New Roman"/>
          <w:color w:val="000000"/>
          <w:spacing w:val="0"/>
          <w:w w:val="100"/>
          <w:position w:val="0"/>
        </w:rPr>
        <w:t>2020</w:t>
      </w:r>
      <w:r>
        <w:rPr>
          <w:color w:val="000000"/>
          <w:spacing w:val="0"/>
          <w:w w:val="100"/>
          <w:position w:val="0"/>
        </w:rPr>
        <w:t>年公司高级管理人员能够严格按照《公 司法》、《公司章程》及国家有关法律法规认真履行职责，积极落实公司股东大会和董事会相关决议，认 真履行了工作职责，较好的完成了既定目标。公司各项考评及激励机制执行情况良好，起到了应有的激励 和约束作用。</w:t>
      </w:r>
    </w:p>
    <w:p>
      <w:pPr>
        <w:pStyle w:val="Style23"/>
        <w:keepNext/>
        <w:keepLines/>
        <w:widowControl w:val="0"/>
        <w:shd w:val="clear" w:color="auto" w:fill="auto"/>
        <w:bidi w:val="0"/>
        <w:spacing w:before="0" w:after="360" w:line="240" w:lineRule="auto"/>
        <w:ind w:left="0" w:right="0" w:firstLine="0"/>
        <w:jc w:val="both"/>
      </w:pPr>
      <w:bookmarkStart w:id="589" w:name="bookmark589"/>
      <w:bookmarkStart w:id="590" w:name="bookmark590"/>
      <w:bookmarkStart w:id="591" w:name="bookmark591"/>
      <w:bookmarkStart w:id="592" w:name="bookmark592"/>
      <w:r>
        <w:rPr>
          <w:color w:val="000000"/>
          <w:spacing w:val="0"/>
          <w:w w:val="100"/>
          <w:position w:val="0"/>
          <w:sz w:val="24"/>
          <w:szCs w:val="24"/>
        </w:rPr>
        <w:t>九</w:t>
      </w:r>
      <w:bookmarkEnd w:id="591"/>
      <w:r>
        <w:rPr>
          <w:color w:val="000000"/>
          <w:spacing w:val="0"/>
          <w:w w:val="100"/>
          <w:position w:val="0"/>
          <w:sz w:val="24"/>
          <w:szCs w:val="24"/>
        </w:rPr>
        <w:t>、内部控制评价报告</w:t>
      </w:r>
      <w:bookmarkEnd w:id="589"/>
      <w:bookmarkEnd w:id="590"/>
      <w:bookmarkEnd w:id="592"/>
    </w:p>
    <w:p>
      <w:pPr>
        <w:pStyle w:val="Style31"/>
        <w:keepNext/>
        <w:keepLines/>
        <w:widowControl w:val="0"/>
        <w:shd w:val="clear" w:color="auto" w:fill="auto"/>
        <w:bidi w:val="0"/>
        <w:spacing w:before="0" w:after="360" w:line="240" w:lineRule="auto"/>
        <w:ind w:left="0" w:right="0" w:firstLine="0"/>
        <w:jc w:val="both"/>
      </w:pPr>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593"/>
      <w:bookmarkEnd w:id="594"/>
      <w:bookmarkEnd w:id="595"/>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6" w:lineRule="exact"/>
        <w:ind w:left="0" w:right="0" w:firstLine="0"/>
        <w:jc w:val="center"/>
      </w:pPr>
      <w:r>
        <w:rPr>
          <w:color w:val="000000"/>
          <w:spacing w:val="0"/>
          <w:w w:val="100"/>
          <w:position w:val="0"/>
        </w:rPr>
        <w:t>报告期内发现的内部控制重大缺陷的具体情况</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6" w:lineRule="exact"/>
        <w:ind w:left="0" w:right="0" w:firstLine="0"/>
        <w:jc w:val="both"/>
      </w:pPr>
      <w:r>
        <w:rPr>
          <w:color w:val="000000"/>
          <w:spacing w:val="0"/>
          <w:w w:val="100"/>
          <w:position w:val="0"/>
        </w:rPr>
        <w:t>公司按照财政部等五部委颁发的《企业内部控制基本规范》及相关规定于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 务报表相关的有效的内部控制，公司非财务报告内部控制存在重大缺陷。具体情况说明如下：</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日，中科金财第五届董事会第十四次会议审议通过，与上海晋宇投资管理有限公司共同设立上海惬昶信息 科技有限责任公司（以下简称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上海惬昶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），与深圳市航嘉源控股（集团）有限公司共同设立深圳市金源兴信息技术有限 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深圳金源兴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）。上海惬昶注册资本</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rPr>
        <w:t>万元，中科金财认缴</w:t>
      </w:r>
      <w:r>
        <w:rPr>
          <w:rFonts w:ascii="Times New Roman" w:eastAsia="Times New Roman" w:hAnsi="Times New Roman" w:cs="Times New Roman"/>
          <w:color w:val="000000"/>
          <w:spacing w:val="0"/>
          <w:w w:val="100"/>
          <w:position w:val="0"/>
          <w:sz w:val="18"/>
          <w:szCs w:val="18"/>
        </w:rPr>
        <w:t>19,600.00</w:t>
      </w:r>
      <w:r>
        <w:rPr>
          <w:color w:val="000000"/>
          <w:spacing w:val="0"/>
          <w:w w:val="100"/>
          <w:position w:val="0"/>
        </w:rPr>
        <w:t>万元（实缴出资</w:t>
      </w:r>
      <w:r>
        <w:rPr>
          <w:rFonts w:ascii="Times New Roman" w:eastAsia="Times New Roman" w:hAnsi="Times New Roman" w:cs="Times New Roman"/>
          <w:color w:val="000000"/>
          <w:spacing w:val="0"/>
          <w:w w:val="100"/>
          <w:position w:val="0"/>
          <w:sz w:val="18"/>
          <w:szCs w:val="18"/>
        </w:rPr>
        <w:t>14,700.00</w:t>
      </w:r>
      <w:r>
        <w:rPr>
          <w:color w:val="000000"/>
          <w:spacing w:val="0"/>
          <w:w w:val="100"/>
          <w:position w:val="0"/>
        </w:rPr>
        <w:t>万 元），持股比例</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。深圳金源兴注册资本</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万元，中科金财认缴</w:t>
      </w:r>
      <w:r>
        <w:rPr>
          <w:rFonts w:ascii="Times New Roman" w:eastAsia="Times New Roman" w:hAnsi="Times New Roman" w:cs="Times New Roman"/>
          <w:color w:val="000000"/>
          <w:spacing w:val="0"/>
          <w:w w:val="100"/>
          <w:position w:val="0"/>
          <w:sz w:val="18"/>
          <w:szCs w:val="18"/>
        </w:rPr>
        <w:t>24,500.00</w:t>
      </w:r>
      <w:r>
        <w:rPr>
          <w:color w:val="000000"/>
          <w:spacing w:val="0"/>
          <w:w w:val="100"/>
          <w:position w:val="0"/>
        </w:rPr>
        <w:t>万元（实缴出资</w:t>
      </w:r>
      <w:r>
        <w:rPr>
          <w:rFonts w:ascii="Times New Roman" w:eastAsia="Times New Roman" w:hAnsi="Times New Roman" w:cs="Times New Roman"/>
          <w:color w:val="000000"/>
          <w:spacing w:val="0"/>
          <w:w w:val="100"/>
          <w:position w:val="0"/>
          <w:sz w:val="18"/>
          <w:szCs w:val="18"/>
        </w:rPr>
        <w:t>24,500.00</w:t>
      </w:r>
      <w:r>
        <w:rPr>
          <w:color w:val="000000"/>
          <w:spacing w:val="0"/>
          <w:w w:val="100"/>
          <w:position w:val="0"/>
        </w:rPr>
        <w:t>万元），持 股比例</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。两家联营公司在收到股东实缴出资后，均未正式开展经营活动。中科金财在投资前，未严格按照《对外投资 管理制度》的规定，对设立两家联营公司进行充分市场调研，未对投资项目进行充分论证。</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6" w:lineRule="exact"/>
        <w:ind w:left="0" w:right="0" w:firstLine="0"/>
        <w:jc w:val="both"/>
      </w:pPr>
      <w:r>
        <w:rPr>
          <w:color w:val="000000"/>
          <w:spacing w:val="0"/>
          <w:w w:val="100"/>
          <w:position w:val="0"/>
        </w:rPr>
        <w:t>针对上述非财务报告内部控制所存在的重大缺陷，公司董事会已安排如下整改措施：</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7" w:val="left"/>
        </w:tabs>
        <w:bidi w:val="0"/>
        <w:spacing w:before="0" w:after="0" w:line="310" w:lineRule="exact"/>
        <w:ind w:left="0" w:right="0" w:firstLine="0"/>
        <w:jc w:val="both"/>
      </w:pPr>
      <w:bookmarkStart w:id="596" w:name="bookmark596"/>
      <w:r>
        <w:rPr>
          <w:color w:val="000000"/>
          <w:spacing w:val="0"/>
          <w:w w:val="100"/>
          <w:position w:val="0"/>
        </w:rPr>
        <w:t>（</w:t>
      </w:r>
      <w:bookmarkEnd w:id="5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公司将进一步完善对外投资的内部控制并严格执行，尤其加强对投资项目可行性分析，重点关注对投资项目经营方 针和具体经营方案的事先论证和制定情况，以及对项目实施情况和进展的事后监督管理，切实控制投资风险，提高投资收 益率。</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7" w:val="left"/>
        </w:tabs>
        <w:bidi w:val="0"/>
        <w:spacing w:before="0" w:after="0" w:line="324" w:lineRule="exact"/>
        <w:ind w:left="0" w:right="0" w:firstLine="0"/>
        <w:jc w:val="both"/>
      </w:pPr>
      <w:bookmarkStart w:id="597" w:name="bookmark597"/>
      <w:r>
        <w:rPr>
          <w:color w:val="000000"/>
          <w:spacing w:val="0"/>
          <w:w w:val="100"/>
          <w:position w:val="0"/>
        </w:rPr>
        <w:t>（</w:t>
      </w:r>
      <w:bookmarkEnd w:id="5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当投资情况发生重大变化，可能影响投资本金或投资效益时，应及时提出对投资项目调整的方案，并向董事会及时 报告情况。</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2" w:val="left"/>
        </w:tabs>
        <w:bidi w:val="0"/>
        <w:spacing w:before="0" w:after="0" w:line="324" w:lineRule="exact"/>
        <w:ind w:left="0" w:right="0" w:firstLine="0"/>
        <w:jc w:val="both"/>
      </w:pPr>
      <w:bookmarkStart w:id="598" w:name="bookmark598"/>
      <w:r>
        <w:rPr>
          <w:color w:val="000000"/>
          <w:spacing w:val="0"/>
          <w:w w:val="100"/>
          <w:position w:val="0"/>
        </w:rPr>
        <w:t>（</w:t>
      </w:r>
      <w:bookmarkEnd w:id="5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加强对外投资的内部控制制度的执行力度，实施并落实责任制，不断提高相关人员的风险意识和预判能力，确保投 资风险。</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2" w:val="left"/>
        </w:tabs>
        <w:bidi w:val="0"/>
        <w:spacing w:before="0" w:after="0" w:line="316" w:lineRule="exact"/>
        <w:ind w:left="0" w:right="0" w:firstLine="0"/>
        <w:jc w:val="both"/>
      </w:pPr>
      <w:bookmarkStart w:id="599" w:name="bookmark599"/>
      <w:r>
        <w:rPr>
          <w:color w:val="000000"/>
          <w:spacing w:val="0"/>
          <w:w w:val="100"/>
          <w:position w:val="0"/>
        </w:rPr>
        <w:t>（</w:t>
      </w:r>
      <w:bookmarkEnd w:id="59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强化借助外部中介机构力量，介入对外投资的事前、事中和事后的风险管理和控制。</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02" w:lineRule="exact"/>
        <w:ind w:left="0" w:right="0" w:firstLine="0"/>
        <w:jc w:val="both"/>
      </w:pPr>
      <w:r>
        <w:rPr>
          <w:color w:val="000000"/>
          <w:spacing w:val="0"/>
          <w:w w:val="100"/>
          <w:position w:val="0"/>
        </w:rPr>
        <w:t>缺陷整改情况：经公司第五届董事会第十七次会议审议通过决定注销上海惬昶，截至本报告日，公司已收回对上海惬昶的 投资款</w:t>
      </w:r>
      <w:r>
        <w:rPr>
          <w:rFonts w:ascii="Times New Roman" w:eastAsia="Times New Roman" w:hAnsi="Times New Roman" w:cs="Times New Roman"/>
          <w:color w:val="000000"/>
          <w:spacing w:val="0"/>
          <w:w w:val="100"/>
          <w:position w:val="0"/>
          <w:sz w:val="18"/>
          <w:szCs w:val="18"/>
        </w:rPr>
        <w:t>14,650</w:t>
      </w:r>
      <w:r>
        <w:rPr>
          <w:color w:val="000000"/>
          <w:spacing w:val="0"/>
          <w:w w:val="100"/>
          <w:position w:val="0"/>
        </w:rPr>
        <w:t>万元，深圳金源兴已收回全部对外借款及对应的资金使用费。</w:t>
      </w:r>
    </w:p>
    <w:p>
      <w:pPr>
        <w:pStyle w:val="Style31"/>
        <w:keepNext/>
        <w:keepLines/>
        <w:widowControl w:val="0"/>
        <w:shd w:val="clear" w:color="auto" w:fill="auto"/>
        <w:bidi w:val="0"/>
        <w:spacing w:before="0" w:after="360" w:line="240" w:lineRule="auto"/>
        <w:ind w:left="0" w:right="0" w:firstLine="0"/>
        <w:jc w:val="both"/>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、内控自我评价报告</w:t>
      </w:r>
      <w:bookmarkEnd w:id="600"/>
      <w:bookmarkEnd w:id="601"/>
      <w:bookmarkEnd w:id="603"/>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138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02" w:lineRule="exact"/>
              <w:ind w:left="0" w:right="0" w:firstLine="0"/>
              <w:jc w:val="left"/>
              <w:rPr>
                <w:sz w:val="17"/>
                <w:szCs w:val="17"/>
              </w:rPr>
            </w:pPr>
            <w:r>
              <w:rPr>
                <w:color w:val="000000"/>
                <w:spacing w:val="0"/>
                <w:w w:val="100"/>
                <w:position w:val="0"/>
                <w:sz w:val="17"/>
                <w:szCs w:val="17"/>
              </w:rPr>
              <w:t>公司确定的财务报告内部控制缺陷评价的 定性标准如下：</w:t>
            </w:r>
          </w:p>
          <w:p>
            <w:pPr>
              <w:pStyle w:val="Style2"/>
              <w:keepNext w:val="0"/>
              <w:keepLines w:val="0"/>
              <w:widowControl w:val="0"/>
              <w:shd w:val="clear" w:color="auto" w:fill="auto"/>
              <w:bidi w:val="0"/>
              <w:spacing w:before="0" w:after="40" w:line="30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）财务报告重大缺陷的迹象包括：</w:t>
            </w:r>
          </w:p>
          <w:p>
            <w:pPr>
              <w:pStyle w:val="Style2"/>
              <w:keepNext w:val="0"/>
              <w:keepLines w:val="0"/>
              <w:widowControl w:val="0"/>
              <w:shd w:val="clear" w:color="auto" w:fill="auto"/>
              <w:bidi w:val="0"/>
              <w:spacing w:before="0" w:after="40" w:line="302" w:lineRule="exact"/>
              <w:ind w:left="0" w:right="0" w:firstLine="0"/>
              <w:jc w:val="left"/>
              <w:rPr>
                <w:sz w:val="17"/>
                <w:szCs w:val="17"/>
              </w:rPr>
            </w:pPr>
            <w:r>
              <w:rPr>
                <w:color w:val="000000"/>
                <w:spacing w:val="0"/>
                <w:w w:val="100"/>
                <w:position w:val="0"/>
                <w:sz w:val="17"/>
                <w:szCs w:val="17"/>
              </w:rPr>
              <w:t>①公司董事、监事和高级管理人员的舞弊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公司确定的非财务报告内部控制缺陷 评价的定性标准如下：</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）非财务报告重大缺陷的迹象包括：</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①公司经营活动严重违反国家法律法</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637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行为；</w:t>
            </w:r>
          </w:p>
          <w:p>
            <w:pPr>
              <w:pStyle w:val="Style2"/>
              <w:keepNext w:val="0"/>
              <w:keepLines w:val="0"/>
              <w:widowControl w:val="0"/>
              <w:numPr>
                <w:ilvl w:val="0"/>
                <w:numId w:val="17"/>
              </w:numPr>
              <w:shd w:val="clear" w:color="auto" w:fill="auto"/>
              <w:tabs>
                <w:tab w:pos="187" w:val="left"/>
              </w:tabs>
              <w:bidi w:val="0"/>
              <w:spacing w:before="0" w:after="0" w:line="322" w:lineRule="exact"/>
              <w:ind w:left="0" w:right="0" w:firstLine="0"/>
              <w:jc w:val="both"/>
              <w:rPr>
                <w:sz w:val="17"/>
                <w:szCs w:val="17"/>
              </w:rPr>
            </w:pPr>
            <w:r>
              <w:rPr>
                <w:color w:val="000000"/>
                <w:spacing w:val="0"/>
                <w:w w:val="100"/>
                <w:position w:val="0"/>
                <w:sz w:val="17"/>
                <w:szCs w:val="17"/>
              </w:rPr>
              <w:t>公司因责任事故更正已公布的财务报 告；</w:t>
            </w:r>
          </w:p>
          <w:p>
            <w:pPr>
              <w:pStyle w:val="Style2"/>
              <w:keepNext w:val="0"/>
              <w:keepLines w:val="0"/>
              <w:widowControl w:val="0"/>
              <w:numPr>
                <w:ilvl w:val="0"/>
                <w:numId w:val="17"/>
              </w:numPr>
              <w:shd w:val="clear" w:color="auto" w:fill="auto"/>
              <w:tabs>
                <w:tab w:pos="182" w:val="left"/>
              </w:tabs>
              <w:bidi w:val="0"/>
              <w:spacing w:before="0" w:after="0" w:line="312" w:lineRule="exact"/>
              <w:ind w:left="0" w:right="0" w:firstLine="0"/>
              <w:jc w:val="both"/>
              <w:rPr>
                <w:sz w:val="17"/>
                <w:szCs w:val="17"/>
              </w:rPr>
            </w:pPr>
            <w:r>
              <w:rPr>
                <w:color w:val="000000"/>
                <w:spacing w:val="0"/>
                <w:w w:val="100"/>
                <w:position w:val="0"/>
                <w:sz w:val="17"/>
                <w:szCs w:val="17"/>
              </w:rPr>
              <w:t>注册会计师发现的却未被公司内部控制 识别的当期财务报告中的重大错报；</w:t>
            </w:r>
          </w:p>
          <w:p>
            <w:pPr>
              <w:pStyle w:val="Style2"/>
              <w:keepNext w:val="0"/>
              <w:keepLines w:val="0"/>
              <w:widowControl w:val="0"/>
              <w:numPr>
                <w:ilvl w:val="0"/>
                <w:numId w:val="17"/>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审计委员会和审计部对公司的对外财务 报告和财务报告内部控制监督无效。</w:t>
            </w:r>
          </w:p>
          <w:p>
            <w:pPr>
              <w:pStyle w:val="Style2"/>
              <w:keepNext w:val="0"/>
              <w:keepLines w:val="0"/>
              <w:widowControl w:val="0"/>
              <w:shd w:val="clear" w:color="auto" w:fill="auto"/>
              <w:tabs>
                <w:tab w:pos="355" w:val="left"/>
              </w:tabs>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财务报告重要缺陷的迹象包括：</w:t>
            </w:r>
          </w:p>
          <w:p>
            <w:pPr>
              <w:pStyle w:val="Style2"/>
              <w:keepNext w:val="0"/>
              <w:keepLines w:val="0"/>
              <w:widowControl w:val="0"/>
              <w:numPr>
                <w:ilvl w:val="0"/>
                <w:numId w:val="19"/>
              </w:numPr>
              <w:shd w:val="clear" w:color="auto" w:fill="auto"/>
              <w:tabs>
                <w:tab w:pos="187" w:val="left"/>
              </w:tabs>
              <w:bidi w:val="0"/>
              <w:spacing w:before="0" w:after="0" w:line="317" w:lineRule="exact"/>
              <w:ind w:left="0" w:right="0" w:firstLine="0"/>
              <w:jc w:val="both"/>
              <w:rPr>
                <w:sz w:val="17"/>
                <w:szCs w:val="17"/>
              </w:rPr>
            </w:pPr>
            <w:r>
              <w:rPr>
                <w:color w:val="000000"/>
                <w:spacing w:val="0"/>
                <w:w w:val="100"/>
                <w:position w:val="0"/>
                <w:sz w:val="17"/>
                <w:szCs w:val="17"/>
              </w:rPr>
              <w:t>未依照公认会计准则选择和应用会计政 策；</w:t>
            </w:r>
          </w:p>
          <w:p>
            <w:pPr>
              <w:pStyle w:val="Style2"/>
              <w:keepNext w:val="0"/>
              <w:keepLines w:val="0"/>
              <w:widowControl w:val="0"/>
              <w:numPr>
                <w:ilvl w:val="0"/>
                <w:numId w:val="19"/>
              </w:numPr>
              <w:shd w:val="clear" w:color="auto" w:fill="auto"/>
              <w:tabs>
                <w:tab w:pos="182" w:val="left"/>
              </w:tabs>
              <w:bidi w:val="0"/>
              <w:spacing w:before="0" w:after="0" w:line="314" w:lineRule="exact"/>
              <w:ind w:left="0" w:right="0" w:firstLine="0"/>
              <w:jc w:val="both"/>
              <w:rPr>
                <w:sz w:val="17"/>
                <w:szCs w:val="17"/>
              </w:rPr>
            </w:pPr>
            <w:r>
              <w:rPr>
                <w:color w:val="000000"/>
                <w:spacing w:val="0"/>
                <w:w w:val="100"/>
                <w:position w:val="0"/>
                <w:sz w:val="17"/>
                <w:szCs w:val="17"/>
              </w:rPr>
              <w:t>关键岗位人员舞弊；</w:t>
            </w:r>
          </w:p>
          <w:p>
            <w:pPr>
              <w:pStyle w:val="Style2"/>
              <w:keepNext w:val="0"/>
              <w:keepLines w:val="0"/>
              <w:widowControl w:val="0"/>
              <w:numPr>
                <w:ilvl w:val="0"/>
                <w:numId w:val="19"/>
              </w:numPr>
              <w:shd w:val="clear" w:color="auto" w:fill="auto"/>
              <w:tabs>
                <w:tab w:pos="182" w:val="left"/>
              </w:tabs>
              <w:bidi w:val="0"/>
              <w:spacing w:before="0" w:after="0" w:line="314" w:lineRule="exact"/>
              <w:ind w:left="0" w:right="0" w:firstLine="0"/>
              <w:jc w:val="both"/>
              <w:rPr>
                <w:sz w:val="17"/>
                <w:szCs w:val="17"/>
              </w:rPr>
            </w:pPr>
            <w:r>
              <w:rPr>
                <w:color w:val="000000"/>
                <w:spacing w:val="0"/>
                <w:w w:val="100"/>
                <w:position w:val="0"/>
                <w:sz w:val="17"/>
                <w:szCs w:val="17"/>
              </w:rPr>
              <w:t>合规性监管职能失效，存在违反法规的 行为，该行为对财务报告的可靠性产生重 大影响；</w:t>
            </w:r>
          </w:p>
          <w:p>
            <w:pPr>
              <w:pStyle w:val="Style2"/>
              <w:keepNext w:val="0"/>
              <w:keepLines w:val="0"/>
              <w:widowControl w:val="0"/>
              <w:numPr>
                <w:ilvl w:val="0"/>
                <w:numId w:val="19"/>
              </w:numPr>
              <w:shd w:val="clear" w:color="auto" w:fill="auto"/>
              <w:tabs>
                <w:tab w:pos="182" w:val="left"/>
              </w:tabs>
              <w:bidi w:val="0"/>
              <w:spacing w:before="0" w:after="0" w:line="312" w:lineRule="exact"/>
              <w:ind w:left="0" w:right="0" w:firstLine="0"/>
              <w:jc w:val="both"/>
              <w:rPr>
                <w:sz w:val="17"/>
                <w:szCs w:val="17"/>
              </w:rPr>
            </w:pPr>
            <w:r>
              <w:rPr>
                <w:color w:val="000000"/>
                <w:spacing w:val="0"/>
                <w:w w:val="100"/>
                <w:position w:val="0"/>
                <w:sz w:val="17"/>
                <w:szCs w:val="17"/>
              </w:rPr>
              <w:t>业务过程控制存在一项或多项缺陷，不 能合理保证编制的财务报表达到真实、完 整的目标。</w:t>
            </w:r>
          </w:p>
          <w:p>
            <w:pPr>
              <w:pStyle w:val="Style2"/>
              <w:keepNext w:val="0"/>
              <w:keepLines w:val="0"/>
              <w:widowControl w:val="0"/>
              <w:shd w:val="clear" w:color="auto" w:fill="auto"/>
              <w:tabs>
                <w:tab w:pos="418" w:val="left"/>
              </w:tabs>
              <w:bidi w:val="0"/>
              <w:spacing w:before="0" w:after="0" w:line="32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一般缺陷是指除上述重大缺陷、重要 缺陷之外的其他控制缺陷。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312" w:lineRule="exact"/>
              <w:ind w:left="0" w:right="0" w:firstLine="0"/>
              <w:jc w:val="left"/>
              <w:rPr>
                <w:sz w:val="17"/>
                <w:szCs w:val="17"/>
              </w:rPr>
            </w:pPr>
            <w:r>
              <w:rPr>
                <w:color w:val="000000"/>
                <w:spacing w:val="0"/>
                <w:w w:val="100"/>
                <w:position w:val="0"/>
                <w:sz w:val="17"/>
                <w:szCs w:val="17"/>
              </w:rPr>
              <w:t>规，受到重大处罚；</w:t>
            </w:r>
          </w:p>
          <w:p>
            <w:pPr>
              <w:pStyle w:val="Style2"/>
              <w:keepNext w:val="0"/>
              <w:keepLines w:val="0"/>
              <w:widowControl w:val="0"/>
              <w:numPr>
                <w:ilvl w:val="0"/>
                <w:numId w:val="21"/>
              </w:numPr>
              <w:shd w:val="clear" w:color="auto" w:fill="auto"/>
              <w:tabs>
                <w:tab w:pos="187" w:val="left"/>
              </w:tabs>
              <w:bidi w:val="0"/>
              <w:spacing w:before="0" w:after="40" w:line="312" w:lineRule="exact"/>
              <w:ind w:left="0" w:right="0" w:firstLine="0"/>
              <w:jc w:val="left"/>
              <w:rPr>
                <w:sz w:val="17"/>
                <w:szCs w:val="17"/>
              </w:rPr>
            </w:pPr>
            <w:r>
              <w:rPr>
                <w:color w:val="000000"/>
                <w:spacing w:val="0"/>
                <w:w w:val="100"/>
                <w:position w:val="0"/>
                <w:sz w:val="17"/>
                <w:szCs w:val="17"/>
              </w:rPr>
              <w:t>媒体负面新闻频频曝光，对公司声誉 造成重大损害；</w:t>
            </w:r>
          </w:p>
          <w:p>
            <w:pPr>
              <w:pStyle w:val="Style2"/>
              <w:keepNext w:val="0"/>
              <w:keepLines w:val="0"/>
              <w:widowControl w:val="0"/>
              <w:numPr>
                <w:ilvl w:val="0"/>
                <w:numId w:val="21"/>
              </w:numPr>
              <w:shd w:val="clear" w:color="auto" w:fill="auto"/>
              <w:tabs>
                <w:tab w:pos="187" w:val="left"/>
              </w:tabs>
              <w:bidi w:val="0"/>
              <w:spacing w:before="0" w:after="40" w:line="312" w:lineRule="exact"/>
              <w:ind w:left="0" w:right="0" w:firstLine="0"/>
              <w:jc w:val="left"/>
              <w:rPr>
                <w:sz w:val="17"/>
                <w:szCs w:val="17"/>
              </w:rPr>
            </w:pPr>
            <w:r>
              <w:rPr>
                <w:color w:val="000000"/>
                <w:spacing w:val="0"/>
                <w:w w:val="100"/>
                <w:position w:val="0"/>
                <w:sz w:val="17"/>
                <w:szCs w:val="17"/>
              </w:rPr>
              <w:t>重要业务缺乏制度控制或制度系统 性失效；</w:t>
            </w:r>
          </w:p>
          <w:p>
            <w:pPr>
              <w:pStyle w:val="Style2"/>
              <w:keepNext w:val="0"/>
              <w:keepLines w:val="0"/>
              <w:widowControl w:val="0"/>
              <w:numPr>
                <w:ilvl w:val="0"/>
                <w:numId w:val="21"/>
              </w:numPr>
              <w:shd w:val="clear" w:color="auto" w:fill="auto"/>
              <w:tabs>
                <w:tab w:pos="206" w:val="left"/>
              </w:tabs>
              <w:bidi w:val="0"/>
              <w:spacing w:before="0" w:after="40" w:line="312" w:lineRule="exact"/>
              <w:ind w:left="0" w:right="0" w:firstLine="0"/>
              <w:jc w:val="left"/>
              <w:rPr>
                <w:sz w:val="17"/>
                <w:szCs w:val="17"/>
              </w:rPr>
            </w:pPr>
            <w:r>
              <w:rPr>
                <w:color w:val="000000"/>
                <w:spacing w:val="0"/>
                <w:w w:val="100"/>
                <w:position w:val="0"/>
                <w:sz w:val="17"/>
                <w:szCs w:val="17"/>
              </w:rPr>
              <w:t>内部控制评价的结果特别是重大缺 陷未得到整改。</w:t>
            </w:r>
          </w:p>
          <w:p>
            <w:pPr>
              <w:pStyle w:val="Style2"/>
              <w:keepNext w:val="0"/>
              <w:keepLines w:val="0"/>
              <w:widowControl w:val="0"/>
              <w:shd w:val="clear" w:color="auto" w:fill="auto"/>
              <w:tabs>
                <w:tab w:pos="293" w:val="left"/>
              </w:tabs>
              <w:bidi w:val="0"/>
              <w:spacing w:before="0" w:after="4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非财务报告重要缺陷的迹象包括：</w:t>
            </w:r>
          </w:p>
          <w:p>
            <w:pPr>
              <w:pStyle w:val="Style2"/>
              <w:keepNext w:val="0"/>
              <w:keepLines w:val="0"/>
              <w:widowControl w:val="0"/>
              <w:numPr>
                <w:ilvl w:val="0"/>
                <w:numId w:val="23"/>
              </w:numPr>
              <w:shd w:val="clear" w:color="auto" w:fill="auto"/>
              <w:tabs>
                <w:tab w:pos="192" w:val="left"/>
              </w:tabs>
              <w:bidi w:val="0"/>
              <w:spacing w:before="0" w:after="120" w:line="312" w:lineRule="exact"/>
              <w:ind w:left="0" w:right="0" w:firstLine="0"/>
              <w:jc w:val="left"/>
              <w:rPr>
                <w:sz w:val="17"/>
                <w:szCs w:val="17"/>
              </w:rPr>
            </w:pPr>
            <w:r>
              <w:rPr>
                <w:color w:val="000000"/>
                <w:spacing w:val="0"/>
                <w:w w:val="100"/>
                <w:position w:val="0"/>
                <w:sz w:val="17"/>
                <w:szCs w:val="17"/>
              </w:rPr>
              <w:t>公司违反国家法律法规受到轻微处</w:t>
            </w:r>
          </w:p>
          <w:p>
            <w:pPr>
              <w:pStyle w:val="Style2"/>
              <w:keepNext w:val="0"/>
              <w:keepLines w:val="0"/>
              <w:widowControl w:val="0"/>
              <w:shd w:val="clear" w:color="auto" w:fill="auto"/>
              <w:bidi w:val="0"/>
              <w:spacing w:before="0" w:after="40" w:line="312" w:lineRule="exact"/>
              <w:ind w:left="0" w:right="0" w:firstLine="0"/>
              <w:jc w:val="left"/>
              <w:rPr>
                <w:sz w:val="17"/>
                <w:szCs w:val="17"/>
              </w:rPr>
            </w:pPr>
            <w:r>
              <w:rPr>
                <w:color w:val="000000"/>
                <w:spacing w:val="0"/>
                <w:w w:val="100"/>
                <w:position w:val="0"/>
                <w:sz w:val="17"/>
                <w:szCs w:val="17"/>
              </w:rPr>
              <w:t>罚；</w:t>
            </w:r>
          </w:p>
          <w:p>
            <w:pPr>
              <w:pStyle w:val="Style2"/>
              <w:keepNext w:val="0"/>
              <w:keepLines w:val="0"/>
              <w:widowControl w:val="0"/>
              <w:numPr>
                <w:ilvl w:val="0"/>
                <w:numId w:val="23"/>
              </w:numPr>
              <w:shd w:val="clear" w:color="auto" w:fill="auto"/>
              <w:tabs>
                <w:tab w:pos="187" w:val="left"/>
              </w:tabs>
              <w:bidi w:val="0"/>
              <w:spacing w:before="0" w:after="40" w:line="312" w:lineRule="exact"/>
              <w:ind w:left="0" w:right="0" w:firstLine="0"/>
              <w:jc w:val="left"/>
              <w:rPr>
                <w:sz w:val="17"/>
                <w:szCs w:val="17"/>
              </w:rPr>
            </w:pPr>
            <w:r>
              <w:rPr>
                <w:color w:val="000000"/>
                <w:spacing w:val="0"/>
                <w:w w:val="100"/>
                <w:position w:val="0"/>
                <w:sz w:val="17"/>
                <w:szCs w:val="17"/>
              </w:rPr>
              <w:t>重要业务制度控制或系统存在缺陷；</w:t>
            </w:r>
          </w:p>
          <w:p>
            <w:pPr>
              <w:pStyle w:val="Style2"/>
              <w:keepNext w:val="0"/>
              <w:keepLines w:val="0"/>
              <w:widowControl w:val="0"/>
              <w:numPr>
                <w:ilvl w:val="0"/>
                <w:numId w:val="23"/>
              </w:numPr>
              <w:shd w:val="clear" w:color="auto" w:fill="auto"/>
              <w:tabs>
                <w:tab w:pos="206" w:val="left"/>
              </w:tabs>
              <w:bidi w:val="0"/>
              <w:spacing w:before="0" w:after="40" w:line="312" w:lineRule="exact"/>
              <w:ind w:left="0" w:right="0" w:firstLine="0"/>
              <w:jc w:val="left"/>
              <w:rPr>
                <w:sz w:val="17"/>
                <w:szCs w:val="17"/>
              </w:rPr>
            </w:pPr>
            <w:r>
              <w:rPr>
                <w:color w:val="000000"/>
                <w:spacing w:val="0"/>
                <w:w w:val="100"/>
                <w:position w:val="0"/>
                <w:sz w:val="17"/>
                <w:szCs w:val="17"/>
              </w:rPr>
              <w:t>内部控制重要缺陷未得到整改。</w:t>
            </w:r>
          </w:p>
          <w:p>
            <w:pPr>
              <w:pStyle w:val="Style2"/>
              <w:keepNext w:val="0"/>
              <w:keepLines w:val="0"/>
              <w:widowControl w:val="0"/>
              <w:shd w:val="clear" w:color="auto" w:fill="auto"/>
              <w:tabs>
                <w:tab w:pos="451" w:val="left"/>
              </w:tabs>
              <w:bidi w:val="0"/>
              <w:spacing w:before="0" w:after="4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一般缺陷是指除上述重大缺陷、 重要缺陷之外的其他控制缺陷。</w:t>
            </w:r>
          </w:p>
        </w:tc>
      </w:tr>
      <w:tr>
        <w:trPr>
          <w:trHeight w:val="6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02" w:lineRule="exact"/>
              <w:ind w:left="0" w:right="0" w:firstLine="0"/>
              <w:jc w:val="both"/>
              <w:rPr>
                <w:sz w:val="17"/>
                <w:szCs w:val="17"/>
              </w:rPr>
            </w:pPr>
            <w:r>
              <w:rPr>
                <w:color w:val="000000"/>
                <w:spacing w:val="0"/>
                <w:w w:val="100"/>
                <w:position w:val="0"/>
                <w:sz w:val="17"/>
                <w:szCs w:val="17"/>
              </w:rPr>
              <w:t>公司确定的财务报告内部控制缺陷评价的 定量标准如下：</w:t>
            </w:r>
          </w:p>
          <w:p>
            <w:pPr>
              <w:pStyle w:val="Style2"/>
              <w:keepNext w:val="0"/>
              <w:keepLines w:val="0"/>
              <w:widowControl w:val="0"/>
              <w:shd w:val="clear" w:color="auto" w:fill="auto"/>
              <w:bidi w:val="0"/>
              <w:spacing w:before="0" w:after="40" w:line="312" w:lineRule="exact"/>
              <w:ind w:left="0" w:right="0" w:firstLine="0"/>
              <w:jc w:val="both"/>
              <w:rPr>
                <w:sz w:val="17"/>
                <w:szCs w:val="17"/>
              </w:rPr>
            </w:pPr>
            <w:r>
              <w:rPr>
                <w:color w:val="000000"/>
                <w:spacing w:val="0"/>
                <w:w w:val="100"/>
                <w:position w:val="0"/>
                <w:sz w:val="17"/>
                <w:szCs w:val="17"/>
              </w:rPr>
              <w:t>定量标准以合并税前利润、资产总额作为 衡量指标。</w:t>
            </w:r>
          </w:p>
          <w:p>
            <w:pPr>
              <w:pStyle w:val="Style2"/>
              <w:keepNext w:val="0"/>
              <w:keepLines w:val="0"/>
              <w:widowControl w:val="0"/>
              <w:shd w:val="clear" w:color="auto" w:fill="auto"/>
              <w:bidi w:val="0"/>
              <w:spacing w:before="0" w:after="40" w:line="312" w:lineRule="exact"/>
              <w:ind w:left="0" w:right="0" w:firstLine="0"/>
              <w:jc w:val="both"/>
              <w:rPr>
                <w:sz w:val="17"/>
                <w:szCs w:val="17"/>
              </w:rPr>
            </w:pPr>
            <w:r>
              <w:rPr>
                <w:color w:val="000000"/>
                <w:spacing w:val="0"/>
                <w:w w:val="100"/>
                <w:position w:val="0"/>
                <w:sz w:val="17"/>
                <w:szCs w:val="17"/>
              </w:rPr>
              <w:t>内部控制缺陷可能导致或导致的损失与利 润表相关的，以当期合并税前利润指标衡 量。如果该缺陷单独或连同其他缺陷可能 导致的财务报告错报金额小于合并税前利 润的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,则认定为一般缺陷；如果超过合 并税前利润的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，则为重要缺 陷；如果超过合并税前利润的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,则认定 为重大缺陷。</w:t>
            </w:r>
          </w:p>
          <w:p>
            <w:pPr>
              <w:pStyle w:val="Style2"/>
              <w:keepNext w:val="0"/>
              <w:keepLines w:val="0"/>
              <w:widowControl w:val="0"/>
              <w:shd w:val="clear" w:color="auto" w:fill="auto"/>
              <w:bidi w:val="0"/>
              <w:spacing w:before="0" w:after="40" w:line="313" w:lineRule="exact"/>
              <w:ind w:left="0" w:right="0" w:firstLine="0"/>
              <w:jc w:val="both"/>
              <w:rPr>
                <w:sz w:val="17"/>
                <w:szCs w:val="17"/>
              </w:rPr>
            </w:pPr>
            <w:r>
              <w:rPr>
                <w:color w:val="000000"/>
                <w:spacing w:val="0"/>
                <w:w w:val="100"/>
                <w:position w:val="0"/>
                <w:sz w:val="17"/>
                <w:szCs w:val="17"/>
              </w:rPr>
              <w:t>内部控制缺陷可能导致或导致的损失与资 产管理相关的，以当期合并资产总额指标 衡量。如果该缺陷单独或连同其他缺陷可 能导致的财务报告错报金额小于合并资产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，则认定为一般缺陷；如果超 过合并资产总额的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认定为 重要缺陷；如果超过合并资产总额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 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312" w:lineRule="exact"/>
              <w:ind w:left="0" w:right="0" w:firstLine="0"/>
              <w:jc w:val="left"/>
              <w:rPr>
                <w:sz w:val="17"/>
                <w:szCs w:val="17"/>
              </w:rPr>
            </w:pPr>
            <w:r>
              <w:rPr>
                <w:color w:val="000000"/>
                <w:spacing w:val="0"/>
                <w:w w:val="100"/>
                <w:position w:val="0"/>
                <w:sz w:val="17"/>
                <w:szCs w:val="17"/>
              </w:rPr>
              <w:t>公司确定的非财务报告内部控制缺陷 评价的定量标准如下：</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非财务报告内部控制缺陷评价的定量 标准参照财务报告内部控制缺陷评价 的定量标准执行。</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604" w:name="bookmark604"/>
      <w:bookmarkStart w:id="605" w:name="bookmark605"/>
      <w:bookmarkStart w:id="606" w:name="bookmark606"/>
      <w:r>
        <w:rPr>
          <w:color w:val="000000"/>
          <w:spacing w:val="0"/>
          <w:w w:val="100"/>
          <w:position w:val="0"/>
          <w:sz w:val="24"/>
          <w:szCs w:val="24"/>
        </w:rPr>
        <w:t>十、内部控制审计报告或鉴证报告</w:t>
      </w:r>
      <w:bookmarkEnd w:id="604"/>
      <w:bookmarkEnd w:id="605"/>
      <w:bookmarkEnd w:id="606"/>
    </w:p>
    <w:p>
      <w:pPr>
        <w:pStyle w:val="Style25"/>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我们认为，中科金财按照财政部等五部委颁发的《企业内部控制基本规范》及相关规定于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日在所有重大 方面保持了与财务报表相关的有效的内部控制。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会计师事务所是否出具非标准意见的内部控制鉴证报告</w:t>
      </w:r>
    </w:p>
    <w:p>
      <w:pPr>
        <w:widowControl w:val="0"/>
        <w:spacing w:after="59" w:line="1" w:lineRule="exact"/>
      </w:pPr>
    </w:p>
    <w:p>
      <w:pPr>
        <w:pStyle w:val="Style25"/>
        <w:keepNext w:val="0"/>
        <w:keepLines w:val="0"/>
        <w:widowControl w:val="0"/>
        <w:shd w:val="clear" w:color="auto" w:fill="auto"/>
        <w:bidi w:val="0"/>
        <w:spacing w:before="0" w:after="1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是</w:t>
      </w:r>
      <w:r>
        <w:rPr>
          <w:color w:val="000000"/>
          <w:spacing w:val="0"/>
          <w:w w:val="100"/>
          <w:position w:val="0"/>
          <w:sz w:val="20"/>
          <w:szCs w:val="20"/>
        </w:rPr>
        <w:t>口</w:t>
      </w:r>
      <w:r>
        <w:rPr>
          <w:color w:val="000000"/>
          <w:spacing w:val="0"/>
          <w:w w:val="100"/>
          <w:position w:val="0"/>
          <w:sz w:val="19"/>
          <w:szCs w:val="19"/>
        </w:rPr>
        <w:t>否</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会计师事务所出具非标准意见的内部控制鉴证报告的说明</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在内部控制鉴证过程中，我们注意到贵公司的非财务报告内部控制存在重大缺陷。</w:t>
      </w:r>
    </w:p>
    <w:p>
      <w:pPr>
        <w:pStyle w:val="Style25"/>
        <w:keepNext w:val="0"/>
        <w:keepLines w:val="0"/>
        <w:widowControl w:val="0"/>
        <w:shd w:val="clear" w:color="auto" w:fill="auto"/>
        <w:bidi w:val="0"/>
        <w:spacing w:before="0" w:after="60" w:line="470"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日，中科金财第五届董事会第十四次会议审议通过，与上海晋宇投资管理有限公司共同 设立上海惬昶信息科技有限责任公司（以下简称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上海惬昶</w:t>
      </w:r>
      <w:r>
        <w:rPr>
          <w:color w:val="000000"/>
          <w:spacing w:val="0"/>
          <w:w w:val="100"/>
          <w:position w:val="0"/>
        </w:rPr>
        <w:t>''），</w:t>
      </w:r>
      <w:r>
        <w:rPr>
          <w:color w:val="000000"/>
          <w:spacing w:val="0"/>
          <w:w w:val="100"/>
          <w:position w:val="0"/>
        </w:rPr>
        <w:t>与深圳市航嘉源控股（集团）有限公司共 同设立深圳市金源兴信息技术有限公司（以下简称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深圳金源兴</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。上海惬昶注册资本</w:t>
      </w:r>
      <w:r>
        <w:rPr>
          <w:rFonts w:ascii="Times New Roman" w:eastAsia="Times New Roman" w:hAnsi="Times New Roman" w:cs="Times New Roman"/>
          <w:color w:val="000000"/>
          <w:spacing w:val="0"/>
          <w:w w:val="100"/>
          <w:position w:val="0"/>
        </w:rPr>
        <w:t>40,000.00</w:t>
      </w:r>
      <w:r>
        <w:rPr>
          <w:color w:val="000000"/>
          <w:spacing w:val="0"/>
          <w:w w:val="100"/>
          <w:position w:val="0"/>
        </w:rPr>
        <w:t>万元，中 科金财认缴</w:t>
      </w:r>
      <w:r>
        <w:rPr>
          <w:rFonts w:ascii="Times New Roman" w:eastAsia="Times New Roman" w:hAnsi="Times New Roman" w:cs="Times New Roman"/>
          <w:color w:val="000000"/>
          <w:spacing w:val="0"/>
          <w:w w:val="100"/>
          <w:position w:val="0"/>
        </w:rPr>
        <w:t>19,600.00</w:t>
      </w:r>
      <w:r>
        <w:rPr>
          <w:color w:val="000000"/>
          <w:spacing w:val="0"/>
          <w:w w:val="100"/>
          <w:position w:val="0"/>
        </w:rPr>
        <w:t>万元（实缴出资</w:t>
      </w:r>
      <w:r>
        <w:rPr>
          <w:rFonts w:ascii="Times New Roman" w:eastAsia="Times New Roman" w:hAnsi="Times New Roman" w:cs="Times New Roman"/>
          <w:color w:val="000000"/>
          <w:spacing w:val="0"/>
          <w:w w:val="100"/>
          <w:position w:val="0"/>
        </w:rPr>
        <w:t>14,700.00</w:t>
      </w:r>
      <w:r>
        <w:rPr>
          <w:color w:val="000000"/>
          <w:spacing w:val="0"/>
          <w:w w:val="100"/>
          <w:position w:val="0"/>
        </w:rPr>
        <w:t>万元），持股比例</w:t>
      </w:r>
      <w:r>
        <w:rPr>
          <w:rFonts w:ascii="Times New Roman" w:eastAsia="Times New Roman" w:hAnsi="Times New Roman" w:cs="Times New Roman"/>
          <w:color w:val="000000"/>
          <w:spacing w:val="0"/>
          <w:w w:val="100"/>
          <w:position w:val="0"/>
        </w:rPr>
        <w:t>49%</w:t>
      </w:r>
      <w:r>
        <w:rPr>
          <w:color w:val="000000"/>
          <w:spacing w:val="0"/>
          <w:w w:val="100"/>
          <w:position w:val="0"/>
        </w:rPr>
        <w:t>。深圳金源兴注册资本</w:t>
      </w:r>
      <w:r>
        <w:rPr>
          <w:rFonts w:ascii="Times New Roman" w:eastAsia="Times New Roman" w:hAnsi="Times New Roman" w:cs="Times New Roman"/>
          <w:color w:val="000000"/>
          <w:spacing w:val="0"/>
          <w:w w:val="100"/>
          <w:position w:val="0"/>
        </w:rPr>
        <w:t>50,000.00</w:t>
      </w:r>
      <w:r>
        <w:rPr>
          <w:color w:val="000000"/>
          <w:spacing w:val="0"/>
          <w:w w:val="100"/>
          <w:position w:val="0"/>
        </w:rPr>
        <w:t>万元, 中科金财认缴</w:t>
      </w:r>
      <w:r>
        <w:rPr>
          <w:rFonts w:ascii="Times New Roman" w:eastAsia="Times New Roman" w:hAnsi="Times New Roman" w:cs="Times New Roman"/>
          <w:color w:val="000000"/>
          <w:spacing w:val="0"/>
          <w:w w:val="100"/>
          <w:position w:val="0"/>
        </w:rPr>
        <w:t>24,500.00</w:t>
      </w:r>
      <w:r>
        <w:rPr>
          <w:color w:val="000000"/>
          <w:spacing w:val="0"/>
          <w:w w:val="100"/>
          <w:position w:val="0"/>
        </w:rPr>
        <w:t>万元（实缴出资</w:t>
      </w:r>
      <w:r>
        <w:rPr>
          <w:rFonts w:ascii="Times New Roman" w:eastAsia="Times New Roman" w:hAnsi="Times New Roman" w:cs="Times New Roman"/>
          <w:color w:val="000000"/>
          <w:spacing w:val="0"/>
          <w:w w:val="100"/>
          <w:position w:val="0"/>
        </w:rPr>
        <w:t>24,500.00</w:t>
      </w:r>
      <w:r>
        <w:rPr>
          <w:color w:val="000000"/>
          <w:spacing w:val="0"/>
          <w:w w:val="100"/>
          <w:position w:val="0"/>
        </w:rPr>
        <w:t>万元），持股比例</w:t>
      </w:r>
      <w:r>
        <w:rPr>
          <w:rFonts w:ascii="Times New Roman" w:eastAsia="Times New Roman" w:hAnsi="Times New Roman" w:cs="Times New Roman"/>
          <w:color w:val="000000"/>
          <w:spacing w:val="0"/>
          <w:w w:val="100"/>
          <w:position w:val="0"/>
        </w:rPr>
        <w:t>49%</w:t>
      </w:r>
      <w:r>
        <w:rPr>
          <w:color w:val="000000"/>
          <w:spacing w:val="0"/>
          <w:w w:val="100"/>
          <w:position w:val="0"/>
        </w:rPr>
        <w:t>。两家联营公司在收到股东实缴出 资后，均未正式开展经营活动。中科金财在投资前，未严格按照《对外投资管理制度》的规定，对设立两 家联营公司进行充分市场调研，未对投资项目进行充分论证。</w:t>
      </w:r>
    </w:p>
    <w:p>
      <w:pPr>
        <w:pStyle w:val="Style25"/>
        <w:keepNext w:val="0"/>
        <w:keepLines w:val="0"/>
        <w:widowControl w:val="0"/>
        <w:shd w:val="clear" w:color="auto" w:fill="auto"/>
        <w:bidi w:val="0"/>
        <w:spacing w:before="0" w:after="120" w:line="427" w:lineRule="exact"/>
        <w:ind w:left="0" w:right="0" w:firstLine="440"/>
        <w:jc w:val="left"/>
        <w:rPr>
          <w:sz w:val="19"/>
          <w:szCs w:val="19"/>
        </w:rPr>
      </w:pPr>
      <w:r>
        <w:rPr>
          <w:color w:val="000000"/>
          <w:spacing w:val="0"/>
          <w:w w:val="100"/>
          <w:position w:val="0"/>
          <w:sz w:val="20"/>
          <w:szCs w:val="20"/>
        </w:rPr>
        <w:t xml:space="preserve">上述事项表明，中科金财对外投资的内部控制未得到有效实施，存在非财务报告内部控制的重大缺陷。 </w:t>
      </w:r>
      <w:r>
        <w:rPr>
          <w:color w:val="000000"/>
          <w:spacing w:val="0"/>
          <w:w w:val="100"/>
          <w:position w:val="0"/>
          <w:sz w:val="19"/>
          <w:szCs w:val="19"/>
        </w:rPr>
        <w:t>会计师事务所出具的内部控制鉴证报告与董事会的自我评价报告意见是否一致</w:t>
      </w:r>
    </w:p>
    <w:p>
      <w:pPr>
        <w:pStyle w:val="Style25"/>
        <w:keepNext w:val="0"/>
        <w:keepLines w:val="0"/>
        <w:widowControl w:val="0"/>
        <w:shd w:val="clear" w:color="auto" w:fill="auto"/>
        <w:bidi w:val="0"/>
        <w:spacing w:before="0" w:after="120" w:line="240" w:lineRule="auto"/>
        <w:ind w:left="0" w:right="0" w:firstLine="0"/>
        <w:jc w:val="left"/>
        <w:rPr>
          <w:sz w:val="19"/>
          <w:szCs w:val="19"/>
        </w:rPr>
        <w:sectPr>
          <w:footnotePr>
            <w:pos w:val="pageBottom"/>
            <w:numFmt w:val="decimal"/>
            <w:numRestart w:val="continuous"/>
          </w:footnotePr>
          <w:pgSz w:w="11900" w:h="16840"/>
          <w:pgMar w:top="1316" w:right="1044" w:bottom="1446"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是</w:t>
      </w:r>
      <w:r>
        <w:rPr>
          <w:color w:val="000000"/>
          <w:spacing w:val="0"/>
          <w:w w:val="100"/>
          <w:position w:val="0"/>
          <w:sz w:val="20"/>
          <w:szCs w:val="20"/>
        </w:rPr>
        <w:t>口</w:t>
      </w:r>
      <w:r>
        <w:rPr>
          <w:color w:val="000000"/>
          <w:spacing w:val="0"/>
          <w:w w:val="100"/>
          <w:position w:val="0"/>
          <w:sz w:val="19"/>
          <w:szCs w:val="19"/>
        </w:rPr>
        <w:t>否</w:t>
      </w:r>
    </w:p>
    <w:p>
      <w:pPr>
        <w:pStyle w:val="Style13"/>
        <w:keepNext/>
        <w:keepLines/>
        <w:widowControl w:val="0"/>
        <w:shd w:val="clear" w:color="auto" w:fill="auto"/>
        <w:bidi w:val="0"/>
        <w:spacing w:before="0" w:after="580" w:line="240" w:lineRule="auto"/>
        <w:ind w:left="0" w:right="0" w:firstLine="0"/>
        <w:jc w:val="center"/>
      </w:pPr>
      <w:bookmarkStart w:id="607" w:name="bookmark607"/>
      <w:bookmarkStart w:id="608" w:name="bookmark608"/>
      <w:bookmarkStart w:id="609" w:name="bookmark609"/>
      <w:r>
        <w:rPr>
          <w:color w:val="000000"/>
          <w:spacing w:val="0"/>
          <w:w w:val="100"/>
          <w:position w:val="0"/>
        </w:rPr>
        <w:t>第十一节公司债券相关情况</w:t>
      </w:r>
      <w:bookmarkEnd w:id="607"/>
      <w:bookmarkEnd w:id="608"/>
      <w:bookmarkEnd w:id="609"/>
    </w:p>
    <w:p>
      <w:pPr>
        <w:pStyle w:val="Style25"/>
        <w:keepNext w:val="0"/>
        <w:keepLines w:val="0"/>
        <w:widowControl w:val="0"/>
        <w:shd w:val="clear" w:color="auto" w:fill="auto"/>
        <w:bidi w:val="0"/>
        <w:spacing w:before="0" w:after="120" w:line="240" w:lineRule="auto"/>
        <w:ind w:left="0" w:right="0" w:firstLine="0"/>
        <w:jc w:val="center"/>
        <w:rPr>
          <w:sz w:val="19"/>
          <w:szCs w:val="19"/>
        </w:rPr>
      </w:pPr>
      <w:r>
        <w:rPr>
          <w:color w:val="000000"/>
          <w:spacing w:val="0"/>
          <w:w w:val="100"/>
          <w:position w:val="0"/>
          <w:sz w:val="19"/>
          <w:szCs w:val="19"/>
        </w:rPr>
        <w:t>公司是否存在公开发行并在证券交易所上市，且在年度报告批准报出日未到期或到期未能全额兑付的公司债券</w:t>
      </w:r>
    </w:p>
    <w:p>
      <w:pPr>
        <w:pStyle w:val="Style25"/>
        <w:keepNext w:val="0"/>
        <w:keepLines w:val="0"/>
        <w:widowControl w:val="0"/>
        <w:shd w:val="clear" w:color="auto" w:fill="auto"/>
        <w:bidi w:val="0"/>
        <w:spacing w:before="0" w:after="360" w:line="240" w:lineRule="auto"/>
        <w:ind w:left="0" w:right="0" w:firstLine="0"/>
        <w:jc w:val="left"/>
        <w:rPr>
          <w:sz w:val="19"/>
          <w:szCs w:val="19"/>
        </w:rPr>
        <w:sectPr>
          <w:footnotePr>
            <w:pos w:val="pageBottom"/>
            <w:numFmt w:val="decimal"/>
            <w:numRestart w:val="continuous"/>
          </w:footnotePr>
          <w:pgSz w:w="11900" w:h="16840"/>
          <w:pgMar w:top="1921" w:right="1157" w:bottom="1921" w:left="1114" w:header="0" w:footer="3" w:gutter="0"/>
          <w:cols w:space="720"/>
          <w:noEndnote/>
          <w:rtlGutter w:val="0"/>
          <w:docGrid w:linePitch="360"/>
        </w:sectPr>
      </w:pPr>
      <w:r>
        <w:rPr>
          <w:color w:val="000000"/>
          <w:spacing w:val="0"/>
          <w:w w:val="100"/>
          <w:position w:val="0"/>
          <w:sz w:val="19"/>
          <w:szCs w:val="19"/>
        </w:rPr>
        <w:t>否</w:t>
      </w:r>
    </w:p>
    <w:p>
      <w:pPr>
        <w:pStyle w:val="Style13"/>
        <w:keepNext/>
        <w:keepLines/>
        <w:widowControl w:val="0"/>
        <w:shd w:val="clear" w:color="auto" w:fill="auto"/>
        <w:bidi w:val="0"/>
        <w:spacing w:after="560" w:line="240" w:lineRule="auto"/>
        <w:ind w:left="0" w:right="0" w:firstLine="0"/>
        <w:jc w:val="center"/>
      </w:pPr>
      <w:bookmarkStart w:id="610" w:name="bookmark610"/>
      <w:bookmarkStart w:id="611" w:name="bookmark611"/>
      <w:bookmarkStart w:id="612" w:name="bookmark612"/>
      <w:r>
        <w:rPr>
          <w:color w:val="000000"/>
          <w:spacing w:val="0"/>
          <w:w w:val="100"/>
          <w:position w:val="0"/>
        </w:rPr>
        <w:t>第十二节财务报告</w:t>
      </w:r>
      <w:bookmarkEnd w:id="610"/>
      <w:bookmarkEnd w:id="611"/>
      <w:bookmarkEnd w:id="612"/>
    </w:p>
    <w:p>
      <w:pPr>
        <w:pStyle w:val="Style23"/>
        <w:keepNext/>
        <w:keepLines/>
        <w:widowControl w:val="0"/>
        <w:shd w:val="clear" w:color="auto" w:fill="auto"/>
        <w:bidi w:val="0"/>
        <w:spacing w:before="0" w:after="32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一</w:t>
      </w:r>
      <w:bookmarkEnd w:id="615"/>
      <w:r>
        <w:rPr>
          <w:color w:val="000000"/>
          <w:spacing w:val="0"/>
          <w:w w:val="100"/>
          <w:position w:val="0"/>
          <w:sz w:val="24"/>
          <w:szCs w:val="24"/>
        </w:rPr>
        <w:t>、审计报告</w:t>
      </w:r>
      <w:bookmarkEnd w:id="613"/>
      <w:bookmarkEnd w:id="614"/>
      <w:bookmarkEnd w:id="61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ZB10544</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张金华、郭晓清</w:t>
            </w: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widowControl w:val="0"/>
        <w:spacing w:after="21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北京中科金财科技股份有限公司全体股东:</w:t>
      </w:r>
    </w:p>
    <w:p>
      <w:pPr>
        <w:pStyle w:val="Style25"/>
        <w:keepNext w:val="0"/>
        <w:keepLines w:val="0"/>
        <w:widowControl w:val="0"/>
        <w:shd w:val="clear" w:color="auto" w:fill="auto"/>
        <w:bidi w:val="0"/>
        <w:spacing w:before="0" w:after="220" w:line="240" w:lineRule="auto"/>
        <w:ind w:left="0" w:right="0" w:firstLine="440"/>
        <w:jc w:val="both"/>
      </w:pPr>
      <w:bookmarkStart w:id="617" w:name="bookmark617"/>
      <w:r>
        <w:rPr>
          <w:color w:val="000000"/>
          <w:spacing w:val="0"/>
          <w:w w:val="100"/>
          <w:position w:val="0"/>
        </w:rPr>
        <w:t>一</w:t>
      </w:r>
      <w:bookmarkEnd w:id="617"/>
      <w:r>
        <w:rPr>
          <w:color w:val="000000"/>
          <w:spacing w:val="0"/>
          <w:w w:val="100"/>
          <w:position w:val="0"/>
        </w:rPr>
        <w:t>、审计意见</w:t>
      </w:r>
    </w:p>
    <w:p>
      <w:pPr>
        <w:pStyle w:val="Style2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我们审计了北京中科金财科技股份有限公司（以下简称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中科金财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 </w:t>
      </w:r>
      <w:r>
        <w:rPr>
          <w:color w:val="000000"/>
          <w:spacing w:val="0"/>
          <w:w w:val="100"/>
          <w:position w:val="0"/>
        </w:rPr>
        <w:t>的合并及母公司资产负债表，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年度的合并及母公司利润表、合并及母公司现金流量表、合并及母公司 </w:t>
      </w:r>
      <w:r>
        <w:rPr>
          <w:color w:val="000000"/>
          <w:spacing w:val="0"/>
          <w:w w:val="100"/>
          <w:position w:val="0"/>
        </w:rPr>
        <w:t>所有者权益变动表以及相关财务报表附注。</w:t>
      </w:r>
    </w:p>
    <w:p>
      <w:pPr>
        <w:pStyle w:val="Style2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我们认为，后附的财务报表在所有重大方面按照企业会计准则的规定编制，公允反映了中科金财</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25"/>
        <w:keepNext w:val="0"/>
        <w:keepLines w:val="0"/>
        <w:widowControl w:val="0"/>
        <w:shd w:val="clear" w:color="auto" w:fill="auto"/>
        <w:bidi w:val="0"/>
        <w:spacing w:before="0" w:after="220" w:line="240" w:lineRule="auto"/>
        <w:ind w:left="0" w:right="0" w:firstLine="440"/>
        <w:jc w:val="both"/>
      </w:pPr>
      <w:bookmarkStart w:id="618" w:name="bookmark618"/>
      <w:r>
        <w:rPr>
          <w:color w:val="000000"/>
          <w:spacing w:val="0"/>
          <w:w w:val="100"/>
          <w:position w:val="0"/>
        </w:rPr>
        <w:t>二</w:t>
      </w:r>
      <w:bookmarkEnd w:id="618"/>
      <w:r>
        <w:rPr>
          <w:color w:val="000000"/>
          <w:spacing w:val="0"/>
          <w:w w:val="100"/>
          <w:position w:val="0"/>
        </w:rPr>
        <w:t>、形成审计意见的基础</w:t>
      </w:r>
    </w:p>
    <w:p>
      <w:pPr>
        <w:pStyle w:val="Style2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 xml:space="preserve">注册会计师对财务报表审计 </w:t>
      </w:r>
      <w:r>
        <w:rPr>
          <w:color w:val="000000"/>
          <w:spacing w:val="0"/>
          <w:w w:val="100"/>
          <w:position w:val="0"/>
        </w:rPr>
        <w:t>的责任</w:t>
      </w:r>
      <w:r>
        <w:rPr>
          <w:color w:val="000000"/>
          <w:spacing w:val="0"/>
          <w:w w:val="100"/>
          <w:position w:val="0"/>
        </w:rPr>
        <w:t>''</w:t>
      </w:r>
      <w:r>
        <w:rPr>
          <w:color w:val="000000"/>
          <w:spacing w:val="0"/>
          <w:w w:val="100"/>
          <w:position w:val="0"/>
        </w:rPr>
        <w:t xml:space="preserve">部分进一步阐述了我们在这些准则下的责任。按照中国注册会计师职业道德守则，我们独立于中 </w:t>
      </w:r>
      <w:r>
        <w:rPr>
          <w:color w:val="000000"/>
          <w:spacing w:val="0"/>
          <w:w w:val="100"/>
          <w:position w:val="0"/>
        </w:rPr>
        <w:t xml:space="preserve">科金财，并履行了职业道德方面的其他责任。我们相信，我们获取的审计证据是充分、适当的，为发表审 </w:t>
      </w:r>
      <w:r>
        <w:rPr>
          <w:color w:val="000000"/>
          <w:spacing w:val="0"/>
          <w:w w:val="100"/>
          <w:position w:val="0"/>
        </w:rPr>
        <w:t>计意见提供了基础。</w:t>
      </w:r>
    </w:p>
    <w:p>
      <w:pPr>
        <w:pStyle w:val="Style25"/>
        <w:keepNext w:val="0"/>
        <w:keepLines w:val="0"/>
        <w:widowControl w:val="0"/>
        <w:shd w:val="clear" w:color="auto" w:fill="auto"/>
        <w:bidi w:val="0"/>
        <w:spacing w:before="0" w:after="220" w:line="240" w:lineRule="auto"/>
        <w:ind w:left="0" w:right="0" w:firstLine="440"/>
        <w:jc w:val="both"/>
      </w:pPr>
      <w:bookmarkStart w:id="619" w:name="bookmark619"/>
      <w:r>
        <w:rPr>
          <w:color w:val="000000"/>
          <w:spacing w:val="0"/>
          <w:w w:val="100"/>
          <w:position w:val="0"/>
        </w:rPr>
        <w:t>三</w:t>
      </w:r>
      <w:bookmarkEnd w:id="619"/>
      <w:r>
        <w:rPr>
          <w:color w:val="000000"/>
          <w:spacing w:val="0"/>
          <w:w w:val="100"/>
          <w:position w:val="0"/>
        </w:rPr>
        <w:t>、关键审计事项</w:t>
      </w:r>
    </w:p>
    <w:p>
      <w:pPr>
        <w:pStyle w:val="Style2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 xml:space="preserve">关键审计事项是我们根据职业判断，认为对本期财务报表审计最为重要的事项。这些事项的应对以对 </w:t>
      </w:r>
      <w:r>
        <w:rPr>
          <w:color w:val="000000"/>
          <w:spacing w:val="0"/>
          <w:w w:val="100"/>
          <w:position w:val="0"/>
        </w:rPr>
        <w:t>财务报表整体进行审计并形成审计意见为背景，我们不对这些事项单独发表意见。</w:t>
      </w:r>
    </w:p>
    <w:p>
      <w:pPr>
        <w:pStyle w:val="Style40"/>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我们在审计中识别出的关键审计事项汇总如下:</w:t>
      </w:r>
    </w:p>
    <w:tbl>
      <w:tblPr>
        <w:tblOverlap w:val="never"/>
        <w:jc w:val="center"/>
        <w:tblLayout w:type="fixed"/>
      </w:tblPr>
      <w:tblGrid>
        <w:gridCol w:w="4829"/>
        <w:gridCol w:w="440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（一）商誉的减值</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商誉减值的会计政策详情及分析请参阅合并财务报表附 注“五、重要会计政策和会计估计”注释二十所述的会 计政策及“七、合并财务报表项目附注”注释十七。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应对此关键事项有关的审计程序包括：</w:t>
            </w:r>
          </w:p>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20"/>
                <w:szCs w:val="20"/>
              </w:rPr>
              <w:t>1</w:t>
            </w:r>
            <w:r>
              <w:rPr>
                <w:color w:val="000000"/>
                <w:spacing w:val="0"/>
                <w:w w:val="100"/>
                <w:position w:val="0"/>
                <w:sz w:val="19"/>
                <w:szCs w:val="19"/>
              </w:rPr>
              <w:t>、我们评估及测试与商誉减值测试相关的内部控 制的设计，包括关键假设的采用及减值计提金额的</w:t>
            </w:r>
          </w:p>
        </w:tc>
      </w:tr>
    </w:tbl>
    <w:p>
      <w:pPr>
        <w:widowControl w:val="0"/>
        <w:spacing w:line="1" w:lineRule="exact"/>
      </w:pPr>
      <w:r>
        <w:br w:type="page"/>
      </w:r>
    </w:p>
    <w:tbl>
      <w:tblPr>
        <w:tblOverlap w:val="never"/>
        <w:jc w:val="center"/>
        <w:tblLayout w:type="fixed"/>
      </w:tblPr>
      <w:tblGrid>
        <w:gridCol w:w="4829"/>
        <w:gridCol w:w="4406"/>
      </w:tblGrid>
      <w:tr>
        <w:trPr>
          <w:trHeight w:val="3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截至</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日，中科金财商誉的账面价值合计人 民币</w:t>
            </w:r>
            <w:r>
              <w:rPr>
                <w:color w:val="000000"/>
                <w:spacing w:val="0"/>
                <w:w w:val="100"/>
                <w:position w:val="0"/>
                <w:sz w:val="20"/>
                <w:szCs w:val="20"/>
              </w:rPr>
              <w:t xml:space="preserve">82, </w:t>
            </w:r>
            <w:r>
              <w:rPr>
                <w:color w:val="000000"/>
                <w:spacing w:val="0"/>
                <w:w w:val="100"/>
                <w:position w:val="0"/>
                <w:sz w:val="20"/>
                <w:szCs w:val="20"/>
              </w:rPr>
              <w:t xml:space="preserve">200. </w:t>
            </w:r>
            <w:r>
              <w:rPr>
                <w:color w:val="000000"/>
                <w:spacing w:val="0"/>
                <w:w w:val="100"/>
                <w:position w:val="0"/>
                <w:sz w:val="20"/>
                <w:szCs w:val="20"/>
              </w:rPr>
              <w:t>98</w:t>
            </w:r>
            <w:r>
              <w:rPr>
                <w:color w:val="000000"/>
                <w:spacing w:val="0"/>
                <w:w w:val="100"/>
                <w:position w:val="0"/>
                <w:sz w:val="19"/>
                <w:szCs w:val="19"/>
              </w:rPr>
              <w:t xml:space="preserve">万元，相应的减值准备余额为人民币 </w:t>
            </w:r>
            <w:r>
              <w:rPr>
                <w:color w:val="000000"/>
                <w:spacing w:val="0"/>
                <w:w w:val="100"/>
                <w:position w:val="0"/>
                <w:sz w:val="20"/>
                <w:szCs w:val="20"/>
              </w:rPr>
              <w:t xml:space="preserve">62, </w:t>
            </w:r>
            <w:r>
              <w:rPr>
                <w:color w:val="000000"/>
                <w:spacing w:val="0"/>
                <w:w w:val="100"/>
                <w:position w:val="0"/>
                <w:sz w:val="20"/>
                <w:szCs w:val="20"/>
              </w:rPr>
              <w:t xml:space="preserve">843. </w:t>
            </w:r>
            <w:r>
              <w:rPr>
                <w:color w:val="000000"/>
                <w:spacing w:val="0"/>
                <w:w w:val="100"/>
                <w:position w:val="0"/>
                <w:sz w:val="20"/>
                <w:szCs w:val="20"/>
              </w:rPr>
              <w:t>08</w:t>
            </w:r>
            <w:r>
              <w:rPr>
                <w:color w:val="000000"/>
                <w:spacing w:val="0"/>
                <w:w w:val="100"/>
                <w:position w:val="0"/>
                <w:sz w:val="19"/>
                <w:szCs w:val="19"/>
              </w:rPr>
              <w:t>万元。</w:t>
            </w:r>
          </w:p>
          <w:p>
            <w:pPr>
              <w:pStyle w:val="Style2"/>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管理层每年评估商誉可能出现减值的情况，并依据减值 测试的结果调整商誉的账面价值，在确定是否应计提减 值时涉及管理层重大的判断和估计，特别是确定收入增 长率、永续增长率、成本上涨，以及折现率等关键参数。 由于商誉的减值预测和折现未来现金流量涉及固有不确 定性，以及管理层在选用假设和估计时可能出现偏好的 风险，我们将评估商誉的减值视为中科金财的关键审计 事项。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复核及审批；</w:t>
            </w:r>
          </w:p>
          <w:p>
            <w:pPr>
              <w:pStyle w:val="Style2"/>
              <w:keepNext w:val="0"/>
              <w:keepLines w:val="0"/>
              <w:widowControl w:val="0"/>
              <w:shd w:val="clear" w:color="auto" w:fill="auto"/>
              <w:tabs>
                <w:tab w:pos="298" w:val="left"/>
              </w:tabs>
              <w:bidi w:val="0"/>
              <w:spacing w:before="0" w:after="0" w:line="317" w:lineRule="exact"/>
              <w:ind w:left="0" w:right="0" w:firstLine="0"/>
              <w:jc w:val="left"/>
              <w:rPr>
                <w:sz w:val="19"/>
                <w:szCs w:val="19"/>
              </w:rPr>
            </w:pPr>
            <w:r>
              <w:rPr>
                <w:color w:val="000000"/>
                <w:spacing w:val="0"/>
                <w:w w:val="100"/>
                <w:position w:val="0"/>
                <w:sz w:val="20"/>
                <w:szCs w:val="20"/>
              </w:rPr>
              <w:t>2</w:t>
            </w:r>
            <w:r>
              <w:rPr>
                <w:color w:val="000000"/>
                <w:spacing w:val="0"/>
                <w:w w:val="100"/>
                <w:position w:val="0"/>
                <w:sz w:val="19"/>
                <w:szCs w:val="19"/>
              </w:rPr>
              <w:t>、</w:t>
              <w:tab/>
              <w:t>聘请外部专家对与商誉相关的资产组或资产组 组合进行评估，并对专家的评估结果进行复核；</w:t>
            </w:r>
          </w:p>
          <w:p>
            <w:pPr>
              <w:pStyle w:val="Style2"/>
              <w:keepNext w:val="0"/>
              <w:keepLines w:val="0"/>
              <w:widowControl w:val="0"/>
              <w:shd w:val="clear" w:color="auto" w:fill="auto"/>
              <w:tabs>
                <w:tab w:pos="298" w:val="left"/>
              </w:tabs>
              <w:bidi w:val="0"/>
              <w:spacing w:before="0" w:after="0" w:line="326" w:lineRule="exact"/>
              <w:ind w:left="0" w:right="0" w:firstLine="0"/>
              <w:jc w:val="left"/>
              <w:rPr>
                <w:sz w:val="19"/>
                <w:szCs w:val="19"/>
              </w:rPr>
            </w:pPr>
            <w:r>
              <w:rPr>
                <w:color w:val="000000"/>
                <w:spacing w:val="0"/>
                <w:w w:val="100"/>
                <w:position w:val="0"/>
                <w:sz w:val="20"/>
                <w:szCs w:val="20"/>
              </w:rPr>
              <w:t>3</w:t>
            </w:r>
            <w:r>
              <w:rPr>
                <w:color w:val="000000"/>
                <w:spacing w:val="0"/>
                <w:w w:val="100"/>
                <w:position w:val="0"/>
                <w:sz w:val="19"/>
                <w:szCs w:val="19"/>
              </w:rPr>
              <w:t>、</w:t>
              <w:tab/>
              <w:t>通过参考行业惯例，评估了管理层进行现金流 量预测时使用的估值方法的适当性；</w:t>
            </w:r>
          </w:p>
          <w:p>
            <w:pPr>
              <w:pStyle w:val="Style2"/>
              <w:keepNext w:val="0"/>
              <w:keepLines w:val="0"/>
              <w:widowControl w:val="0"/>
              <w:shd w:val="clear" w:color="auto" w:fill="auto"/>
              <w:tabs>
                <w:tab w:pos="302" w:val="left"/>
              </w:tabs>
              <w:bidi w:val="0"/>
              <w:spacing w:before="0" w:after="0" w:line="317" w:lineRule="exact"/>
              <w:ind w:left="0" w:right="0" w:firstLine="0"/>
              <w:jc w:val="left"/>
              <w:rPr>
                <w:sz w:val="19"/>
                <w:szCs w:val="19"/>
              </w:rPr>
            </w:pPr>
            <w:r>
              <w:rPr>
                <w:color w:val="000000"/>
                <w:spacing w:val="0"/>
                <w:w w:val="100"/>
                <w:position w:val="0"/>
                <w:sz w:val="20"/>
                <w:szCs w:val="20"/>
              </w:rPr>
              <w:t>4</w:t>
            </w:r>
            <w:r>
              <w:rPr>
                <w:color w:val="000000"/>
                <w:spacing w:val="0"/>
                <w:w w:val="100"/>
                <w:position w:val="0"/>
                <w:sz w:val="19"/>
                <w:szCs w:val="19"/>
              </w:rPr>
              <w:t>、</w:t>
              <w:tab/>
              <w:t>对预测收入和采用的折现率等关键假设进行敏 感性分析，以评价关键假设的变化对减值评估结果 的影响以及考虑对关键假设的选择是否存在管理 层偏向的迹象；</w:t>
            </w:r>
          </w:p>
          <w:p>
            <w:pPr>
              <w:pStyle w:val="Style2"/>
              <w:keepNext w:val="0"/>
              <w:keepLines w:val="0"/>
              <w:widowControl w:val="0"/>
              <w:shd w:val="clear" w:color="auto" w:fill="auto"/>
              <w:tabs>
                <w:tab w:pos="298" w:val="left"/>
              </w:tabs>
              <w:bidi w:val="0"/>
              <w:spacing w:before="0" w:after="0" w:line="336" w:lineRule="exact"/>
              <w:ind w:left="0" w:right="0" w:firstLine="0"/>
              <w:jc w:val="left"/>
              <w:rPr>
                <w:sz w:val="19"/>
                <w:szCs w:val="19"/>
              </w:rPr>
            </w:pPr>
            <w:r>
              <w:rPr>
                <w:color w:val="000000"/>
                <w:spacing w:val="0"/>
                <w:w w:val="100"/>
                <w:position w:val="0"/>
                <w:sz w:val="20"/>
                <w:szCs w:val="20"/>
              </w:rPr>
              <w:t>5</w:t>
            </w:r>
            <w:r>
              <w:rPr>
                <w:color w:val="000000"/>
                <w:spacing w:val="0"/>
                <w:w w:val="100"/>
                <w:position w:val="0"/>
                <w:sz w:val="19"/>
                <w:szCs w:val="19"/>
              </w:rPr>
              <w:t>、</w:t>
              <w:tab/>
              <w:t>通过对比上一年度的预测和本年度的业绩进行 追溯性审核，以评估管理层预测过程的可靠性。</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（二）信托计划的列报及减值</w:t>
            </w:r>
          </w:p>
        </w:tc>
      </w:tr>
      <w:tr>
        <w:trPr>
          <w:trHeight w:val="504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both"/>
              <w:rPr>
                <w:sz w:val="19"/>
                <w:szCs w:val="19"/>
              </w:rPr>
            </w:pPr>
            <w:r>
              <w:rPr>
                <w:color w:val="000000"/>
                <w:spacing w:val="0"/>
                <w:w w:val="100"/>
                <w:position w:val="0"/>
                <w:sz w:val="19"/>
                <w:szCs w:val="19"/>
              </w:rPr>
              <w:t>请参阅财务报表附注“五、重要会计政策和会计估计” 注释十所述的会计政策、“七、合并财务报表项目附注” 注释十、十一、十二及四十五、“九、在其他主体中的 权益”注释一</w:t>
            </w:r>
            <w:r>
              <w:rPr>
                <w:color w:val="000000"/>
                <w:spacing w:val="0"/>
                <w:w w:val="100"/>
                <w:position w:val="0"/>
                <w:sz w:val="20"/>
                <w:szCs w:val="20"/>
              </w:rPr>
              <w:t>（2）</w:t>
            </w:r>
            <w:r>
              <w:rPr>
                <w:color w:val="000000"/>
                <w:spacing w:val="0"/>
                <w:w w:val="100"/>
                <w:position w:val="0"/>
                <w:sz w:val="19"/>
                <w:szCs w:val="19"/>
              </w:rPr>
              <w:t>。</w:t>
            </w:r>
          </w:p>
          <w:p>
            <w:pPr>
              <w:pStyle w:val="Style2"/>
              <w:keepNext w:val="0"/>
              <w:keepLines w:val="0"/>
              <w:widowControl w:val="0"/>
              <w:shd w:val="clear" w:color="auto" w:fill="auto"/>
              <w:bidi w:val="0"/>
              <w:spacing w:before="0" w:after="0" w:line="309" w:lineRule="exact"/>
              <w:ind w:left="0" w:right="0" w:firstLine="0"/>
              <w:jc w:val="both"/>
              <w:rPr>
                <w:sz w:val="19"/>
                <w:szCs w:val="19"/>
              </w:rPr>
            </w:pPr>
            <w:r>
              <w:rPr>
                <w:color w:val="000000"/>
                <w:spacing w:val="0"/>
                <w:w w:val="100"/>
                <w:position w:val="0"/>
                <w:sz w:val="19"/>
                <w:szCs w:val="19"/>
              </w:rPr>
              <w:t>截至</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日，中科金财及其子公司自西藏 信托有限公司、华鑫国际信托有限公司认购单一信托、 劣后级信托计划（以下简称“信托计划”），期末累计 认购金额</w:t>
            </w:r>
            <w:r>
              <w:rPr>
                <w:color w:val="000000"/>
                <w:spacing w:val="0"/>
                <w:w w:val="100"/>
                <w:position w:val="0"/>
                <w:sz w:val="20"/>
                <w:szCs w:val="20"/>
              </w:rPr>
              <w:t>59,114.18</w:t>
            </w:r>
            <w:r>
              <w:rPr>
                <w:color w:val="000000"/>
                <w:spacing w:val="0"/>
                <w:w w:val="100"/>
                <w:position w:val="0"/>
                <w:sz w:val="19"/>
                <w:szCs w:val="19"/>
              </w:rPr>
              <w:t>万元，减值</w:t>
            </w:r>
            <w:r>
              <w:rPr>
                <w:color w:val="000000"/>
                <w:spacing w:val="0"/>
                <w:w w:val="100"/>
                <w:position w:val="0"/>
                <w:sz w:val="20"/>
                <w:szCs w:val="20"/>
              </w:rPr>
              <w:t xml:space="preserve">3, </w:t>
            </w:r>
            <w:r>
              <w:rPr>
                <w:color w:val="000000"/>
                <w:spacing w:val="0"/>
                <w:w w:val="100"/>
                <w:position w:val="0"/>
                <w:sz w:val="20"/>
                <w:szCs w:val="20"/>
              </w:rPr>
              <w:t xml:space="preserve">005. </w:t>
            </w:r>
            <w:r>
              <w:rPr>
                <w:color w:val="000000"/>
                <w:spacing w:val="0"/>
                <w:w w:val="100"/>
                <w:position w:val="0"/>
                <w:sz w:val="20"/>
                <w:szCs w:val="20"/>
              </w:rPr>
              <w:t>54</w:t>
            </w:r>
            <w:r>
              <w:rPr>
                <w:color w:val="000000"/>
                <w:spacing w:val="0"/>
                <w:w w:val="100"/>
                <w:position w:val="0"/>
                <w:sz w:val="19"/>
                <w:szCs w:val="19"/>
              </w:rPr>
              <w:t>万元。</w:t>
            </w:r>
          </w:p>
          <w:p>
            <w:pPr>
              <w:pStyle w:val="Style2"/>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该信托计划金额重大，信托计划作为金融资产如何在财 务报表进行合理列报以及根据信托计划底层资产的信用 情况确定信托计划减值时管理层作出评估和判断，因此 我们将信托计划的列报及减值事项作为关键审计事项进 行关注。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应对此关键事项有关的审计程序包括：</w:t>
            </w:r>
          </w:p>
          <w:p>
            <w:pPr>
              <w:pStyle w:val="Style2"/>
              <w:keepNext w:val="0"/>
              <w:keepLines w:val="0"/>
              <w:widowControl w:val="0"/>
              <w:shd w:val="clear" w:color="auto" w:fill="auto"/>
              <w:tabs>
                <w:tab w:pos="475" w:val="left"/>
              </w:tabs>
              <w:bidi w:val="0"/>
              <w:spacing w:before="0" w:after="0" w:line="314" w:lineRule="exact"/>
              <w:ind w:left="0" w:right="0" w:firstLine="0"/>
              <w:jc w:val="left"/>
              <w:rPr>
                <w:sz w:val="19"/>
                <w:szCs w:val="19"/>
              </w:rPr>
            </w:pPr>
            <w:r>
              <w:rPr>
                <w:color w:val="000000"/>
                <w:spacing w:val="0"/>
                <w:w w:val="100"/>
                <w:position w:val="0"/>
                <w:sz w:val="19"/>
                <w:szCs w:val="19"/>
              </w:rPr>
              <w:t>（</w:t>
            </w:r>
            <w:r>
              <w:rPr>
                <w:color w:val="000000"/>
                <w:spacing w:val="0"/>
                <w:w w:val="100"/>
                <w:position w:val="0"/>
                <w:sz w:val="20"/>
                <w:szCs w:val="20"/>
              </w:rPr>
              <w:t>1</w:t>
            </w:r>
            <w:r>
              <w:rPr>
                <w:color w:val="000000"/>
                <w:spacing w:val="0"/>
                <w:w w:val="100"/>
                <w:position w:val="0"/>
                <w:sz w:val="19"/>
                <w:szCs w:val="19"/>
              </w:rPr>
              <w:t>）</w:t>
              <w:tab/>
              <w:t>我们对此投资业务的关键内控设计和执行情 况进行了解和测试；对减值计算相关内部控制设计 进行评估和测试；</w:t>
            </w:r>
          </w:p>
          <w:p>
            <w:pPr>
              <w:pStyle w:val="Style2"/>
              <w:keepNext w:val="0"/>
              <w:keepLines w:val="0"/>
              <w:widowControl w:val="0"/>
              <w:shd w:val="clear" w:color="auto" w:fill="auto"/>
              <w:tabs>
                <w:tab w:pos="485" w:val="left"/>
              </w:tabs>
              <w:bidi w:val="0"/>
              <w:spacing w:before="0" w:after="0" w:line="314" w:lineRule="exact"/>
              <w:ind w:left="0" w:right="0" w:firstLine="0"/>
              <w:jc w:val="left"/>
              <w:rPr>
                <w:sz w:val="19"/>
                <w:szCs w:val="19"/>
              </w:rPr>
            </w:pPr>
            <w:r>
              <w:rPr>
                <w:color w:val="000000"/>
                <w:spacing w:val="0"/>
                <w:w w:val="100"/>
                <w:position w:val="0"/>
                <w:sz w:val="20"/>
                <w:szCs w:val="20"/>
              </w:rPr>
              <w:t>（2）</w:t>
              <w:tab/>
            </w:r>
            <w:r>
              <w:rPr>
                <w:color w:val="000000"/>
                <w:spacing w:val="0"/>
                <w:w w:val="100"/>
                <w:position w:val="0"/>
                <w:sz w:val="19"/>
                <w:szCs w:val="19"/>
              </w:rPr>
              <w:t>获取并查阅资金计划合同、信托计划说明书, 了解信托计划中对信托财产的管理、运用和处分的 决策机制及相应流程，分析信托计划的委托人和受 托人的权利，评估公司对该项信托计划的权利、可 变回报、以及运用权力影响可变回报的能力，判断 公司对该项信托计划是否构成控制；</w:t>
            </w:r>
          </w:p>
          <w:p>
            <w:pPr>
              <w:pStyle w:val="Style2"/>
              <w:keepNext w:val="0"/>
              <w:keepLines w:val="0"/>
              <w:widowControl w:val="0"/>
              <w:shd w:val="clear" w:color="auto" w:fill="auto"/>
              <w:tabs>
                <w:tab w:pos="499" w:val="left"/>
              </w:tabs>
              <w:bidi w:val="0"/>
              <w:spacing w:before="0" w:after="0" w:line="314" w:lineRule="exact"/>
              <w:ind w:left="0" w:right="0" w:firstLine="0"/>
              <w:jc w:val="left"/>
              <w:rPr>
                <w:sz w:val="19"/>
                <w:szCs w:val="19"/>
              </w:rPr>
            </w:pPr>
            <w:r>
              <w:rPr>
                <w:color w:val="000000"/>
                <w:spacing w:val="0"/>
                <w:w w:val="100"/>
                <w:position w:val="0"/>
                <w:sz w:val="20"/>
                <w:szCs w:val="20"/>
              </w:rPr>
              <w:t>（3）</w:t>
              <w:tab/>
            </w:r>
            <w:r>
              <w:rPr>
                <w:color w:val="000000"/>
                <w:spacing w:val="0"/>
                <w:w w:val="100"/>
                <w:position w:val="0"/>
                <w:sz w:val="19"/>
                <w:szCs w:val="19"/>
              </w:rPr>
              <w:t>分析信托计划合同的相关约定，并结合管理 层认购信托计划的目的和动因，判断对该项金融资 产的分类、计量和列报是否正确；</w:t>
            </w:r>
          </w:p>
          <w:p>
            <w:pPr>
              <w:pStyle w:val="Style2"/>
              <w:keepNext w:val="0"/>
              <w:keepLines w:val="0"/>
              <w:widowControl w:val="0"/>
              <w:shd w:val="clear" w:color="auto" w:fill="auto"/>
              <w:tabs>
                <w:tab w:pos="499" w:val="left"/>
              </w:tabs>
              <w:bidi w:val="0"/>
              <w:spacing w:before="0" w:after="0" w:line="322" w:lineRule="exact"/>
              <w:ind w:left="0" w:right="0" w:firstLine="0"/>
              <w:jc w:val="left"/>
              <w:rPr>
                <w:sz w:val="19"/>
                <w:szCs w:val="19"/>
              </w:rPr>
            </w:pPr>
            <w:r>
              <w:rPr>
                <w:color w:val="000000"/>
                <w:spacing w:val="0"/>
                <w:w w:val="100"/>
                <w:position w:val="0"/>
                <w:sz w:val="20"/>
                <w:szCs w:val="20"/>
              </w:rPr>
              <w:t>（4）</w:t>
              <w:tab/>
            </w:r>
            <w:r>
              <w:rPr>
                <w:color w:val="000000"/>
                <w:spacing w:val="0"/>
                <w:w w:val="100"/>
                <w:position w:val="0"/>
                <w:sz w:val="19"/>
                <w:szCs w:val="19"/>
              </w:rPr>
              <w:t>结合底层资产的情况复核管理层作出的评估 结果是否合理。对本期计提的减值，复核管理层的 计算过程及结果。</w:t>
            </w:r>
          </w:p>
        </w:tc>
      </w:tr>
    </w:tbl>
    <w:p>
      <w:pPr>
        <w:pStyle w:val="Style40"/>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四、其他信息</w:t>
      </w:r>
    </w:p>
    <w:p>
      <w:pPr>
        <w:pStyle w:val="Style2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中科金财管理层（以下简称管理层）对其他信息负责。其他信息包括中科金财</w:t>
      </w:r>
      <w:r>
        <w:rPr>
          <w:color w:val="000000"/>
          <w:spacing w:val="0"/>
          <w:w w:val="100"/>
          <w:position w:val="0"/>
        </w:rPr>
        <w:t>2020</w:t>
      </w:r>
      <w:r>
        <w:rPr>
          <w:color w:val="000000"/>
          <w:spacing w:val="0"/>
          <w:w w:val="100"/>
          <w:position w:val="0"/>
        </w:rPr>
        <w:t>年年度报告中涵盖 的信息，但不包括财务报表和我们的审计报告。</w:t>
      </w:r>
    </w:p>
    <w:p>
      <w:pPr>
        <w:pStyle w:val="Style2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2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2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2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五、管理层和治理层对财务报表的责任</w:t>
      </w:r>
    </w:p>
    <w:p>
      <w:pPr>
        <w:pStyle w:val="Style2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管理层负责按照企业会计准则的规定编制财务报表，使其实现公允反映，并设计、执行和维护必要的 </w:t>
      </w:r>
      <w:r>
        <w:rPr>
          <w:color w:val="000000"/>
          <w:spacing w:val="0"/>
          <w:w w:val="100"/>
          <w:position w:val="0"/>
        </w:rPr>
        <w:t>内部控制，以使财务报表不存在由于舞弊或错误导致的重大错报。</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在编制财务报表时，管理层负责评估中科金财的持续经营能力，披露与持续经营相关的事项（如适用）， 并运用持续经营假设，除非计划进行清算、终止运营或别无其他现实的选择。</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治理层负责监督中科金财的财务报告过程。</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六、注册会计师对财务报表审计的责任</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25"/>
        <w:keepNext w:val="0"/>
        <w:keepLines w:val="0"/>
        <w:widowControl w:val="0"/>
        <w:shd w:val="clear" w:color="auto" w:fill="auto"/>
        <w:tabs>
          <w:tab w:pos="1109" w:val="left"/>
        </w:tabs>
        <w:bidi w:val="0"/>
        <w:spacing w:before="0" w:after="0" w:line="469" w:lineRule="exact"/>
        <w:ind w:left="0" w:right="0" w:firstLine="440"/>
        <w:jc w:val="both"/>
      </w:pPr>
      <w:bookmarkStart w:id="620" w:name="bookmark620"/>
      <w:r>
        <w:rPr>
          <w:color w:val="000000"/>
          <w:spacing w:val="0"/>
          <w:w w:val="100"/>
          <w:position w:val="0"/>
        </w:rPr>
        <w:t>（</w:t>
      </w:r>
      <w:bookmarkEnd w:id="620"/>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25"/>
        <w:keepNext w:val="0"/>
        <w:keepLines w:val="0"/>
        <w:widowControl w:val="0"/>
        <w:shd w:val="clear" w:color="auto" w:fill="auto"/>
        <w:tabs>
          <w:tab w:pos="1104" w:val="left"/>
        </w:tabs>
        <w:bidi w:val="0"/>
        <w:spacing w:before="0" w:after="0" w:line="469" w:lineRule="exact"/>
        <w:ind w:left="0" w:right="0" w:firstLine="440"/>
        <w:jc w:val="both"/>
      </w:pPr>
      <w:bookmarkStart w:id="621" w:name="bookmark621"/>
      <w:r>
        <w:rPr>
          <w:color w:val="000000"/>
          <w:spacing w:val="0"/>
          <w:w w:val="100"/>
          <w:position w:val="0"/>
        </w:rPr>
        <w:t>（</w:t>
      </w:r>
      <w:bookmarkEnd w:id="621"/>
      <w:r>
        <w:rPr>
          <w:color w:val="000000"/>
          <w:spacing w:val="0"/>
          <w:w w:val="100"/>
          <w:position w:val="0"/>
        </w:rPr>
        <w:t>二）</w:t>
        <w:tab/>
        <w:t>了解与审计相关的内部控制，以设计恰当的审计程序，但目的并非对内部控制的有效性发表意 见。</w:t>
      </w:r>
    </w:p>
    <w:p>
      <w:pPr>
        <w:pStyle w:val="Style25"/>
        <w:keepNext w:val="0"/>
        <w:keepLines w:val="0"/>
        <w:widowControl w:val="0"/>
        <w:shd w:val="clear" w:color="auto" w:fill="auto"/>
        <w:tabs>
          <w:tab w:pos="1033" w:val="left"/>
        </w:tabs>
        <w:bidi w:val="0"/>
        <w:spacing w:before="0" w:after="0" w:line="469" w:lineRule="exact"/>
        <w:ind w:left="0" w:right="0" w:firstLine="440"/>
        <w:jc w:val="both"/>
      </w:pPr>
      <w:bookmarkStart w:id="622" w:name="bookmark622"/>
      <w:r>
        <w:rPr>
          <w:color w:val="000000"/>
          <w:spacing w:val="0"/>
          <w:w w:val="100"/>
          <w:position w:val="0"/>
        </w:rPr>
        <w:t>（</w:t>
      </w:r>
      <w:bookmarkEnd w:id="622"/>
      <w:r>
        <w:rPr>
          <w:color w:val="000000"/>
          <w:spacing w:val="0"/>
          <w:w w:val="100"/>
          <w:position w:val="0"/>
        </w:rPr>
        <w:t>三）</w:t>
        <w:tab/>
        <w:t>评价管理层选用会计政策的恰当性和作出会计估计及相关披露的合理性。</w:t>
      </w:r>
    </w:p>
    <w:p>
      <w:pPr>
        <w:pStyle w:val="Style25"/>
        <w:keepNext w:val="0"/>
        <w:keepLines w:val="0"/>
        <w:widowControl w:val="0"/>
        <w:shd w:val="clear" w:color="auto" w:fill="auto"/>
        <w:tabs>
          <w:tab w:pos="1109" w:val="left"/>
        </w:tabs>
        <w:bidi w:val="0"/>
        <w:spacing w:before="0" w:after="0" w:line="469" w:lineRule="exact"/>
        <w:ind w:left="0" w:right="0" w:firstLine="440"/>
        <w:jc w:val="both"/>
      </w:pPr>
      <w:bookmarkStart w:id="623" w:name="bookmark623"/>
      <w:r>
        <w:rPr>
          <w:color w:val="000000"/>
          <w:spacing w:val="0"/>
          <w:w w:val="100"/>
          <w:position w:val="0"/>
        </w:rPr>
        <w:t>（</w:t>
      </w:r>
      <w:bookmarkEnd w:id="623"/>
      <w:r>
        <w:rPr>
          <w:color w:val="000000"/>
          <w:spacing w:val="0"/>
          <w:w w:val="100"/>
          <w:position w:val="0"/>
        </w:rPr>
        <w:t>四）</w:t>
        <w:tab/>
        <w:t>对管理层使用持续经营假设的恰当性得出结论。同时，根据获取的审计证据，就可能导致对中 科金财持续经营能力产生重大疑虑的事项或情况是否存在重大不确定性得出结论。如果我们得出结论认为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项或情况可能导致中科金财不能持续经营。</w:t>
      </w:r>
    </w:p>
    <w:p>
      <w:pPr>
        <w:pStyle w:val="Style25"/>
        <w:keepNext w:val="0"/>
        <w:keepLines w:val="0"/>
        <w:widowControl w:val="0"/>
        <w:shd w:val="clear" w:color="auto" w:fill="auto"/>
        <w:tabs>
          <w:tab w:pos="1109" w:val="left"/>
        </w:tabs>
        <w:bidi w:val="0"/>
        <w:spacing w:before="0" w:after="0" w:line="469" w:lineRule="exact"/>
        <w:ind w:left="0" w:right="0" w:firstLine="440"/>
        <w:jc w:val="both"/>
      </w:pPr>
      <w:bookmarkStart w:id="624" w:name="bookmark624"/>
      <w:r>
        <w:rPr>
          <w:color w:val="000000"/>
          <w:spacing w:val="0"/>
          <w:w w:val="100"/>
          <w:position w:val="0"/>
        </w:rPr>
        <w:t>（</w:t>
      </w:r>
      <w:bookmarkEnd w:id="624"/>
      <w:r>
        <w:rPr>
          <w:color w:val="000000"/>
          <w:spacing w:val="0"/>
          <w:w w:val="100"/>
          <w:position w:val="0"/>
        </w:rPr>
        <w:t>五）</w:t>
        <w:tab/>
        <w:t>评价财务报表的总体列报（包括披露）、结构和内容，并评价财务报表是否公允反映相关交易 和事项。</w:t>
      </w:r>
    </w:p>
    <w:p>
      <w:pPr>
        <w:pStyle w:val="Style25"/>
        <w:keepNext w:val="0"/>
        <w:keepLines w:val="0"/>
        <w:widowControl w:val="0"/>
        <w:shd w:val="clear" w:color="auto" w:fill="auto"/>
        <w:tabs>
          <w:tab w:pos="1099" w:val="left"/>
        </w:tabs>
        <w:bidi w:val="0"/>
        <w:spacing w:before="0" w:after="0" w:line="469" w:lineRule="exact"/>
        <w:ind w:left="0" w:right="0" w:firstLine="440"/>
        <w:jc w:val="both"/>
      </w:pPr>
      <w:bookmarkStart w:id="625" w:name="bookmark625"/>
      <w:r>
        <w:rPr>
          <w:color w:val="000000"/>
          <w:spacing w:val="0"/>
          <w:w w:val="100"/>
          <w:position w:val="0"/>
        </w:rPr>
        <w:t>（</w:t>
      </w:r>
      <w:bookmarkEnd w:id="625"/>
      <w:r>
        <w:rPr>
          <w:color w:val="000000"/>
          <w:spacing w:val="0"/>
          <w:w w:val="100"/>
          <w:position w:val="0"/>
        </w:rPr>
        <w:t>六）</w:t>
        <w:tab/>
        <w:t>就中科金财中实体或业务活动的财务信息获取充分、适当的审计证据，以对合并财务报表发表 审计意见。我们负责指导、监督和执行集团审计，并对审计意见承担全部责任。</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25"/>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我们还就已遵守与独立性相关的职业道德要求向治理层提供声明，并与治理层沟通可能被合理认为影</w:t>
        <w:br w:type="page"/>
      </w:r>
      <w:r>
        <w:rPr>
          <w:color w:val="000000"/>
          <w:spacing w:val="0"/>
          <w:w w:val="100"/>
          <w:position w:val="0"/>
        </w:rPr>
        <w:t>响我们独立性的所有关系和其他事项，以及相关的防范措施（如适用）。</w:t>
      </w:r>
    </w:p>
    <w:p>
      <w:pPr>
        <w:pStyle w:val="Style2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 xml:space="preserve">从与治理层沟通过的事项中，我们确定哪些事项对本期财务报表审计最为重要，因而构成关键审计事 </w:t>
      </w:r>
      <w:r>
        <w:rPr>
          <w:color w:val="000000"/>
          <w:spacing w:val="0"/>
          <w:w w:val="100"/>
          <w:position w:val="0"/>
        </w:rPr>
        <w:t xml:space="preserve">项。我们在审计报告中描述这些事项，除非法律法规禁止公开披露这些事项，或在极少数情形下，如果合 </w:t>
      </w:r>
      <w:r>
        <w:rPr>
          <w:color w:val="000000"/>
          <w:spacing w:val="0"/>
          <w:w w:val="100"/>
          <w:position w:val="0"/>
        </w:rPr>
        <w:t>理预期在审计报告中沟通某事项造成的负面后果超过在公众利益方面产生的益处，我们确定不应在审计报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告中沟通该事项。</w:t>
      </w:r>
    </w:p>
    <w:p>
      <w:pPr>
        <w:widowControl w:val="0"/>
        <w:spacing w:line="1" w:lineRule="exact"/>
        <w:sectPr>
          <w:footnotePr>
            <w:pos w:val="pageBottom"/>
            <w:numFmt w:val="decimal"/>
            <w:numRestart w:val="continuous"/>
          </w:footnotePr>
          <w:pgSz w:w="11900" w:h="16840"/>
          <w:pgMar w:top="1326" w:right="1044" w:bottom="1460" w:left="1070" w:header="0" w:footer="3" w:gutter="0"/>
          <w:cols w:space="720"/>
          <w:noEndnote/>
          <w:rtlGutter w:val="0"/>
          <w:docGrid w:linePitch="360"/>
        </w:sectPr>
      </w:pPr>
      <w:r>
        <mc:AlternateContent>
          <mc:Choice Requires="wps">
            <w:drawing>
              <wp:anchor distT="215900" distB="3175" distL="0" distR="0" simplePos="0" relativeHeight="125829380" behindDoc="0" locked="0" layoutInCell="1" allowOverlap="1">
                <wp:simplePos x="0" y="0"/>
                <wp:positionH relativeFrom="page">
                  <wp:posOffset>1913890</wp:posOffset>
                </wp:positionH>
                <wp:positionV relativeFrom="paragraph">
                  <wp:posOffset>215900</wp:posOffset>
                </wp:positionV>
                <wp:extent cx="1094105" cy="365760"/>
                <wp:wrapTopAndBottom/>
                <wp:docPr id="14" name="Shape 14"/>
                <a:graphic xmlns:a="http://schemas.openxmlformats.org/drawingml/2006/main">
                  <a:graphicData uri="http://schemas.microsoft.com/office/word/2010/wordprocessingShape">
                    <wps:wsp>
                      <wps:cNvSpPr txBox="1"/>
                      <wps:spPr>
                        <a:xfrm>
                          <a:ext cx="1094105" cy="365760"/>
                        </a:xfrm>
                        <a:prstGeom prst="rect"/>
                        <a:noFill/>
                      </wps:spPr>
                      <wps:txbx>
                        <w:txbxContent>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立信会计师事务所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040" type="#_x0000_t202" style="position:absolute;margin-left:150.70000000000002pt;margin-top:17.pt;width:86.150000000000006pt;height:28.800000000000001pt;z-index:-125829373;mso-wrap-distance-left:0;mso-wrap-distance-top:17.pt;mso-wrap-distance-right:0;mso-wrap-distance-bottom:0.25pt;mso-position-horizontal-relative:page" filled="f" stroked="f">
                <v:textbox inset="0,0,0,0">
                  <w:txbxContent>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立信会计师事务所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topAndBottom" anchorx="page"/>
              </v:shape>
            </w:pict>
          </mc:Fallback>
        </mc:AlternateContent>
      </w:r>
      <w:r>
        <mc:AlternateContent>
          <mc:Choice Requires="wps">
            <w:drawing>
              <wp:anchor distT="215900" distB="0" distL="0" distR="0" simplePos="0" relativeHeight="125829382" behindDoc="0" locked="0" layoutInCell="1" allowOverlap="1">
                <wp:simplePos x="0" y="0"/>
                <wp:positionH relativeFrom="page">
                  <wp:posOffset>4382770</wp:posOffset>
                </wp:positionH>
                <wp:positionV relativeFrom="paragraph">
                  <wp:posOffset>215900</wp:posOffset>
                </wp:positionV>
                <wp:extent cx="1478280" cy="368935"/>
                <wp:wrapTopAndBottom/>
                <wp:docPr id="16" name="Shape 16"/>
                <a:graphic xmlns:a="http://schemas.openxmlformats.org/drawingml/2006/main">
                  <a:graphicData uri="http://schemas.microsoft.com/office/word/2010/wordprocessingShape">
                    <wps:wsp>
                      <wps:cNvSpPr txBox="1"/>
                      <wps:spPr>
                        <a:xfrm>
                          <a:ext cx="1478280" cy="368935"/>
                        </a:xfrm>
                        <a:prstGeom prst="rect"/>
                        <a:noFill/>
                      </wps:spPr>
                      <wps:txbx>
                        <w:txbxContent>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中国注册会计师：张金华</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（项目合伙人）</w:t>
                            </w:r>
                          </w:p>
                        </w:txbxContent>
                      </wps:txbx>
                      <wps:bodyPr lIns="0" tIns="0" rIns="0" bIns="0">
                        <a:noAutoFit/>
                      </wps:bodyPr>
                    </wps:wsp>
                  </a:graphicData>
                </a:graphic>
              </wp:anchor>
            </w:drawing>
          </mc:Choice>
          <mc:Fallback>
            <w:pict>
              <v:shape id="_x0000_s1042" type="#_x0000_t202" style="position:absolute;margin-left:345.10000000000002pt;margin-top:17.pt;width:116.40000000000001pt;height:29.050000000000001pt;z-index:-125829371;mso-wrap-distance-left:0;mso-wrap-distance-top:17.pt;mso-wrap-distance-right:0;mso-position-horizontal-relative:page" filled="f" stroked="f">
                <v:textbox inset="0,0,0,0">
                  <w:txbxContent>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中国注册会计师：张金华</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（项目合伙人）</w:t>
                      </w:r>
                    </w:p>
                  </w:txbxContent>
                </v:textbox>
                <w10:wrap type="topAndBottom" anchorx="page"/>
              </v:shape>
            </w:pict>
          </mc:Fallback>
        </mc:AlternateContent>
      </w:r>
    </w:p>
    <w:p>
      <w:pPr>
        <w:widowControl w:val="0"/>
        <w:spacing w:before="16" w:after="1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44" w:right="0" w:bottom="1436" w:left="0" w:header="0" w:footer="3" w:gutter="0"/>
          <w:cols w:space="720"/>
          <w:noEndnote/>
          <w:rtlGutter w:val="0"/>
          <w:docGrid w:linePitch="360"/>
        </w:sectPr>
      </w:pPr>
    </w:p>
    <w:p>
      <w:pPr>
        <w:pStyle w:val="Style25"/>
        <w:keepNext w:val="0"/>
        <w:keepLines w:val="0"/>
        <w:widowControl w:val="0"/>
        <w:shd w:val="clear" w:color="auto" w:fill="auto"/>
        <w:bidi w:val="0"/>
        <w:spacing w:before="0" w:line="240" w:lineRule="auto"/>
        <w:ind w:left="0" w:right="0" w:firstLine="0"/>
        <w:jc w:val="center"/>
      </w:pPr>
      <w:r>
        <w:rPr>
          <w:color w:val="000000"/>
          <w:spacing w:val="0"/>
          <w:w w:val="100"/>
          <w:position w:val="0"/>
        </w:rPr>
        <w:t>中国注册会计师：郭晓清</w:t>
      </w:r>
    </w:p>
    <w:p>
      <w:pPr>
        <w:pStyle w:val="Style59"/>
        <w:keepNext w:val="0"/>
        <w:keepLines w:val="0"/>
        <w:widowControl w:val="0"/>
        <w:shd w:val="clear" w:color="auto" w:fill="auto"/>
        <w:bidi w:val="0"/>
        <w:spacing w:before="0" w:line="240" w:lineRule="auto"/>
        <w:ind w:left="0" w:right="0" w:firstLine="0"/>
        <w:jc w:val="center"/>
      </w:pPr>
      <w:r>
        <mc:AlternateContent>
          <mc:Choice Requires="wps">
            <w:drawing>
              <wp:anchor distT="0" distB="0" distL="114300" distR="114300" simplePos="0" relativeHeight="125829384" behindDoc="0" locked="0" layoutInCell="1" allowOverlap="1">
                <wp:simplePos x="0" y="0"/>
                <wp:positionH relativeFrom="page">
                  <wp:posOffset>2193925</wp:posOffset>
                </wp:positionH>
                <wp:positionV relativeFrom="paragraph">
                  <wp:posOffset>12700</wp:posOffset>
                </wp:positionV>
                <wp:extent cx="594360" cy="173990"/>
                <wp:wrapSquare wrapText="right"/>
                <wp:docPr id="18" name="Shape 18"/>
                <a:graphic xmlns:a="http://schemas.openxmlformats.org/drawingml/2006/main">
                  <a:graphicData uri="http://schemas.microsoft.com/office/word/2010/wordprocessingShape">
                    <wps:wsp>
                      <wps:cNvSpPr txBox="1"/>
                      <wps:spPr>
                        <a:xfrm>
                          <a:ext cx="594360" cy="1739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r>
                          </w:p>
                        </w:txbxContent>
                      </wps:txbx>
                      <wps:bodyPr wrap="none" lIns="0" tIns="0" rIns="0" bIns="0">
                        <a:noAutoFit/>
                      </wps:bodyPr>
                    </wps:wsp>
                  </a:graphicData>
                </a:graphic>
              </wp:anchor>
            </w:drawing>
          </mc:Choice>
          <mc:Fallback>
            <w:pict>
              <v:shape id="_x0000_s1044" type="#_x0000_t202" style="position:absolute;margin-left:172.75pt;margin-top:1.pt;width:46.800000000000004pt;height:13.700000000000001pt;z-index:-125829369;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r>
                    </w:p>
                  </w:txbxContent>
                </v:textbox>
                <w10:wrap type="square" side="right" anchorx="page"/>
              </v:shape>
            </w:pict>
          </mc:Fallback>
        </mc:AlternateConten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p>
      <w:pPr>
        <w:pStyle w:val="Style23"/>
        <w:keepNext/>
        <w:keepLines/>
        <w:widowControl w:val="0"/>
        <w:shd w:val="clear" w:color="auto" w:fill="auto"/>
        <w:bidi w:val="0"/>
        <w:spacing w:before="0" w:after="36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sz w:val="24"/>
          <w:szCs w:val="24"/>
        </w:rPr>
        <w:t>二</w:t>
      </w:r>
      <w:bookmarkEnd w:id="628"/>
      <w:r>
        <w:rPr>
          <w:color w:val="000000"/>
          <w:spacing w:val="0"/>
          <w:w w:val="100"/>
          <w:position w:val="0"/>
          <w:sz w:val="24"/>
          <w:szCs w:val="24"/>
        </w:rPr>
        <w:t>、财务报表</w:t>
      </w:r>
      <w:bookmarkEnd w:id="626"/>
      <w:bookmarkEnd w:id="627"/>
      <w:bookmarkEnd w:id="629"/>
    </w:p>
    <w:p>
      <w:pPr>
        <w:pStyle w:val="Style25"/>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财务附注中报表的单位为：元</w:t>
      </w:r>
    </w:p>
    <w:p>
      <w:pPr>
        <w:pStyle w:val="Style31"/>
        <w:keepNext/>
        <w:keepLines/>
        <w:widowControl w:val="0"/>
        <w:shd w:val="clear" w:color="auto" w:fill="auto"/>
        <w:bidi w:val="0"/>
        <w:spacing w:before="0" w:after="360" w:line="240" w:lineRule="auto"/>
        <w:ind w:left="0" w:right="0" w:firstLine="0"/>
        <w:jc w:val="left"/>
      </w:pPr>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30"/>
      <w:bookmarkEnd w:id="631"/>
      <w:bookmarkEnd w:id="632"/>
    </w:p>
    <w:p>
      <w:pPr>
        <w:pStyle w:val="Style25"/>
        <w:keepNext w:val="0"/>
        <w:keepLines w:val="0"/>
        <w:widowControl w:val="0"/>
        <w:shd w:val="clear" w:color="auto" w:fill="auto"/>
        <w:bidi w:val="0"/>
        <w:spacing w:before="0" w:after="120" w:line="240" w:lineRule="auto"/>
        <w:ind w:left="0" w:right="0" w:firstLine="0"/>
        <w:jc w:val="left"/>
        <w:rPr>
          <w:sz w:val="19"/>
          <w:szCs w:val="19"/>
        </w:rPr>
      </w:pPr>
      <w:r>
        <mc:AlternateContent>
          <mc:Choice Requires="wps">
            <w:drawing>
              <wp:anchor distT="0" distB="0" distL="0" distR="0" simplePos="0" relativeHeight="125829386" behindDoc="0" locked="0" layoutInCell="1" allowOverlap="1">
                <wp:simplePos x="0" y="0"/>
                <wp:positionH relativeFrom="page">
                  <wp:posOffset>6379210</wp:posOffset>
                </wp:positionH>
                <wp:positionV relativeFrom="paragraph">
                  <wp:posOffset>444500</wp:posOffset>
                </wp:positionV>
                <wp:extent cx="481330" cy="152400"/>
                <wp:wrapSquare wrapText="bothSides"/>
                <wp:docPr id="20" name="Shape 20"/>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6" type="#_x0000_t202" style="position:absolute;margin-left:502.30000000000001pt;margin-top:35.pt;width:37.899999999999999pt;height:12.pt;z-index:-125829367;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sz w:val="19"/>
          <w:szCs w:val="19"/>
        </w:rPr>
        <w:t>编制单位：北京中科金财科技股份有限公司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framePr w:w="9586" w:h="6043" w:vSpace="662" w:wrap="notBeside" w:vAnchor="text" w:hAnchor="text" w:x="104" w:y="663"/>
              <w:widowControl w:val="0"/>
              <w:rPr>
                <w:sz w:val="10"/>
                <w:szCs w:val="10"/>
              </w:rPr>
            </w:pPr>
          </w:p>
        </w:tc>
        <w:tc>
          <w:tcPr>
            <w:tcBorders>
              <w:top w:val="single" w:sz="4"/>
              <w:left w:val="single" w:sz="4"/>
              <w:right w:val="single" w:sz="4"/>
            </w:tcBorders>
            <w:shd w:val="clear" w:color="auto" w:fill="D3D3D3"/>
            <w:vAlign w:val="top"/>
          </w:tcPr>
          <w:p>
            <w:pPr>
              <w:framePr w:w="9586" w:h="6043" w:vSpace="662" w:wrap="notBeside" w:vAnchor="text" w:hAnchor="text" w:x="104" w:y="66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402,805,176.91</w:t>
            </w:r>
          </w:p>
        </w:tc>
        <w:tc>
          <w:tcPr>
            <w:tcBorders>
              <w:top w:val="single" w:sz="4"/>
              <w:left w:val="single" w:sz="4"/>
              <w:right w:val="single" w:sz="4"/>
            </w:tcBorders>
            <w:shd w:val="clear" w:color="auto" w:fill="FFFFFF"/>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625,177,481.72</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framePr w:w="9586" w:h="6043" w:vSpace="662" w:wrap="notBeside" w:vAnchor="text" w:hAnchor="text" w:x="104" w:y="663"/>
              <w:widowControl w:val="0"/>
              <w:rPr>
                <w:sz w:val="10"/>
                <w:szCs w:val="10"/>
              </w:rPr>
            </w:pPr>
          </w:p>
        </w:tc>
        <w:tc>
          <w:tcPr>
            <w:tcBorders>
              <w:top w:val="single" w:sz="4"/>
              <w:left w:val="single" w:sz="4"/>
              <w:right w:val="single" w:sz="4"/>
            </w:tcBorders>
            <w:shd w:val="clear" w:color="auto" w:fill="FFFFFF"/>
            <w:vAlign w:val="top"/>
          </w:tcPr>
          <w:p>
            <w:pPr>
              <w:framePr w:w="9586" w:h="6043" w:vSpace="662" w:wrap="notBeside" w:vAnchor="text" w:hAnchor="text" w:x="104" w:y="66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framePr w:w="9586" w:h="6043" w:vSpace="662" w:wrap="notBeside" w:vAnchor="text" w:hAnchor="text" w:x="104" w:y="663"/>
              <w:widowControl w:val="0"/>
              <w:rPr>
                <w:sz w:val="10"/>
                <w:szCs w:val="10"/>
              </w:rPr>
            </w:pPr>
          </w:p>
        </w:tc>
        <w:tc>
          <w:tcPr>
            <w:tcBorders>
              <w:top w:val="single" w:sz="4"/>
              <w:left w:val="single" w:sz="4"/>
              <w:right w:val="single" w:sz="4"/>
            </w:tcBorders>
            <w:shd w:val="clear" w:color="auto" w:fill="FFFFFF"/>
            <w:vAlign w:val="top"/>
          </w:tcPr>
          <w:p>
            <w:pPr>
              <w:framePr w:w="9586" w:h="6043" w:vSpace="662" w:wrap="notBeside" w:vAnchor="text" w:hAnchor="text" w:x="104" w:y="663"/>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253,760,054.51</w:t>
            </w:r>
          </w:p>
        </w:tc>
        <w:tc>
          <w:tcPr>
            <w:tcBorders>
              <w:top w:val="single" w:sz="4"/>
              <w:left w:val="single" w:sz="4"/>
              <w:right w:val="single" w:sz="4"/>
            </w:tcBorders>
            <w:shd w:val="clear" w:color="auto" w:fill="FFFFFF"/>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464,245,168.51</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framePr w:w="9586" w:h="6043" w:vSpace="662" w:wrap="notBeside" w:vAnchor="text" w:hAnchor="text" w:x="104" w:y="663"/>
              <w:widowControl w:val="0"/>
              <w:rPr>
                <w:sz w:val="10"/>
                <w:szCs w:val="10"/>
              </w:rPr>
            </w:pPr>
          </w:p>
        </w:tc>
        <w:tc>
          <w:tcPr>
            <w:tcBorders>
              <w:top w:val="single" w:sz="4"/>
              <w:left w:val="single" w:sz="4"/>
              <w:right w:val="single" w:sz="4"/>
            </w:tcBorders>
            <w:shd w:val="clear" w:color="auto" w:fill="FFFFFF"/>
            <w:vAlign w:val="top"/>
          </w:tcPr>
          <w:p>
            <w:pPr>
              <w:framePr w:w="9586" w:h="6043" w:vSpace="662" w:wrap="notBeside" w:vAnchor="text" w:hAnchor="text" w:x="104" w:y="66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framePr w:w="9586" w:h="6043" w:vSpace="662" w:wrap="notBeside" w:vAnchor="text" w:hAnchor="text" w:x="104" w:y="663"/>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14,786,262.48</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124,869,859.37</w:t>
            </w:r>
          </w:p>
        </w:tc>
        <w:tc>
          <w:tcPr>
            <w:tcBorders>
              <w:top w:val="single" w:sz="4"/>
              <w:left w:val="single" w:sz="4"/>
              <w:right w:val="single" w:sz="4"/>
            </w:tcBorders>
            <w:shd w:val="clear" w:color="auto" w:fill="FFFFFF"/>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118,861,176.34</w:t>
            </w:r>
          </w:p>
        </w:tc>
      </w:tr>
      <w:tr>
        <w:trPr>
          <w:trHeight w:val="398" w:hRule="exact"/>
        </w:trPr>
        <w:tc>
          <w:tcPr>
            <w:tcBorders>
              <w:top w:val="single" w:sz="4"/>
              <w:left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14,849,053.60</w:t>
            </w:r>
          </w:p>
        </w:tc>
        <w:tc>
          <w:tcPr>
            <w:tcBorders>
              <w:top w:val="single" w:sz="4"/>
              <w:left w:val="single" w:sz="4"/>
              <w:right w:val="single" w:sz="4"/>
            </w:tcBorders>
            <w:shd w:val="clear" w:color="auto" w:fill="FFFFFF"/>
            <w:vAlign w:val="top"/>
          </w:tcPr>
          <w:p>
            <w:pPr>
              <w:framePr w:w="9586" w:h="6043" w:vSpace="662" w:wrap="notBeside" w:vAnchor="text" w:hAnchor="text" w:x="104" w:y="66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20,661,318.76</w:t>
            </w:r>
          </w:p>
        </w:tc>
        <w:tc>
          <w:tcPr>
            <w:tcBorders>
              <w:top w:val="single" w:sz="4"/>
              <w:left w:val="single" w:sz="4"/>
              <w:right w:val="single" w:sz="4"/>
            </w:tcBorders>
            <w:shd w:val="clear" w:color="auto" w:fill="FFFFFF"/>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11,153,866.83</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framePr w:w="9586" w:h="6043" w:vSpace="662" w:wrap="notBeside" w:vAnchor="text" w:hAnchor="text" w:x="104" w:y="663"/>
              <w:widowControl w:val="0"/>
              <w:rPr>
                <w:sz w:val="10"/>
                <w:szCs w:val="10"/>
              </w:rPr>
            </w:pPr>
          </w:p>
        </w:tc>
        <w:tc>
          <w:tcPr>
            <w:tcBorders>
              <w:top w:val="single" w:sz="4"/>
              <w:left w:val="single" w:sz="4"/>
              <w:right w:val="single" w:sz="4"/>
            </w:tcBorders>
            <w:shd w:val="clear" w:color="auto" w:fill="FFFFFF"/>
            <w:vAlign w:val="top"/>
          </w:tcPr>
          <w:p>
            <w:pPr>
              <w:framePr w:w="9586" w:h="6043" w:vSpace="662" w:wrap="notBeside" w:vAnchor="text" w:hAnchor="text" w:x="104" w:y="66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framePr w:w="9586" w:h="6043" w:vSpace="662" w:wrap="notBeside" w:vAnchor="text" w:hAnchor="text" w:x="104" w:y="663"/>
              <w:widowControl w:val="0"/>
              <w:rPr>
                <w:sz w:val="10"/>
                <w:szCs w:val="10"/>
              </w:rPr>
            </w:pPr>
          </w:p>
        </w:tc>
        <w:tc>
          <w:tcPr>
            <w:tcBorders>
              <w:top w:val="single" w:sz="4"/>
              <w:left w:val="single" w:sz="4"/>
              <w:right w:val="single" w:sz="4"/>
            </w:tcBorders>
            <w:shd w:val="clear" w:color="auto" w:fill="FFFFFF"/>
            <w:vAlign w:val="top"/>
          </w:tcPr>
          <w:p>
            <w:pPr>
              <w:framePr w:w="9586" w:h="6043" w:vSpace="662" w:wrap="notBeside" w:vAnchor="text" w:hAnchor="text" w:x="104" w:y="663"/>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framePr w:w="9586" w:h="6043" w:vSpace="662" w:wrap="notBeside" w:vAnchor="text" w:hAnchor="text" w:x="104" w:y="663"/>
              <w:widowControl w:val="0"/>
              <w:rPr>
                <w:sz w:val="10"/>
                <w:szCs w:val="10"/>
              </w:rPr>
            </w:pPr>
          </w:p>
        </w:tc>
        <w:tc>
          <w:tcPr>
            <w:tcBorders>
              <w:top w:val="single" w:sz="4"/>
              <w:left w:val="single" w:sz="4"/>
              <w:right w:val="single" w:sz="4"/>
            </w:tcBorders>
            <w:shd w:val="clear" w:color="auto" w:fill="FFFFFF"/>
            <w:vAlign w:val="top"/>
          </w:tcPr>
          <w:p>
            <w:pPr>
              <w:framePr w:w="9586" w:h="6043" w:vSpace="662" w:wrap="notBeside" w:vAnchor="text" w:hAnchor="text" w:x="104" w:y="663"/>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31,258,030.42</w:t>
            </w:r>
          </w:p>
        </w:tc>
        <w:tc>
          <w:tcPr>
            <w:tcBorders>
              <w:top w:val="single" w:sz="4"/>
              <w:left w:val="single" w:sz="4"/>
              <w:bottom w:val="single" w:sz="4"/>
              <w:right w:val="single" w:sz="4"/>
            </w:tcBorders>
            <w:shd w:val="clear" w:color="auto" w:fill="FFFFFF"/>
            <w:vAlign w:val="center"/>
          </w:tcPr>
          <w:p>
            <w:pPr>
              <w:pStyle w:val="Style2"/>
              <w:keepNext w:val="0"/>
              <w:keepLines w:val="0"/>
              <w:framePr w:w="9586" w:h="6043" w:vSpace="662" w:wrap="notBeside" w:vAnchor="text" w:hAnchor="text" w:x="104" w:y="663"/>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45,245,672.88</w:t>
            </w:r>
          </w:p>
        </w:tc>
      </w:tr>
    </w:tbl>
    <w:p>
      <w:pPr>
        <w:pStyle w:val="Style40"/>
        <w:keepNext w:val="0"/>
        <w:keepLines w:val="0"/>
        <w:framePr w:w="1536" w:h="235" w:hSpace="103" w:wrap="notBeside" w:vAnchor="text" w:hAnchor="text" w:x="4160" w:y="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505,158,894.33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492,933,565.14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59,629,843.40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267,240,600.00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28,740,626.34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44,046,368.14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1,708,973,457.64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2,212,449,562.04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197,980,200.00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782,336,061.12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373,325,638.78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13,448,400.00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15,810,830.00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17,035,213.60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21,481,744.79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62,602,124.63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92,541,089.09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193,578,999.56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193,578,999.56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3,378,129.41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26,058,818.66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26,703,325.81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67,664,896.53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16,421,638.18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1,433,402,643.51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937,919,747.34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3,142,376,101.15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3,150,369,309.38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126,157,746.00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9,675,000.00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408,413,250.13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358,495,549.74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319,061,022.84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389,183,581.91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15,041,901.69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17,259,985.72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9,750,677.43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3,467,290.32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10,568,575.81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22,783,207.29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54,485,675.11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3,087,039.00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885,920,025.97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901,710,477.02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1,203,699.87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1,656,106.29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1,203,699.87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1,656,106.29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887,123,725.84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903,366,583.31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337,576,686.00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337,576,686.00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1,772,795,539.99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1,772,795,539.99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2,441,469.71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268,295.70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70,934,388.62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69,662,109.41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71,454,134.78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65,826,227.25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2,255,202,219.10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2,246,128,858.35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873,867.72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2,255,252,375.31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2,247,002,726.07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3,142,376,101.15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3,150,369,309.38</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88" behindDoc="0" locked="0" layoutInCell="1" allowOverlap="1">
                <wp:simplePos x="0" y="0"/>
                <wp:positionH relativeFrom="page">
                  <wp:posOffset>701675</wp:posOffset>
                </wp:positionH>
                <wp:positionV relativeFrom="margin">
                  <wp:posOffset>5200015</wp:posOffset>
                </wp:positionV>
                <wp:extent cx="1051560" cy="149225"/>
                <wp:wrapTopAndBottom/>
                <wp:docPr id="22" name="Shape 22"/>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法定代表人：朱哗东</w:t>
                            </w:r>
                          </w:p>
                        </w:txbxContent>
                      </wps:txbx>
                      <wps:bodyPr wrap="none" lIns="0" tIns="0" rIns="0" bIns="0">
                        <a:noAutoFit/>
                      </wps:bodyPr>
                    </wps:wsp>
                  </a:graphicData>
                </a:graphic>
              </wp:anchor>
            </w:drawing>
          </mc:Choice>
          <mc:Fallback>
            <w:pict>
              <v:shape id="_x0000_s1048" type="#_x0000_t202" style="position:absolute;margin-left:55.25pt;margin-top:409.44999999999999pt;width:82.799999999999997pt;height:11.75pt;z-index:-125829365;mso-wrap-distance-left:9.pt;mso-wrap-distance-top:12.pt;mso-wrap-distance-right:405.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法定代表人：朱哗东</w:t>
                      </w:r>
                    </w:p>
                  </w:txbxContent>
                </v:textbox>
                <w10:wrap type="topAndBottom" anchorx="page" anchory="margin"/>
              </v:shape>
            </w:pict>
          </mc:Fallback>
        </mc:AlternateContent>
      </w:r>
      <w:r>
        <mc:AlternateContent>
          <mc:Choice Requires="wps">
            <w:drawing>
              <wp:anchor distT="152400" distB="3175" distL="2348230" distR="2574290" simplePos="0" relativeHeight="125829390" behindDoc="0" locked="0" layoutInCell="1" allowOverlap="1">
                <wp:simplePos x="0" y="0"/>
                <wp:positionH relativeFrom="page">
                  <wp:posOffset>2935605</wp:posOffset>
                </wp:positionH>
                <wp:positionV relativeFrom="margin">
                  <wp:posOffset>5200015</wp:posOffset>
                </wp:positionV>
                <wp:extent cx="1393190" cy="146050"/>
                <wp:wrapTopAndBottom/>
                <wp:docPr id="24" name="Shape 24"/>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主管会计工作负责人：洪珊</w:t>
                            </w:r>
                          </w:p>
                        </w:txbxContent>
                      </wps:txbx>
                      <wps:bodyPr wrap="none" lIns="0" tIns="0" rIns="0" bIns="0">
                        <a:noAutoFit/>
                      </wps:bodyPr>
                    </wps:wsp>
                  </a:graphicData>
                </a:graphic>
              </wp:anchor>
            </w:drawing>
          </mc:Choice>
          <mc:Fallback>
            <w:pict>
              <v:shape id="_x0000_s1050" type="#_x0000_t202" style="position:absolute;margin-left:231.15000000000001pt;margin-top:409.44999999999999pt;width:109.7pt;height:11.5pt;z-index:-125829363;mso-wrap-distance-left:184.90000000000001pt;mso-wrap-distance-top:12.pt;mso-wrap-distance-right:202.70000000000002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主管会计工作负责人：洪珊</w:t>
                      </w:r>
                    </w:p>
                  </w:txbxContent>
                </v:textbox>
                <w10:wrap type="topAndBottom" anchorx="page" anchory="margin"/>
              </v:shape>
            </w:pict>
          </mc:Fallback>
        </mc:AlternateContent>
      </w:r>
      <w:r>
        <mc:AlternateContent>
          <mc:Choice Requires="wps">
            <w:drawing>
              <wp:anchor distT="152400" distB="0" distL="4914900" distR="114300" simplePos="0" relativeHeight="125829392" behindDoc="0" locked="0" layoutInCell="1" allowOverlap="1">
                <wp:simplePos x="0" y="0"/>
                <wp:positionH relativeFrom="page">
                  <wp:posOffset>5502275</wp:posOffset>
                </wp:positionH>
                <wp:positionV relativeFrom="margin">
                  <wp:posOffset>5200015</wp:posOffset>
                </wp:positionV>
                <wp:extent cx="1286510" cy="149225"/>
                <wp:wrapTopAndBottom/>
                <wp:docPr id="26" name="Shape 2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会计机构负责人：杨文燕</w:t>
                            </w:r>
                          </w:p>
                        </w:txbxContent>
                      </wps:txbx>
                      <wps:bodyPr wrap="none" lIns="0" tIns="0" rIns="0" bIns="0">
                        <a:noAutoFit/>
                      </wps:bodyPr>
                    </wps:wsp>
                  </a:graphicData>
                </a:graphic>
              </wp:anchor>
            </w:drawing>
          </mc:Choice>
          <mc:Fallback>
            <w:pict>
              <v:shape id="_x0000_s1052" type="#_x0000_t202" style="position:absolute;margin-left:433.25pt;margin-top:409.44999999999999pt;width:101.3pt;height:11.75pt;z-index:-125829361;mso-wrap-distance-left:387.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会计机构负责人：杨文燕</w:t>
                      </w:r>
                    </w:p>
                  </w:txbxContent>
                </v:textbox>
                <w10:wrap type="topAndBottom" anchorx="page" anchory="margin"/>
              </v:shape>
            </w:pict>
          </mc:Fallback>
        </mc:AlternateContent>
      </w: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、母公司资产负债表</w:t>
      </w:r>
      <w:bookmarkEnd w:id="633"/>
      <w:bookmarkEnd w:id="634"/>
      <w:bookmarkEnd w:id="63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198,425,705.06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535,356,427.77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136,318,688.42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351,671,087.68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7,735,715.55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114,944,147.30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114,332,858.03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14,849,053.60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15,699,963.78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9,070,881.37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65,373,186.69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76,731,654.76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402,694,998.31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465,096,482.12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59,510,143.40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2,050,591.41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1,007,815,886.56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1,562,045,698.69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2,530,290,313.76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2,119,579,761.42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13,941,275.15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17,189,427.62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49,492,909.91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75,062,729.29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3,187,756.50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76,281.13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20,299,841.23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21,354,533.24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66,840,121.67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16,421,638.18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2,684,052,218.22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2,249,684,370.88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3,691,868,104.78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3,811,730,069.57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126,057,746.00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340,640,718.71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345,402,676.23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296,226,974.26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308,399,261.49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7,462,110.35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14,759,241.18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3,487,946.38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360,685.10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222,127,011.67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230,425,821.09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54,485,675.11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1,170,025.22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933,162,073.82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1,067,718,818.97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250,663.15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250,663.15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933,210,633.11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1,067,969,482.12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337,576,686.00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337,576,686.00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1,775,334,793.52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1,775,334,793.52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2,439,272.64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265,180.54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70,934,388.62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69,662,109.41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572,372,330.89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560,921,817.98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2,758,657,471.67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2,743,760,587.45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3,691,868,104.78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3,811,730,069.57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3</w:t>
      </w:r>
      <w:bookmarkEnd w:id="639"/>
      <w:r>
        <w:rPr>
          <w:color w:val="000000"/>
          <w:spacing w:val="0"/>
          <w:w w:val="100"/>
          <w:position w:val="0"/>
        </w:rPr>
        <w:t>、合并利润表</w:t>
      </w:r>
      <w:bookmarkEnd w:id="637"/>
      <w:bookmarkEnd w:id="638"/>
      <w:bookmarkEnd w:id="64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1,758,402,676.54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1,672,394,416.43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1,758,402,676.54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1,672,394,416.43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1,795,244,717.25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1,751,702,095.37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1,488,875,088.60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1,435,370,592.86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5,330,559.39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1,882,733.46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51,954,010.75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56,825,467.63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105,665,455.28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109,557,010.83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134,206,201.49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127,739,420.71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9,213,401.74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20,326,869.88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8,738,250.37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19,280,618.82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40,662,996.36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2,521,262.22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2,177,793.77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7,674,283.45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71,643,872.20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165,940,500.19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其中：对联营企业和合营企业 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14,901,596.42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6,771,276.45</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7"/>
                <w:szCs w:val="17"/>
              </w:rPr>
            </w:pPr>
            <w:r>
              <w:rPr>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rPr>
                <w:sz w:val="17"/>
                <w:szCs w:val="17"/>
              </w:rPr>
            </w:pPr>
            <w:r>
              <w:rPr>
                <w:color w:val="000000"/>
                <w:spacing w:val="0"/>
                <w:w w:val="100"/>
                <w:position w:val="0"/>
                <w:sz w:val="17"/>
                <w:szCs w:val="17"/>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760,054.51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-2,572,094.86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-9,703,225.72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-45,098,994.17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-4,495,825.22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-334,490,312.86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-2,084,657.54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-377,633.40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21,455,971.29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-288,231,930.59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161,070.55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5,022,125.38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3,117,154.68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16,751,068.79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-291,188,014.72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9,850,894.41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-8,165,602.28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6,900,174.38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-283,022,412.44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4,726,082.28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-282,912,468.10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2,174,092.10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-109,944.34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6,900,186.74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-281,841,963.94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-1,180,448.50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2,173,174.01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265,844.63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2,173,174.01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265,844.63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2,173,174.01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265,844.63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2,174,092.10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265,180.54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9,073,348.39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-282,756,567.81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9,073,360.75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-281,576,119.31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-1,180,448.50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bl>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w:t>
      </w:r>
    </w:p>
    <w:p>
      <w:pPr>
        <w:widowControl w:val="0"/>
        <w:spacing w:after="379" w:line="1" w:lineRule="exact"/>
      </w:pPr>
    </w:p>
    <w:p>
      <w:pPr>
        <w:pStyle w:val="Style34"/>
        <w:keepNext w:val="0"/>
        <w:keepLines w:val="0"/>
        <w:widowControl w:val="0"/>
        <w:shd w:val="clear" w:color="auto" w:fill="auto"/>
        <w:tabs>
          <w:tab w:pos="3514" w:val="left"/>
          <w:tab w:pos="7555" w:val="left"/>
        </w:tabs>
        <w:bidi w:val="0"/>
        <w:spacing w:before="0" w:after="380" w:line="240" w:lineRule="auto"/>
        <w:ind w:left="0" w:right="0" w:firstLine="0"/>
        <w:jc w:val="left"/>
      </w:pPr>
      <w:r>
        <w:rPr>
          <w:color w:val="000000"/>
          <w:spacing w:val="0"/>
          <w:w w:val="100"/>
          <w:position w:val="0"/>
        </w:rPr>
        <w:t>法定代表人：朱哗东</w:t>
        <w:tab/>
        <w:t>主管会计工作负责人：洪珊</w:t>
        <w:tab/>
        <w:t>会计机构负责人：杨文燕</w:t>
      </w:r>
    </w:p>
    <w:p>
      <w:pPr>
        <w:pStyle w:val="Style31"/>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4</w:t>
      </w:r>
      <w:bookmarkEnd w:id="643"/>
      <w:r>
        <w:rPr>
          <w:color w:val="000000"/>
          <w:spacing w:val="0"/>
          <w:w w:val="100"/>
          <w:position w:val="0"/>
        </w:rPr>
        <w:t>、母公司利润表</w:t>
      </w:r>
      <w:bookmarkEnd w:id="641"/>
      <w:bookmarkEnd w:id="642"/>
      <w:bookmarkEnd w:id="64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1,495,340,871.15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1,629,674,433.42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1,281,750,634.71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1,414,761,030.75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4,404,049.21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1,569,722.73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45,323,119.30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45,563,973.28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76,554,208.90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90,182,396.33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82,075,902.81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104,999,953.21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4,872,343.11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18,472,757.00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7,586,321.67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17,924,067.34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5,488,786.28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2,969,993.46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816,335.78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7,386,726.60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33,440,725.43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107,262,221.92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14,901,596.42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6,691,700.09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100" w:right="0" w:firstLine="0"/>
              <w:jc w:val="both"/>
              <w:rPr>
                <w:sz w:val="17"/>
                <w:szCs w:val="17"/>
              </w:rPr>
            </w:pPr>
            <w:r>
              <w:rPr>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740"/>
              <w:jc w:val="left"/>
              <w:rPr>
                <w:sz w:val="17"/>
                <w:szCs w:val="17"/>
              </w:rPr>
            </w:pPr>
            <w:r>
              <w:rPr>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rPr>
                <w:sz w:val="17"/>
                <w:szCs w:val="17"/>
              </w:rPr>
            </w:pPr>
            <w:r>
              <w:rPr>
                <w:color w:val="000000"/>
                <w:spacing w:val="0"/>
                <w:w w:val="100"/>
                <w:position w:val="0"/>
                <w:sz w:val="17"/>
                <w:szCs w:val="17"/>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318,688.42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-1,326,289.04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-8,518,512.78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-5,235,968.47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-3,285,806.36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-48,199,777.30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-1,930,308.20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-243,107.86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21,201,735.40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13,768,405.97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173,559.85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161,070.55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5,020,904.75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16,354,390.50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10,929,476.52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3,631,598.38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-8,740,876.86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12,722,792.12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19,670,353.38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rPr>
                <w:sz w:val="17"/>
                <w:szCs w:val="17"/>
              </w:rPr>
            </w:pPr>
            <w:r>
              <w:rPr>
                <w:color w:val="000000"/>
                <w:spacing w:val="0"/>
                <w:w w:val="100"/>
                <w:position w:val="0"/>
                <w:sz w:val="17"/>
                <w:szCs w:val="17"/>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12,722,792.12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19,670,353.38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380"/>
              <w:jc w:val="both"/>
              <w:rPr>
                <w:sz w:val="17"/>
                <w:szCs w:val="17"/>
              </w:rPr>
            </w:pPr>
            <w:r>
              <w:rPr>
                <w:color w:val="000000"/>
                <w:spacing w:val="0"/>
                <w:w w:val="100"/>
                <w:position w:val="0"/>
                <w:sz w:val="17"/>
                <w:szCs w:val="17"/>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2,174,092.10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265,180.54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2,174,092.10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265,180.54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2,174,092.10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265,180.54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14,896,884.22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19,935,533.92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5</w:t>
      </w:r>
      <w:bookmarkEnd w:id="647"/>
      <w:r>
        <w:rPr>
          <w:color w:val="000000"/>
          <w:spacing w:val="0"/>
          <w:w w:val="100"/>
          <w:position w:val="0"/>
        </w:rPr>
        <w:t>、合并现金流量表</w:t>
      </w:r>
      <w:bookmarkEnd w:id="645"/>
      <w:bookmarkEnd w:id="646"/>
      <w:bookmarkEnd w:id="64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1,949,399,064.96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1,754,601,657.08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向其他金融机构拆入资金净增加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404,396.21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167,189.75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154,497,165.31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212,441,619.17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2,104,300,626.48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1,967,210,466.00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1,611,450,945.12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1,598,385,957.42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189,643,206.30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176,834,707.10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45,083,135.80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21,343,736.86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226,355,033.77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307,208,627.48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2,072,532,320.99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2,103,773,028.86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31,768,305.49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-136,562,562.86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3,694,793,060.66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6,482,548,082.99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58,863,023.61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94,826,131.65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641,394.14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3,753,814,384.27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6,578,015,608.78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购建固定资产、无形资产和其他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54,930,249.10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9,656,793.64</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3,802,963,000.00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5,669,972,411.00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226,630,742.90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5,205,269.58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3,858,717,851.13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5,911,465,217.12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-104,903,466.86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666,550,391.66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177,157,746.00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234,596.45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177,392,342.45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199,457,781.66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422,150,984.60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7,997,991.42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20,022,367.95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207,455,773.08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442,175,829.66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-150,365,773.08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-264,783,487.21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-223,502,391.49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265,205,646.29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593,840,074.89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328,634,428.60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370,337,683.40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593,840,074.89</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6</w:t>
      </w:r>
      <w:bookmarkEnd w:id="651"/>
      <w:r>
        <w:rPr>
          <w:color w:val="000000"/>
          <w:spacing w:val="0"/>
          <w:w w:val="100"/>
          <w:position w:val="0"/>
        </w:rPr>
        <w:t>、母公司现金流量表</w:t>
      </w:r>
      <w:bookmarkEnd w:id="649"/>
      <w:bookmarkEnd w:id="650"/>
      <w:bookmarkEnd w:id="65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1,589,076,435.50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1,708,972,797.35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83,405.02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324,321.29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166,453,316.34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437,366,730.84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1,755,613,156.86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2,146,663,849.48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1,348,447,984.04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1,569,461,258.98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117,815,366.89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152,938,405.42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34,350,978.06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12,780,965.52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255,793,060.74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310,036,250.56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1,756,407,389.73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2,045,216,880.48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-794,232.87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101,446,969.00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3,317,748,820.00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5,975,286,504.43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24,611,164.09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95,293,675.05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620,765.00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3,342,457,944.09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6,071,200,944.48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54,429,838.60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5,923,118.52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3,475,433,000.00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5,585,500,000.00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3,529,862,838.60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5,591,423,118.52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-187,404,894.51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479,777,825.96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177,057,746.00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234,596.45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177,292,342.45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199,357,781.66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421,350,984.60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7,995,294.42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19,998,196.45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207,353,076.08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441,350,502.62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-150,263,076.08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-264,058,160.17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-338,462,203.46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317,166,634.79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505,526,624.41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188,359,989.62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167,064,420.95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505,526,624.41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7</w:t>
      </w:r>
      <w:bookmarkEnd w:id="655"/>
      <w:r>
        <w:rPr>
          <w:color w:val="000000"/>
          <w:spacing w:val="0"/>
          <w:w w:val="100"/>
          <w:position w:val="0"/>
        </w:rPr>
        <w:t>、合并所有者权益变动表</w:t>
      </w:r>
      <w:bookmarkEnd w:id="653"/>
      <w:bookmarkEnd w:id="654"/>
      <w:bookmarkEnd w:id="656"/>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2,247,</w:t>
            </w:r>
          </w:p>
        </w:tc>
      </w:tr>
      <w:tr>
        <w:trPr>
          <w:trHeight w:val="163"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795,53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002,72</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7.72</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2,247,</w:t>
            </w:r>
          </w:p>
        </w:tc>
      </w:tr>
      <w:tr>
        <w:trPr>
          <w:trHeight w:val="163"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795,53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002,72</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7.72</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8,249,</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360.75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649.24</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9,073,</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99.15</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795,53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r>
    </w:tbl>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上期金额</w:t>
      </w:r>
    </w:p>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240" w:firstLine="0"/>
              <w:jc w:val="righ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00" w:line="240" w:lineRule="auto"/>
              <w:ind w:left="0" w:right="240" w:firstLine="0"/>
              <w:jc w:val="right"/>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2,540,9</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742,41</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38,489.</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074.21</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4,056,8</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054.97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2,544,9</w:t>
            </w:r>
          </w:p>
        </w:tc>
      </w:tr>
      <w:tr>
        <w:trPr>
          <w:trHeight w:val="30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799,24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074.21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54"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96,882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-14,322</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2,595.3</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035.34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,206.49</w:t>
            </w: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w:t>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-282,75</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76,119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6,567.8</w:t>
            </w: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448.50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 （或股东）的</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8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795,53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8</w:t>
      </w:r>
      <w:bookmarkEnd w:id="659"/>
      <w:r>
        <w:rPr>
          <w:color w:val="000000"/>
          <w:spacing w:val="0"/>
          <w:w w:val="100"/>
          <w:position w:val="0"/>
        </w:rPr>
        <w:t>、母公司所有者权益变动表</w:t>
      </w:r>
      <w:bookmarkEnd w:id="657"/>
      <w:bookmarkEnd w:id="658"/>
      <w:bookmarkEnd w:id="660"/>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6,686.0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69,662,1</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rPr>
                <w:sz w:val="17"/>
                <w:szCs w:val="17"/>
              </w:rPr>
            </w:pPr>
            <w:r>
              <w:rPr>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6,686.0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69,662,1</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14,896,88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14,896,88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471.67</w:t>
            </w:r>
          </w:p>
        </w:tc>
      </w:tr>
    </w:tbl>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上期金额</w:t>
      </w:r>
    </w:p>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68,729,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554,218,9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2,736,266,5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rPr>
                <w:sz w:val="17"/>
                <w:szCs w:val="17"/>
              </w:rPr>
            </w:pPr>
            <w:r>
              <w:rPr>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2,292,993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2,547,770.2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-1,289,5</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-12,895,024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二、本年期初余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544,906,3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2,725,919,3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16,015,43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17,841,264.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19,935,533.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-406,386.12</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6,686.</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2,743,760,5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w:t>
            </w:r>
          </w:p>
        </w:tc>
      </w:tr>
    </w:tbl>
    <w:p>
      <w:pPr>
        <w:widowControl w:val="0"/>
        <w:spacing w:after="299" w:line="1" w:lineRule="exact"/>
      </w:pPr>
    </w:p>
    <w:p>
      <w:pPr>
        <w:pStyle w:val="Style23"/>
        <w:keepNext/>
        <w:keepLines/>
        <w:widowControl w:val="0"/>
        <w:shd w:val="clear" w:color="auto" w:fill="auto"/>
        <w:bidi w:val="0"/>
        <w:spacing w:before="0" w:after="180" w:line="240" w:lineRule="auto"/>
        <w:ind w:left="0" w:right="0" w:firstLine="0"/>
        <w:jc w:val="both"/>
      </w:pPr>
      <w:bookmarkStart w:id="661" w:name="bookmark661"/>
      <w:bookmarkStart w:id="662" w:name="bookmark662"/>
      <w:bookmarkStart w:id="663" w:name="bookmark663"/>
      <w:bookmarkStart w:id="664" w:name="bookmark664"/>
      <w:r>
        <w:rPr>
          <w:color w:val="000000"/>
          <w:spacing w:val="0"/>
          <w:w w:val="100"/>
          <w:position w:val="0"/>
          <w:sz w:val="24"/>
          <w:szCs w:val="24"/>
        </w:rPr>
        <w:t>三</w:t>
      </w:r>
      <w:bookmarkEnd w:id="663"/>
      <w:r>
        <w:rPr>
          <w:color w:val="000000"/>
          <w:spacing w:val="0"/>
          <w:w w:val="100"/>
          <w:position w:val="0"/>
          <w:sz w:val="24"/>
          <w:szCs w:val="24"/>
        </w:rPr>
        <w:t>、公司基本情况</w:t>
      </w:r>
      <w:bookmarkEnd w:id="661"/>
      <w:bookmarkEnd w:id="662"/>
      <w:bookmarkEnd w:id="664"/>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北京中科金财科技股份有限公司（以下简称“公司”或“本公司”</w:t>
      </w:r>
      <w:r>
        <w:rPr>
          <w:color w:val="000000"/>
          <w:spacing w:val="0"/>
          <w:w w:val="100"/>
          <w:position w:val="0"/>
        </w:rPr>
        <w:t>）</w:t>
      </w:r>
      <w:r>
        <w:rPr>
          <w:color w:val="000000"/>
          <w:spacing w:val="0"/>
          <w:w w:val="100"/>
          <w:position w:val="0"/>
        </w:rPr>
        <w:t>系于</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 xml:space="preserve">日经北京市工 商行政管理局批准，由北京中科金财科技有限公司整体改制的股份有限公司。公司的统一社会信用代码： </w:t>
      </w:r>
      <w:r>
        <w:rPr>
          <w:color w:val="000000"/>
          <w:spacing w:val="0"/>
          <w:w w:val="100"/>
          <w:position w:val="0"/>
        </w:rPr>
        <w:t xml:space="preserve">91110000757740123M„ </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月在深圳证券交易所上市，所属行业为电子类软件和信息技术服务业。</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日，本公司累计发行股本总数</w:t>
      </w:r>
      <w:r>
        <w:rPr>
          <w:color w:val="000000"/>
          <w:spacing w:val="0"/>
          <w:w w:val="100"/>
          <w:position w:val="0"/>
        </w:rPr>
        <w:t>337,576,686</w:t>
      </w:r>
      <w:r>
        <w:rPr>
          <w:color w:val="000000"/>
          <w:spacing w:val="0"/>
          <w:w w:val="100"/>
          <w:position w:val="0"/>
        </w:rPr>
        <w:t>股，注册资本为</w:t>
      </w:r>
      <w:r>
        <w:rPr>
          <w:color w:val="000000"/>
          <w:spacing w:val="0"/>
          <w:w w:val="100"/>
          <w:position w:val="0"/>
        </w:rPr>
        <w:t>337,576,686.00</w:t>
      </w:r>
      <w:r>
        <w:rPr>
          <w:color w:val="000000"/>
          <w:spacing w:val="0"/>
          <w:w w:val="100"/>
          <w:position w:val="0"/>
        </w:rPr>
        <w:t>元。注 册地：北京市海淀区学清路</w:t>
      </w:r>
      <w:r>
        <w:rPr>
          <w:color w:val="000000"/>
          <w:spacing w:val="0"/>
          <w:w w:val="100"/>
          <w:position w:val="0"/>
        </w:rPr>
        <w:t>9</w:t>
      </w:r>
      <w:r>
        <w:rPr>
          <w:color w:val="000000"/>
          <w:spacing w:val="0"/>
          <w:w w:val="100"/>
          <w:position w:val="0"/>
        </w:rPr>
        <w:t>号汇智大厦</w:t>
      </w:r>
      <w:r>
        <w:rPr>
          <w:color w:val="000000"/>
          <w:spacing w:val="0"/>
          <w:w w:val="100"/>
          <w:position w:val="0"/>
        </w:rPr>
        <w:t>11</w:t>
      </w:r>
      <w:r>
        <w:rPr>
          <w:color w:val="000000"/>
          <w:spacing w:val="0"/>
          <w:w w:val="100"/>
          <w:position w:val="0"/>
        </w:rPr>
        <w:t>层</w:t>
      </w:r>
      <w:r>
        <w:rPr>
          <w:color w:val="000000"/>
          <w:spacing w:val="0"/>
          <w:w w:val="100"/>
          <w:position w:val="0"/>
        </w:rPr>
        <w:t>2</w:t>
      </w:r>
      <w:r>
        <w:rPr>
          <w:color w:val="000000"/>
          <w:spacing w:val="0"/>
          <w:w w:val="100"/>
          <w:position w:val="0"/>
        </w:rPr>
        <w:t>单元</w:t>
      </w:r>
      <w:r>
        <w:rPr>
          <w:color w:val="000000"/>
          <w:spacing w:val="0"/>
          <w:w w:val="100"/>
          <w:position w:val="0"/>
        </w:rPr>
        <w:t>1201B</w:t>
      </w:r>
      <w:r>
        <w:rPr>
          <w:color w:val="000000"/>
          <w:spacing w:val="0"/>
          <w:w w:val="100"/>
          <w:position w:val="0"/>
        </w:rPr>
        <w:t>室，总部地址：北京市海淀区学清路</w:t>
      </w:r>
      <w:r>
        <w:rPr>
          <w:color w:val="000000"/>
          <w:spacing w:val="0"/>
          <w:w w:val="100"/>
          <w:position w:val="0"/>
        </w:rPr>
        <w:t>9</w:t>
      </w:r>
      <w:r>
        <w:rPr>
          <w:color w:val="000000"/>
          <w:spacing w:val="0"/>
          <w:w w:val="100"/>
          <w:position w:val="0"/>
        </w:rPr>
        <w:t xml:space="preserve">号汇智大厦 </w:t>
      </w:r>
      <w:r>
        <w:rPr>
          <w:color w:val="000000"/>
          <w:spacing w:val="0"/>
          <w:w w:val="100"/>
          <w:position w:val="0"/>
        </w:rPr>
        <w:t>11</w:t>
      </w:r>
      <w:r>
        <w:rPr>
          <w:color w:val="000000"/>
          <w:spacing w:val="0"/>
          <w:w w:val="100"/>
          <w:position w:val="0"/>
        </w:rPr>
        <w:t>层</w:t>
      </w:r>
      <w:r>
        <w:rPr>
          <w:color w:val="000000"/>
          <w:spacing w:val="0"/>
          <w:w w:val="100"/>
          <w:position w:val="0"/>
        </w:rPr>
        <w:t>2</w:t>
      </w:r>
      <w:r>
        <w:rPr>
          <w:color w:val="000000"/>
          <w:spacing w:val="0"/>
          <w:w w:val="100"/>
          <w:position w:val="0"/>
        </w:rPr>
        <w:t>单元</w:t>
      </w:r>
      <w:r>
        <w:rPr>
          <w:color w:val="000000"/>
          <w:spacing w:val="0"/>
          <w:w w:val="100"/>
          <w:position w:val="0"/>
        </w:rPr>
        <w:t>1201B</w:t>
      </w:r>
      <w:r>
        <w:rPr>
          <w:color w:val="000000"/>
          <w:spacing w:val="0"/>
          <w:w w:val="100"/>
          <w:position w:val="0"/>
        </w:rPr>
        <w:t>室。本公司主要经营活动为：计算机软件技术开发；计算机系统集成及服务；与计算机技 术相关的产品销售及其他衍生业务。本公司的实际控制人为沈飒、朱烨东夫妇。</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本财务报表业经公司全体董事于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日批准报出。</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本公司子公司的相关信息详见本附注“九、在其他主体中的权益”。</w:t>
      </w:r>
    </w:p>
    <w:p>
      <w:pPr>
        <w:pStyle w:val="Style25"/>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本报告期合并范围变化情况详见本附注“八、合并范围的变更”。</w:t>
      </w:r>
    </w:p>
    <w:p>
      <w:pPr>
        <w:pStyle w:val="Style23"/>
        <w:keepNext/>
        <w:keepLines/>
        <w:widowControl w:val="0"/>
        <w:shd w:val="clear" w:color="auto" w:fill="auto"/>
        <w:tabs>
          <w:tab w:pos="498" w:val="left"/>
        </w:tabs>
        <w:bidi w:val="0"/>
        <w:spacing w:before="0" w:after="360" w:line="240" w:lineRule="auto"/>
        <w:ind w:left="0" w:right="0" w:firstLine="0"/>
        <w:jc w:val="both"/>
      </w:pPr>
      <w:bookmarkStart w:id="665" w:name="bookmark665"/>
      <w:bookmarkStart w:id="666" w:name="bookmark666"/>
      <w:bookmarkStart w:id="667" w:name="bookmark667"/>
      <w:bookmarkStart w:id="668" w:name="bookmark668"/>
      <w:r>
        <w:rPr>
          <w:color w:val="000000"/>
          <w:spacing w:val="0"/>
          <w:w w:val="100"/>
          <w:position w:val="0"/>
          <w:sz w:val="24"/>
          <w:szCs w:val="24"/>
        </w:rPr>
        <w:t>四</w:t>
      </w:r>
      <w:bookmarkEnd w:id="667"/>
      <w:r>
        <w:rPr>
          <w:color w:val="000000"/>
          <w:spacing w:val="0"/>
          <w:w w:val="100"/>
          <w:position w:val="0"/>
          <w:sz w:val="24"/>
          <w:szCs w:val="24"/>
        </w:rPr>
        <w:t>、</w:t>
        <w:tab/>
        <w:t>财务报表的编制基础</w:t>
      </w:r>
      <w:bookmarkEnd w:id="665"/>
      <w:bookmarkEnd w:id="666"/>
      <w:bookmarkEnd w:id="668"/>
    </w:p>
    <w:p>
      <w:pPr>
        <w:pStyle w:val="Style31"/>
        <w:keepNext/>
        <w:keepLines/>
        <w:widowControl w:val="0"/>
        <w:shd w:val="clear" w:color="auto" w:fill="auto"/>
        <w:tabs>
          <w:tab w:pos="368" w:val="left"/>
        </w:tabs>
        <w:bidi w:val="0"/>
        <w:spacing w:before="0" w:after="0" w:line="480" w:lineRule="auto"/>
        <w:ind w:left="0" w:right="0" w:firstLine="0"/>
        <w:jc w:val="both"/>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color w:val="000000"/>
          <w:spacing w:val="0"/>
          <w:w w:val="100"/>
          <w:position w:val="0"/>
        </w:rPr>
        <w:t>、</w:t>
        <w:tab/>
        <w:t>编制基础</w:t>
      </w:r>
      <w:bookmarkEnd w:id="669"/>
      <w:bookmarkEnd w:id="670"/>
      <w:bookmarkEnd w:id="672"/>
    </w:p>
    <w:p>
      <w:pPr>
        <w:pStyle w:val="Style25"/>
        <w:keepNext w:val="0"/>
        <w:keepLines w:val="0"/>
        <w:widowControl w:val="0"/>
        <w:shd w:val="clear" w:color="auto" w:fill="auto"/>
        <w:bidi w:val="0"/>
        <w:spacing w:before="0" w:after="460" w:line="461" w:lineRule="exact"/>
        <w:ind w:left="0" w:right="0" w:firstLine="440"/>
        <w:jc w:val="both"/>
      </w:pPr>
      <w:r>
        <w:rPr>
          <w:color w:val="000000"/>
          <w:spacing w:val="0"/>
          <w:w w:val="100"/>
          <w:position w:val="0"/>
        </w:rPr>
        <w:t>本财务报表按照财政部颁布的《企业会计准则一一基本准则》和各项具体会计准则、企业会计准则应 用指南、企业会计准则解释及其他相关规定（以下合称“企业会计准则”），以及中国证券监督管理委员 会《公开发行证券的公司信息披露编报规则第</w:t>
      </w:r>
      <w:r>
        <w:rPr>
          <w:color w:val="000000"/>
          <w:spacing w:val="0"/>
          <w:w w:val="100"/>
          <w:position w:val="0"/>
        </w:rPr>
        <w:t>15</w:t>
      </w:r>
      <w:r>
        <w:rPr>
          <w:color w:val="000000"/>
          <w:spacing w:val="0"/>
          <w:w w:val="100"/>
          <w:position w:val="0"/>
        </w:rPr>
        <w:t>号一一财务报告的一般规定》的相关规定编制。</w:t>
      </w:r>
    </w:p>
    <w:p>
      <w:pPr>
        <w:pStyle w:val="Style31"/>
        <w:keepNext/>
        <w:keepLines/>
        <w:widowControl w:val="0"/>
        <w:shd w:val="clear" w:color="auto" w:fill="auto"/>
        <w:tabs>
          <w:tab w:pos="378" w:val="left"/>
        </w:tabs>
        <w:bidi w:val="0"/>
        <w:spacing w:before="0" w:after="0" w:line="480" w:lineRule="auto"/>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w:t>
        <w:tab/>
        <w:t>持续经营</w:t>
      </w:r>
      <w:bookmarkEnd w:id="673"/>
      <w:bookmarkEnd w:id="674"/>
      <w:bookmarkEnd w:id="676"/>
    </w:p>
    <w:p>
      <w:pPr>
        <w:pStyle w:val="Style25"/>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本财务报表以持续经营为基础编制。公司自报告期末起</w:t>
      </w:r>
      <w:r>
        <w:rPr>
          <w:color w:val="000000"/>
          <w:spacing w:val="0"/>
          <w:w w:val="100"/>
          <w:position w:val="0"/>
        </w:rPr>
        <w:t>12</w:t>
      </w:r>
      <w:r>
        <w:rPr>
          <w:color w:val="000000"/>
          <w:spacing w:val="0"/>
          <w:w w:val="100"/>
          <w:position w:val="0"/>
        </w:rPr>
        <w:t>个月的持续经营能力，不存在导致对持续经 营能力产生重大怀疑的因素。</w:t>
      </w:r>
    </w:p>
    <w:p>
      <w:pPr>
        <w:pStyle w:val="Style23"/>
        <w:keepNext/>
        <w:keepLines/>
        <w:widowControl w:val="0"/>
        <w:shd w:val="clear" w:color="auto" w:fill="auto"/>
        <w:tabs>
          <w:tab w:pos="517" w:val="left"/>
        </w:tabs>
        <w:bidi w:val="0"/>
        <w:spacing w:before="0" w:after="12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sz w:val="24"/>
          <w:szCs w:val="24"/>
        </w:rPr>
        <w:t>五</w:t>
      </w:r>
      <w:bookmarkEnd w:id="679"/>
      <w:r>
        <w:rPr>
          <w:color w:val="000000"/>
          <w:spacing w:val="0"/>
          <w:w w:val="100"/>
          <w:position w:val="0"/>
          <w:sz w:val="24"/>
          <w:szCs w:val="24"/>
        </w:rPr>
        <w:t>、</w:t>
        <w:tab/>
        <w:t>重要会计政策及会计估计</w:t>
      </w:r>
      <w:bookmarkEnd w:id="677"/>
      <w:bookmarkEnd w:id="678"/>
      <w:bookmarkEnd w:id="680"/>
    </w:p>
    <w:p>
      <w:pPr>
        <w:pStyle w:val="Style31"/>
        <w:keepNext/>
        <w:keepLines/>
        <w:widowControl w:val="0"/>
        <w:shd w:val="clear" w:color="auto" w:fill="auto"/>
        <w:tabs>
          <w:tab w:pos="368" w:val="left"/>
        </w:tabs>
        <w:bidi w:val="0"/>
        <w:spacing w:before="0" w:after="200" w:line="469" w:lineRule="exact"/>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1</w:t>
      </w:r>
      <w:bookmarkEnd w:id="683"/>
      <w:r>
        <w:rPr>
          <w:color w:val="000000"/>
          <w:spacing w:val="0"/>
          <w:w w:val="100"/>
          <w:position w:val="0"/>
        </w:rPr>
        <w:t>、</w:t>
        <w:tab/>
        <w:t>遵循企业会计准则的声明</w:t>
      </w:r>
      <w:bookmarkEnd w:id="681"/>
      <w:bookmarkEnd w:id="682"/>
      <w:bookmarkEnd w:id="684"/>
    </w:p>
    <w:p>
      <w:pPr>
        <w:pStyle w:val="Style25"/>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本财务报表符合财政部颁布的企业会计准则的要求，真实、完整地反映了本公司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 并及母公司财务状况以及</w:t>
      </w:r>
      <w:r>
        <w:rPr>
          <w:color w:val="000000"/>
          <w:spacing w:val="0"/>
          <w:w w:val="100"/>
          <w:position w:val="0"/>
        </w:rPr>
        <w:t>2020</w:t>
      </w:r>
      <w:r>
        <w:rPr>
          <w:color w:val="000000"/>
          <w:spacing w:val="0"/>
          <w:w w:val="100"/>
          <w:position w:val="0"/>
        </w:rPr>
        <w:t>年度的合并及母公司经营成果和现金流量。</w:t>
      </w:r>
    </w:p>
    <w:p>
      <w:pPr>
        <w:pStyle w:val="Style31"/>
        <w:keepNext/>
        <w:keepLines/>
        <w:widowControl w:val="0"/>
        <w:shd w:val="clear" w:color="auto" w:fill="auto"/>
        <w:tabs>
          <w:tab w:pos="378" w:val="left"/>
        </w:tabs>
        <w:bidi w:val="0"/>
        <w:spacing w:before="0" w:after="0" w:line="480" w:lineRule="auto"/>
        <w:ind w:left="0" w:right="0" w:firstLine="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2</w:t>
      </w:r>
      <w:bookmarkEnd w:id="687"/>
      <w:r>
        <w:rPr>
          <w:color w:val="000000"/>
          <w:spacing w:val="0"/>
          <w:w w:val="100"/>
          <w:position w:val="0"/>
        </w:rPr>
        <w:t>、</w:t>
        <w:tab/>
        <w:t>会计期间</w:t>
      </w:r>
      <w:bookmarkEnd w:id="685"/>
      <w:bookmarkEnd w:id="686"/>
      <w:bookmarkEnd w:id="688"/>
    </w:p>
    <w:p>
      <w:pPr>
        <w:pStyle w:val="Style25"/>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31"/>
        <w:keepNext/>
        <w:keepLines/>
        <w:widowControl w:val="0"/>
        <w:shd w:val="clear" w:color="auto" w:fill="auto"/>
        <w:tabs>
          <w:tab w:pos="378" w:val="left"/>
        </w:tabs>
        <w:bidi w:val="0"/>
        <w:spacing w:before="0" w:after="0" w:line="480" w:lineRule="auto"/>
        <w:ind w:left="0" w:right="0" w:firstLine="0"/>
        <w:jc w:val="both"/>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3</w:t>
      </w:r>
      <w:bookmarkEnd w:id="691"/>
      <w:r>
        <w:rPr>
          <w:color w:val="000000"/>
          <w:spacing w:val="0"/>
          <w:w w:val="100"/>
          <w:position w:val="0"/>
        </w:rPr>
        <w:t>、</w:t>
        <w:tab/>
        <w:t>营业周期</w:t>
      </w:r>
      <w:bookmarkEnd w:id="689"/>
      <w:bookmarkEnd w:id="690"/>
      <w:bookmarkEnd w:id="692"/>
    </w:p>
    <w:p>
      <w:pPr>
        <w:pStyle w:val="Style25"/>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本公司营业周期为</w:t>
      </w:r>
      <w:r>
        <w:rPr>
          <w:color w:val="000000"/>
          <w:spacing w:val="0"/>
          <w:w w:val="100"/>
          <w:position w:val="0"/>
        </w:rPr>
        <w:t>12</w:t>
      </w:r>
      <w:r>
        <w:rPr>
          <w:color w:val="000000"/>
          <w:spacing w:val="0"/>
          <w:w w:val="100"/>
          <w:position w:val="0"/>
        </w:rPr>
        <w:t>个月。</w:t>
      </w:r>
    </w:p>
    <w:p>
      <w:pPr>
        <w:pStyle w:val="Style31"/>
        <w:keepNext/>
        <w:keepLines/>
        <w:widowControl w:val="0"/>
        <w:shd w:val="clear" w:color="auto" w:fill="auto"/>
        <w:tabs>
          <w:tab w:pos="378" w:val="left"/>
        </w:tabs>
        <w:bidi w:val="0"/>
        <w:spacing w:before="0" w:after="0" w:line="480" w:lineRule="auto"/>
        <w:ind w:left="0" w:right="0" w:firstLine="0"/>
        <w:jc w:val="both"/>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4</w:t>
      </w:r>
      <w:bookmarkEnd w:id="695"/>
      <w:r>
        <w:rPr>
          <w:color w:val="000000"/>
          <w:spacing w:val="0"/>
          <w:w w:val="100"/>
          <w:position w:val="0"/>
        </w:rPr>
        <w:t>、</w:t>
        <w:tab/>
        <w:t>记账本位币</w:t>
      </w:r>
      <w:bookmarkEnd w:id="693"/>
      <w:bookmarkEnd w:id="694"/>
      <w:bookmarkEnd w:id="696"/>
    </w:p>
    <w:p>
      <w:pPr>
        <w:pStyle w:val="Style25"/>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本公司采用人民币为记账本位币。</w:t>
      </w:r>
    </w:p>
    <w:p>
      <w:pPr>
        <w:pStyle w:val="Style31"/>
        <w:keepNext/>
        <w:keepLines/>
        <w:widowControl w:val="0"/>
        <w:shd w:val="clear" w:color="auto" w:fill="auto"/>
        <w:tabs>
          <w:tab w:pos="378" w:val="left"/>
        </w:tabs>
        <w:bidi w:val="0"/>
        <w:spacing w:before="0" w:after="200" w:line="469" w:lineRule="exact"/>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5</w:t>
      </w:r>
      <w:bookmarkEnd w:id="699"/>
      <w:r>
        <w:rPr>
          <w:color w:val="000000"/>
          <w:spacing w:val="0"/>
          <w:w w:val="100"/>
          <w:position w:val="0"/>
        </w:rPr>
        <w:t>、</w:t>
        <w:tab/>
        <w:t>同一控制下和非同一控制下企业合并的会计处理方法</w:t>
      </w:r>
      <w:bookmarkEnd w:id="697"/>
      <w:bookmarkEnd w:id="698"/>
      <w:bookmarkEnd w:id="700"/>
    </w:p>
    <w:p>
      <w:pPr>
        <w:pStyle w:val="Style25"/>
        <w:keepNext w:val="0"/>
        <w:keepLines w:val="0"/>
        <w:widowControl w:val="0"/>
        <w:shd w:val="clear" w:color="auto" w:fill="auto"/>
        <w:bidi w:val="0"/>
        <w:spacing w:before="0" w:after="400" w:line="469" w:lineRule="exact"/>
        <w:ind w:left="0" w:right="0" w:firstLine="440"/>
        <w:jc w:val="both"/>
      </w:pPr>
      <w:r>
        <w:rPr>
          <w:color w:val="000000"/>
          <w:spacing w:val="0"/>
          <w:w w:val="100"/>
          <w:position w:val="0"/>
        </w:rPr>
        <w:t>同一控制下企业合并：合并方在企业合并中取得的资产和负债（包括最终控制方收购被合并方而形成 的商誉），按照合并日被合并方资产、负债在最终控制方合并财务报表中的账面价值为基础计量。在合并 中取得的净资产账面价值与支付的合并对价账面价值（或发行股份面值总额）的差额，调整资本公积中的 股本溢价，资本公积中的股本溢价不足冲减的，调整留存收益。</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非同一控制下企业合并：合并成本为购买方在购买日为取得被购买方的控制权而付出的资产、发生或 承担的负债以及发行的权益性证券的公允价值。合并成本大于合并中取得的被购买方可辨认净资产公允价 值份额的差额，确认为商誉；合并成本小于合并中取得的被购买方可辨认净资产公允价值份额的差额，计 入当期损益。在合并中取得的被购买方符合确认条件的各项可辨认资产、负债及或有负债在购买日按公允 价值计量。</w:t>
      </w:r>
    </w:p>
    <w:p>
      <w:pPr>
        <w:pStyle w:val="Style25"/>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为企业合并发生的直接相关费用于发生时计入当期损益；为企业合并而发行权益性证券或债务性证券 的交易费用，计入权益性证券或债务性证券的初始确认金额。</w:t>
      </w:r>
    </w:p>
    <w:p>
      <w:pPr>
        <w:pStyle w:val="Style31"/>
        <w:keepNext/>
        <w:keepLines/>
        <w:widowControl w:val="0"/>
        <w:shd w:val="clear" w:color="auto" w:fill="auto"/>
        <w:bidi w:val="0"/>
        <w:spacing w:before="0" w:after="0" w:line="48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6</w:t>
      </w:r>
      <w:bookmarkEnd w:id="703"/>
      <w:r>
        <w:rPr>
          <w:color w:val="000000"/>
          <w:spacing w:val="0"/>
          <w:w w:val="100"/>
          <w:position w:val="0"/>
        </w:rPr>
        <w:t>、合并财务报表的编制方法</w:t>
      </w:r>
      <w:bookmarkEnd w:id="701"/>
      <w:bookmarkEnd w:id="702"/>
      <w:bookmarkEnd w:id="704"/>
    </w:p>
    <w:p>
      <w:pPr>
        <w:pStyle w:val="Style25"/>
        <w:keepNext w:val="0"/>
        <w:keepLines w:val="0"/>
        <w:widowControl w:val="0"/>
        <w:shd w:val="clear" w:color="auto" w:fill="auto"/>
        <w:tabs>
          <w:tab w:pos="889" w:val="left"/>
        </w:tabs>
        <w:bidi w:val="0"/>
        <w:spacing w:before="0" w:after="0" w:line="470" w:lineRule="exact"/>
        <w:ind w:left="0" w:right="0" w:firstLine="440"/>
        <w:jc w:val="left"/>
      </w:pPr>
      <w:bookmarkStart w:id="705" w:name="bookmark705"/>
      <w:r>
        <w:rPr>
          <w:color w:val="000000"/>
          <w:spacing w:val="0"/>
          <w:w w:val="100"/>
          <w:position w:val="0"/>
        </w:rPr>
        <w:t>（</w:t>
      </w:r>
      <w:bookmarkEnd w:id="705"/>
      <w:r>
        <w:rPr>
          <w:color w:val="000000"/>
          <w:spacing w:val="0"/>
          <w:w w:val="100"/>
          <w:position w:val="0"/>
        </w:rPr>
        <w:t>1）</w:t>
        <w:tab/>
      </w:r>
      <w:r>
        <w:rPr>
          <w:color w:val="000000"/>
          <w:spacing w:val="0"/>
          <w:w w:val="100"/>
          <w:position w:val="0"/>
        </w:rPr>
        <w:t>合并范围</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合并财务报表的合并范围以控制为基础确定，合并范围包括本公司及全部子公司。控制，是指公司拥 有对被投资方的权力，通过参与被投资方的相关活动而享有可变回报，并且有能力运用对被投资方的权力 影响其回报金额。</w:t>
      </w:r>
    </w:p>
    <w:p>
      <w:pPr>
        <w:pStyle w:val="Style25"/>
        <w:keepNext w:val="0"/>
        <w:keepLines w:val="0"/>
        <w:widowControl w:val="0"/>
        <w:shd w:val="clear" w:color="auto" w:fill="auto"/>
        <w:tabs>
          <w:tab w:pos="889" w:val="left"/>
        </w:tabs>
        <w:bidi w:val="0"/>
        <w:spacing w:before="0" w:after="0" w:line="470" w:lineRule="exact"/>
        <w:ind w:left="0" w:right="0" w:firstLine="440"/>
        <w:jc w:val="left"/>
      </w:pPr>
      <w:bookmarkStart w:id="706" w:name="bookmark706"/>
      <w:r>
        <w:rPr>
          <w:color w:val="000000"/>
          <w:spacing w:val="0"/>
          <w:w w:val="100"/>
          <w:position w:val="0"/>
        </w:rPr>
        <w:t>（</w:t>
      </w:r>
      <w:bookmarkEnd w:id="706"/>
      <w:r>
        <w:rPr>
          <w:color w:val="000000"/>
          <w:spacing w:val="0"/>
          <w:w w:val="100"/>
          <w:position w:val="0"/>
        </w:rPr>
        <w:t>2）</w:t>
        <w:tab/>
      </w:r>
      <w:r>
        <w:rPr>
          <w:color w:val="000000"/>
          <w:spacing w:val="0"/>
          <w:w w:val="100"/>
          <w:position w:val="0"/>
        </w:rPr>
        <w:t>合并程序</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本公司将整个企业集团视为一个会计主体，按照统一的会计政策编制合并财务报表，反映本企业集团 整体财务状况、经营成果和现金流量。本公司与子公司、子公司相互之间发生的内部交易的影响予以抵销。 内部交易表明相关资产发生减值损失的，全额确认该部分损失。如子公司采用的会计政策、会计期间与本 公司不一致的，在编制合并财务报表时，按本公司的会计政策、会计期间进行必要的调整。</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25"/>
        <w:keepNext w:val="0"/>
        <w:keepLines w:val="0"/>
        <w:widowControl w:val="0"/>
        <w:shd w:val="clear" w:color="auto" w:fill="auto"/>
        <w:bidi w:val="0"/>
        <w:spacing w:before="0" w:after="0" w:line="470" w:lineRule="exact"/>
        <w:ind w:left="0" w:right="0" w:firstLine="440"/>
        <w:jc w:val="left"/>
      </w:pPr>
      <w:bookmarkStart w:id="707" w:name="bookmark707"/>
      <w:r>
        <w:rPr>
          <w:color w:val="000000"/>
          <w:spacing w:val="0"/>
          <w:w w:val="100"/>
          <w:position w:val="0"/>
        </w:rPr>
        <w:t>1</w:t>
      </w:r>
      <w:bookmarkEnd w:id="707"/>
      <w:r>
        <w:rPr>
          <w:color w:val="000000"/>
          <w:spacing w:val="0"/>
          <w:w w:val="100"/>
          <w:position w:val="0"/>
        </w:rPr>
        <w:t>）</w:t>
      </w:r>
      <w:r>
        <w:rPr>
          <w:color w:val="000000"/>
          <w:spacing w:val="0"/>
          <w:w w:val="100"/>
          <w:position w:val="0"/>
        </w:rPr>
        <w:t>增加子公司或业务</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在报告期内，因同一控制下企业合并增加子公司或业务的，将子公司或业务合并当期期初至报告期末 的经营成果和现金流量纳入合并财务报表，同时对合并财务报表的期初数和比较报表的相关项目进行调 整，视同合并后的报告主体自最终控制方开始控制时点起一直存在。</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因追加投资等原因能够对同一控制下的被投资方实施控制的，在取得被合并方控制权之前持有的股权 投资，在取得原股权之日与合并方和被合并方同处于同一控制之日孰晚日起至合并日之间已确认有关损 益、其他综合收益以及其他净资产变动，分别冲减比较报表期间的期初留存收益或当期损益。</w:t>
      </w:r>
    </w:p>
    <w:p>
      <w:pPr>
        <w:pStyle w:val="Style25"/>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在报告期内，因非同一控制下企业合并增加子公司或业务的，以购买日确定的各项可辨认资产、负债 及或有负债的公允价值为基础自购买日起纳入合并财务报表。</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因追加投资等原因能够对非同一控制下的被投资方实施控制的，对于购买日之前持有的被购买方的股 权，按照该股权在购买日的公允价值进行重新计量，公允价值与其账面价值的差额计入当期投资收益。购 买日之前持有的被购买方的股权涉及的以后可重分类进损益的其他综合收益、权益法核算下的其他所有者 权益变动转为购买日所属当期投资收益。</w:t>
      </w:r>
    </w:p>
    <w:p>
      <w:pPr>
        <w:pStyle w:val="Style25"/>
        <w:keepNext w:val="0"/>
        <w:keepLines w:val="0"/>
        <w:widowControl w:val="0"/>
        <w:shd w:val="clear" w:color="auto" w:fill="auto"/>
        <w:tabs>
          <w:tab w:pos="827" w:val="left"/>
        </w:tabs>
        <w:bidi w:val="0"/>
        <w:spacing w:before="0" w:after="0" w:line="467" w:lineRule="exact"/>
        <w:ind w:left="0" w:right="0" w:firstLine="440"/>
        <w:jc w:val="both"/>
      </w:pPr>
      <w:bookmarkStart w:id="708" w:name="bookmark708"/>
      <w:r>
        <w:rPr>
          <w:color w:val="000000"/>
          <w:spacing w:val="0"/>
          <w:w w:val="100"/>
          <w:position w:val="0"/>
        </w:rPr>
        <w:t>2</w:t>
      </w:r>
      <w:bookmarkEnd w:id="708"/>
      <w:r>
        <w:rPr>
          <w:color w:val="000000"/>
          <w:spacing w:val="0"/>
          <w:w w:val="100"/>
          <w:position w:val="0"/>
        </w:rPr>
        <w:t>）</w:t>
        <w:tab/>
      </w:r>
      <w:r>
        <w:rPr>
          <w:color w:val="000000"/>
          <w:spacing w:val="0"/>
          <w:w w:val="100"/>
          <w:position w:val="0"/>
        </w:rPr>
        <w:t>处置子公司</w:t>
      </w:r>
    </w:p>
    <w:p>
      <w:pPr>
        <w:pStyle w:val="Style25"/>
        <w:keepNext w:val="0"/>
        <w:keepLines w:val="0"/>
        <w:widowControl w:val="0"/>
        <w:numPr>
          <w:ilvl w:val="0"/>
          <w:numId w:val="25"/>
        </w:numPr>
        <w:shd w:val="clear" w:color="auto" w:fill="auto"/>
        <w:tabs>
          <w:tab w:pos="832" w:val="left"/>
        </w:tabs>
        <w:bidi w:val="0"/>
        <w:spacing w:before="0" w:after="0" w:line="467" w:lineRule="exact"/>
        <w:ind w:left="0" w:right="0" w:firstLine="440"/>
        <w:jc w:val="both"/>
      </w:pPr>
      <w:bookmarkStart w:id="709" w:name="bookmark709"/>
      <w:bookmarkEnd w:id="709"/>
      <w:r>
        <w:rPr>
          <w:color w:val="000000"/>
          <w:spacing w:val="0"/>
          <w:w w:val="100"/>
          <w:position w:val="0"/>
        </w:rPr>
        <w:t>一般处理方法</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因处置部分股权投资或其他原因丧失了对被投资方控制权时，对于处置后的剩余股权投资，按照其在 丧失控制权日的公允价值进行重新计量。处置股权取得的对价与剩余股权公允价值之和，减去按原持股比 例计算应享有原有子公司自购买日或合并日开始持续计算的净资产的份额与商誉之和的差额，计入丧失控 制权当期的投资收益。与原有子公司股权投资相关的以后可重分类进损益的其他综合收益、权益法核算下 的其他所有者权益变动，在丧失控制权时转为当期投资收益。</w:t>
      </w:r>
    </w:p>
    <w:p>
      <w:pPr>
        <w:pStyle w:val="Style25"/>
        <w:keepNext w:val="0"/>
        <w:keepLines w:val="0"/>
        <w:widowControl w:val="0"/>
        <w:numPr>
          <w:ilvl w:val="0"/>
          <w:numId w:val="25"/>
        </w:numPr>
        <w:shd w:val="clear" w:color="auto" w:fill="auto"/>
        <w:tabs>
          <w:tab w:pos="837" w:val="left"/>
        </w:tabs>
        <w:bidi w:val="0"/>
        <w:spacing w:before="0" w:after="0" w:line="467" w:lineRule="exact"/>
        <w:ind w:left="0" w:right="0" w:firstLine="440"/>
        <w:jc w:val="both"/>
      </w:pPr>
      <w:bookmarkStart w:id="710" w:name="bookmark710"/>
      <w:bookmarkEnd w:id="710"/>
      <w:r>
        <w:rPr>
          <w:color w:val="000000"/>
          <w:spacing w:val="0"/>
          <w:w w:val="100"/>
          <w:position w:val="0"/>
        </w:rPr>
        <w:t>分步处置子公司</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款、条件以及经济影响符合以下一种或多种情况，通常表明该多次交易事项为一揽子交易：</w:t>
      </w:r>
    </w:p>
    <w:p>
      <w:pPr>
        <w:pStyle w:val="Style25"/>
        <w:keepNext w:val="0"/>
        <w:keepLines w:val="0"/>
        <w:widowControl w:val="0"/>
        <w:numPr>
          <w:ilvl w:val="0"/>
          <w:numId w:val="27"/>
        </w:numPr>
        <w:shd w:val="clear" w:color="auto" w:fill="auto"/>
        <w:tabs>
          <w:tab w:pos="827" w:val="left"/>
        </w:tabs>
        <w:bidi w:val="0"/>
        <w:spacing w:before="0" w:after="0" w:line="467" w:lineRule="exact"/>
        <w:ind w:left="0" w:right="0" w:firstLine="440"/>
        <w:jc w:val="left"/>
      </w:pPr>
      <w:bookmarkStart w:id="711" w:name="bookmark711"/>
      <w:bookmarkEnd w:id="711"/>
      <w:r>
        <w:rPr>
          <w:color w:val="000000"/>
          <w:spacing w:val="0"/>
          <w:w w:val="100"/>
          <w:position w:val="0"/>
        </w:rPr>
        <w:t>这些交易是同时或者在考虑了彼此影响的情况下订立的；</w:t>
      </w:r>
    </w:p>
    <w:p>
      <w:pPr>
        <w:pStyle w:val="Style25"/>
        <w:keepNext w:val="0"/>
        <w:keepLines w:val="0"/>
        <w:widowControl w:val="0"/>
        <w:numPr>
          <w:ilvl w:val="0"/>
          <w:numId w:val="27"/>
        </w:numPr>
        <w:shd w:val="clear" w:color="auto" w:fill="auto"/>
        <w:tabs>
          <w:tab w:pos="861" w:val="left"/>
        </w:tabs>
        <w:bidi w:val="0"/>
        <w:spacing w:before="0" w:after="0" w:line="467" w:lineRule="exact"/>
        <w:ind w:left="0" w:right="0" w:firstLine="440"/>
        <w:jc w:val="both"/>
      </w:pPr>
      <w:bookmarkStart w:id="712" w:name="bookmark712"/>
      <w:bookmarkEnd w:id="712"/>
      <w:r>
        <w:rPr>
          <w:color w:val="000000"/>
          <w:spacing w:val="0"/>
          <w:w w:val="100"/>
          <w:position w:val="0"/>
        </w:rPr>
        <w:t>这些交易整体才能达成一项完整的商业结果；</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宙.一项交易的发生取决于其他至少一项交易的发生；</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各项交易属于一揽子交易的，将各项交易作为一项处置子公司并丧失控制权的交易进行会计处理；在 丧失控制权之前每一次处置价款与处置投资对应的享有该子公司净资产份额的差额，在合并财务报表中确 认为其他综合收益，在丧失控制权时一并转入丧失控制权当期的损益。</w:t>
      </w:r>
    </w:p>
    <w:p>
      <w:pPr>
        <w:pStyle w:val="Style25"/>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各项交易不属于一揽子交易的，在丧失控制权之前，按不丧失控制权的情况下部分处置对子公司的股 权投资进行会计处理；在丧失控制权时，按处置子公司一般处理方法进行会计处理。</w:t>
      </w:r>
    </w:p>
    <w:p>
      <w:pPr>
        <w:pStyle w:val="Style25"/>
        <w:keepNext w:val="0"/>
        <w:keepLines w:val="0"/>
        <w:widowControl w:val="0"/>
        <w:shd w:val="clear" w:color="auto" w:fill="auto"/>
        <w:tabs>
          <w:tab w:pos="827" w:val="left"/>
        </w:tabs>
        <w:bidi w:val="0"/>
        <w:spacing w:before="0" w:after="0" w:line="474" w:lineRule="exact"/>
        <w:ind w:left="0" w:right="0" w:firstLine="440"/>
        <w:jc w:val="left"/>
      </w:pPr>
      <w:bookmarkStart w:id="713" w:name="bookmark713"/>
      <w:r>
        <w:rPr>
          <w:color w:val="000000"/>
          <w:spacing w:val="0"/>
          <w:w w:val="100"/>
          <w:position w:val="0"/>
        </w:rPr>
        <w:t>3</w:t>
      </w:r>
      <w:bookmarkEnd w:id="713"/>
      <w:r>
        <w:rPr>
          <w:color w:val="000000"/>
          <w:spacing w:val="0"/>
          <w:w w:val="100"/>
          <w:position w:val="0"/>
        </w:rPr>
        <w:t>）</w:t>
        <w:tab/>
      </w:r>
      <w:r>
        <w:rPr>
          <w:color w:val="000000"/>
          <w:spacing w:val="0"/>
          <w:w w:val="100"/>
          <w:position w:val="0"/>
        </w:rPr>
        <w:t>购买子公司少数股权</w:t>
      </w:r>
    </w:p>
    <w:p>
      <w:pPr>
        <w:pStyle w:val="Style25"/>
        <w:keepNext w:val="0"/>
        <w:keepLines w:val="0"/>
        <w:widowControl w:val="0"/>
        <w:shd w:val="clear" w:color="auto" w:fill="auto"/>
        <w:bidi w:val="0"/>
        <w:spacing w:before="0" w:after="0" w:line="474" w:lineRule="exact"/>
        <w:ind w:left="0" w:right="0" w:firstLine="440"/>
        <w:jc w:val="left"/>
      </w:pPr>
      <w:r>
        <w:rPr>
          <w:color w:val="000000"/>
          <w:spacing w:val="0"/>
          <w:w w:val="100"/>
          <w:position w:val="0"/>
        </w:rPr>
        <w:t>因购买少数股权新取得的长期股权投资与按照新增持股比例计算应享有子公司自购买日或合并日开 始持续计算的净资产份额之间的差额，调整合并资产负债表中的资本公积中的股本溢价，资本公积中的股 本溢价不足冲减的，调整留存收益。</w:t>
      </w:r>
    </w:p>
    <w:p>
      <w:pPr>
        <w:pStyle w:val="Style25"/>
        <w:keepNext w:val="0"/>
        <w:keepLines w:val="0"/>
        <w:widowControl w:val="0"/>
        <w:shd w:val="clear" w:color="auto" w:fill="auto"/>
        <w:tabs>
          <w:tab w:pos="827" w:val="left"/>
        </w:tabs>
        <w:bidi w:val="0"/>
        <w:spacing w:before="0" w:after="0" w:line="466" w:lineRule="exact"/>
        <w:ind w:left="0" w:right="0" w:firstLine="440"/>
        <w:jc w:val="left"/>
      </w:pPr>
      <w:bookmarkStart w:id="714" w:name="bookmark714"/>
      <w:r>
        <w:rPr>
          <w:color w:val="000000"/>
          <w:spacing w:val="0"/>
          <w:w w:val="100"/>
          <w:position w:val="0"/>
        </w:rPr>
        <w:t>4</w:t>
      </w:r>
      <w:bookmarkEnd w:id="714"/>
      <w:r>
        <w:rPr>
          <w:color w:val="000000"/>
          <w:spacing w:val="0"/>
          <w:w w:val="100"/>
          <w:position w:val="0"/>
        </w:rPr>
        <w:t>）</w:t>
        <w:tab/>
      </w:r>
      <w:r>
        <w:rPr>
          <w:color w:val="000000"/>
          <w:spacing w:val="0"/>
          <w:w w:val="100"/>
          <w:position w:val="0"/>
        </w:rPr>
        <w:t>不丧失控制权的情况下部分处置对子公司的股权投资</w:t>
      </w:r>
    </w:p>
    <w:p>
      <w:pPr>
        <w:pStyle w:val="Style25"/>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 xml:space="preserve">处置价款与处置长期股权投资相对应享有子公司自购买日或合并日开始持续计算的净资产份额之间 的差额，调整合并资产负债表中的资本公积中的股本溢价，资本公积中的股本溢价不足冲减的，调整留存 </w:t>
      </w:r>
      <w:r>
        <w:rPr>
          <w:color w:val="000000"/>
          <w:spacing w:val="0"/>
          <w:w w:val="100"/>
          <w:position w:val="0"/>
        </w:rPr>
        <w:t>收益。</w:t>
      </w:r>
    </w:p>
    <w:p>
      <w:pPr>
        <w:pStyle w:val="Style31"/>
        <w:keepNext/>
        <w:keepLines/>
        <w:widowControl w:val="0"/>
        <w:shd w:val="clear" w:color="auto" w:fill="auto"/>
        <w:tabs>
          <w:tab w:pos="373" w:val="left"/>
        </w:tabs>
        <w:bidi w:val="0"/>
        <w:spacing w:before="0" w:after="220" w:line="467" w:lineRule="exact"/>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7</w:t>
      </w:r>
      <w:bookmarkEnd w:id="717"/>
      <w:r>
        <w:rPr>
          <w:color w:val="000000"/>
          <w:spacing w:val="0"/>
          <w:w w:val="100"/>
          <w:position w:val="0"/>
        </w:rPr>
        <w:t>、</w:t>
        <w:tab/>
        <w:t>合营安排分类及共同经营会计处理方法</w:t>
      </w:r>
      <w:bookmarkEnd w:id="715"/>
      <w:bookmarkEnd w:id="716"/>
      <w:bookmarkEnd w:id="718"/>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合营安排分为共同经营和合营企业。</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共同经营，是指合营方享有该安排相关资产且承担该安排相关负债的合营安排。</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本公司确认与共同经营中利益份额相关的下列项目：</w:t>
      </w:r>
    </w:p>
    <w:p>
      <w:pPr>
        <w:pStyle w:val="Style25"/>
        <w:keepNext w:val="0"/>
        <w:keepLines w:val="0"/>
        <w:widowControl w:val="0"/>
        <w:shd w:val="clear" w:color="auto" w:fill="auto"/>
        <w:tabs>
          <w:tab w:pos="928" w:val="left"/>
        </w:tabs>
        <w:bidi w:val="0"/>
        <w:spacing w:before="0" w:after="0" w:line="467" w:lineRule="exact"/>
        <w:ind w:left="0" w:right="0" w:firstLine="440"/>
        <w:jc w:val="both"/>
      </w:pPr>
      <w:bookmarkStart w:id="719" w:name="bookmark719"/>
      <w:r>
        <w:rPr>
          <w:color w:val="000000"/>
          <w:spacing w:val="0"/>
          <w:w w:val="100"/>
          <w:position w:val="0"/>
        </w:rPr>
        <w:t>（</w:t>
      </w:r>
      <w:bookmarkEnd w:id="719"/>
      <w:r>
        <w:rPr>
          <w:color w:val="000000"/>
          <w:spacing w:val="0"/>
          <w:w w:val="100"/>
          <w:position w:val="0"/>
        </w:rPr>
        <w:t>1）</w:t>
        <w:tab/>
      </w:r>
      <w:r>
        <w:rPr>
          <w:color w:val="000000"/>
          <w:spacing w:val="0"/>
          <w:w w:val="100"/>
          <w:position w:val="0"/>
        </w:rPr>
        <w:t>确认本公司单独所持有的资产，以及按本公司份额确认共同持有的资产；</w:t>
      </w:r>
    </w:p>
    <w:p>
      <w:pPr>
        <w:pStyle w:val="Style25"/>
        <w:keepNext w:val="0"/>
        <w:keepLines w:val="0"/>
        <w:widowControl w:val="0"/>
        <w:shd w:val="clear" w:color="auto" w:fill="auto"/>
        <w:tabs>
          <w:tab w:pos="928" w:val="left"/>
        </w:tabs>
        <w:bidi w:val="0"/>
        <w:spacing w:before="0" w:after="0" w:line="467" w:lineRule="exact"/>
        <w:ind w:left="0" w:right="0" w:firstLine="440"/>
        <w:jc w:val="both"/>
      </w:pPr>
      <w:bookmarkStart w:id="720" w:name="bookmark720"/>
      <w:r>
        <w:rPr>
          <w:color w:val="000000"/>
          <w:spacing w:val="0"/>
          <w:w w:val="100"/>
          <w:position w:val="0"/>
        </w:rPr>
        <w:t>（</w:t>
      </w:r>
      <w:bookmarkEnd w:id="720"/>
      <w:r>
        <w:rPr>
          <w:color w:val="000000"/>
          <w:spacing w:val="0"/>
          <w:w w:val="100"/>
          <w:position w:val="0"/>
        </w:rPr>
        <w:t>2）</w:t>
        <w:tab/>
      </w:r>
      <w:r>
        <w:rPr>
          <w:color w:val="000000"/>
          <w:spacing w:val="0"/>
          <w:w w:val="100"/>
          <w:position w:val="0"/>
        </w:rPr>
        <w:t>确认本公司单独所承担的负债，以及按本公司份额确认共同承担的负债；</w:t>
      </w:r>
    </w:p>
    <w:p>
      <w:pPr>
        <w:pStyle w:val="Style25"/>
        <w:keepNext w:val="0"/>
        <w:keepLines w:val="0"/>
        <w:widowControl w:val="0"/>
        <w:shd w:val="clear" w:color="auto" w:fill="auto"/>
        <w:tabs>
          <w:tab w:pos="928" w:val="left"/>
        </w:tabs>
        <w:bidi w:val="0"/>
        <w:spacing w:before="0" w:after="0" w:line="467" w:lineRule="exact"/>
        <w:ind w:left="0" w:right="0" w:firstLine="440"/>
        <w:jc w:val="both"/>
      </w:pPr>
      <w:bookmarkStart w:id="721" w:name="bookmark721"/>
      <w:r>
        <w:rPr>
          <w:color w:val="000000"/>
          <w:spacing w:val="0"/>
          <w:w w:val="100"/>
          <w:position w:val="0"/>
        </w:rPr>
        <w:t>（</w:t>
      </w:r>
      <w:bookmarkEnd w:id="721"/>
      <w:r>
        <w:rPr>
          <w:color w:val="000000"/>
          <w:spacing w:val="0"/>
          <w:w w:val="100"/>
          <w:position w:val="0"/>
        </w:rPr>
        <w:t>3）</w:t>
        <w:tab/>
      </w:r>
      <w:r>
        <w:rPr>
          <w:color w:val="000000"/>
          <w:spacing w:val="0"/>
          <w:w w:val="100"/>
          <w:position w:val="0"/>
        </w:rPr>
        <w:t>确认出售本公司享有的共同经营产出份额所产生的收入；</w:t>
      </w:r>
    </w:p>
    <w:p>
      <w:pPr>
        <w:pStyle w:val="Style25"/>
        <w:keepNext w:val="0"/>
        <w:keepLines w:val="0"/>
        <w:widowControl w:val="0"/>
        <w:shd w:val="clear" w:color="auto" w:fill="auto"/>
        <w:tabs>
          <w:tab w:pos="928" w:val="left"/>
        </w:tabs>
        <w:bidi w:val="0"/>
        <w:spacing w:before="0" w:after="0" w:line="467" w:lineRule="exact"/>
        <w:ind w:left="0" w:right="0" w:firstLine="440"/>
        <w:jc w:val="both"/>
      </w:pPr>
      <w:bookmarkStart w:id="722" w:name="bookmark722"/>
      <w:r>
        <w:rPr>
          <w:color w:val="000000"/>
          <w:spacing w:val="0"/>
          <w:w w:val="100"/>
          <w:position w:val="0"/>
        </w:rPr>
        <w:t>（</w:t>
      </w:r>
      <w:bookmarkEnd w:id="722"/>
      <w:r>
        <w:rPr>
          <w:color w:val="000000"/>
          <w:spacing w:val="0"/>
          <w:w w:val="100"/>
          <w:position w:val="0"/>
        </w:rPr>
        <w:t>4）</w:t>
        <w:tab/>
      </w:r>
      <w:r>
        <w:rPr>
          <w:color w:val="000000"/>
          <w:spacing w:val="0"/>
          <w:w w:val="100"/>
          <w:position w:val="0"/>
        </w:rPr>
        <w:t>按本公司份额确认共同经营因出售产出所产生的收入；</w:t>
      </w:r>
    </w:p>
    <w:p>
      <w:pPr>
        <w:pStyle w:val="Style25"/>
        <w:keepNext w:val="0"/>
        <w:keepLines w:val="0"/>
        <w:widowControl w:val="0"/>
        <w:shd w:val="clear" w:color="auto" w:fill="auto"/>
        <w:tabs>
          <w:tab w:pos="928" w:val="left"/>
        </w:tabs>
        <w:bidi w:val="0"/>
        <w:spacing w:before="0" w:after="0" w:line="467" w:lineRule="exact"/>
        <w:ind w:left="0" w:right="0" w:firstLine="440"/>
        <w:jc w:val="both"/>
      </w:pPr>
      <w:bookmarkStart w:id="723" w:name="bookmark723"/>
      <w:r>
        <w:rPr>
          <w:color w:val="000000"/>
          <w:spacing w:val="0"/>
          <w:w w:val="100"/>
          <w:position w:val="0"/>
        </w:rPr>
        <w:t>（</w:t>
      </w:r>
      <w:bookmarkEnd w:id="723"/>
      <w:r>
        <w:rPr>
          <w:color w:val="000000"/>
          <w:spacing w:val="0"/>
          <w:w w:val="100"/>
          <w:position w:val="0"/>
        </w:rPr>
        <w:t>5）</w:t>
        <w:tab/>
      </w:r>
      <w:r>
        <w:rPr>
          <w:color w:val="000000"/>
          <w:spacing w:val="0"/>
          <w:w w:val="100"/>
          <w:position w:val="0"/>
        </w:rPr>
        <w:t>确认单独所发生的费用，以及按本公司份额确认共同经营发生的费用。</w:t>
      </w:r>
    </w:p>
    <w:p>
      <w:pPr>
        <w:pStyle w:val="Style25"/>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本公司对合营企业的投资采用权益法核算，详见本附注“七、</w:t>
      </w:r>
      <w:r>
        <w:rPr>
          <w:color w:val="000000"/>
          <w:spacing w:val="0"/>
          <w:w w:val="100"/>
          <w:position w:val="0"/>
        </w:rPr>
        <w:t>（13）</w:t>
      </w:r>
      <w:r>
        <w:rPr>
          <w:color w:val="000000"/>
          <w:spacing w:val="0"/>
          <w:w w:val="100"/>
          <w:position w:val="0"/>
        </w:rPr>
        <w:t>长期股权投资”。</w:t>
      </w:r>
    </w:p>
    <w:p>
      <w:pPr>
        <w:pStyle w:val="Style31"/>
        <w:keepNext/>
        <w:keepLines/>
        <w:widowControl w:val="0"/>
        <w:shd w:val="clear" w:color="auto" w:fill="auto"/>
        <w:tabs>
          <w:tab w:pos="378" w:val="left"/>
        </w:tabs>
        <w:bidi w:val="0"/>
        <w:spacing w:before="0" w:after="220" w:line="467" w:lineRule="exact"/>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8</w:t>
      </w:r>
      <w:bookmarkEnd w:id="726"/>
      <w:r>
        <w:rPr>
          <w:color w:val="000000"/>
          <w:spacing w:val="0"/>
          <w:w w:val="100"/>
          <w:position w:val="0"/>
        </w:rPr>
        <w:t>、</w:t>
        <w:tab/>
        <w:t>现金及现金等价物的确定标准</w:t>
      </w:r>
      <w:bookmarkEnd w:id="724"/>
      <w:bookmarkEnd w:id="725"/>
      <w:bookmarkEnd w:id="727"/>
    </w:p>
    <w:p>
      <w:pPr>
        <w:pStyle w:val="Style25"/>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现金，是指本公司的库存现金以及可以随时用于支付的存款。现金等价物，是指本公司持有的期限短、 流动性强、易于转换为已知金额的现金、价值变动风险很小的投资。</w:t>
      </w:r>
    </w:p>
    <w:p>
      <w:pPr>
        <w:pStyle w:val="Style31"/>
        <w:keepNext/>
        <w:keepLines/>
        <w:widowControl w:val="0"/>
        <w:shd w:val="clear" w:color="auto" w:fill="auto"/>
        <w:tabs>
          <w:tab w:pos="378" w:val="left"/>
        </w:tabs>
        <w:bidi w:val="0"/>
        <w:spacing w:before="0" w:after="220" w:line="467" w:lineRule="exact"/>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9</w:t>
      </w:r>
      <w:bookmarkEnd w:id="730"/>
      <w:r>
        <w:rPr>
          <w:color w:val="000000"/>
          <w:spacing w:val="0"/>
          <w:w w:val="100"/>
          <w:position w:val="0"/>
        </w:rPr>
        <w:t>、</w:t>
        <w:tab/>
        <w:t>外币业务和外币报表折算</w:t>
      </w:r>
      <w:bookmarkEnd w:id="728"/>
      <w:bookmarkEnd w:id="729"/>
      <w:bookmarkEnd w:id="731"/>
    </w:p>
    <w:p>
      <w:pPr>
        <w:pStyle w:val="Style25"/>
        <w:keepNext w:val="0"/>
        <w:keepLines w:val="0"/>
        <w:widowControl w:val="0"/>
        <w:shd w:val="clear" w:color="auto" w:fill="auto"/>
        <w:tabs>
          <w:tab w:pos="928" w:val="left"/>
        </w:tabs>
        <w:bidi w:val="0"/>
        <w:spacing w:before="0" w:after="0" w:line="467" w:lineRule="exact"/>
        <w:ind w:left="0" w:right="0" w:firstLine="440"/>
        <w:jc w:val="both"/>
      </w:pPr>
      <w:bookmarkStart w:id="732" w:name="bookmark732"/>
      <w:r>
        <w:rPr>
          <w:color w:val="000000"/>
          <w:spacing w:val="0"/>
          <w:w w:val="100"/>
          <w:position w:val="0"/>
        </w:rPr>
        <w:t>（</w:t>
      </w:r>
      <w:bookmarkEnd w:id="732"/>
      <w:r>
        <w:rPr>
          <w:color w:val="000000"/>
          <w:spacing w:val="0"/>
          <w:w w:val="100"/>
          <w:position w:val="0"/>
        </w:rPr>
        <w:t>1）</w:t>
        <w:tab/>
      </w:r>
      <w:r>
        <w:rPr>
          <w:color w:val="000000"/>
          <w:spacing w:val="0"/>
          <w:w w:val="100"/>
          <w:position w:val="0"/>
        </w:rPr>
        <w:t>外币业务</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25"/>
        <w:keepNext w:val="0"/>
        <w:keepLines w:val="0"/>
        <w:widowControl w:val="0"/>
        <w:shd w:val="clear" w:color="auto" w:fill="auto"/>
        <w:tabs>
          <w:tab w:pos="928" w:val="left"/>
        </w:tabs>
        <w:bidi w:val="0"/>
        <w:spacing w:before="0" w:after="0" w:line="467" w:lineRule="exact"/>
        <w:ind w:left="0" w:right="0" w:firstLine="440"/>
        <w:jc w:val="both"/>
      </w:pPr>
      <w:bookmarkStart w:id="733" w:name="bookmark733"/>
      <w:r>
        <w:rPr>
          <w:color w:val="000000"/>
          <w:spacing w:val="0"/>
          <w:w w:val="100"/>
          <w:position w:val="0"/>
        </w:rPr>
        <w:t>（</w:t>
      </w:r>
      <w:bookmarkEnd w:id="733"/>
      <w:r>
        <w:rPr>
          <w:color w:val="000000"/>
          <w:spacing w:val="0"/>
          <w:w w:val="100"/>
          <w:position w:val="0"/>
        </w:rPr>
        <w:t>2）</w:t>
        <w:tab/>
      </w:r>
      <w:r>
        <w:rPr>
          <w:color w:val="000000"/>
          <w:spacing w:val="0"/>
          <w:w w:val="100"/>
          <w:position w:val="0"/>
        </w:rPr>
        <w:t>外币财务报表的折算</w:t>
      </w:r>
    </w:p>
    <w:p>
      <w:pPr>
        <w:pStyle w:val="Style25"/>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w:t>
      </w:r>
    </w:p>
    <w:p>
      <w:pPr>
        <w:pStyle w:val="Style25"/>
        <w:keepNext w:val="0"/>
        <w:keepLines w:val="0"/>
        <w:widowControl w:val="0"/>
        <w:shd w:val="clear" w:color="auto" w:fill="auto"/>
        <w:bidi w:val="0"/>
        <w:spacing w:before="0" w:after="0" w:line="336" w:lineRule="exact"/>
        <w:ind w:left="0" w:right="0" w:firstLine="440"/>
        <w:jc w:val="both"/>
      </w:pPr>
      <w:r>
        <w:rPr>
          <w:color w:val="000000"/>
          <w:spacing w:val="0"/>
          <w:w w:val="100"/>
          <w:position w:val="0"/>
        </w:rPr>
        <w:t xml:space="preserve">处置境外经营时，将与该境外经营相关的外币财务报表折算差额，自所有者权益项目转入处置当期损 </w:t>
      </w:r>
      <w:r>
        <w:rPr>
          <w:color w:val="000000"/>
          <w:spacing w:val="0"/>
          <w:w w:val="100"/>
          <w:position w:val="0"/>
          <w:u w:val="single"/>
        </w:rPr>
        <w:t>、</w:t>
      </w:r>
      <w:r>
        <w:rPr>
          <w:i/>
          <w:iCs/>
          <w:color w:val="000000"/>
          <w:spacing w:val="0"/>
          <w:w w:val="100"/>
          <w:position w:val="0"/>
          <w:u w:val="single"/>
        </w:rPr>
        <w:t>八</w:t>
      </w:r>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益。</w:t>
      </w:r>
    </w:p>
    <w:p>
      <w:pPr>
        <w:pStyle w:val="Style31"/>
        <w:keepNext/>
        <w:keepLines/>
        <w:widowControl w:val="0"/>
        <w:shd w:val="clear" w:color="auto" w:fill="auto"/>
        <w:bidi w:val="0"/>
        <w:spacing w:before="0" w:after="200" w:line="471" w:lineRule="exact"/>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34"/>
      <w:bookmarkEnd w:id="735"/>
      <w:bookmarkEnd w:id="737"/>
    </w:p>
    <w:p>
      <w:pPr>
        <w:pStyle w:val="Style25"/>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本公司在成为金融工具合同的一方时，确认一项金融资产、金融负债或权益工具。</w:t>
      </w:r>
    </w:p>
    <w:p>
      <w:pPr>
        <w:pStyle w:val="Style25"/>
        <w:keepNext w:val="0"/>
        <w:keepLines w:val="0"/>
        <w:widowControl w:val="0"/>
        <w:shd w:val="clear" w:color="auto" w:fill="auto"/>
        <w:bidi w:val="0"/>
        <w:spacing w:before="0" w:after="0" w:line="471" w:lineRule="exact"/>
        <w:ind w:left="0" w:right="0" w:firstLine="440"/>
        <w:jc w:val="left"/>
      </w:pPr>
      <w:bookmarkStart w:id="738" w:name="bookmark738"/>
      <w:r>
        <w:rPr>
          <w:color w:val="000000"/>
          <w:spacing w:val="0"/>
          <w:w w:val="100"/>
          <w:position w:val="0"/>
        </w:rPr>
        <w:t>（</w:t>
      </w:r>
      <w:bookmarkEnd w:id="738"/>
      <w:r>
        <w:rPr>
          <w:color w:val="000000"/>
          <w:spacing w:val="0"/>
          <w:w w:val="100"/>
          <w:position w:val="0"/>
        </w:rPr>
        <w:t>1）</w:t>
      </w:r>
      <w:r>
        <w:rPr>
          <w:color w:val="000000"/>
          <w:spacing w:val="0"/>
          <w:w w:val="100"/>
          <w:position w:val="0"/>
        </w:rPr>
        <w:t>金融工具的分类</w:t>
      </w:r>
    </w:p>
    <w:p>
      <w:pPr>
        <w:pStyle w:val="Style25"/>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根据本公司管理金融资产的业务模式和金融资产的合同现金流量特征，金融资产于初始确认时分类 为：以摊余成本计量的金融资产、以公允价值计量且其变动计入其他综合收益的金融资产和以公允价值计 量且其变动计入当期损益的金融资产。</w:t>
      </w:r>
    </w:p>
    <w:p>
      <w:pPr>
        <w:pStyle w:val="Style25"/>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本公司将同时符合下列条件且未被指定为以公允价值计量且其变动计入当期损益的金融资产，分类为 以摊余成本计量的金融资产：</w:t>
      </w:r>
    </w:p>
    <w:p>
      <w:pPr>
        <w:pStyle w:val="Style25"/>
        <w:keepNext w:val="0"/>
        <w:keepLines w:val="0"/>
        <w:widowControl w:val="0"/>
        <w:shd w:val="clear" w:color="auto" w:fill="auto"/>
        <w:bidi w:val="0"/>
        <w:spacing w:before="0" w:after="0" w:line="471" w:lineRule="exact"/>
        <w:ind w:left="0" w:right="0" w:firstLine="440"/>
        <w:jc w:val="left"/>
      </w:pPr>
      <w:r>
        <w:rPr>
          <w:color w:val="000000"/>
          <w:spacing w:val="0"/>
          <w:w w:val="100"/>
          <w:position w:val="0"/>
        </w:rPr>
        <w:t>—业务模式是以收取合同现金流量为目标；</w:t>
      </w:r>
    </w:p>
    <w:p>
      <w:pPr>
        <w:pStyle w:val="Style25"/>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—合同现金流量仅为对本金和以未偿付本金金额为基础的利息的支付。</w:t>
      </w:r>
    </w:p>
    <w:p>
      <w:pPr>
        <w:pStyle w:val="Style25"/>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本公司将同时符合下列条件且未被指定为以公允价值计量且其变动计入当期损益的金融资产，分类为 以公允价值计量且其变动计入其他综合收益的金融资产（债务工具）：</w:t>
      </w:r>
    </w:p>
    <w:p>
      <w:pPr>
        <w:pStyle w:val="Style2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—业务模式既以收取合同现金流量又以出售该金融资产为目标；</w:t>
      </w:r>
    </w:p>
    <w:p>
      <w:pPr>
        <w:pStyle w:val="Style2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—合同现金流量仅为对本金和以未偿付本金金额为基础的利息的支付。</w:t>
      </w:r>
    </w:p>
    <w:p>
      <w:pPr>
        <w:pStyle w:val="Style2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对于非交易性权益工具投资，本公司可以在初始确认时将其不可撤销地指定为以公允价值计量且其变 动计入其他综合收益的金融资产（权益工具）。该指定在单项投资的基础上作出，且相关投资从发行者的 角度符合权益工具的定义。</w:t>
      </w:r>
    </w:p>
    <w:p>
      <w:pPr>
        <w:pStyle w:val="Style2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除上述以摊余成本计量和以公允价值计量且其变动计入其他综合收益的金融资产外，本公司将其余所 有的金融资产分类为以公允价值计量且其变动计入当期损益的金融资产。在初始确认时，如果能够消除或 显著减少会计错配，本公司可以将本应分类为摊余成本计量或以公允价值计量且其变动计入其他综合收益 的金融资产不可撤销地指定为以公允价值计量且其变动计入当期损益的金融资产。</w:t>
      </w:r>
    </w:p>
    <w:p>
      <w:pPr>
        <w:pStyle w:val="Style2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金融负债于初始确认时分类为：以公允价值计量且其变动计入当期损益的金融负债和以摊余成本计量 的金融负债。</w:t>
      </w:r>
    </w:p>
    <w:p>
      <w:pPr>
        <w:pStyle w:val="Style2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p>
    <w:p>
      <w:pPr>
        <w:pStyle w:val="Style25"/>
        <w:keepNext w:val="0"/>
        <w:keepLines w:val="0"/>
        <w:widowControl w:val="0"/>
        <w:shd w:val="clear" w:color="auto" w:fill="auto"/>
        <w:tabs>
          <w:tab w:pos="813" w:val="left"/>
        </w:tabs>
        <w:bidi w:val="0"/>
        <w:spacing w:before="0" w:after="0" w:line="471" w:lineRule="exact"/>
        <w:ind w:left="0" w:right="0" w:firstLine="440"/>
        <w:jc w:val="left"/>
      </w:pPr>
      <w:bookmarkStart w:id="739" w:name="bookmark739"/>
      <w:r>
        <w:rPr>
          <w:color w:val="000000"/>
          <w:spacing w:val="0"/>
          <w:w w:val="100"/>
          <w:position w:val="0"/>
        </w:rPr>
        <w:t>1</w:t>
      </w:r>
      <w:bookmarkEnd w:id="739"/>
      <w:r>
        <w:rPr>
          <w:color w:val="000000"/>
          <w:spacing w:val="0"/>
          <w:w w:val="100"/>
          <w:position w:val="0"/>
        </w:rPr>
        <w:t>）</w:t>
        <w:tab/>
      </w:r>
      <w:r>
        <w:rPr>
          <w:color w:val="000000"/>
          <w:spacing w:val="0"/>
          <w:w w:val="100"/>
          <w:position w:val="0"/>
        </w:rPr>
        <w:t>该项指定能够消除或显著减少会计错配。</w:t>
      </w:r>
    </w:p>
    <w:p>
      <w:pPr>
        <w:pStyle w:val="Style25"/>
        <w:keepNext w:val="0"/>
        <w:keepLines w:val="0"/>
        <w:widowControl w:val="0"/>
        <w:shd w:val="clear" w:color="auto" w:fill="auto"/>
        <w:tabs>
          <w:tab w:pos="810" w:val="left"/>
        </w:tabs>
        <w:bidi w:val="0"/>
        <w:spacing w:before="0" w:after="0" w:line="471" w:lineRule="exact"/>
        <w:ind w:left="0" w:right="0" w:firstLine="440"/>
        <w:jc w:val="left"/>
      </w:pPr>
      <w:bookmarkStart w:id="740" w:name="bookmark740"/>
      <w:r>
        <w:rPr>
          <w:color w:val="000000"/>
          <w:spacing w:val="0"/>
          <w:w w:val="100"/>
          <w:position w:val="0"/>
        </w:rPr>
        <w:t>2</w:t>
      </w:r>
      <w:bookmarkEnd w:id="740"/>
      <w:r>
        <w:rPr>
          <w:color w:val="000000"/>
          <w:spacing w:val="0"/>
          <w:w w:val="100"/>
          <w:position w:val="0"/>
        </w:rPr>
        <w:t>）</w:t>
        <w:tab/>
      </w:r>
      <w:r>
        <w:rPr>
          <w:color w:val="000000"/>
          <w:spacing w:val="0"/>
          <w:w w:val="100"/>
          <w:position w:val="0"/>
        </w:rPr>
        <w:t>根据正式书面文件载明的企业风险管理或投资策略，以公允价值为基础对金融负债组合或金融资 产和金融负债组合进行管理和业绩评价，并在企业内部以此为基础向关键管理人员报告。</w:t>
      </w:r>
    </w:p>
    <w:p>
      <w:pPr>
        <w:pStyle w:val="Style25"/>
        <w:keepNext w:val="0"/>
        <w:keepLines w:val="0"/>
        <w:widowControl w:val="0"/>
        <w:shd w:val="clear" w:color="auto" w:fill="auto"/>
        <w:tabs>
          <w:tab w:pos="827" w:val="left"/>
        </w:tabs>
        <w:bidi w:val="0"/>
        <w:spacing w:before="0" w:after="0" w:line="471" w:lineRule="exact"/>
        <w:ind w:left="0" w:right="0" w:firstLine="440"/>
        <w:jc w:val="left"/>
      </w:pPr>
      <w:bookmarkStart w:id="741" w:name="bookmark741"/>
      <w:r>
        <w:rPr>
          <w:color w:val="000000"/>
          <w:spacing w:val="0"/>
          <w:w w:val="100"/>
          <w:position w:val="0"/>
        </w:rPr>
        <w:t>3</w:t>
      </w:r>
      <w:bookmarkEnd w:id="741"/>
      <w:r>
        <w:rPr>
          <w:color w:val="000000"/>
          <w:spacing w:val="0"/>
          <w:w w:val="100"/>
          <w:position w:val="0"/>
        </w:rPr>
        <w:t>）</w:t>
        <w:tab/>
      </w:r>
      <w:r>
        <w:rPr>
          <w:color w:val="000000"/>
          <w:spacing w:val="0"/>
          <w:w w:val="100"/>
          <w:position w:val="0"/>
        </w:rPr>
        <w:t>该金融负债包含需单独分拆的嵌入衍生工具。</w:t>
      </w:r>
    </w:p>
    <w:p>
      <w:pPr>
        <w:pStyle w:val="Style25"/>
        <w:keepNext w:val="0"/>
        <w:keepLines w:val="0"/>
        <w:widowControl w:val="0"/>
        <w:shd w:val="clear" w:color="auto" w:fill="auto"/>
        <w:bidi w:val="0"/>
        <w:spacing w:before="0" w:after="0" w:line="469" w:lineRule="exact"/>
        <w:ind w:left="0" w:right="0" w:firstLine="440"/>
        <w:jc w:val="left"/>
      </w:pPr>
      <w:bookmarkStart w:id="742" w:name="bookmark742"/>
      <w:r>
        <w:rPr>
          <w:color w:val="000000"/>
          <w:spacing w:val="0"/>
          <w:w w:val="100"/>
          <w:position w:val="0"/>
        </w:rPr>
        <w:t>（</w:t>
      </w:r>
      <w:bookmarkEnd w:id="742"/>
      <w:r>
        <w:rPr>
          <w:color w:val="000000"/>
          <w:spacing w:val="0"/>
          <w:w w:val="100"/>
          <w:position w:val="0"/>
        </w:rPr>
        <w:t>2）</w:t>
      </w:r>
      <w:r>
        <w:rPr>
          <w:color w:val="000000"/>
          <w:spacing w:val="0"/>
          <w:w w:val="100"/>
          <w:position w:val="0"/>
        </w:rPr>
        <w:t>金融工具的确认依据和计量方法</w:t>
      </w:r>
    </w:p>
    <w:p>
      <w:pPr>
        <w:pStyle w:val="Style25"/>
        <w:keepNext w:val="0"/>
        <w:keepLines w:val="0"/>
        <w:widowControl w:val="0"/>
        <w:shd w:val="clear" w:color="auto" w:fill="auto"/>
        <w:tabs>
          <w:tab w:pos="813" w:val="left"/>
        </w:tabs>
        <w:bidi w:val="0"/>
        <w:spacing w:before="0" w:after="0" w:line="469" w:lineRule="exact"/>
        <w:ind w:left="0" w:right="0" w:firstLine="440"/>
        <w:jc w:val="both"/>
      </w:pPr>
      <w:bookmarkStart w:id="743" w:name="bookmark743"/>
      <w:r>
        <w:rPr>
          <w:color w:val="000000"/>
          <w:spacing w:val="0"/>
          <w:w w:val="100"/>
          <w:position w:val="0"/>
        </w:rPr>
        <w:t>1</w:t>
      </w:r>
      <w:bookmarkEnd w:id="743"/>
      <w:r>
        <w:rPr>
          <w:color w:val="000000"/>
          <w:spacing w:val="0"/>
          <w:w w:val="100"/>
          <w:position w:val="0"/>
        </w:rPr>
        <w:t>）</w:t>
        <w:tab/>
      </w:r>
      <w:r>
        <w:rPr>
          <w:color w:val="000000"/>
          <w:spacing w:val="0"/>
          <w:w w:val="100"/>
          <w:position w:val="0"/>
        </w:rPr>
        <w:t>以摊余成本计量的金融资产</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持有期间采用实际利率法计算的利息计入当期损益。</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收回或处置时，将取得的价款与该金融资产账面价值之间的差额计入当期损益。</w:t>
      </w:r>
    </w:p>
    <w:p>
      <w:pPr>
        <w:pStyle w:val="Style25"/>
        <w:keepNext w:val="0"/>
        <w:keepLines w:val="0"/>
        <w:widowControl w:val="0"/>
        <w:shd w:val="clear" w:color="auto" w:fill="auto"/>
        <w:tabs>
          <w:tab w:pos="827" w:val="left"/>
        </w:tabs>
        <w:bidi w:val="0"/>
        <w:spacing w:before="0" w:after="0" w:line="469" w:lineRule="exact"/>
        <w:ind w:left="0" w:right="0" w:firstLine="440"/>
        <w:jc w:val="left"/>
      </w:pPr>
      <w:bookmarkStart w:id="744" w:name="bookmark744"/>
      <w:r>
        <w:rPr>
          <w:color w:val="000000"/>
          <w:spacing w:val="0"/>
          <w:w w:val="100"/>
          <w:position w:val="0"/>
        </w:rPr>
        <w:t>2</w:t>
      </w:r>
      <w:bookmarkEnd w:id="744"/>
      <w:r>
        <w:rPr>
          <w:color w:val="000000"/>
          <w:spacing w:val="0"/>
          <w:w w:val="100"/>
          <w:position w:val="0"/>
        </w:rPr>
        <w:t>）</w:t>
        <w:tab/>
      </w:r>
      <w:r>
        <w:rPr>
          <w:color w:val="000000"/>
          <w:spacing w:val="0"/>
          <w:w w:val="100"/>
          <w:position w:val="0"/>
        </w:rPr>
        <w:t>以公允价值计量且其变动计入其他综合收益的金融资产（债务工具）</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以公允价值计量且其变动计入其他综合收益的金融资产（债务工具）包括应收款项融资、其他债权投 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终止确认时，之前计入其他综合收益的累计利得或损失从其他综合收益中转出，计入当期损益。</w:t>
      </w:r>
    </w:p>
    <w:p>
      <w:pPr>
        <w:pStyle w:val="Style25"/>
        <w:keepNext w:val="0"/>
        <w:keepLines w:val="0"/>
        <w:widowControl w:val="0"/>
        <w:shd w:val="clear" w:color="auto" w:fill="auto"/>
        <w:tabs>
          <w:tab w:pos="827" w:val="left"/>
        </w:tabs>
        <w:bidi w:val="0"/>
        <w:spacing w:before="0" w:after="0" w:line="469" w:lineRule="exact"/>
        <w:ind w:left="0" w:right="0" w:firstLine="440"/>
        <w:jc w:val="left"/>
      </w:pPr>
      <w:bookmarkStart w:id="745" w:name="bookmark745"/>
      <w:r>
        <w:rPr>
          <w:color w:val="000000"/>
          <w:spacing w:val="0"/>
          <w:w w:val="100"/>
          <w:position w:val="0"/>
        </w:rPr>
        <w:t>3</w:t>
      </w:r>
      <w:bookmarkEnd w:id="745"/>
      <w:r>
        <w:rPr>
          <w:color w:val="000000"/>
          <w:spacing w:val="0"/>
          <w:w w:val="100"/>
          <w:position w:val="0"/>
        </w:rPr>
        <w:t>）</w:t>
        <w:tab/>
      </w:r>
      <w:r>
        <w:rPr>
          <w:color w:val="000000"/>
          <w:spacing w:val="0"/>
          <w:w w:val="100"/>
          <w:position w:val="0"/>
        </w:rPr>
        <w:t>以公允价值计量且其变动计入其他综合收益的金融资产（权益工具）</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终止确认时，之前计入其他综合收益的累计利得或损失从其他综合收益中转出，计入留存收益。</w:t>
      </w:r>
    </w:p>
    <w:p>
      <w:pPr>
        <w:pStyle w:val="Style25"/>
        <w:keepNext w:val="0"/>
        <w:keepLines w:val="0"/>
        <w:widowControl w:val="0"/>
        <w:shd w:val="clear" w:color="auto" w:fill="auto"/>
        <w:tabs>
          <w:tab w:pos="827" w:val="left"/>
        </w:tabs>
        <w:bidi w:val="0"/>
        <w:spacing w:before="0" w:after="0" w:line="469" w:lineRule="exact"/>
        <w:ind w:left="0" w:right="0" w:firstLine="440"/>
        <w:jc w:val="left"/>
      </w:pPr>
      <w:bookmarkStart w:id="746" w:name="bookmark746"/>
      <w:r>
        <w:rPr>
          <w:color w:val="000000"/>
          <w:spacing w:val="0"/>
          <w:w w:val="100"/>
          <w:position w:val="0"/>
        </w:rPr>
        <w:t>4</w:t>
      </w:r>
      <w:bookmarkEnd w:id="746"/>
      <w:r>
        <w:rPr>
          <w:color w:val="000000"/>
          <w:spacing w:val="0"/>
          <w:w w:val="100"/>
          <w:position w:val="0"/>
        </w:rPr>
        <w:t>）</w:t>
        <w:tab/>
      </w:r>
      <w:r>
        <w:rPr>
          <w:color w:val="000000"/>
          <w:spacing w:val="0"/>
          <w:w w:val="100"/>
          <w:position w:val="0"/>
        </w:rPr>
        <w:t>以公允价值计量且其变动计入当期损益的金融资产</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25"/>
        <w:keepNext w:val="0"/>
        <w:keepLines w:val="0"/>
        <w:widowControl w:val="0"/>
        <w:shd w:val="clear" w:color="auto" w:fill="auto"/>
        <w:tabs>
          <w:tab w:pos="827" w:val="left"/>
        </w:tabs>
        <w:bidi w:val="0"/>
        <w:spacing w:before="0" w:after="0" w:line="469" w:lineRule="exact"/>
        <w:ind w:left="0" w:right="0" w:firstLine="440"/>
        <w:jc w:val="both"/>
      </w:pPr>
      <w:bookmarkStart w:id="747" w:name="bookmark747"/>
      <w:r>
        <w:rPr>
          <w:color w:val="000000"/>
          <w:spacing w:val="0"/>
          <w:w w:val="100"/>
          <w:position w:val="0"/>
        </w:rPr>
        <w:t>5</w:t>
      </w:r>
      <w:bookmarkEnd w:id="747"/>
      <w:r>
        <w:rPr>
          <w:color w:val="000000"/>
          <w:spacing w:val="0"/>
          <w:w w:val="100"/>
          <w:position w:val="0"/>
        </w:rPr>
        <w:t>）</w:t>
        <w:tab/>
      </w:r>
      <w:r>
        <w:rPr>
          <w:color w:val="000000"/>
          <w:spacing w:val="0"/>
          <w:w w:val="100"/>
          <w:position w:val="0"/>
        </w:rPr>
        <w:t>以公允价值计量且其变动计入当期损益的金融负债</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终止确认时，其账面价值与支付的对价之间的差额计入当期损益。</w:t>
      </w:r>
    </w:p>
    <w:p>
      <w:pPr>
        <w:pStyle w:val="Style25"/>
        <w:keepNext w:val="0"/>
        <w:keepLines w:val="0"/>
        <w:widowControl w:val="0"/>
        <w:shd w:val="clear" w:color="auto" w:fill="auto"/>
        <w:tabs>
          <w:tab w:pos="827" w:val="left"/>
        </w:tabs>
        <w:bidi w:val="0"/>
        <w:spacing w:before="0" w:after="0" w:line="469" w:lineRule="exact"/>
        <w:ind w:left="0" w:right="0" w:firstLine="440"/>
        <w:jc w:val="both"/>
      </w:pPr>
      <w:bookmarkStart w:id="748" w:name="bookmark748"/>
      <w:r>
        <w:rPr>
          <w:color w:val="000000"/>
          <w:spacing w:val="0"/>
          <w:w w:val="100"/>
          <w:position w:val="0"/>
        </w:rPr>
        <w:t>6</w:t>
      </w:r>
      <w:bookmarkEnd w:id="748"/>
      <w:r>
        <w:rPr>
          <w:color w:val="000000"/>
          <w:spacing w:val="0"/>
          <w:w w:val="100"/>
          <w:position w:val="0"/>
        </w:rPr>
        <w:t>）</w:t>
        <w:tab/>
      </w:r>
      <w:r>
        <w:rPr>
          <w:color w:val="000000"/>
          <w:spacing w:val="0"/>
          <w:w w:val="100"/>
          <w:position w:val="0"/>
        </w:rPr>
        <w:t>以摊余成本计量的金融负债</w:t>
      </w:r>
    </w:p>
    <w:p>
      <w:pPr>
        <w:pStyle w:val="Style25"/>
        <w:keepNext w:val="0"/>
        <w:keepLines w:val="0"/>
        <w:widowControl w:val="0"/>
        <w:shd w:val="clear" w:color="auto" w:fill="auto"/>
        <w:bidi w:val="0"/>
        <w:spacing w:before="0" w:after="240" w:line="469" w:lineRule="exact"/>
        <w:ind w:left="0" w:right="0" w:firstLine="440"/>
        <w:jc w:val="left"/>
      </w:pPr>
      <w:r>
        <w:rPr>
          <w:color w:val="000000"/>
          <w:spacing w:val="0"/>
          <w:w w:val="100"/>
          <w:position w:val="0"/>
        </w:rPr>
        <w:t>以摊余成本计量的金融负债包括短期借款、应付票据、应付账款、其他应付款、长期借款、应付债券、 长期应付款，按公允价值进行初始计量，相关交易费用计入初始确认金额。</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持有期间采用实际利率法计算的利息计入当期损益。</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终止确认时，将支付的对价与该金融负债账面价值之间的差额计入当期损益。</w:t>
      </w:r>
    </w:p>
    <w:p>
      <w:pPr>
        <w:pStyle w:val="Style25"/>
        <w:keepNext w:val="0"/>
        <w:keepLines w:val="0"/>
        <w:widowControl w:val="0"/>
        <w:shd w:val="clear" w:color="auto" w:fill="auto"/>
        <w:tabs>
          <w:tab w:pos="928" w:val="left"/>
        </w:tabs>
        <w:bidi w:val="0"/>
        <w:spacing w:before="0" w:after="0" w:line="470" w:lineRule="exact"/>
        <w:ind w:left="0" w:right="0" w:firstLine="440"/>
        <w:jc w:val="both"/>
      </w:pPr>
      <w:bookmarkStart w:id="749" w:name="bookmark749"/>
      <w:r>
        <w:rPr>
          <w:color w:val="000000"/>
          <w:spacing w:val="0"/>
          <w:w w:val="100"/>
          <w:position w:val="0"/>
        </w:rPr>
        <w:t>（</w:t>
      </w:r>
      <w:bookmarkEnd w:id="749"/>
      <w:r>
        <w:rPr>
          <w:color w:val="000000"/>
          <w:spacing w:val="0"/>
          <w:w w:val="100"/>
          <w:position w:val="0"/>
        </w:rPr>
        <w:t>3）</w:t>
        <w:tab/>
      </w:r>
      <w:r>
        <w:rPr>
          <w:color w:val="000000"/>
          <w:spacing w:val="0"/>
          <w:w w:val="100"/>
          <w:position w:val="0"/>
        </w:rPr>
        <w:t>金融资产终止确认和金融资产转移</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满足下列条件之一时，本公司终止确认金融资产：</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—收取金融资产现金流量的合同权利终止；</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—金融资产已转移，且已将金融资产所有权上几乎所有的风险和报酬转移给转入方；</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—金融资产已转移，虽然本公司既没有转移也没有保留金融资产所有权上几乎所有的风险和报酬， 但是未保留对金融资产的控制。</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发生金融资产转移时，如保留了金融资产所有权上几乎所有的风险和报酬的，则不终止确认该金融资 产。</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在判断金融资产转移是否满足上述金融资产终止确认条件时，采用实质重于形式的原则。</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25"/>
        <w:keepNext w:val="0"/>
        <w:keepLines w:val="0"/>
        <w:widowControl w:val="0"/>
        <w:shd w:val="clear" w:color="auto" w:fill="auto"/>
        <w:tabs>
          <w:tab w:pos="813" w:val="left"/>
        </w:tabs>
        <w:bidi w:val="0"/>
        <w:spacing w:before="0" w:after="0" w:line="470" w:lineRule="exact"/>
        <w:ind w:left="0" w:right="0" w:firstLine="440"/>
        <w:jc w:val="both"/>
      </w:pPr>
      <w:bookmarkStart w:id="750" w:name="bookmark750"/>
      <w:r>
        <w:rPr>
          <w:color w:val="000000"/>
          <w:spacing w:val="0"/>
          <w:w w:val="100"/>
          <w:position w:val="0"/>
        </w:rPr>
        <w:t>1</w:t>
      </w:r>
      <w:bookmarkEnd w:id="750"/>
      <w:r>
        <w:rPr>
          <w:color w:val="000000"/>
          <w:spacing w:val="0"/>
          <w:w w:val="100"/>
          <w:position w:val="0"/>
        </w:rPr>
        <w:t>）</w:t>
        <w:tab/>
      </w:r>
      <w:r>
        <w:rPr>
          <w:color w:val="000000"/>
          <w:spacing w:val="0"/>
          <w:w w:val="100"/>
          <w:position w:val="0"/>
        </w:rPr>
        <w:t>所转移金融资产的账面价值；</w:t>
      </w:r>
    </w:p>
    <w:p>
      <w:pPr>
        <w:pStyle w:val="Style25"/>
        <w:keepNext w:val="0"/>
        <w:keepLines w:val="0"/>
        <w:widowControl w:val="0"/>
        <w:shd w:val="clear" w:color="auto" w:fill="auto"/>
        <w:tabs>
          <w:tab w:pos="786" w:val="left"/>
        </w:tabs>
        <w:bidi w:val="0"/>
        <w:spacing w:before="0" w:after="0" w:line="470" w:lineRule="exact"/>
        <w:ind w:left="0" w:right="0" w:firstLine="440"/>
        <w:jc w:val="both"/>
      </w:pPr>
      <w:bookmarkStart w:id="751" w:name="bookmark751"/>
      <w:r>
        <w:rPr>
          <w:color w:val="000000"/>
          <w:spacing w:val="0"/>
          <w:w w:val="100"/>
          <w:position w:val="0"/>
        </w:rPr>
        <w:t>2</w:t>
      </w:r>
      <w:bookmarkEnd w:id="751"/>
      <w:r>
        <w:rPr>
          <w:color w:val="000000"/>
          <w:spacing w:val="0"/>
          <w:w w:val="100"/>
          <w:position w:val="0"/>
        </w:rPr>
        <w:t>）</w:t>
        <w:tab/>
      </w:r>
      <w:r>
        <w:rPr>
          <w:color w:val="000000"/>
          <w:spacing w:val="0"/>
          <w:w w:val="100"/>
          <w:position w:val="0"/>
        </w:rPr>
        <w:t>因转移而收到的对价，与原直接计入所有者权益的公允价值变动累计额（涉及转移的金融资产为 以公允价值计量且其变动计入其他综合收益的金融资产（债务工具）的情形）之和。</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25"/>
        <w:keepNext w:val="0"/>
        <w:keepLines w:val="0"/>
        <w:widowControl w:val="0"/>
        <w:shd w:val="clear" w:color="auto" w:fill="auto"/>
        <w:tabs>
          <w:tab w:pos="813" w:val="left"/>
        </w:tabs>
        <w:bidi w:val="0"/>
        <w:spacing w:before="0" w:after="0" w:line="470" w:lineRule="exact"/>
        <w:ind w:left="0" w:right="0" w:firstLine="440"/>
        <w:jc w:val="both"/>
      </w:pPr>
      <w:bookmarkStart w:id="752" w:name="bookmark752"/>
      <w:r>
        <w:rPr>
          <w:color w:val="000000"/>
          <w:spacing w:val="0"/>
          <w:w w:val="100"/>
          <w:position w:val="0"/>
        </w:rPr>
        <w:t>1</w:t>
      </w:r>
      <w:bookmarkEnd w:id="752"/>
      <w:r>
        <w:rPr>
          <w:color w:val="000000"/>
          <w:spacing w:val="0"/>
          <w:w w:val="100"/>
          <w:position w:val="0"/>
        </w:rPr>
        <w:t>）</w:t>
        <w:tab/>
      </w:r>
      <w:r>
        <w:rPr>
          <w:color w:val="000000"/>
          <w:spacing w:val="0"/>
          <w:w w:val="100"/>
          <w:position w:val="0"/>
        </w:rPr>
        <w:t>终止确认部分的账面价值；</w:t>
      </w:r>
    </w:p>
    <w:p>
      <w:pPr>
        <w:pStyle w:val="Style25"/>
        <w:keepNext w:val="0"/>
        <w:keepLines w:val="0"/>
        <w:widowControl w:val="0"/>
        <w:shd w:val="clear" w:color="auto" w:fill="auto"/>
        <w:tabs>
          <w:tab w:pos="810" w:val="left"/>
        </w:tabs>
        <w:bidi w:val="0"/>
        <w:spacing w:before="0" w:after="0" w:line="470" w:lineRule="exact"/>
        <w:ind w:left="0" w:right="0" w:firstLine="440"/>
        <w:jc w:val="left"/>
      </w:pPr>
      <w:bookmarkStart w:id="753" w:name="bookmark753"/>
      <w:r>
        <w:rPr>
          <w:color w:val="000000"/>
          <w:spacing w:val="0"/>
          <w:w w:val="100"/>
          <w:position w:val="0"/>
        </w:rPr>
        <w:t>2</w:t>
      </w:r>
      <w:bookmarkEnd w:id="753"/>
      <w:r>
        <w:rPr>
          <w:color w:val="000000"/>
          <w:spacing w:val="0"/>
          <w:w w:val="100"/>
          <w:position w:val="0"/>
        </w:rPr>
        <w:t>）</w:t>
        <w:tab/>
      </w:r>
      <w:r>
        <w:rPr>
          <w:color w:val="000000"/>
          <w:spacing w:val="0"/>
          <w:w w:val="100"/>
          <w:position w:val="0"/>
        </w:rPr>
        <w:t>终止确认部分的对价，与原直接计入所有者权益的公允价值变动累计额中对应终止确认部分的金 额（涉及转移的金融资产为以公允价值计量且其变动计入其他综合收益的金融资产（债务工具）的情形） 之和。</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金融资产转移不满足终止确认条件的，继续确认该金融资产，所收到的对价确认为一项金融负债。</w:t>
      </w:r>
    </w:p>
    <w:p>
      <w:pPr>
        <w:pStyle w:val="Style25"/>
        <w:keepNext w:val="0"/>
        <w:keepLines w:val="0"/>
        <w:widowControl w:val="0"/>
        <w:shd w:val="clear" w:color="auto" w:fill="auto"/>
        <w:tabs>
          <w:tab w:pos="928" w:val="left"/>
        </w:tabs>
        <w:bidi w:val="0"/>
        <w:spacing w:before="0" w:after="0" w:line="470" w:lineRule="exact"/>
        <w:ind w:left="0" w:right="0" w:firstLine="440"/>
        <w:jc w:val="both"/>
      </w:pPr>
      <w:bookmarkStart w:id="754" w:name="bookmark754"/>
      <w:r>
        <w:rPr>
          <w:color w:val="000000"/>
          <w:spacing w:val="0"/>
          <w:w w:val="100"/>
          <w:position w:val="0"/>
        </w:rPr>
        <w:t>（</w:t>
      </w:r>
      <w:bookmarkEnd w:id="754"/>
      <w:r>
        <w:rPr>
          <w:color w:val="000000"/>
          <w:spacing w:val="0"/>
          <w:w w:val="100"/>
          <w:position w:val="0"/>
        </w:rPr>
        <w:t>4）</w:t>
        <w:tab/>
      </w:r>
      <w:r>
        <w:rPr>
          <w:color w:val="000000"/>
          <w:spacing w:val="0"/>
          <w:w w:val="100"/>
          <w:position w:val="0"/>
        </w:rPr>
        <w:t>金融负债终止确认</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25"/>
        <w:keepNext w:val="0"/>
        <w:keepLines w:val="0"/>
        <w:widowControl w:val="0"/>
        <w:shd w:val="clear" w:color="auto" w:fill="auto"/>
        <w:tabs>
          <w:tab w:pos="882" w:val="left"/>
        </w:tabs>
        <w:bidi w:val="0"/>
        <w:spacing w:before="0" w:after="0" w:line="470" w:lineRule="exact"/>
        <w:ind w:left="0" w:right="0" w:firstLine="440"/>
        <w:jc w:val="both"/>
      </w:pPr>
      <w:bookmarkStart w:id="755" w:name="bookmark755"/>
      <w:r>
        <w:rPr>
          <w:color w:val="000000"/>
          <w:spacing w:val="0"/>
          <w:w w:val="100"/>
          <w:position w:val="0"/>
        </w:rPr>
        <w:t>（</w:t>
      </w:r>
      <w:bookmarkEnd w:id="755"/>
      <w:r>
        <w:rPr>
          <w:color w:val="000000"/>
          <w:spacing w:val="0"/>
          <w:w w:val="100"/>
          <w:position w:val="0"/>
        </w:rPr>
        <w:t>5）</w:t>
        <w:tab/>
      </w:r>
      <w:r>
        <w:rPr>
          <w:color w:val="000000"/>
          <w:spacing w:val="0"/>
          <w:w w:val="100"/>
          <w:position w:val="0"/>
        </w:rPr>
        <w:t>金融资产和金融负债的公允价值的确定方法</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25"/>
        <w:keepNext w:val="0"/>
        <w:keepLines w:val="0"/>
        <w:widowControl w:val="0"/>
        <w:shd w:val="clear" w:color="auto" w:fill="auto"/>
        <w:tabs>
          <w:tab w:pos="882" w:val="left"/>
        </w:tabs>
        <w:bidi w:val="0"/>
        <w:spacing w:before="0" w:after="0" w:line="470" w:lineRule="exact"/>
        <w:ind w:left="0" w:right="0" w:firstLine="440"/>
        <w:jc w:val="both"/>
      </w:pPr>
      <w:bookmarkStart w:id="756" w:name="bookmark756"/>
      <w:r>
        <w:rPr>
          <w:color w:val="000000"/>
          <w:spacing w:val="0"/>
          <w:w w:val="100"/>
          <w:position w:val="0"/>
        </w:rPr>
        <w:t>（</w:t>
      </w:r>
      <w:bookmarkEnd w:id="756"/>
      <w:r>
        <w:rPr>
          <w:color w:val="000000"/>
          <w:spacing w:val="0"/>
          <w:w w:val="100"/>
          <w:position w:val="0"/>
        </w:rPr>
        <w:t>6）</w:t>
        <w:tab/>
      </w:r>
      <w:r>
        <w:rPr>
          <w:color w:val="000000"/>
          <w:spacing w:val="0"/>
          <w:w w:val="100"/>
          <w:position w:val="0"/>
        </w:rPr>
        <w:t>金融资产减值的测试方法及会计处理方法</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本公司以单项或组合的方式对以摊余成本计量的金融资产、以公允价值计量且其变动计入其他综合收 益的金融资产（债务工具）和财务担保合同等的预期信用损失进行估计。</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本公司考虑有关过去事项、当前状况以及对未来经济状况的预测等合理且有依据的信息，以发生违约 的风险为权重，计算合同应收的现金流量与预期能收到的现金流量之间差额的现值的概率加权金额，确认 预期信用损失。</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本公司通过比较金融工具在资产负债表日发生违约的风险与在初始确认日发生违约的风险，以确定金 融工具预计存续期内发生违约风险的相对变化，以评估金融工具的信用风险自初始确认后是否已显著增 加。通常逾期超过</w:t>
      </w:r>
      <w:r>
        <w:rPr>
          <w:color w:val="000000"/>
          <w:spacing w:val="0"/>
          <w:w w:val="100"/>
          <w:position w:val="0"/>
        </w:rPr>
        <w:t>30 0，</w:t>
      </w:r>
      <w:r>
        <w:rPr>
          <w:color w:val="000000"/>
          <w:spacing w:val="0"/>
          <w:w w:val="100"/>
          <w:position w:val="0"/>
        </w:rPr>
        <w:t>本公司即认为该金融工具的信用风险已显著增加，除非有确凿证据证明该金融工 具的信用风险自初始确认后并未显著增加。</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如果金融工具于资产负债表日的信用风险较低，本公司即认为该金融工具的信用风险自初始确认后并 未显著增加。</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如果有客观证据表明某项金融资产已经发生信用减值，则本公司在单项基础上对该金融资产计提减值 准备。</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对于由《企业会计准则第</w:t>
      </w:r>
      <w:r>
        <w:rPr>
          <w:color w:val="000000"/>
          <w:spacing w:val="0"/>
          <w:w w:val="100"/>
          <w:position w:val="0"/>
        </w:rPr>
        <w:t>14</w:t>
      </w:r>
      <w:r>
        <w:rPr>
          <w:color w:val="000000"/>
          <w:spacing w:val="0"/>
          <w:w w:val="100"/>
          <w:position w:val="0"/>
        </w:rPr>
        <w:t>号一一收入》</w:t>
      </w:r>
      <w:r>
        <w:rPr>
          <w:color w:val="000000"/>
          <w:spacing w:val="0"/>
          <w:w w:val="100"/>
          <w:position w:val="0"/>
        </w:rPr>
        <w:t>（2017）</w:t>
      </w:r>
      <w:r>
        <w:rPr>
          <w:color w:val="000000"/>
          <w:spacing w:val="0"/>
          <w:w w:val="100"/>
          <w:position w:val="0"/>
        </w:rPr>
        <w:t>规范的交易形成的应收款项和合同资产，无论是否包 含重大融资成分，本公司始终按照相当于整个存续期内预期信用损失的金额计量其损失准备。</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对于租赁应收款，本公司选择始终按照相当于整个存续期内预期信用损失的金额计量其损失准备。</w:t>
      </w:r>
    </w:p>
    <w:p>
      <w:pPr>
        <w:pStyle w:val="Style25"/>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本公司不再合理预期金融资产合同现金流量能够全部或部分收回的，直接减记该金融资产的账面余 额。</w:t>
      </w:r>
    </w:p>
    <w:p>
      <w:pPr>
        <w:pStyle w:val="Style31"/>
        <w:keepNext/>
        <w:keepLines/>
        <w:widowControl w:val="0"/>
        <w:shd w:val="clear" w:color="auto" w:fill="auto"/>
        <w:tabs>
          <w:tab w:pos="474" w:val="left"/>
        </w:tabs>
        <w:bidi w:val="0"/>
        <w:spacing w:before="0" w:after="0" w:line="480" w:lineRule="auto"/>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rFonts w:ascii="Times New Roman" w:eastAsia="Times New Roman" w:hAnsi="Times New Roman" w:cs="Times New Roman"/>
          <w:color w:val="000000"/>
          <w:spacing w:val="0"/>
          <w:w w:val="100"/>
          <w:position w:val="0"/>
        </w:rPr>
        <w:t>1</w:t>
      </w:r>
      <w:r>
        <w:rPr>
          <w:color w:val="000000"/>
          <w:spacing w:val="0"/>
          <w:w w:val="100"/>
          <w:position w:val="0"/>
        </w:rPr>
        <w:t>、</w:t>
        <w:tab/>
        <w:t>存货</w:t>
      </w:r>
      <w:bookmarkEnd w:id="757"/>
      <w:bookmarkEnd w:id="758"/>
      <w:bookmarkEnd w:id="760"/>
    </w:p>
    <w:p>
      <w:pPr>
        <w:pStyle w:val="Style25"/>
        <w:keepNext w:val="0"/>
        <w:keepLines w:val="0"/>
        <w:widowControl w:val="0"/>
        <w:shd w:val="clear" w:color="auto" w:fill="auto"/>
        <w:tabs>
          <w:tab w:pos="928" w:val="left"/>
        </w:tabs>
        <w:bidi w:val="0"/>
        <w:spacing w:before="0" w:after="0" w:line="468" w:lineRule="exact"/>
        <w:ind w:left="0" w:right="0" w:firstLine="440"/>
        <w:jc w:val="left"/>
      </w:pPr>
      <w:bookmarkStart w:id="761" w:name="bookmark761"/>
      <w:r>
        <w:rPr>
          <w:color w:val="000000"/>
          <w:spacing w:val="0"/>
          <w:w w:val="100"/>
          <w:position w:val="0"/>
        </w:rPr>
        <w:t>（</w:t>
      </w:r>
      <w:bookmarkEnd w:id="761"/>
      <w:r>
        <w:rPr>
          <w:color w:val="000000"/>
          <w:spacing w:val="0"/>
          <w:w w:val="100"/>
          <w:position w:val="0"/>
        </w:rPr>
        <w:t>1）</w:t>
        <w:tab/>
      </w:r>
      <w:r>
        <w:rPr>
          <w:color w:val="000000"/>
          <w:spacing w:val="0"/>
          <w:w w:val="100"/>
          <w:position w:val="0"/>
        </w:rPr>
        <w:t>存货的分类和成本</w:t>
      </w:r>
    </w:p>
    <w:p>
      <w:pPr>
        <w:pStyle w:val="Style2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存货分类为：原材料、库存商品、发出商品、周转材料、委托加工物资等。</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存货按成本进行初始计量，存货成本包括采购成本、加工成本和其他使存货达到目前场所和状态所发 生的支出。</w:t>
      </w:r>
    </w:p>
    <w:p>
      <w:pPr>
        <w:pStyle w:val="Style25"/>
        <w:keepNext w:val="0"/>
        <w:keepLines w:val="0"/>
        <w:widowControl w:val="0"/>
        <w:shd w:val="clear" w:color="auto" w:fill="auto"/>
        <w:tabs>
          <w:tab w:pos="928" w:val="left"/>
        </w:tabs>
        <w:bidi w:val="0"/>
        <w:spacing w:before="0" w:after="0" w:line="468" w:lineRule="exact"/>
        <w:ind w:left="0" w:right="0" w:firstLine="440"/>
        <w:jc w:val="both"/>
      </w:pPr>
      <w:bookmarkStart w:id="762" w:name="bookmark762"/>
      <w:r>
        <w:rPr>
          <w:color w:val="000000"/>
          <w:spacing w:val="0"/>
          <w:w w:val="100"/>
          <w:position w:val="0"/>
        </w:rPr>
        <w:t>（</w:t>
      </w:r>
      <w:bookmarkEnd w:id="762"/>
      <w:r>
        <w:rPr>
          <w:color w:val="000000"/>
          <w:spacing w:val="0"/>
          <w:w w:val="100"/>
          <w:position w:val="0"/>
        </w:rPr>
        <w:t>2）</w:t>
        <w:tab/>
      </w:r>
      <w:r>
        <w:rPr>
          <w:color w:val="000000"/>
          <w:spacing w:val="0"/>
          <w:w w:val="100"/>
          <w:position w:val="0"/>
        </w:rPr>
        <w:t>发出存货的计价方法</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存货发出时按个别认定法计价。</w:t>
      </w:r>
    </w:p>
    <w:p>
      <w:pPr>
        <w:pStyle w:val="Style25"/>
        <w:keepNext w:val="0"/>
        <w:keepLines w:val="0"/>
        <w:widowControl w:val="0"/>
        <w:shd w:val="clear" w:color="auto" w:fill="auto"/>
        <w:tabs>
          <w:tab w:pos="928" w:val="left"/>
        </w:tabs>
        <w:bidi w:val="0"/>
        <w:spacing w:before="0" w:after="0" w:line="468" w:lineRule="exact"/>
        <w:ind w:left="0" w:right="0" w:firstLine="440"/>
        <w:jc w:val="both"/>
      </w:pPr>
      <w:bookmarkStart w:id="763" w:name="bookmark763"/>
      <w:r>
        <w:rPr>
          <w:color w:val="000000"/>
          <w:spacing w:val="0"/>
          <w:w w:val="100"/>
          <w:position w:val="0"/>
        </w:rPr>
        <w:t>（</w:t>
      </w:r>
      <w:bookmarkEnd w:id="763"/>
      <w:r>
        <w:rPr>
          <w:color w:val="000000"/>
          <w:spacing w:val="0"/>
          <w:w w:val="100"/>
          <w:position w:val="0"/>
        </w:rPr>
        <w:t>3）</w:t>
        <w:tab/>
      </w:r>
      <w:r>
        <w:rPr>
          <w:color w:val="000000"/>
          <w:spacing w:val="0"/>
          <w:w w:val="100"/>
          <w:position w:val="0"/>
        </w:rPr>
        <w:t>不同类别存货可变现净值的确定依据</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资产负债表日，存货应当按照成本与可变现净值孰低计量。当存货成本高于其可变现净值的，应当计 提存货跌价准备。可变现净值，是指在日常活动中，存货的估计售价减去至完工时估计将要发生的成本、 估计的销售费用以及相关税费后的金额。</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面价值的，在原己计提的存货跌价准备金额内予以转回，转回的金额计入当期损益。</w:t>
      </w:r>
    </w:p>
    <w:p>
      <w:pPr>
        <w:pStyle w:val="Style25"/>
        <w:keepNext w:val="0"/>
        <w:keepLines w:val="0"/>
        <w:widowControl w:val="0"/>
        <w:shd w:val="clear" w:color="auto" w:fill="auto"/>
        <w:tabs>
          <w:tab w:pos="928" w:val="left"/>
        </w:tabs>
        <w:bidi w:val="0"/>
        <w:spacing w:before="0" w:after="0" w:line="468" w:lineRule="exact"/>
        <w:ind w:left="0" w:right="0" w:firstLine="440"/>
        <w:jc w:val="both"/>
      </w:pPr>
      <w:bookmarkStart w:id="764" w:name="bookmark764"/>
      <w:r>
        <w:rPr>
          <w:color w:val="000000"/>
          <w:spacing w:val="0"/>
          <w:w w:val="100"/>
          <w:position w:val="0"/>
        </w:rPr>
        <w:t>（</w:t>
      </w:r>
      <w:bookmarkEnd w:id="764"/>
      <w:r>
        <w:rPr>
          <w:color w:val="000000"/>
          <w:spacing w:val="0"/>
          <w:w w:val="100"/>
          <w:position w:val="0"/>
        </w:rPr>
        <w:t>4）</w:t>
        <w:tab/>
      </w:r>
      <w:r>
        <w:rPr>
          <w:color w:val="000000"/>
          <w:spacing w:val="0"/>
          <w:w w:val="100"/>
          <w:position w:val="0"/>
        </w:rPr>
        <w:t>存货的盘存制度</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采用永续盘存制。</w:t>
      </w:r>
    </w:p>
    <w:p>
      <w:pPr>
        <w:pStyle w:val="Style25"/>
        <w:keepNext w:val="0"/>
        <w:keepLines w:val="0"/>
        <w:widowControl w:val="0"/>
        <w:shd w:val="clear" w:color="auto" w:fill="auto"/>
        <w:tabs>
          <w:tab w:pos="928" w:val="left"/>
        </w:tabs>
        <w:bidi w:val="0"/>
        <w:spacing w:before="0" w:after="0" w:line="468" w:lineRule="exact"/>
        <w:ind w:left="0" w:right="0" w:firstLine="440"/>
        <w:jc w:val="both"/>
      </w:pPr>
      <w:bookmarkStart w:id="765" w:name="bookmark765"/>
      <w:r>
        <w:rPr>
          <w:color w:val="000000"/>
          <w:spacing w:val="0"/>
          <w:w w:val="100"/>
          <w:position w:val="0"/>
        </w:rPr>
        <w:t>（</w:t>
      </w:r>
      <w:bookmarkEnd w:id="765"/>
      <w:r>
        <w:rPr>
          <w:color w:val="000000"/>
          <w:spacing w:val="0"/>
          <w:w w:val="100"/>
          <w:position w:val="0"/>
        </w:rPr>
        <w:t>5）</w:t>
        <w:tab/>
      </w:r>
      <w:r>
        <w:rPr>
          <w:color w:val="000000"/>
          <w:spacing w:val="0"/>
          <w:w w:val="100"/>
          <w:position w:val="0"/>
        </w:rPr>
        <w:t>低值易耗品和包装物的摊销方法</w:t>
      </w:r>
    </w:p>
    <w:p>
      <w:pPr>
        <w:pStyle w:val="Style25"/>
        <w:keepNext w:val="0"/>
        <w:keepLines w:val="0"/>
        <w:widowControl w:val="0"/>
        <w:shd w:val="clear" w:color="auto" w:fill="auto"/>
        <w:tabs>
          <w:tab w:pos="823" w:val="left"/>
        </w:tabs>
        <w:bidi w:val="0"/>
        <w:spacing w:before="0" w:after="0" w:line="468" w:lineRule="exact"/>
        <w:ind w:left="0" w:right="0" w:firstLine="440"/>
        <w:jc w:val="both"/>
      </w:pPr>
      <w:bookmarkStart w:id="766" w:name="bookmark766"/>
      <w:r>
        <w:rPr>
          <w:color w:val="000000"/>
          <w:spacing w:val="0"/>
          <w:w w:val="100"/>
          <w:position w:val="0"/>
        </w:rPr>
        <w:t>1</w:t>
      </w:r>
      <w:bookmarkEnd w:id="766"/>
      <w:r>
        <w:rPr>
          <w:color w:val="000000"/>
          <w:spacing w:val="0"/>
          <w:w w:val="100"/>
          <w:position w:val="0"/>
        </w:rPr>
        <w:t>）</w:t>
        <w:tab/>
      </w:r>
      <w:r>
        <w:rPr>
          <w:color w:val="000000"/>
          <w:spacing w:val="0"/>
          <w:w w:val="100"/>
          <w:position w:val="0"/>
        </w:rPr>
        <w:t>低值易耗品采用一次转销法；</w:t>
      </w:r>
    </w:p>
    <w:p>
      <w:pPr>
        <w:pStyle w:val="Style25"/>
        <w:keepNext w:val="0"/>
        <w:keepLines w:val="0"/>
        <w:widowControl w:val="0"/>
        <w:shd w:val="clear" w:color="auto" w:fill="auto"/>
        <w:tabs>
          <w:tab w:pos="827" w:val="left"/>
        </w:tabs>
        <w:bidi w:val="0"/>
        <w:spacing w:before="0" w:after="460" w:line="468" w:lineRule="exact"/>
        <w:ind w:left="0" w:right="0" w:firstLine="440"/>
        <w:jc w:val="both"/>
      </w:pPr>
      <w:bookmarkStart w:id="767" w:name="bookmark767"/>
      <w:r>
        <w:rPr>
          <w:color w:val="000000"/>
          <w:spacing w:val="0"/>
          <w:w w:val="100"/>
          <w:position w:val="0"/>
        </w:rPr>
        <w:t>2</w:t>
      </w:r>
      <w:bookmarkEnd w:id="767"/>
      <w:r>
        <w:rPr>
          <w:color w:val="000000"/>
          <w:spacing w:val="0"/>
          <w:w w:val="100"/>
          <w:position w:val="0"/>
        </w:rPr>
        <w:t>）</w:t>
        <w:tab/>
      </w:r>
      <w:r>
        <w:rPr>
          <w:color w:val="000000"/>
          <w:spacing w:val="0"/>
          <w:w w:val="100"/>
          <w:position w:val="0"/>
        </w:rPr>
        <w:t>包装物采用一次转销法。</w:t>
      </w:r>
    </w:p>
    <w:p>
      <w:pPr>
        <w:pStyle w:val="Style31"/>
        <w:keepNext/>
        <w:keepLines/>
        <w:widowControl w:val="0"/>
        <w:shd w:val="clear" w:color="auto" w:fill="auto"/>
        <w:tabs>
          <w:tab w:pos="474" w:val="left"/>
        </w:tabs>
        <w:bidi w:val="0"/>
        <w:spacing w:before="0" w:after="200" w:line="480" w:lineRule="auto"/>
        <w:ind w:left="0" w:right="0" w:firstLine="0"/>
        <w:jc w:val="both"/>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768"/>
      <w:bookmarkEnd w:id="769"/>
      <w:bookmarkEnd w:id="771"/>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日起的会计政策</w:t>
      </w:r>
    </w:p>
    <w:p>
      <w:pPr>
        <w:pStyle w:val="Style25"/>
        <w:keepNext w:val="0"/>
        <w:keepLines w:val="0"/>
        <w:widowControl w:val="0"/>
        <w:shd w:val="clear" w:color="auto" w:fill="auto"/>
        <w:tabs>
          <w:tab w:pos="928" w:val="left"/>
        </w:tabs>
        <w:bidi w:val="0"/>
        <w:spacing w:before="0" w:after="0" w:line="469" w:lineRule="exact"/>
        <w:ind w:left="0" w:right="0" w:firstLine="440"/>
        <w:jc w:val="left"/>
      </w:pPr>
      <w:bookmarkStart w:id="772" w:name="bookmark772"/>
      <w:r>
        <w:rPr>
          <w:color w:val="000000"/>
          <w:spacing w:val="0"/>
          <w:w w:val="100"/>
          <w:position w:val="0"/>
        </w:rPr>
        <w:t>（</w:t>
      </w:r>
      <w:bookmarkEnd w:id="772"/>
      <w:r>
        <w:rPr>
          <w:color w:val="000000"/>
          <w:spacing w:val="0"/>
          <w:w w:val="100"/>
          <w:position w:val="0"/>
        </w:rPr>
        <w:t>1）</w:t>
        <w:tab/>
      </w:r>
      <w:r>
        <w:rPr>
          <w:color w:val="000000"/>
          <w:spacing w:val="0"/>
          <w:w w:val="100"/>
          <w:position w:val="0"/>
        </w:rPr>
        <w:t>合同资产的确认方法及标准</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25"/>
        <w:keepNext w:val="0"/>
        <w:keepLines w:val="0"/>
        <w:widowControl w:val="0"/>
        <w:shd w:val="clear" w:color="auto" w:fill="auto"/>
        <w:tabs>
          <w:tab w:pos="928" w:val="left"/>
        </w:tabs>
        <w:bidi w:val="0"/>
        <w:spacing w:before="0" w:after="0" w:line="469" w:lineRule="exact"/>
        <w:ind w:left="0" w:right="0" w:firstLine="440"/>
        <w:jc w:val="left"/>
      </w:pPr>
      <w:bookmarkStart w:id="773" w:name="bookmark773"/>
      <w:r>
        <w:rPr>
          <w:color w:val="000000"/>
          <w:spacing w:val="0"/>
          <w:w w:val="100"/>
          <w:position w:val="0"/>
        </w:rPr>
        <w:t>（</w:t>
      </w:r>
      <w:bookmarkEnd w:id="773"/>
      <w:r>
        <w:rPr>
          <w:color w:val="000000"/>
          <w:spacing w:val="0"/>
          <w:w w:val="100"/>
          <w:position w:val="0"/>
        </w:rPr>
        <w:t>2）</w:t>
        <w:tab/>
      </w:r>
      <w:r>
        <w:rPr>
          <w:color w:val="000000"/>
          <w:spacing w:val="0"/>
          <w:w w:val="100"/>
          <w:position w:val="0"/>
        </w:rPr>
        <w:t>合同资产预期信用损失的确定方法及会计处理方法</w:t>
      </w:r>
    </w:p>
    <w:p>
      <w:pPr>
        <w:pStyle w:val="Style25"/>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合同资产的预期信用损失的确定方法及会计处理方法详见本附注</w:t>
      </w:r>
      <w:r>
        <w:rPr>
          <w:color w:val="000000"/>
          <w:spacing w:val="0"/>
          <w:w w:val="100"/>
          <w:position w:val="0"/>
        </w:rPr>
        <w:t>“10.</w:t>
      </w:r>
      <w:r>
        <w:rPr>
          <w:color w:val="000000"/>
          <w:spacing w:val="0"/>
          <w:w w:val="100"/>
          <w:position w:val="0"/>
        </w:rPr>
        <w:t>金融工具</w:t>
      </w:r>
      <w:r>
        <w:rPr>
          <w:color w:val="000000"/>
          <w:spacing w:val="0"/>
          <w:w w:val="100"/>
          <w:position w:val="0"/>
        </w:rPr>
        <w:t>（6）</w:t>
      </w:r>
      <w:r>
        <w:rPr>
          <w:color w:val="000000"/>
          <w:spacing w:val="0"/>
          <w:w w:val="100"/>
          <w:position w:val="0"/>
        </w:rPr>
        <w:t>金融资产减值 的测试方法及会计处理方法”。</w:t>
      </w:r>
    </w:p>
    <w:p>
      <w:pPr>
        <w:pStyle w:val="Style31"/>
        <w:keepNext/>
        <w:keepLines/>
        <w:widowControl w:val="0"/>
        <w:shd w:val="clear" w:color="auto" w:fill="auto"/>
        <w:tabs>
          <w:tab w:pos="474" w:val="left"/>
        </w:tabs>
        <w:bidi w:val="0"/>
        <w:spacing w:before="0" w:after="200" w:line="467" w:lineRule="exact"/>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3</w:t>
      </w:r>
      <w:r>
        <w:rPr>
          <w:color w:val="000000"/>
          <w:spacing w:val="0"/>
          <w:w w:val="100"/>
          <w:position w:val="0"/>
        </w:rPr>
        <w:t>、</w:t>
        <w:tab/>
        <w:t>合同成本</w:t>
      </w:r>
      <w:bookmarkEnd w:id="774"/>
      <w:bookmarkEnd w:id="775"/>
      <w:bookmarkEnd w:id="777"/>
    </w:p>
    <w:p>
      <w:pPr>
        <w:pStyle w:val="Style2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日起的会计政策</w:t>
      </w:r>
    </w:p>
    <w:p>
      <w:pPr>
        <w:pStyle w:val="Style2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合同成本包括合同履约成本与合同取得成本。</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本公司为履行合同而发生的成本，不属于存货、固定资产或无形资产等相关准则规范范围的，在满足 下列条件时作为合同履约成本确认为一项资产：</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•该成本与一份当前或预期取得的合同直接相关。</w:t>
      </w:r>
    </w:p>
    <w:p>
      <w:pPr>
        <w:pStyle w:val="Style2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•该成本增加了本公司未来用于履行履约义务的资源。</w:t>
      </w:r>
    </w:p>
    <w:p>
      <w:pPr>
        <w:pStyle w:val="Style2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•该成本预期能够收回。</w:t>
      </w:r>
    </w:p>
    <w:p>
      <w:pPr>
        <w:pStyle w:val="Style2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本公司为取得合同发生的增量成本预期能够收回的，作为合同取得成本确认为一项资产。</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与合同成本有关的资产采用与该资产相关的商品或服务收入确认相同的基础进行摊销；但是对于合同 取得成本摊销期限未超过一年的，本公司在发生时将其计入当期损益。</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与合同成本有关的资产，其账面价值高于下列两项的差额的，本公司对超出部分计提减值准备，并确 认为资产减值损失：</w:t>
      </w:r>
    </w:p>
    <w:p>
      <w:pPr>
        <w:pStyle w:val="Style25"/>
        <w:keepNext w:val="0"/>
        <w:keepLines w:val="0"/>
        <w:widowControl w:val="0"/>
        <w:shd w:val="clear" w:color="auto" w:fill="auto"/>
        <w:tabs>
          <w:tab w:pos="928" w:val="left"/>
        </w:tabs>
        <w:bidi w:val="0"/>
        <w:spacing w:before="0" w:after="0" w:line="467" w:lineRule="exact"/>
        <w:ind w:left="0" w:right="0" w:firstLine="440"/>
        <w:jc w:val="both"/>
      </w:pPr>
      <w:bookmarkStart w:id="778" w:name="bookmark778"/>
      <w:r>
        <w:rPr>
          <w:color w:val="000000"/>
          <w:spacing w:val="0"/>
          <w:w w:val="100"/>
          <w:position w:val="0"/>
        </w:rPr>
        <w:t>（</w:t>
      </w:r>
      <w:bookmarkEnd w:id="778"/>
      <w:r>
        <w:rPr>
          <w:color w:val="000000"/>
          <w:spacing w:val="0"/>
          <w:w w:val="100"/>
          <w:position w:val="0"/>
        </w:rPr>
        <w:t>1）</w:t>
        <w:tab/>
      </w:r>
      <w:r>
        <w:rPr>
          <w:color w:val="000000"/>
          <w:spacing w:val="0"/>
          <w:w w:val="100"/>
          <w:position w:val="0"/>
        </w:rPr>
        <w:t>因转让与该资产相关的商品或服务预期能够取得的剩余对价；</w:t>
      </w:r>
    </w:p>
    <w:p>
      <w:pPr>
        <w:pStyle w:val="Style25"/>
        <w:keepNext w:val="0"/>
        <w:keepLines w:val="0"/>
        <w:widowControl w:val="0"/>
        <w:shd w:val="clear" w:color="auto" w:fill="auto"/>
        <w:tabs>
          <w:tab w:pos="928" w:val="left"/>
        </w:tabs>
        <w:bidi w:val="0"/>
        <w:spacing w:before="0" w:after="0" w:line="467" w:lineRule="exact"/>
        <w:ind w:left="0" w:right="0" w:firstLine="440"/>
        <w:jc w:val="both"/>
      </w:pPr>
      <w:bookmarkStart w:id="779" w:name="bookmark779"/>
      <w:r>
        <w:rPr>
          <w:color w:val="000000"/>
          <w:spacing w:val="0"/>
          <w:w w:val="100"/>
          <w:position w:val="0"/>
        </w:rPr>
        <w:t>（</w:t>
      </w:r>
      <w:bookmarkEnd w:id="779"/>
      <w:r>
        <w:rPr>
          <w:color w:val="000000"/>
          <w:spacing w:val="0"/>
          <w:w w:val="100"/>
          <w:position w:val="0"/>
        </w:rPr>
        <w:t>2）</w:t>
        <w:tab/>
      </w:r>
      <w:r>
        <w:rPr>
          <w:color w:val="000000"/>
          <w:spacing w:val="0"/>
          <w:w w:val="100"/>
          <w:position w:val="0"/>
        </w:rPr>
        <w:t>为转让该相关商品或服务估计将要发生的成本。</w:t>
      </w:r>
    </w:p>
    <w:p>
      <w:pPr>
        <w:pStyle w:val="Style25"/>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以前期间减值的因素之后发生变化，使得前述差额高于该资产账面价值的，本公司转回原己计提的减 值准备，并计入当期损益，但转回后的资产账面价值不超过假定不计提减值准备情况下该资产在转回日的 账面价值。</w:t>
      </w:r>
    </w:p>
    <w:p>
      <w:pPr>
        <w:pStyle w:val="Style31"/>
        <w:keepNext/>
        <w:keepLines/>
        <w:widowControl w:val="0"/>
        <w:shd w:val="clear" w:color="auto" w:fill="auto"/>
        <w:tabs>
          <w:tab w:pos="474" w:val="left"/>
        </w:tabs>
        <w:bidi w:val="0"/>
        <w:spacing w:before="0" w:after="200" w:line="467" w:lineRule="exact"/>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4</w:t>
      </w:r>
      <w:r>
        <w:rPr>
          <w:color w:val="000000"/>
          <w:spacing w:val="0"/>
          <w:w w:val="100"/>
          <w:position w:val="0"/>
        </w:rPr>
        <w:t>、</w:t>
        <w:tab/>
        <w:t>持有待售资产</w:t>
      </w:r>
      <w:bookmarkEnd w:id="780"/>
      <w:bookmarkEnd w:id="781"/>
      <w:bookmarkEnd w:id="783"/>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主要通过出售（包括具有商业实质的非货币性资产交换）而非持续使用一项非流动资产或处置组收回 </w:t>
      </w:r>
      <w:r>
        <w:rPr>
          <w:color w:val="000000"/>
          <w:spacing w:val="0"/>
          <w:w w:val="100"/>
          <w:position w:val="0"/>
        </w:rPr>
        <w:t>其账面价值的，划分为持有待售类别。</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本公司将同时满足下列条件的非流动资产或处置组划分为持有待售类别：</w:t>
      </w:r>
    </w:p>
    <w:p>
      <w:pPr>
        <w:pStyle w:val="Style25"/>
        <w:keepNext w:val="0"/>
        <w:keepLines w:val="0"/>
        <w:widowControl w:val="0"/>
        <w:shd w:val="clear" w:color="auto" w:fill="auto"/>
        <w:tabs>
          <w:tab w:pos="928" w:val="left"/>
        </w:tabs>
        <w:bidi w:val="0"/>
        <w:spacing w:before="0" w:after="0" w:line="470" w:lineRule="exact"/>
        <w:ind w:left="0" w:right="0" w:firstLine="440"/>
        <w:jc w:val="left"/>
      </w:pPr>
      <w:bookmarkStart w:id="784" w:name="bookmark784"/>
      <w:r>
        <w:rPr>
          <w:color w:val="000000"/>
          <w:spacing w:val="0"/>
          <w:w w:val="100"/>
          <w:position w:val="0"/>
        </w:rPr>
        <w:t>（</w:t>
      </w:r>
      <w:bookmarkEnd w:id="784"/>
      <w:r>
        <w:rPr>
          <w:color w:val="000000"/>
          <w:spacing w:val="0"/>
          <w:w w:val="100"/>
          <w:position w:val="0"/>
        </w:rPr>
        <w:t>1）</w:t>
        <w:tab/>
      </w:r>
      <w:r>
        <w:rPr>
          <w:color w:val="000000"/>
          <w:spacing w:val="0"/>
          <w:w w:val="100"/>
          <w:position w:val="0"/>
        </w:rPr>
        <w:t>根据类似交易中出售此类资产或处置组的惯例，在当前状况下即可立即出售；</w:t>
      </w:r>
    </w:p>
    <w:p>
      <w:pPr>
        <w:pStyle w:val="Style25"/>
        <w:keepNext w:val="0"/>
        <w:keepLines w:val="0"/>
        <w:widowControl w:val="0"/>
        <w:shd w:val="clear" w:color="auto" w:fill="auto"/>
        <w:tabs>
          <w:tab w:pos="1021" w:val="left"/>
        </w:tabs>
        <w:bidi w:val="0"/>
        <w:spacing w:before="0" w:after="0" w:line="474" w:lineRule="exact"/>
        <w:ind w:left="0" w:right="0" w:firstLine="440"/>
        <w:jc w:val="left"/>
      </w:pPr>
      <w:bookmarkStart w:id="785" w:name="bookmark785"/>
      <w:r>
        <w:rPr>
          <w:color w:val="000000"/>
          <w:spacing w:val="0"/>
          <w:w w:val="100"/>
          <w:position w:val="0"/>
        </w:rPr>
        <w:t>（</w:t>
      </w:r>
      <w:bookmarkEnd w:id="785"/>
      <w:r>
        <w:rPr>
          <w:color w:val="000000"/>
          <w:spacing w:val="0"/>
          <w:w w:val="100"/>
          <w:position w:val="0"/>
        </w:rPr>
        <w:t>2）</w:t>
        <w:tab/>
      </w:r>
      <w:r>
        <w:rPr>
          <w:color w:val="000000"/>
          <w:spacing w:val="0"/>
          <w:w w:val="100"/>
          <w:position w:val="0"/>
        </w:rPr>
        <w:t>出售极可能发生，即本公司已经就一项出售计划作出决议且获得确定的购买承诺，预计出售将 在一年内完成。有关规定要求本公司相关权力机构或者监管部门批准后方可出售的，已经获得批准。</w:t>
      </w:r>
    </w:p>
    <w:p>
      <w:pPr>
        <w:pStyle w:val="Style25"/>
        <w:keepNext w:val="0"/>
        <w:keepLines w:val="0"/>
        <w:widowControl w:val="0"/>
        <w:shd w:val="clear" w:color="auto" w:fill="auto"/>
        <w:bidi w:val="0"/>
        <w:spacing w:before="0" w:after="460" w:line="474" w:lineRule="exact"/>
        <w:ind w:left="0" w:right="0" w:firstLine="440"/>
        <w:jc w:val="left"/>
      </w:pPr>
      <w:r>
        <w:rPr>
          <w:color w:val="000000"/>
          <w:spacing w:val="0"/>
          <w:w w:val="100"/>
          <w:position w:val="0"/>
        </w:rPr>
        <w:t>划分为持有待售的非流动资产（不包括金融资产、递延所得税资产、职工薪酬形成的资产）或处置组, 其账面价值高于公允价值减去出售费用后的净额的，账面价值减记至公允价值减去出售费用后的净额，减 记的金额确认为资产减值损失，计入当期损益，同时计提持有待售资产减值准备。</w:t>
      </w:r>
    </w:p>
    <w:p>
      <w:pPr>
        <w:pStyle w:val="Style31"/>
        <w:keepNext/>
        <w:keepLines/>
        <w:widowControl w:val="0"/>
        <w:shd w:val="clear" w:color="auto" w:fill="auto"/>
        <w:bidi w:val="0"/>
        <w:spacing w:before="0" w:after="0" w:line="480" w:lineRule="auto"/>
        <w:ind w:left="0" w:right="0" w:firstLine="0"/>
        <w:jc w:val="both"/>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786"/>
      <w:bookmarkEnd w:id="787"/>
      <w:bookmarkEnd w:id="789"/>
    </w:p>
    <w:p>
      <w:pPr>
        <w:pStyle w:val="Style25"/>
        <w:keepNext w:val="0"/>
        <w:keepLines w:val="0"/>
        <w:widowControl w:val="0"/>
        <w:shd w:val="clear" w:color="auto" w:fill="auto"/>
        <w:tabs>
          <w:tab w:pos="928" w:val="left"/>
        </w:tabs>
        <w:bidi w:val="0"/>
        <w:spacing w:before="0" w:after="0" w:line="470" w:lineRule="exact"/>
        <w:ind w:left="0" w:right="0" w:firstLine="440"/>
        <w:jc w:val="both"/>
      </w:pPr>
      <w:bookmarkStart w:id="790" w:name="bookmark790"/>
      <w:r>
        <w:rPr>
          <w:color w:val="000000"/>
          <w:spacing w:val="0"/>
          <w:w w:val="100"/>
          <w:position w:val="0"/>
        </w:rPr>
        <w:t>（</w:t>
      </w:r>
      <w:bookmarkEnd w:id="790"/>
      <w:r>
        <w:rPr>
          <w:color w:val="000000"/>
          <w:spacing w:val="0"/>
          <w:w w:val="100"/>
          <w:position w:val="0"/>
        </w:rPr>
        <w:t>1）</w:t>
        <w:tab/>
      </w:r>
      <w:r>
        <w:rPr>
          <w:color w:val="000000"/>
          <w:spacing w:val="0"/>
          <w:w w:val="100"/>
          <w:position w:val="0"/>
        </w:rPr>
        <w:t>共同控制、重大影响的判断标准</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重大影响，是指对被投资单位的财务和经营决策有参与决策的权力，但并不能够控制或者与其他方一 起共同控制这些政策的制定。本公司能够对被投资单位施加重大影响的，被投资单位为本公司联营企业。</w:t>
      </w:r>
    </w:p>
    <w:p>
      <w:pPr>
        <w:pStyle w:val="Style25"/>
        <w:keepNext w:val="0"/>
        <w:keepLines w:val="0"/>
        <w:widowControl w:val="0"/>
        <w:shd w:val="clear" w:color="auto" w:fill="auto"/>
        <w:tabs>
          <w:tab w:pos="928" w:val="left"/>
        </w:tabs>
        <w:bidi w:val="0"/>
        <w:spacing w:before="0" w:after="0" w:line="470" w:lineRule="exact"/>
        <w:ind w:left="0" w:right="0" w:firstLine="440"/>
        <w:jc w:val="both"/>
      </w:pPr>
      <w:bookmarkStart w:id="791" w:name="bookmark791"/>
      <w:r>
        <w:rPr>
          <w:color w:val="000000"/>
          <w:spacing w:val="0"/>
          <w:w w:val="100"/>
          <w:position w:val="0"/>
        </w:rPr>
        <w:t>（</w:t>
      </w:r>
      <w:bookmarkEnd w:id="791"/>
      <w:r>
        <w:rPr>
          <w:color w:val="000000"/>
          <w:spacing w:val="0"/>
          <w:w w:val="100"/>
          <w:position w:val="0"/>
        </w:rPr>
        <w:t>2）</w:t>
        <w:tab/>
      </w:r>
      <w:r>
        <w:rPr>
          <w:color w:val="000000"/>
          <w:spacing w:val="0"/>
          <w:w w:val="100"/>
          <w:position w:val="0"/>
        </w:rPr>
        <w:t>初始投资成本的确定</w:t>
      </w:r>
    </w:p>
    <w:p>
      <w:pPr>
        <w:pStyle w:val="Style25"/>
        <w:keepNext w:val="0"/>
        <w:keepLines w:val="0"/>
        <w:widowControl w:val="0"/>
        <w:shd w:val="clear" w:color="auto" w:fill="auto"/>
        <w:tabs>
          <w:tab w:pos="838" w:val="left"/>
        </w:tabs>
        <w:bidi w:val="0"/>
        <w:spacing w:before="0" w:after="0" w:line="470" w:lineRule="exact"/>
        <w:ind w:left="0" w:right="0" w:firstLine="440"/>
        <w:jc w:val="both"/>
      </w:pPr>
      <w:bookmarkStart w:id="792" w:name="bookmark792"/>
      <w:r>
        <w:rPr>
          <w:color w:val="000000"/>
          <w:spacing w:val="0"/>
          <w:w w:val="100"/>
          <w:position w:val="0"/>
        </w:rPr>
        <w:t>1</w:t>
      </w:r>
      <w:bookmarkEnd w:id="792"/>
      <w:r>
        <w:rPr>
          <w:color w:val="000000"/>
          <w:spacing w:val="0"/>
          <w:w w:val="100"/>
          <w:position w:val="0"/>
        </w:rPr>
        <w:t>）</w:t>
        <w:tab/>
      </w:r>
      <w:r>
        <w:rPr>
          <w:color w:val="000000"/>
          <w:spacing w:val="0"/>
          <w:w w:val="100"/>
          <w:position w:val="0"/>
        </w:rPr>
        <w:t>企业合并形成的长期股权投资</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对于同一控制下的企业合并形成的对子公司的长期股权投资，在合并日按照取得被合并方所有者权益 在最终控制方合并财务报表中的账面价值的份额作为长期股权投资的初始投资成本。长期股权投资初始投 资成本与支付对价账面价值之间的差额，调整资本公积中的股本溢价；资本公积中的股本溢价不足冲减时, 调整留存收益。因追加投资等原因能够对同一控制下的被投资单位实施控制的，按上述原则确认的长期股 权投资的初始投资成本与达到合并前的长期股权投资账面价值加上合并日进一步取得股份新支付对价的 账面价值之和的差额，调整股本溢价，股本溢价不足冲减的，冲减留存收益。</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对于非同一控制下的企业合并形成的对子公司的长期股权投资，按照购买日确定的合并成本作为长期 股权投资的初始投资成本。因追加投资等原因能够对非同一控制下的被投资单位实施控制的，按照原持有 的股权投资账面价值加上新增投资成本之和作为初始投资成本。</w:t>
      </w:r>
    </w:p>
    <w:p>
      <w:pPr>
        <w:pStyle w:val="Style25"/>
        <w:keepNext w:val="0"/>
        <w:keepLines w:val="0"/>
        <w:widowControl w:val="0"/>
        <w:shd w:val="clear" w:color="auto" w:fill="auto"/>
        <w:tabs>
          <w:tab w:pos="838" w:val="left"/>
        </w:tabs>
        <w:bidi w:val="0"/>
        <w:spacing w:before="0" w:after="0" w:line="470" w:lineRule="exact"/>
        <w:ind w:left="0" w:right="0" w:firstLine="440"/>
        <w:jc w:val="both"/>
      </w:pPr>
      <w:bookmarkStart w:id="793" w:name="bookmark793"/>
      <w:r>
        <w:rPr>
          <w:color w:val="000000"/>
          <w:spacing w:val="0"/>
          <w:w w:val="100"/>
          <w:position w:val="0"/>
        </w:rPr>
        <w:t>2</w:t>
      </w:r>
      <w:bookmarkEnd w:id="793"/>
      <w:r>
        <w:rPr>
          <w:color w:val="000000"/>
          <w:spacing w:val="0"/>
          <w:w w:val="100"/>
          <w:position w:val="0"/>
        </w:rPr>
        <w:t>）</w:t>
        <w:tab/>
      </w:r>
      <w:r>
        <w:rPr>
          <w:color w:val="000000"/>
          <w:spacing w:val="0"/>
          <w:w w:val="100"/>
          <w:position w:val="0"/>
        </w:rPr>
        <w:t>通过企业合并以外的其他方式取得的长期股权投资</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25"/>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25"/>
        <w:keepNext w:val="0"/>
        <w:keepLines w:val="0"/>
        <w:widowControl w:val="0"/>
        <w:shd w:val="clear" w:color="auto" w:fill="auto"/>
        <w:bidi w:val="0"/>
        <w:spacing w:before="0" w:after="0" w:line="469" w:lineRule="exact"/>
        <w:ind w:left="0" w:right="0" w:firstLine="440"/>
        <w:jc w:val="both"/>
      </w:pPr>
      <w:bookmarkStart w:id="794" w:name="bookmark794"/>
      <w:r>
        <w:rPr>
          <w:color w:val="000000"/>
          <w:spacing w:val="0"/>
          <w:w w:val="100"/>
          <w:position w:val="0"/>
        </w:rPr>
        <w:t>（</w:t>
      </w:r>
      <w:bookmarkEnd w:id="794"/>
      <w:r>
        <w:rPr>
          <w:color w:val="000000"/>
          <w:spacing w:val="0"/>
          <w:w w:val="100"/>
          <w:position w:val="0"/>
        </w:rPr>
        <w:t>3）</w:t>
      </w:r>
      <w:r>
        <w:rPr>
          <w:color w:val="000000"/>
          <w:spacing w:val="0"/>
          <w:w w:val="100"/>
          <w:position w:val="0"/>
        </w:rPr>
        <w:t>后续计量及损益确认方法</w:t>
      </w:r>
    </w:p>
    <w:p>
      <w:pPr>
        <w:pStyle w:val="Style25"/>
        <w:keepNext w:val="0"/>
        <w:keepLines w:val="0"/>
        <w:widowControl w:val="0"/>
        <w:shd w:val="clear" w:color="auto" w:fill="auto"/>
        <w:tabs>
          <w:tab w:pos="781" w:val="left"/>
        </w:tabs>
        <w:bidi w:val="0"/>
        <w:spacing w:before="0" w:after="0" w:line="469" w:lineRule="exact"/>
        <w:ind w:left="0" w:right="0" w:firstLine="440"/>
        <w:jc w:val="both"/>
      </w:pPr>
      <w:bookmarkStart w:id="795" w:name="bookmark795"/>
      <w:r>
        <w:rPr>
          <w:color w:val="000000"/>
          <w:spacing w:val="0"/>
          <w:w w:val="100"/>
          <w:position w:val="0"/>
        </w:rPr>
        <w:t>1</w:t>
      </w:r>
      <w:bookmarkEnd w:id="795"/>
      <w:r>
        <w:rPr>
          <w:color w:val="000000"/>
          <w:spacing w:val="0"/>
          <w:w w:val="100"/>
          <w:position w:val="0"/>
        </w:rPr>
        <w:t>）</w:t>
        <w:tab/>
      </w:r>
      <w:r>
        <w:rPr>
          <w:color w:val="000000"/>
          <w:spacing w:val="0"/>
          <w:w w:val="100"/>
          <w:position w:val="0"/>
        </w:rPr>
        <w:t>成本法核算的长期股权投资</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公司对子公司的长期股权投资，采用成本法核算，除非投资符合持有待售的条件。除取得投资时实际 支付的价款或对价中包含的已宣告但尚未发放的现金股利或利润外，公司按照享有被投资单位宣告发放的 现金股利或利润确认当期投资收益。</w:t>
      </w:r>
    </w:p>
    <w:p>
      <w:pPr>
        <w:pStyle w:val="Style25"/>
        <w:keepNext w:val="0"/>
        <w:keepLines w:val="0"/>
        <w:widowControl w:val="0"/>
        <w:shd w:val="clear" w:color="auto" w:fill="auto"/>
        <w:tabs>
          <w:tab w:pos="795" w:val="left"/>
        </w:tabs>
        <w:bidi w:val="0"/>
        <w:spacing w:before="0" w:after="0" w:line="469" w:lineRule="exact"/>
        <w:ind w:left="0" w:right="0" w:firstLine="440"/>
        <w:jc w:val="both"/>
      </w:pPr>
      <w:bookmarkStart w:id="796" w:name="bookmark796"/>
      <w:r>
        <w:rPr>
          <w:color w:val="000000"/>
          <w:spacing w:val="0"/>
          <w:w w:val="100"/>
          <w:position w:val="0"/>
        </w:rPr>
        <w:t>2</w:t>
      </w:r>
      <w:bookmarkEnd w:id="796"/>
      <w:r>
        <w:rPr>
          <w:color w:val="000000"/>
          <w:spacing w:val="0"/>
          <w:w w:val="100"/>
          <w:position w:val="0"/>
        </w:rPr>
        <w:t>）</w:t>
        <w:tab/>
      </w:r>
      <w:r>
        <w:rPr>
          <w:color w:val="000000"/>
          <w:spacing w:val="0"/>
          <w:w w:val="100"/>
          <w:position w:val="0"/>
        </w:rPr>
        <w:t>权益法核算的长期股权投资</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有者权益的其他变动（简称“其他所有者权益变动”），调整长期股权投资的账面价值并计入所有者权益。</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在确认应享有被投资单位净损益、其他综合收益及其他所有者权益变动的份额时，以取得投资时被投 资单位可辨认净资产的公允价值为基础，并按照公司的会计政策及会计期间，对被投资单位的净利润和其 他综合收益等进行调整后确认。</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分，予以抵销，在此基础上确认投资收益，但投出或出售的资产构成业务的除外。与被投资单位发生的未 实现内部交易损失，属于资产减值损失的，全额确认。</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公司对合营企业或联营企业发生的净亏损，除负有承担额外损失义务外，以长期股权投资的账面价值 以及其他实质上构成对合营企业或联营企业净投资的长期权益减记至零为限。合营企业或联营企业以后实 现净利润的，公司在收益分享额弥补未确认的亏损分担额后，恢复确认收益分享额。</w:t>
      </w:r>
    </w:p>
    <w:p>
      <w:pPr>
        <w:pStyle w:val="Style25"/>
        <w:keepNext w:val="0"/>
        <w:keepLines w:val="0"/>
        <w:widowControl w:val="0"/>
        <w:shd w:val="clear" w:color="auto" w:fill="auto"/>
        <w:tabs>
          <w:tab w:pos="795" w:val="left"/>
        </w:tabs>
        <w:bidi w:val="0"/>
        <w:spacing w:before="0" w:after="0" w:line="469" w:lineRule="exact"/>
        <w:ind w:left="0" w:right="0" w:firstLine="440"/>
        <w:jc w:val="both"/>
      </w:pPr>
      <w:bookmarkStart w:id="797" w:name="bookmark797"/>
      <w:r>
        <w:rPr>
          <w:color w:val="000000"/>
          <w:spacing w:val="0"/>
          <w:w w:val="100"/>
          <w:position w:val="0"/>
        </w:rPr>
        <w:t>3</w:t>
      </w:r>
      <w:bookmarkEnd w:id="797"/>
      <w:r>
        <w:rPr>
          <w:color w:val="000000"/>
          <w:spacing w:val="0"/>
          <w:w w:val="100"/>
          <w:position w:val="0"/>
        </w:rPr>
        <w:t>）</w:t>
        <w:tab/>
      </w:r>
      <w:r>
        <w:rPr>
          <w:color w:val="000000"/>
          <w:spacing w:val="0"/>
          <w:w w:val="100"/>
          <w:position w:val="0"/>
        </w:rPr>
        <w:t>长期股权投资的处置</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处置长期股权投资，其账面价值与实际取得价款的差额，计入当期损益。</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部分处置权益法核算的长期股权投资，剩余股权仍采用权益法核算的，原权益法核算确认的其他综合 收益采用与被投资单位直接处置相关资产或负债相同的基础按相应比例结转，其他所有者权益变动按比例 结转入当期损益。</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因处置股权投资等原因丧失了对被投资单位的共同控制或重大影响的，原股权投资因采用权益法核算 而确认的其他综合收益，在终止采用权益法核算时采用与被投资单位直接处置相关资产或负债相同的基础 进行会计处理，其他所有者权益变动在终止采用权益法核算时全部转入当期损益。</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因处置部分股权投资等原因丧失了对被投资单位控制权的，在编制个别财务报表时，剩余股权能够对 被投资单位实施共同控制或重大影响的，改按权益法核算，并对该剩余股权视同自取得时即采用权益法核 算进行调整，对于取得被投资单位控制权之前确认的其他综合收益采用与被投资单位直接处置相关资产或 负债相同的基础按比例结转，因采用权益法核算确认的其他所有者权益变动按比例结转入当期损益；剩余 股权不能对被投资单位实施共同控制或施加重大影响的，确认为金融资产，其在丧失控制之日的公允价值 与账面价值间的差额计入当期损益，对于取得被投资单位控制权之前确认的其他综合收益和其他所有者权 益变动全部结转。</w:t>
      </w:r>
    </w:p>
    <w:p>
      <w:pPr>
        <w:pStyle w:val="Style25"/>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通过多次交易分步处置对子公司股权投资直至丧失控制权，属于一揽子交易的，各项交易作为一项处 置子公司股权投资并丧失控制权的交易进行会计处理；在丧失控制权之前每一次处置价款与所处置的股权 对应得长期股权投资账面价值之间的差额，在个别财务报表中，先确认为其他综合收益，到丧失控制权时 再一并转人丧失控制权的当期损益。不属于一揽子交易的，对每一项交易分别进行会计处理。</w:t>
      </w:r>
    </w:p>
    <w:p>
      <w:pPr>
        <w:pStyle w:val="Style31"/>
        <w:keepNext/>
        <w:keepLines/>
        <w:widowControl w:val="0"/>
        <w:shd w:val="clear" w:color="auto" w:fill="auto"/>
        <w:tabs>
          <w:tab w:pos="451" w:val="left"/>
        </w:tabs>
        <w:bidi w:val="0"/>
        <w:spacing w:before="0" w:after="120" w:line="480"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798"/>
      <w:bookmarkEnd w:id="799"/>
      <w:bookmarkEnd w:id="801"/>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投资性房地产计量模式</w:t>
      </w:r>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成本法计量</w:t>
      </w:r>
    </w:p>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折旧或摊销方法</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25"/>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本公司对现有投资性房地产采用成本模式计量。与投资性房地产有关的后续支出，在相关的经济利益 很可能流入且其成本能够可靠的计量时，计入投资性房地产成本；否则，于发生时计入当期损益。对按照 成本模式计量的投资性房地产一出租用建筑物采用与本公司固定资产相同的折旧政策，出租用土地使用权 按与无形资产相同的摊销政策执行。</w:t>
      </w:r>
    </w:p>
    <w:p>
      <w:pPr>
        <w:pStyle w:val="Style31"/>
        <w:keepNext/>
        <w:keepLines/>
        <w:widowControl w:val="0"/>
        <w:shd w:val="clear" w:color="auto" w:fill="auto"/>
        <w:tabs>
          <w:tab w:pos="451" w:val="left"/>
        </w:tabs>
        <w:bidi w:val="0"/>
        <w:spacing w:before="0" w:after="0" w:line="480" w:lineRule="auto"/>
        <w:ind w:left="0" w:right="0" w:firstLine="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7</w:t>
      </w:r>
      <w:r>
        <w:rPr>
          <w:color w:val="000000"/>
          <w:spacing w:val="0"/>
          <w:w w:val="100"/>
          <w:position w:val="0"/>
        </w:rPr>
        <w:t>、</w:t>
        <w:tab/>
        <w:t>固定资产</w:t>
      </w:r>
      <w:bookmarkEnd w:id="802"/>
      <w:bookmarkEnd w:id="803"/>
      <w:bookmarkEnd w:id="805"/>
    </w:p>
    <w:p>
      <w:pPr>
        <w:pStyle w:val="Style37"/>
        <w:keepNext/>
        <w:keepLines/>
        <w:widowControl w:val="0"/>
        <w:shd w:val="clear" w:color="auto" w:fill="auto"/>
        <w:bidi w:val="0"/>
        <w:spacing w:before="0" w:after="460" w:line="468" w:lineRule="exact"/>
        <w:ind w:left="0" w:right="0" w:firstLine="0"/>
        <w:jc w:val="both"/>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6"/>
      <w:bookmarkEnd w:id="807"/>
      <w:bookmarkEnd w:id="809"/>
    </w:p>
    <w:p>
      <w:pPr>
        <w:pStyle w:val="Style25"/>
        <w:keepNext w:val="0"/>
        <w:keepLines w:val="0"/>
        <w:widowControl w:val="0"/>
        <w:shd w:val="clear" w:color="auto" w:fill="auto"/>
        <w:bidi w:val="0"/>
        <w:spacing w:before="0" w:after="0"/>
        <w:ind w:left="0" w:right="0" w:firstLine="440"/>
        <w:jc w:val="both"/>
      </w:pPr>
      <w:bookmarkStart w:id="810" w:name="bookmark810"/>
      <w:r>
        <w:rPr>
          <w:rFonts w:ascii="Times New Roman" w:eastAsia="Times New Roman" w:hAnsi="Times New Roman" w:cs="Times New Roman"/>
          <w:color w:val="000000"/>
          <w:spacing w:val="0"/>
          <w:w w:val="100"/>
          <w:position w:val="0"/>
        </w:rPr>
        <w:t>1</w:t>
      </w:r>
      <w:bookmarkEnd w:id="810"/>
      <w:r>
        <w:rPr>
          <w:color w:val="000000"/>
          <w:spacing w:val="0"/>
          <w:w w:val="100"/>
          <w:position w:val="0"/>
        </w:rPr>
        <w:t>）固定资产确认条件</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25"/>
        <w:keepNext w:val="0"/>
        <w:keepLines w:val="0"/>
        <w:widowControl w:val="0"/>
        <w:numPr>
          <w:ilvl w:val="0"/>
          <w:numId w:val="29"/>
        </w:numPr>
        <w:shd w:val="clear" w:color="auto" w:fill="auto"/>
        <w:bidi w:val="0"/>
        <w:spacing w:before="0" w:after="120" w:line="468" w:lineRule="exact"/>
        <w:ind w:left="0" w:right="0" w:firstLine="440"/>
        <w:jc w:val="both"/>
      </w:pPr>
      <w:bookmarkStart w:id="811" w:name="bookmark811"/>
      <w:bookmarkEnd w:id="811"/>
      <w:r>
        <w:rPr>
          <w:color w:val="000000"/>
          <w:spacing w:val="0"/>
          <w:w w:val="100"/>
          <w:position w:val="0"/>
        </w:rPr>
        <w:t>与该固定资产有关的经济利益很可能流入企业；</w:t>
      </w:r>
    </w:p>
    <w:p>
      <w:pPr>
        <w:pStyle w:val="Style25"/>
        <w:keepNext w:val="0"/>
        <w:keepLines w:val="0"/>
        <w:widowControl w:val="0"/>
        <w:numPr>
          <w:ilvl w:val="0"/>
          <w:numId w:val="29"/>
        </w:numPr>
        <w:shd w:val="clear" w:color="auto" w:fill="auto"/>
        <w:bidi w:val="0"/>
        <w:spacing w:before="0" w:after="260" w:line="240" w:lineRule="auto"/>
        <w:ind w:left="0" w:right="0" w:firstLine="440"/>
        <w:jc w:val="both"/>
      </w:pPr>
      <w:bookmarkStart w:id="812" w:name="bookmark812"/>
      <w:bookmarkEnd w:id="812"/>
      <w:r>
        <w:rPr>
          <w:color w:val="000000"/>
          <w:spacing w:val="0"/>
          <w:w w:val="100"/>
          <w:position w:val="0"/>
        </w:rPr>
        <w:t>该固定资产的成本能够可靠地计量。</w:t>
      </w:r>
    </w:p>
    <w:p>
      <w:pPr>
        <w:pStyle w:val="Style25"/>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固定资产按成本（并考虑预计弃置费用因素的影响）进行初始计量。</w:t>
      </w:r>
    </w:p>
    <w:p>
      <w:pPr>
        <w:pStyle w:val="Style25"/>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与固定资产有关的后续支出，在与其有关的经济利益很可能流入且其成本能够可靠计量时，计入固定</w:t>
      </w:r>
    </w:p>
    <w:p>
      <w:pPr>
        <w:pStyle w:val="Style25"/>
        <w:keepNext w:val="0"/>
        <w:keepLines w:val="0"/>
        <w:widowControl w:val="0"/>
        <w:shd w:val="clear" w:color="auto" w:fill="auto"/>
        <w:bidi w:val="0"/>
        <w:spacing w:before="0" w:after="440" w:line="240" w:lineRule="auto"/>
        <w:ind w:left="0" w:right="0" w:firstLine="0"/>
        <w:jc w:val="both"/>
      </w:pPr>
      <w:r>
        <w:rPr>
          <w:color w:val="000000"/>
          <w:spacing w:val="0"/>
          <w:w w:val="100"/>
          <w:position w:val="0"/>
        </w:rPr>
        <w:t>资产成本；对于被替换的部分，终止确认其账面价值；所有其他后续支出于发生时计入当期损益。</w:t>
      </w:r>
    </w:p>
    <w:p>
      <w:pPr>
        <w:pStyle w:val="Style37"/>
        <w:keepNext/>
        <w:keepLines/>
        <w:widowControl w:val="0"/>
        <w:shd w:val="clear" w:color="auto" w:fill="auto"/>
        <w:bidi w:val="0"/>
        <w:spacing w:before="0" w:after="340" w:line="240" w:lineRule="auto"/>
        <w:ind w:left="0" w:right="0" w:firstLine="0"/>
        <w:jc w:val="both"/>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13"/>
      <w:bookmarkEnd w:id="814"/>
      <w:bookmarkEnd w:id="816"/>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25"/>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固定资产折旧采用年限平均法分类计提，根据固定资产类别、预计使用寿命和预计净残值率确定折旧 率。对计提了减值准备的固定资产，则在未来期间按扣除减值准备后的账面价值及依据尚可使用年限确定 折旧额。如固定资产各组成部分的使用寿命不同或者以不同方式为企业提供经济利益，则选择不同折旧率 或折旧方法，分别计提折旧。</w:t>
      </w:r>
    </w:p>
    <w:p>
      <w:pPr>
        <w:pStyle w:val="Style25"/>
        <w:keepNext w:val="0"/>
        <w:keepLines w:val="0"/>
        <w:widowControl w:val="0"/>
        <w:shd w:val="clear" w:color="auto" w:fill="auto"/>
        <w:bidi w:val="0"/>
        <w:spacing w:before="0" w:after="560" w:line="466" w:lineRule="exact"/>
        <w:ind w:left="0" w:right="0" w:firstLine="440"/>
        <w:jc w:val="both"/>
      </w:pPr>
      <w:r>
        <w:rPr>
          <w:color w:val="000000"/>
          <w:spacing w:val="0"/>
          <w:w w:val="100"/>
          <w:position w:val="0"/>
        </w:rPr>
        <w:t>融资租赁方式租入的固定资产采用与自有固定资产相一致的折旧政策。能合理确定租赁期届满时将会 取得租赁资产所有权的，在租赁资产尚可使用年限内计提折旧；无法合理确定租赁期届满时能够取得租赁 资产所有权的，在租赁期与租赁资产尚可使用年限两者中较短的期间内计提折旧。</w:t>
      </w:r>
    </w:p>
    <w:p>
      <w:pPr>
        <w:pStyle w:val="Style37"/>
        <w:keepNext/>
        <w:keepLines/>
        <w:widowControl w:val="0"/>
        <w:shd w:val="clear" w:color="auto" w:fill="auto"/>
        <w:bidi w:val="0"/>
        <w:spacing w:before="0" w:after="260" w:line="466" w:lineRule="exact"/>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7"/>
      <w:bookmarkEnd w:id="818"/>
      <w:bookmarkEnd w:id="820"/>
    </w:p>
    <w:p>
      <w:pPr>
        <w:pStyle w:val="Style25"/>
        <w:keepNext w:val="0"/>
        <w:keepLines w:val="0"/>
        <w:widowControl w:val="0"/>
        <w:shd w:val="clear" w:color="auto" w:fill="auto"/>
        <w:bidi w:val="0"/>
        <w:spacing w:before="0" w:after="260" w:line="466" w:lineRule="exact"/>
        <w:ind w:left="0" w:right="0" w:firstLine="440"/>
        <w:jc w:val="left"/>
      </w:pPr>
      <w:r>
        <w:rPr>
          <w:color w:val="000000"/>
          <w:spacing w:val="0"/>
          <w:w w:val="100"/>
          <w:position w:val="0"/>
        </w:rPr>
        <w:t>公司与租赁方所签订的租赁协议条款中规定了下列条件之一的，确认为融资租入资产：</w:t>
      </w:r>
    </w:p>
    <w:p>
      <w:pPr>
        <w:pStyle w:val="Style25"/>
        <w:keepNext w:val="0"/>
        <w:keepLines w:val="0"/>
        <w:widowControl w:val="0"/>
        <w:shd w:val="clear" w:color="auto" w:fill="auto"/>
        <w:tabs>
          <w:tab w:pos="813" w:val="left"/>
        </w:tabs>
        <w:bidi w:val="0"/>
        <w:spacing w:before="0" w:after="40"/>
        <w:ind w:left="0" w:right="0" w:firstLine="440"/>
        <w:jc w:val="left"/>
      </w:pPr>
      <w:bookmarkStart w:id="821" w:name="bookmark821"/>
      <w:r>
        <w:rPr>
          <w:rFonts w:ascii="Times New Roman" w:eastAsia="Times New Roman" w:hAnsi="Times New Roman" w:cs="Times New Roman"/>
          <w:color w:val="000000"/>
          <w:spacing w:val="0"/>
          <w:w w:val="100"/>
          <w:position w:val="0"/>
        </w:rPr>
        <w:t>1</w:t>
      </w:r>
      <w:bookmarkEnd w:id="821"/>
      <w:r>
        <w:rPr>
          <w:color w:val="000000"/>
          <w:spacing w:val="0"/>
          <w:w w:val="100"/>
          <w:position w:val="0"/>
        </w:rPr>
        <w:t>）</w:t>
        <w:tab/>
        <w:t>租赁期满后租赁资产的所有权归属于本公司；</w:t>
      </w:r>
    </w:p>
    <w:p>
      <w:pPr>
        <w:pStyle w:val="Style25"/>
        <w:keepNext w:val="0"/>
        <w:keepLines w:val="0"/>
        <w:widowControl w:val="0"/>
        <w:shd w:val="clear" w:color="auto" w:fill="auto"/>
        <w:bidi w:val="0"/>
        <w:spacing w:before="0" w:after="40"/>
        <w:ind w:left="0" w:right="0" w:firstLine="440"/>
        <w:jc w:val="left"/>
      </w:pPr>
      <w:bookmarkStart w:id="822" w:name="bookmark822"/>
      <w:r>
        <w:rPr>
          <w:rFonts w:ascii="Times New Roman" w:eastAsia="Times New Roman" w:hAnsi="Times New Roman" w:cs="Times New Roman"/>
          <w:color w:val="000000"/>
          <w:spacing w:val="0"/>
          <w:w w:val="100"/>
          <w:position w:val="0"/>
        </w:rPr>
        <w:t>2</w:t>
      </w:r>
      <w:bookmarkEnd w:id="822"/>
      <w:r>
        <w:rPr>
          <w:color w:val="000000"/>
          <w:spacing w:val="0"/>
          <w:w w:val="100"/>
          <w:position w:val="0"/>
        </w:rPr>
        <w:t>） 公司具有购买资产的选择权，购买价款远低于行使选择权时该资产的公允价值；</w:t>
      </w:r>
    </w:p>
    <w:p>
      <w:pPr>
        <w:pStyle w:val="Style25"/>
        <w:keepNext w:val="0"/>
        <w:keepLines w:val="0"/>
        <w:widowControl w:val="0"/>
        <w:shd w:val="clear" w:color="auto" w:fill="auto"/>
        <w:tabs>
          <w:tab w:pos="832" w:val="left"/>
        </w:tabs>
        <w:bidi w:val="0"/>
        <w:spacing w:before="0" w:after="40"/>
        <w:ind w:left="0" w:right="0" w:firstLine="440"/>
        <w:jc w:val="left"/>
      </w:pPr>
      <w:bookmarkStart w:id="823" w:name="bookmark823"/>
      <w:r>
        <w:rPr>
          <w:rFonts w:ascii="Times New Roman" w:eastAsia="Times New Roman" w:hAnsi="Times New Roman" w:cs="Times New Roman"/>
          <w:color w:val="000000"/>
          <w:spacing w:val="0"/>
          <w:w w:val="100"/>
          <w:position w:val="0"/>
        </w:rPr>
        <w:t>3</w:t>
      </w:r>
      <w:bookmarkEnd w:id="823"/>
      <w:r>
        <w:rPr>
          <w:color w:val="000000"/>
          <w:spacing w:val="0"/>
          <w:w w:val="100"/>
          <w:position w:val="0"/>
        </w:rPr>
        <w:t>）</w:t>
        <w:tab/>
        <w:t>租赁期占所租赁资产使用寿命的大部分；</w:t>
      </w:r>
    </w:p>
    <w:p>
      <w:pPr>
        <w:pStyle w:val="Style25"/>
        <w:keepNext w:val="0"/>
        <w:keepLines w:val="0"/>
        <w:widowControl w:val="0"/>
        <w:shd w:val="clear" w:color="auto" w:fill="auto"/>
        <w:tabs>
          <w:tab w:pos="832" w:val="left"/>
        </w:tabs>
        <w:bidi w:val="0"/>
        <w:spacing w:before="0" w:after="40"/>
        <w:ind w:left="0" w:right="0" w:firstLine="440"/>
        <w:jc w:val="left"/>
      </w:pPr>
      <w:bookmarkStart w:id="824" w:name="bookmark824"/>
      <w:r>
        <w:rPr>
          <w:rFonts w:ascii="Times New Roman" w:eastAsia="Times New Roman" w:hAnsi="Times New Roman" w:cs="Times New Roman"/>
          <w:color w:val="000000"/>
          <w:spacing w:val="0"/>
          <w:w w:val="100"/>
          <w:position w:val="0"/>
        </w:rPr>
        <w:t>4</w:t>
      </w:r>
      <w:bookmarkEnd w:id="824"/>
      <w:r>
        <w:rPr>
          <w:color w:val="000000"/>
          <w:spacing w:val="0"/>
          <w:w w:val="100"/>
          <w:position w:val="0"/>
        </w:rPr>
        <w:t>）</w:t>
        <w:tab/>
        <w:t>租赁开始日的最低租赁付款额现值，与该资产的公允价值不存在较大的差异；</w:t>
      </w:r>
    </w:p>
    <w:p>
      <w:pPr>
        <w:pStyle w:val="Style25"/>
        <w:keepNext w:val="0"/>
        <w:keepLines w:val="0"/>
        <w:widowControl w:val="0"/>
        <w:shd w:val="clear" w:color="auto" w:fill="auto"/>
        <w:tabs>
          <w:tab w:pos="832" w:val="left"/>
        </w:tabs>
        <w:bidi w:val="0"/>
        <w:spacing w:before="0" w:after="0" w:line="506" w:lineRule="auto"/>
        <w:ind w:left="0" w:right="0" w:firstLine="440"/>
        <w:jc w:val="left"/>
      </w:pPr>
      <w:bookmarkStart w:id="825" w:name="bookmark825"/>
      <w:r>
        <w:rPr>
          <w:rFonts w:ascii="Times New Roman" w:eastAsia="Times New Roman" w:hAnsi="Times New Roman" w:cs="Times New Roman"/>
          <w:color w:val="000000"/>
          <w:spacing w:val="0"/>
          <w:w w:val="100"/>
          <w:position w:val="0"/>
        </w:rPr>
        <w:t>5</w:t>
      </w:r>
      <w:bookmarkEnd w:id="825"/>
      <w:r>
        <w:rPr>
          <w:color w:val="000000"/>
          <w:spacing w:val="0"/>
          <w:w w:val="100"/>
          <w:position w:val="0"/>
        </w:rPr>
        <w:t>）</w:t>
        <w:tab/>
        <w:t>租赁资产性质特殊，如果不作较大改造，只有承租人才能使用。</w:t>
      </w:r>
    </w:p>
    <w:p>
      <w:pPr>
        <w:pStyle w:val="Style25"/>
        <w:keepNext w:val="0"/>
        <w:keepLines w:val="0"/>
        <w:widowControl w:val="0"/>
        <w:shd w:val="clear" w:color="auto" w:fill="auto"/>
        <w:bidi w:val="0"/>
        <w:spacing w:before="0" w:after="260" w:line="485" w:lineRule="exact"/>
        <w:ind w:left="0" w:right="0" w:firstLine="440"/>
        <w:jc w:val="both"/>
      </w:pPr>
      <w:r>
        <w:rPr>
          <w:color w:val="000000"/>
          <w:spacing w:val="0"/>
          <w:w w:val="100"/>
          <w:position w:val="0"/>
        </w:rPr>
        <w:t>公司在承租开始日，将租赁资产公允价值与最低租赁付款额现值两者中较低者作为租入资产的入账价 值，将最低租赁付款额作为长期应付款的入账价值，其差额作为未确认的融资费。</w:t>
      </w:r>
    </w:p>
    <w:p>
      <w:pPr>
        <w:pStyle w:val="Style31"/>
        <w:keepNext/>
        <w:keepLines/>
        <w:widowControl w:val="0"/>
        <w:shd w:val="clear" w:color="auto" w:fill="auto"/>
        <w:tabs>
          <w:tab w:pos="474" w:val="left"/>
        </w:tabs>
        <w:bidi w:val="0"/>
        <w:spacing w:before="0" w:after="200" w:line="470" w:lineRule="exact"/>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8</w:t>
      </w:r>
      <w:r>
        <w:rPr>
          <w:color w:val="000000"/>
          <w:spacing w:val="0"/>
          <w:w w:val="100"/>
          <w:position w:val="0"/>
        </w:rPr>
        <w:t>、</w:t>
        <w:tab/>
        <w:t>在建工程</w:t>
      </w:r>
      <w:bookmarkEnd w:id="826"/>
      <w:bookmarkEnd w:id="827"/>
      <w:bookmarkEnd w:id="829"/>
    </w:p>
    <w:p>
      <w:pPr>
        <w:pStyle w:val="Style25"/>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在建工程按实际发生的成本计量。实际成本包括建筑成本、安装成本、符合资本化条件的借款费用以 及其他为使在建工程达到预定可使用状态前所发生的必要支出。在建工程在达到预定可使用状态时，转入 固定资产并自次月起开始计提折旧。</w:t>
      </w:r>
    </w:p>
    <w:p>
      <w:pPr>
        <w:pStyle w:val="Style31"/>
        <w:keepNext/>
        <w:keepLines/>
        <w:widowControl w:val="0"/>
        <w:shd w:val="clear" w:color="auto" w:fill="auto"/>
        <w:tabs>
          <w:tab w:pos="474" w:val="left"/>
        </w:tabs>
        <w:bidi w:val="0"/>
        <w:spacing w:before="0" w:after="200" w:line="470" w:lineRule="exact"/>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9</w:t>
      </w:r>
      <w:r>
        <w:rPr>
          <w:color w:val="000000"/>
          <w:spacing w:val="0"/>
          <w:w w:val="100"/>
          <w:position w:val="0"/>
        </w:rPr>
        <w:t>、</w:t>
        <w:tab/>
        <w:t>借款费用</w:t>
      </w:r>
      <w:bookmarkEnd w:id="830"/>
      <w:bookmarkEnd w:id="831"/>
      <w:bookmarkEnd w:id="833"/>
    </w:p>
    <w:p>
      <w:pPr>
        <w:pStyle w:val="Style25"/>
        <w:keepNext w:val="0"/>
        <w:keepLines w:val="0"/>
        <w:widowControl w:val="0"/>
        <w:shd w:val="clear" w:color="auto" w:fill="auto"/>
        <w:tabs>
          <w:tab w:pos="928" w:val="left"/>
        </w:tabs>
        <w:bidi w:val="0"/>
        <w:spacing w:before="0" w:after="0" w:line="470" w:lineRule="exact"/>
        <w:ind w:left="0" w:right="0" w:firstLine="440"/>
        <w:jc w:val="left"/>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25"/>
        <w:keepNext w:val="0"/>
        <w:keepLines w:val="0"/>
        <w:widowControl w:val="0"/>
        <w:shd w:val="clear" w:color="auto" w:fill="auto"/>
        <w:tabs>
          <w:tab w:pos="928" w:val="left"/>
        </w:tabs>
        <w:bidi w:val="0"/>
        <w:spacing w:before="0" w:after="0" w:line="470" w:lineRule="exact"/>
        <w:ind w:left="0" w:right="0" w:firstLine="440"/>
        <w:jc w:val="left"/>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借款费用同时满足下列条件时开始资本化：</w:t>
      </w:r>
    </w:p>
    <w:p>
      <w:pPr>
        <w:pStyle w:val="Style25"/>
        <w:keepNext w:val="0"/>
        <w:keepLines w:val="0"/>
        <w:widowControl w:val="0"/>
        <w:shd w:val="clear" w:color="auto" w:fill="auto"/>
        <w:tabs>
          <w:tab w:pos="810" w:val="left"/>
        </w:tabs>
        <w:bidi w:val="0"/>
        <w:spacing w:before="0" w:after="0" w:line="466" w:lineRule="exact"/>
        <w:ind w:left="0" w:right="0" w:firstLine="440"/>
        <w:jc w:val="both"/>
      </w:pPr>
      <w:bookmarkStart w:id="836" w:name="bookmark836"/>
      <w:r>
        <w:rPr>
          <w:rFonts w:ascii="Times New Roman" w:eastAsia="Times New Roman" w:hAnsi="Times New Roman" w:cs="Times New Roman"/>
          <w:color w:val="000000"/>
          <w:spacing w:val="0"/>
          <w:w w:val="100"/>
          <w:position w:val="0"/>
        </w:rPr>
        <w:t>1</w:t>
      </w:r>
      <w:bookmarkEnd w:id="836"/>
      <w:r>
        <w:rPr>
          <w:color w:val="000000"/>
          <w:spacing w:val="0"/>
          <w:w w:val="100"/>
          <w:position w:val="0"/>
        </w:rPr>
        <w:t>）</w:t>
        <w:tab/>
        <w:t>资产支出已经发生，资产支出包括为购建或者生产符合资本化条件的资产而以支付现金、转移非 现金资产或者承担带息债务形式发生的支出；</w:t>
      </w:r>
    </w:p>
    <w:p>
      <w:pPr>
        <w:pStyle w:val="Style25"/>
        <w:keepNext w:val="0"/>
        <w:keepLines w:val="0"/>
        <w:widowControl w:val="0"/>
        <w:shd w:val="clear" w:color="auto" w:fill="auto"/>
        <w:tabs>
          <w:tab w:pos="832" w:val="left"/>
        </w:tabs>
        <w:bidi w:val="0"/>
        <w:spacing w:before="0" w:after="0" w:line="470" w:lineRule="exact"/>
        <w:ind w:left="0" w:right="0" w:firstLine="440"/>
        <w:jc w:val="both"/>
      </w:pPr>
      <w:bookmarkStart w:id="837" w:name="bookmark837"/>
      <w:r>
        <w:rPr>
          <w:rFonts w:ascii="Times New Roman" w:eastAsia="Times New Roman" w:hAnsi="Times New Roman" w:cs="Times New Roman"/>
          <w:color w:val="000000"/>
          <w:spacing w:val="0"/>
          <w:w w:val="100"/>
          <w:position w:val="0"/>
        </w:rPr>
        <w:t>2</w:t>
      </w:r>
      <w:bookmarkEnd w:id="837"/>
      <w:r>
        <w:rPr>
          <w:color w:val="000000"/>
          <w:spacing w:val="0"/>
          <w:w w:val="100"/>
          <w:position w:val="0"/>
        </w:rPr>
        <w:t>）</w:t>
        <w:tab/>
        <w:t>借款费用已经发生；</w:t>
      </w:r>
    </w:p>
    <w:p>
      <w:pPr>
        <w:pStyle w:val="Style25"/>
        <w:keepNext w:val="0"/>
        <w:keepLines w:val="0"/>
        <w:widowControl w:val="0"/>
        <w:shd w:val="clear" w:color="auto" w:fill="auto"/>
        <w:tabs>
          <w:tab w:pos="832" w:val="left"/>
        </w:tabs>
        <w:bidi w:val="0"/>
        <w:spacing w:before="0" w:after="0" w:line="470" w:lineRule="exact"/>
        <w:ind w:left="0" w:right="0" w:firstLine="440"/>
        <w:jc w:val="both"/>
      </w:pPr>
      <w:bookmarkStart w:id="838" w:name="bookmark838"/>
      <w:r>
        <w:rPr>
          <w:rFonts w:ascii="Times New Roman" w:eastAsia="Times New Roman" w:hAnsi="Times New Roman" w:cs="Times New Roman"/>
          <w:color w:val="000000"/>
          <w:spacing w:val="0"/>
          <w:w w:val="100"/>
          <w:position w:val="0"/>
        </w:rPr>
        <w:t>3</w:t>
      </w:r>
      <w:bookmarkEnd w:id="838"/>
      <w:r>
        <w:rPr>
          <w:color w:val="000000"/>
          <w:spacing w:val="0"/>
          <w:w w:val="100"/>
          <w:position w:val="0"/>
        </w:rPr>
        <w:t>）</w:t>
        <w:tab/>
        <w:t>为使资产达到预定可使用或者可销售状态所必要的购建或者生产活动已经开始。</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25"/>
        <w:keepNext w:val="0"/>
        <w:keepLines w:val="0"/>
        <w:widowControl w:val="0"/>
        <w:shd w:val="clear" w:color="auto" w:fill="auto"/>
        <w:tabs>
          <w:tab w:pos="928" w:val="left"/>
        </w:tabs>
        <w:bidi w:val="0"/>
        <w:spacing w:before="0" w:after="0" w:line="470" w:lineRule="exact"/>
        <w:ind w:left="0" w:right="0" w:firstLine="44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25"/>
        <w:keepNext w:val="0"/>
        <w:keepLines w:val="0"/>
        <w:widowControl w:val="0"/>
        <w:shd w:val="clear" w:color="auto" w:fill="auto"/>
        <w:bidi w:val="0"/>
        <w:spacing w:before="0" w:after="0" w:line="470" w:lineRule="exact"/>
        <w:ind w:left="0" w:right="0" w:firstLine="44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4</w:t>
      </w:r>
      <w:r>
        <w:rPr>
          <w:color w:val="000000"/>
          <w:spacing w:val="0"/>
          <w:w w:val="100"/>
          <w:position w:val="0"/>
        </w:rPr>
        <w:t>） 借款费用资本化率、资本化金额的计算方法</w:t>
      </w:r>
    </w:p>
    <w:p>
      <w:pPr>
        <w:pStyle w:val="Style25"/>
        <w:keepNext w:val="0"/>
        <w:keepLines w:val="0"/>
        <w:widowControl w:val="0"/>
        <w:shd w:val="clear" w:color="auto" w:fill="auto"/>
        <w:bidi w:val="0"/>
        <w:spacing w:before="0" w:after="0" w:line="461" w:lineRule="exact"/>
        <w:ind w:left="0" w:right="0" w:firstLine="440"/>
        <w:jc w:val="both"/>
      </w:pPr>
      <w:r>
        <w:rPr>
          <w:color w:val="000000"/>
          <w:spacing w:val="0"/>
          <w:w w:val="100"/>
          <w:position w:val="0"/>
        </w:rPr>
        <w:t xml:space="preserve">对于为购建或者生产符合资本化条件的资产而借入的专门借款，以专门借款当期实际发生的借款费 用，减去尚未动用的借款资金存入银行取得的利息收入或进行暂时性投资取得的投资收益后的金额，来确 </w:t>
      </w:r>
      <w:r>
        <w:rPr>
          <w:color w:val="000000"/>
          <w:spacing w:val="0"/>
          <w:w w:val="100"/>
          <w:position w:val="0"/>
        </w:rPr>
        <w:t>定借款费用的资本化金额。</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资本化率根据一般借款加权平均实际利率计算确定。</w:t>
      </w:r>
    </w:p>
    <w:p>
      <w:pPr>
        <w:pStyle w:val="Style25"/>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在资本化期间内，外币专门借款本金及利息的汇兑差额，予以资本化，计入符合资本化条件的资产的 成本。除外币专门借款之外的其他外币借款本金及其利息所产生的汇兑差额计入当期损益。</w:t>
      </w:r>
    </w:p>
    <w:p>
      <w:pPr>
        <w:pStyle w:val="Style31"/>
        <w:keepNext/>
        <w:keepLines/>
        <w:widowControl w:val="0"/>
        <w:shd w:val="clear" w:color="auto" w:fill="auto"/>
        <w:bidi w:val="0"/>
        <w:spacing w:before="0" w:after="0" w:line="492"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841"/>
      <w:bookmarkEnd w:id="842"/>
      <w:bookmarkEnd w:id="844"/>
    </w:p>
    <w:p>
      <w:pPr>
        <w:pStyle w:val="Style37"/>
        <w:keepNext/>
        <w:keepLines/>
        <w:widowControl w:val="0"/>
        <w:shd w:val="clear" w:color="auto" w:fill="auto"/>
        <w:bidi w:val="0"/>
        <w:spacing w:before="0" w:after="440" w:line="470" w:lineRule="exact"/>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5"/>
      <w:bookmarkEnd w:id="846"/>
      <w:bookmarkEnd w:id="848"/>
    </w:p>
    <w:p>
      <w:pPr>
        <w:pStyle w:val="Style25"/>
        <w:keepNext w:val="0"/>
        <w:keepLines w:val="0"/>
        <w:widowControl w:val="0"/>
        <w:shd w:val="clear" w:color="auto" w:fill="auto"/>
        <w:tabs>
          <w:tab w:pos="813" w:val="left"/>
        </w:tabs>
        <w:bidi w:val="0"/>
        <w:spacing w:before="0" w:after="0" w:line="492" w:lineRule="auto"/>
        <w:ind w:left="0" w:right="0" w:firstLine="440"/>
        <w:jc w:val="left"/>
      </w:pPr>
      <w:bookmarkStart w:id="849" w:name="bookmark849"/>
      <w:r>
        <w:rPr>
          <w:rFonts w:ascii="Times New Roman" w:eastAsia="Times New Roman" w:hAnsi="Times New Roman" w:cs="Times New Roman"/>
          <w:color w:val="000000"/>
          <w:spacing w:val="0"/>
          <w:w w:val="100"/>
          <w:position w:val="0"/>
        </w:rPr>
        <w:t>1</w:t>
      </w:r>
      <w:bookmarkEnd w:id="849"/>
      <w:r>
        <w:rPr>
          <w:color w:val="000000"/>
          <w:spacing w:val="0"/>
          <w:w w:val="100"/>
          <w:position w:val="0"/>
        </w:rPr>
        <w:t>）</w:t>
        <w:tab/>
        <w:t>无形资产的计价方法</w:t>
      </w:r>
    </w:p>
    <w:p>
      <w:pPr>
        <w:pStyle w:val="Style25"/>
        <w:keepNext w:val="0"/>
        <w:keepLines w:val="0"/>
        <w:widowControl w:val="0"/>
        <w:numPr>
          <w:ilvl w:val="0"/>
          <w:numId w:val="31"/>
        </w:numPr>
        <w:shd w:val="clear" w:color="auto" w:fill="auto"/>
        <w:tabs>
          <w:tab w:pos="832" w:val="left"/>
        </w:tabs>
        <w:bidi w:val="0"/>
        <w:spacing w:before="0" w:after="0" w:line="470" w:lineRule="exact"/>
        <w:ind w:left="0" w:right="0" w:firstLine="440"/>
        <w:jc w:val="left"/>
      </w:pPr>
      <w:bookmarkStart w:id="850" w:name="bookmark850"/>
      <w:bookmarkEnd w:id="850"/>
      <w:r>
        <w:rPr>
          <w:color w:val="000000"/>
          <w:spacing w:val="0"/>
          <w:w w:val="100"/>
          <w:position w:val="0"/>
        </w:rPr>
        <w:t>公司取得无形资产时按成本进行初始计量；</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外购无形资产的成本，包括购买价款、相关税费以及直接归属于使该项资产达到预定用途所发生的其 他支出。</w:t>
      </w:r>
    </w:p>
    <w:p>
      <w:pPr>
        <w:pStyle w:val="Style25"/>
        <w:keepNext w:val="0"/>
        <w:keepLines w:val="0"/>
        <w:widowControl w:val="0"/>
        <w:numPr>
          <w:ilvl w:val="0"/>
          <w:numId w:val="31"/>
        </w:numPr>
        <w:shd w:val="clear" w:color="auto" w:fill="auto"/>
        <w:tabs>
          <w:tab w:pos="837" w:val="left"/>
        </w:tabs>
        <w:bidi w:val="0"/>
        <w:spacing w:before="0" w:after="0" w:line="470" w:lineRule="exact"/>
        <w:ind w:left="0" w:right="0" w:firstLine="440"/>
        <w:jc w:val="left"/>
      </w:pPr>
      <w:bookmarkStart w:id="851" w:name="bookmark851"/>
      <w:bookmarkEnd w:id="851"/>
      <w:r>
        <w:rPr>
          <w:color w:val="000000"/>
          <w:spacing w:val="0"/>
          <w:w w:val="100"/>
          <w:position w:val="0"/>
        </w:rPr>
        <w:t>后续计量</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在取得无形资产时分析判断其使用寿命。</w:t>
      </w:r>
    </w:p>
    <w:p>
      <w:pPr>
        <w:pStyle w:val="Style2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对于使用寿命有限的无形资产，在为企业带来经济利益的期限内摊销；无法预见无形资产为企业带来 经济利益期限的，视为使用寿命不确定的无形资产，不予摊销。</w:t>
      </w:r>
    </w:p>
    <w:p>
      <w:pPr>
        <w:pStyle w:val="Style25"/>
        <w:keepNext w:val="0"/>
        <w:keepLines w:val="0"/>
        <w:widowControl w:val="0"/>
        <w:shd w:val="clear" w:color="auto" w:fill="auto"/>
        <w:tabs>
          <w:tab w:pos="832" w:val="left"/>
        </w:tabs>
        <w:bidi w:val="0"/>
        <w:spacing w:before="0" w:after="0" w:line="492" w:lineRule="auto"/>
        <w:ind w:left="0" w:right="0" w:firstLine="440"/>
        <w:jc w:val="both"/>
      </w:pPr>
      <w:bookmarkStart w:id="852" w:name="bookmark852"/>
      <w:r>
        <w:rPr>
          <w:rFonts w:ascii="Times New Roman" w:eastAsia="Times New Roman" w:hAnsi="Times New Roman" w:cs="Times New Roman"/>
          <w:color w:val="000000"/>
          <w:spacing w:val="0"/>
          <w:w w:val="100"/>
          <w:position w:val="0"/>
        </w:rPr>
        <w:t>2</w:t>
      </w:r>
      <w:bookmarkEnd w:id="852"/>
      <w:r>
        <w:rPr>
          <w:color w:val="000000"/>
          <w:spacing w:val="0"/>
          <w:w w:val="100"/>
          <w:position w:val="0"/>
        </w:rPr>
        <w:t>）</w:t>
        <w:tab/>
        <w:t>使用寿命有限的无形资产的使用寿命估计情况</w:t>
      </w:r>
    </w:p>
    <w:tbl>
      <w:tblPr>
        <w:tblOverlap w:val="never"/>
        <w:jc w:val="center"/>
        <w:tblLayout w:type="fixed"/>
      </w:tblPr>
      <w:tblGrid>
        <w:gridCol w:w="1762"/>
        <w:gridCol w:w="2338"/>
        <w:gridCol w:w="308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预计使用寿命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预计受益年限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土地使用权证</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专利权有效期限</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非专利技术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预计受益年限</w:t>
            </w:r>
          </w:p>
        </w:tc>
      </w:tr>
    </w:tbl>
    <w:p>
      <w:pPr>
        <w:widowControl w:val="0"/>
        <w:spacing w:after="99" w:line="1" w:lineRule="exact"/>
      </w:pPr>
    </w:p>
    <w:p>
      <w:pPr>
        <w:pStyle w:val="Style25"/>
        <w:keepNext w:val="0"/>
        <w:keepLines w:val="0"/>
        <w:widowControl w:val="0"/>
        <w:shd w:val="clear" w:color="auto" w:fill="auto"/>
        <w:bidi w:val="0"/>
        <w:spacing w:before="0" w:after="220" w:line="240" w:lineRule="auto"/>
        <w:ind w:left="0" w:right="0" w:firstLine="440"/>
        <w:jc w:val="left"/>
      </w:pPr>
      <w:bookmarkStart w:id="853" w:name="bookmark853"/>
      <w:r>
        <w:rPr>
          <w:color w:val="000000"/>
          <w:spacing w:val="0"/>
          <w:w w:val="100"/>
          <w:position w:val="0"/>
        </w:rPr>
        <w:t>3</w:t>
      </w:r>
      <w:bookmarkEnd w:id="853"/>
      <w:r>
        <w:rPr>
          <w:color w:val="000000"/>
          <w:spacing w:val="0"/>
          <w:w w:val="100"/>
          <w:position w:val="0"/>
        </w:rPr>
        <w:t>）使用寿命不确定的无形资产的判断依据以及对其使用寿命进行复核的程序</w:t>
      </w:r>
    </w:p>
    <w:p>
      <w:pPr>
        <w:pStyle w:val="Style25"/>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截至资产负债表日，公司无使用寿命不确定的无形资产。</w:t>
      </w:r>
    </w:p>
    <w:p>
      <w:pPr>
        <w:pStyle w:val="Style37"/>
        <w:keepNext/>
        <w:keepLines/>
        <w:widowControl w:val="0"/>
        <w:shd w:val="clear" w:color="auto" w:fill="auto"/>
        <w:bidi w:val="0"/>
        <w:spacing w:before="0" w:after="440" w:line="240" w:lineRule="auto"/>
        <w:ind w:left="0" w:right="0" w:firstLine="140"/>
        <w:jc w:val="both"/>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54"/>
      <w:bookmarkEnd w:id="855"/>
      <w:bookmarkEnd w:id="857"/>
    </w:p>
    <w:p>
      <w:pPr>
        <w:pStyle w:val="Style2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1）</w:t>
      </w:r>
      <w:r>
        <w:rPr>
          <w:color w:val="000000"/>
          <w:spacing w:val="0"/>
          <w:w w:val="100"/>
          <w:position w:val="0"/>
        </w:rPr>
        <w:t>划分研究阶段和开发阶段的具体标准</w:t>
      </w:r>
    </w:p>
    <w:p>
      <w:pPr>
        <w:pStyle w:val="Style2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公司内部研究开发项目的支出分为研究阶段支出和开发阶段支出。</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公司制定了研发项目管理制度，明确每个研发项目均需要经过项目调研、立项申请、立项评审、项目 </w:t>
      </w:r>
      <w:r>
        <w:rPr>
          <w:color w:val="000000"/>
          <w:spacing w:val="0"/>
          <w:w w:val="100"/>
          <w:position w:val="0"/>
        </w:rPr>
        <w:t>启动、项目过程管理、项目阶段评估和项目验收阶段。</w:t>
      </w:r>
    </w:p>
    <w:p>
      <w:pPr>
        <w:pStyle w:val="Style2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研发费用的会计处理方式为：</w:t>
      </w:r>
    </w:p>
    <w:p>
      <w:pPr>
        <w:pStyle w:val="Style2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将研究阶段和不符合资本化条件的开发阶段的费用计入“研发费用”科目进行核算，计入当期损益；</w:t>
      </w:r>
    </w:p>
    <w:p>
      <w:pPr>
        <w:pStyle w:val="Style2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将符合资本化条件的开发阶段的费用计入“开发支出”科目进行核算，具体操作过程如下：</w:t>
      </w:r>
    </w:p>
    <w:p>
      <w:pPr>
        <w:pStyle w:val="Style25"/>
        <w:keepNext w:val="0"/>
        <w:keepLines w:val="0"/>
        <w:widowControl w:val="0"/>
        <w:numPr>
          <w:ilvl w:val="0"/>
          <w:numId w:val="33"/>
        </w:numPr>
        <w:shd w:val="clear" w:color="auto" w:fill="auto"/>
        <w:tabs>
          <w:tab w:pos="832" w:val="left"/>
        </w:tabs>
        <w:bidi w:val="0"/>
        <w:spacing w:before="0" w:after="0" w:line="467" w:lineRule="exact"/>
        <w:ind w:left="0" w:right="0" w:firstLine="440"/>
        <w:jc w:val="both"/>
      </w:pPr>
      <w:bookmarkStart w:id="858" w:name="bookmark858"/>
      <w:bookmarkEnd w:id="858"/>
      <w:r>
        <w:rPr>
          <w:color w:val="000000"/>
          <w:spacing w:val="0"/>
          <w:w w:val="100"/>
          <w:position w:val="0"/>
        </w:rPr>
        <w:t>研发费用资本化开始时点：</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在形成《项目可行性研究报告》后由公司组织项目评审组对项目的技术可行性、方案可行性、研发产 品未来市场情况、投资收益、投资风险、预算的合理性和项目资金的落实情况进行评审。通过评审形成立 项通知书，此时为研发费用资本化开始时点。项目资本化开始后产生的相关费用在“开发支出”科目进行 核算。</w:t>
      </w:r>
    </w:p>
    <w:p>
      <w:pPr>
        <w:pStyle w:val="Style25"/>
        <w:keepNext w:val="0"/>
        <w:keepLines w:val="0"/>
        <w:widowControl w:val="0"/>
        <w:numPr>
          <w:ilvl w:val="0"/>
          <w:numId w:val="33"/>
        </w:numPr>
        <w:shd w:val="clear" w:color="auto" w:fill="auto"/>
        <w:tabs>
          <w:tab w:pos="837" w:val="left"/>
        </w:tabs>
        <w:bidi w:val="0"/>
        <w:spacing w:before="0" w:after="0" w:line="467" w:lineRule="exact"/>
        <w:ind w:left="0" w:right="0" w:firstLine="440"/>
        <w:jc w:val="both"/>
      </w:pPr>
      <w:bookmarkStart w:id="859" w:name="bookmark859"/>
      <w:bookmarkEnd w:id="859"/>
      <w:r>
        <w:rPr>
          <w:color w:val="000000"/>
          <w:spacing w:val="0"/>
          <w:w w:val="100"/>
          <w:position w:val="0"/>
        </w:rPr>
        <w:t>研发项目成果结转</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研发项目达到研发目标后，项目开发组、相关专家、业务部门及财务管理部、审计部等组成研发项目 验收组，对项目成果进行验收，形成《验收报告》和《结项报告》。对研发成果申请专利或计算机软件著 作权，取得著作权登记证书当月，将“开发支出”归集的费用转入无形资产进行核算。</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w:t>
      </w:r>
      <w:r>
        <w:rPr>
          <w:color w:val="000000"/>
          <w:spacing w:val="0"/>
          <w:w w:val="100"/>
          <w:position w:val="0"/>
        </w:rPr>
        <w:t>开发阶段支出资本化的具体条件</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研究阶段的支出，于发生时计入当期损益。开发阶段的支出同时满足下列条件的，确认为无形资产， 不能满足下述条件的开发阶段的支出计入当期损益：</w:t>
      </w:r>
    </w:p>
    <w:p>
      <w:pPr>
        <w:pStyle w:val="Style25"/>
        <w:keepNext w:val="0"/>
        <w:keepLines w:val="0"/>
        <w:widowControl w:val="0"/>
        <w:numPr>
          <w:ilvl w:val="0"/>
          <w:numId w:val="35"/>
        </w:numPr>
        <w:shd w:val="clear" w:color="auto" w:fill="auto"/>
        <w:tabs>
          <w:tab w:pos="832" w:val="left"/>
        </w:tabs>
        <w:bidi w:val="0"/>
        <w:spacing w:before="0" w:after="0" w:line="467" w:lineRule="exact"/>
        <w:ind w:left="0" w:right="0" w:firstLine="440"/>
        <w:jc w:val="left"/>
      </w:pPr>
      <w:bookmarkStart w:id="860" w:name="bookmark860"/>
      <w:bookmarkEnd w:id="860"/>
      <w:r>
        <w:rPr>
          <w:color w:val="000000"/>
          <w:spacing w:val="0"/>
          <w:w w:val="100"/>
          <w:position w:val="0"/>
        </w:rPr>
        <w:t>完成该无形资产以使其能够使用或出售在技术上具有可行性；</w:t>
      </w:r>
    </w:p>
    <w:p>
      <w:pPr>
        <w:pStyle w:val="Style25"/>
        <w:keepNext w:val="0"/>
        <w:keepLines w:val="0"/>
        <w:widowControl w:val="0"/>
        <w:numPr>
          <w:ilvl w:val="0"/>
          <w:numId w:val="35"/>
        </w:numPr>
        <w:shd w:val="clear" w:color="auto" w:fill="auto"/>
        <w:tabs>
          <w:tab w:pos="837" w:val="left"/>
        </w:tabs>
        <w:bidi w:val="0"/>
        <w:spacing w:before="0" w:after="0" w:line="467" w:lineRule="exact"/>
        <w:ind w:left="0" w:right="0" w:firstLine="440"/>
        <w:jc w:val="left"/>
      </w:pPr>
      <w:bookmarkStart w:id="861" w:name="bookmark861"/>
      <w:bookmarkEnd w:id="861"/>
      <w:r>
        <w:rPr>
          <w:color w:val="000000"/>
          <w:spacing w:val="0"/>
          <w:w w:val="100"/>
          <w:position w:val="0"/>
        </w:rPr>
        <w:t>具有完成该无形资产并使用或出售的意图；</w:t>
      </w:r>
    </w:p>
    <w:p>
      <w:pPr>
        <w:pStyle w:val="Style25"/>
        <w:keepNext w:val="0"/>
        <w:keepLines w:val="0"/>
        <w:widowControl w:val="0"/>
        <w:numPr>
          <w:ilvl w:val="0"/>
          <w:numId w:val="35"/>
        </w:numPr>
        <w:shd w:val="clear" w:color="auto" w:fill="auto"/>
        <w:tabs>
          <w:tab w:pos="814" w:val="left"/>
        </w:tabs>
        <w:bidi w:val="0"/>
        <w:spacing w:before="0" w:after="0" w:line="467" w:lineRule="exact"/>
        <w:ind w:left="0" w:right="0" w:firstLine="440"/>
        <w:jc w:val="both"/>
      </w:pPr>
      <w:bookmarkStart w:id="862" w:name="bookmark862"/>
      <w:bookmarkEnd w:id="862"/>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25"/>
        <w:keepNext w:val="0"/>
        <w:keepLines w:val="0"/>
        <w:widowControl w:val="0"/>
        <w:numPr>
          <w:ilvl w:val="0"/>
          <w:numId w:val="35"/>
        </w:numPr>
        <w:shd w:val="clear" w:color="auto" w:fill="auto"/>
        <w:tabs>
          <w:tab w:pos="805" w:val="left"/>
        </w:tabs>
        <w:bidi w:val="0"/>
        <w:spacing w:before="0" w:after="0" w:line="467" w:lineRule="exact"/>
        <w:ind w:left="0" w:right="0" w:firstLine="440"/>
        <w:jc w:val="both"/>
      </w:pPr>
      <w:bookmarkStart w:id="863" w:name="bookmark863"/>
      <w:bookmarkEnd w:id="863"/>
      <w:r>
        <w:rPr>
          <w:color w:val="000000"/>
          <w:spacing w:val="0"/>
          <w:w w:val="100"/>
          <w:position w:val="0"/>
        </w:rPr>
        <w:t>有足够的技术、财务资源和其他资源支持，以完成该无形资产的开发，并有能力使用或出售该无形 资产；</w:t>
      </w:r>
    </w:p>
    <w:p>
      <w:pPr>
        <w:pStyle w:val="Style25"/>
        <w:keepNext w:val="0"/>
        <w:keepLines w:val="0"/>
        <w:widowControl w:val="0"/>
        <w:numPr>
          <w:ilvl w:val="0"/>
          <w:numId w:val="35"/>
        </w:numPr>
        <w:shd w:val="clear" w:color="auto" w:fill="auto"/>
        <w:tabs>
          <w:tab w:pos="837" w:val="left"/>
        </w:tabs>
        <w:bidi w:val="0"/>
        <w:spacing w:before="0" w:after="0" w:line="467" w:lineRule="exact"/>
        <w:ind w:left="0" w:right="0" w:firstLine="440"/>
        <w:jc w:val="left"/>
      </w:pPr>
      <w:bookmarkStart w:id="864" w:name="bookmark864"/>
      <w:bookmarkEnd w:id="864"/>
      <w:r>
        <w:rPr>
          <w:color w:val="000000"/>
          <w:spacing w:val="0"/>
          <w:w w:val="100"/>
          <w:position w:val="0"/>
        </w:rPr>
        <w:t>归属于该无形资产开发阶段的支出能够可靠地计量。</w:t>
      </w:r>
    </w:p>
    <w:p>
      <w:pPr>
        <w:pStyle w:val="Style25"/>
        <w:keepNext w:val="0"/>
        <w:keepLines w:val="0"/>
        <w:widowControl w:val="0"/>
        <w:shd w:val="clear" w:color="auto" w:fill="auto"/>
        <w:bidi w:val="0"/>
        <w:spacing w:before="0" w:after="460" w:line="467" w:lineRule="exact"/>
        <w:ind w:left="0" w:right="0" w:firstLine="440"/>
        <w:jc w:val="left"/>
      </w:pPr>
      <w:r>
        <w:rPr>
          <w:color w:val="000000"/>
          <w:spacing w:val="0"/>
          <w:w w:val="100"/>
          <w:position w:val="0"/>
        </w:rPr>
        <w:t>无法区分研究阶段支出和开发阶段支出的，将发生的研发支出全部计入当期损益。</w:t>
      </w:r>
    </w:p>
    <w:p>
      <w:pPr>
        <w:pStyle w:val="Style31"/>
        <w:keepNext/>
        <w:keepLines/>
        <w:widowControl w:val="0"/>
        <w:shd w:val="clear" w:color="auto" w:fill="auto"/>
        <w:bidi w:val="0"/>
        <w:spacing w:before="0" w:after="0" w:line="48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865"/>
      <w:bookmarkEnd w:id="866"/>
      <w:bookmarkEnd w:id="868"/>
    </w:p>
    <w:p>
      <w:pPr>
        <w:pStyle w:val="Style2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 xml:space="preserve">长期股权投资、采用成本模式计量的投资性房地产、固定资产、在建工程、使用寿命有限的无形资产、 油气资产等长期资产，于资产负债表日存在减值迹象的，进行减值测试。减值测试结果表明资产的可收回 金额低于其账面价值的，按其差额计提减值准备并计入减值损失。可收回金额为资产的公允价值减去处置 费用后的净额与资产预计未来现金流量的现值两者之间的较高者。资产减值准备按单项资产为基础计算并 </w:t>
      </w:r>
      <w:r>
        <w:rPr>
          <w:color w:val="000000"/>
          <w:spacing w:val="0"/>
          <w:w w:val="100"/>
          <w:position w:val="0"/>
        </w:rPr>
        <w:t>确认，如果难以对单项资产的可收回金额进行估计的，以该资产所属的资产组确定资产组的可收回金额。 资产组是能够独立产生现金流入的最小资产组合。</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对于因企业合并形成的商誉、使用寿命不确定的无形资产、尚未达到可使用状态的无形资产，无论是 否存在减值迹象，至少在每年年度终了进行减值测试。</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至相关的资产组；难以分摊至相关的资产组的，将其分摊至相关的资产组组合。相关的资产组或者资产组 组合，是能够从企业合并的协同效应中受益的资产组或者资产组组合。</w:t>
      </w:r>
    </w:p>
    <w:p>
      <w:pPr>
        <w:pStyle w:val="Style25"/>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面价值相比较，确认相应的减值损失。然后对包含商誉的资产组或者资产组组合进行减值测试，比较其账 面价值与可收回金额，如可收回金额低于账面价值的，减值损失金额首先抵减分摊至资产组或者资产组组 合中商誉的账面价值，再根据资产组或者资产组组合中除商誉之外的其他各项资产的账面价值所占比重， 按比例抵减其他各项资产的账面价值。上述资产减值损失一经确认，在以后会计期间不予转回。</w:t>
      </w:r>
    </w:p>
    <w:p>
      <w:pPr>
        <w:pStyle w:val="Style31"/>
        <w:keepNext/>
        <w:keepLines/>
        <w:widowControl w:val="0"/>
        <w:shd w:val="clear" w:color="auto" w:fill="auto"/>
        <w:tabs>
          <w:tab w:pos="483" w:val="left"/>
        </w:tabs>
        <w:bidi w:val="0"/>
        <w:spacing w:before="0" w:after="0" w:line="480"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69"/>
      <w:bookmarkEnd w:id="870"/>
      <w:bookmarkEnd w:id="872"/>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长期待摊费用为已经发生但应由本期和以后各期负担的分摊期限在一年以上的各项费用。本公司长期 待摊费用包括装修费。</w:t>
      </w:r>
    </w:p>
    <w:p>
      <w:pPr>
        <w:pStyle w:val="Style25"/>
        <w:keepNext w:val="0"/>
        <w:keepLines w:val="0"/>
        <w:widowControl w:val="0"/>
        <w:shd w:val="clear" w:color="auto" w:fill="auto"/>
        <w:tabs>
          <w:tab w:pos="928" w:val="left"/>
        </w:tabs>
        <w:bidi w:val="0"/>
        <w:spacing w:before="0" w:after="0" w:line="470" w:lineRule="exact"/>
        <w:ind w:left="0" w:right="0" w:firstLine="440"/>
        <w:jc w:val="both"/>
      </w:pPr>
      <w:bookmarkStart w:id="873" w:name="bookmark873"/>
      <w:r>
        <w:rPr>
          <w:color w:val="000000"/>
          <w:spacing w:val="0"/>
          <w:w w:val="100"/>
          <w:position w:val="0"/>
        </w:rPr>
        <w:t>（</w:t>
      </w:r>
      <w:bookmarkEnd w:id="873"/>
      <w:r>
        <w:rPr>
          <w:color w:val="000000"/>
          <w:spacing w:val="0"/>
          <w:w w:val="100"/>
          <w:position w:val="0"/>
        </w:rPr>
        <w:t>1）</w:t>
        <w:tab/>
      </w:r>
      <w:r>
        <w:rPr>
          <w:color w:val="000000"/>
          <w:spacing w:val="0"/>
          <w:w w:val="100"/>
          <w:position w:val="0"/>
        </w:rPr>
        <w:t>摊销方法</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长期待摊费用在受益期内平均摊销。</w:t>
      </w:r>
    </w:p>
    <w:p>
      <w:pPr>
        <w:pStyle w:val="Style25"/>
        <w:keepNext w:val="0"/>
        <w:keepLines w:val="0"/>
        <w:widowControl w:val="0"/>
        <w:shd w:val="clear" w:color="auto" w:fill="auto"/>
        <w:tabs>
          <w:tab w:pos="928" w:val="left"/>
        </w:tabs>
        <w:bidi w:val="0"/>
        <w:spacing w:before="0" w:after="0" w:line="469" w:lineRule="exact"/>
        <w:ind w:left="0" w:right="0" w:firstLine="440"/>
        <w:jc w:val="both"/>
      </w:pPr>
      <w:bookmarkStart w:id="874" w:name="bookmark874"/>
      <w:r>
        <w:rPr>
          <w:color w:val="000000"/>
          <w:spacing w:val="0"/>
          <w:w w:val="100"/>
          <w:position w:val="0"/>
        </w:rPr>
        <w:t>（</w:t>
      </w:r>
      <w:bookmarkEnd w:id="874"/>
      <w:r>
        <w:rPr>
          <w:color w:val="000000"/>
          <w:spacing w:val="0"/>
          <w:w w:val="100"/>
          <w:position w:val="0"/>
        </w:rPr>
        <w:t>2）</w:t>
        <w:tab/>
      </w:r>
      <w:r>
        <w:rPr>
          <w:color w:val="000000"/>
          <w:spacing w:val="0"/>
          <w:w w:val="100"/>
          <w:position w:val="0"/>
        </w:rPr>
        <w:t>摊销年限</w:t>
      </w:r>
    </w:p>
    <w:p>
      <w:pPr>
        <w:pStyle w:val="Style25"/>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装修费按照预计可使用年限和剩余租赁期限孰短原则确认摊销年限。</w:t>
      </w:r>
    </w:p>
    <w:p>
      <w:pPr>
        <w:pStyle w:val="Style31"/>
        <w:keepNext/>
        <w:keepLines/>
        <w:widowControl w:val="0"/>
        <w:shd w:val="clear" w:color="auto" w:fill="auto"/>
        <w:tabs>
          <w:tab w:pos="483" w:val="left"/>
        </w:tabs>
        <w:bidi w:val="0"/>
        <w:spacing w:before="0" w:after="0" w:line="480" w:lineRule="auto"/>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bookmarkEnd w:id="877"/>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75"/>
      <w:bookmarkEnd w:id="876"/>
      <w:bookmarkEnd w:id="878"/>
    </w:p>
    <w:p>
      <w:pPr>
        <w:pStyle w:val="Style2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日起的会计政策</w:t>
      </w:r>
    </w:p>
    <w:p>
      <w:pPr>
        <w:pStyle w:val="Style25"/>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31"/>
        <w:keepNext/>
        <w:keepLines/>
        <w:widowControl w:val="0"/>
        <w:shd w:val="clear" w:color="auto" w:fill="auto"/>
        <w:tabs>
          <w:tab w:pos="483" w:val="left"/>
        </w:tabs>
        <w:bidi w:val="0"/>
        <w:spacing w:before="0" w:after="140" w:line="470" w:lineRule="exact"/>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79"/>
      <w:bookmarkEnd w:id="880"/>
      <w:bookmarkEnd w:id="882"/>
    </w:p>
    <w:p>
      <w:pPr>
        <w:pStyle w:val="Style37"/>
        <w:keepNext/>
        <w:keepLines/>
        <w:widowControl w:val="0"/>
        <w:shd w:val="clear" w:color="auto" w:fill="auto"/>
        <w:tabs>
          <w:tab w:pos="493" w:val="left"/>
        </w:tabs>
        <w:bidi w:val="0"/>
        <w:spacing w:before="0" w:after="220" w:line="470" w:lineRule="exact"/>
        <w:ind w:left="0" w:right="0" w:firstLine="0"/>
        <w:jc w:val="both"/>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83"/>
      <w:bookmarkEnd w:id="884"/>
      <w:bookmarkEnd w:id="886"/>
    </w:p>
    <w:p>
      <w:pPr>
        <w:pStyle w:val="Style2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2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25"/>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本公司发生的职工福利费，在实际发生时根据实际发生额计入当期损益或相关资产成本，其中，非货 币性福利按照公允价值计量。</w:t>
      </w:r>
    </w:p>
    <w:p>
      <w:pPr>
        <w:pStyle w:val="Style37"/>
        <w:keepNext/>
        <w:keepLines/>
        <w:widowControl w:val="0"/>
        <w:shd w:val="clear" w:color="auto" w:fill="auto"/>
        <w:tabs>
          <w:tab w:pos="493" w:val="left"/>
        </w:tabs>
        <w:bidi w:val="0"/>
        <w:spacing w:before="0" w:after="220" w:line="470" w:lineRule="exact"/>
        <w:ind w:left="0" w:right="0" w:firstLine="0"/>
        <w:jc w:val="both"/>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87"/>
      <w:bookmarkEnd w:id="888"/>
      <w:bookmarkEnd w:id="890"/>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1）</w:t>
      </w:r>
      <w:r>
        <w:rPr>
          <w:color w:val="000000"/>
          <w:spacing w:val="0"/>
          <w:w w:val="100"/>
          <w:position w:val="0"/>
        </w:rPr>
        <w:t>设定提存计划</w:t>
      </w:r>
    </w:p>
    <w:p>
      <w:pPr>
        <w:pStyle w:val="Style2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37"/>
        <w:keepNext/>
        <w:keepLines/>
        <w:widowControl w:val="0"/>
        <w:shd w:val="clear" w:color="auto" w:fill="auto"/>
        <w:tabs>
          <w:tab w:pos="493" w:val="left"/>
        </w:tabs>
        <w:bidi w:val="0"/>
        <w:spacing w:before="0" w:after="220" w:line="470" w:lineRule="exact"/>
        <w:ind w:left="0" w:right="0" w:firstLine="0"/>
        <w:jc w:val="both"/>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91"/>
      <w:bookmarkEnd w:id="892"/>
      <w:bookmarkEnd w:id="894"/>
    </w:p>
    <w:p>
      <w:pPr>
        <w:pStyle w:val="Style25"/>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本公司向职工提供辞退福利的，在下列两者孰早日确认辞退福利产生的职工薪酬负债，并计入当期损 益：公司不能单方面撤回因解除劳动关系计划或裁减建议所提供的辞退福利时；公司确认与涉及支付辞退 福利的重组相关的成本或费用时。</w:t>
      </w:r>
    </w:p>
    <w:p>
      <w:pPr>
        <w:pStyle w:val="Style31"/>
        <w:keepNext/>
        <w:keepLines/>
        <w:widowControl w:val="0"/>
        <w:shd w:val="clear" w:color="auto" w:fill="auto"/>
        <w:tabs>
          <w:tab w:pos="483" w:val="left"/>
        </w:tabs>
        <w:bidi w:val="0"/>
        <w:spacing w:before="0" w:after="220" w:line="470" w:lineRule="exact"/>
        <w:ind w:left="0" w:right="0" w:firstLine="0"/>
        <w:jc w:val="both"/>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bookmarkEnd w:id="897"/>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95"/>
      <w:bookmarkEnd w:id="896"/>
      <w:bookmarkEnd w:id="898"/>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与或有事项相关的义务同时满足下列条件时，本公司将其确认为预计负债：</w:t>
      </w:r>
    </w:p>
    <w:p>
      <w:pPr>
        <w:pStyle w:val="Style25"/>
        <w:keepNext w:val="0"/>
        <w:keepLines w:val="0"/>
        <w:widowControl w:val="0"/>
        <w:shd w:val="clear" w:color="auto" w:fill="auto"/>
        <w:tabs>
          <w:tab w:pos="928" w:val="left"/>
        </w:tabs>
        <w:bidi w:val="0"/>
        <w:spacing w:before="0" w:after="0" w:line="470" w:lineRule="exact"/>
        <w:ind w:left="0" w:right="0" w:firstLine="440"/>
        <w:jc w:val="both"/>
      </w:pPr>
      <w:bookmarkStart w:id="899" w:name="bookmark899"/>
      <w:r>
        <w:rPr>
          <w:color w:val="000000"/>
          <w:spacing w:val="0"/>
          <w:w w:val="100"/>
          <w:position w:val="0"/>
        </w:rPr>
        <w:t>（</w:t>
      </w:r>
      <w:bookmarkEnd w:id="899"/>
      <w:r>
        <w:rPr>
          <w:color w:val="000000"/>
          <w:spacing w:val="0"/>
          <w:w w:val="100"/>
          <w:position w:val="0"/>
        </w:rPr>
        <w:t>1）</w:t>
        <w:tab/>
      </w:r>
      <w:r>
        <w:rPr>
          <w:color w:val="000000"/>
          <w:spacing w:val="0"/>
          <w:w w:val="100"/>
          <w:position w:val="0"/>
        </w:rPr>
        <w:t>该义务是本公司承担的现时义务；</w:t>
      </w:r>
    </w:p>
    <w:p>
      <w:pPr>
        <w:pStyle w:val="Style25"/>
        <w:keepNext w:val="0"/>
        <w:keepLines w:val="0"/>
        <w:widowControl w:val="0"/>
        <w:shd w:val="clear" w:color="auto" w:fill="auto"/>
        <w:tabs>
          <w:tab w:pos="928" w:val="left"/>
        </w:tabs>
        <w:bidi w:val="0"/>
        <w:spacing w:before="0" w:after="0" w:line="470" w:lineRule="exact"/>
        <w:ind w:left="0" w:right="0" w:firstLine="440"/>
        <w:jc w:val="both"/>
      </w:pPr>
      <w:bookmarkStart w:id="900" w:name="bookmark900"/>
      <w:r>
        <w:rPr>
          <w:color w:val="000000"/>
          <w:spacing w:val="0"/>
          <w:w w:val="100"/>
          <w:position w:val="0"/>
        </w:rPr>
        <w:t>（</w:t>
      </w:r>
      <w:bookmarkEnd w:id="900"/>
      <w:r>
        <w:rPr>
          <w:color w:val="000000"/>
          <w:spacing w:val="0"/>
          <w:w w:val="100"/>
          <w:position w:val="0"/>
        </w:rPr>
        <w:t>2）</w:t>
        <w:tab/>
      </w:r>
      <w:r>
        <w:rPr>
          <w:color w:val="000000"/>
          <w:spacing w:val="0"/>
          <w:w w:val="100"/>
          <w:position w:val="0"/>
        </w:rPr>
        <w:t>履行该义务很可能导致经济利益流出本公司；</w:t>
      </w:r>
    </w:p>
    <w:p>
      <w:pPr>
        <w:pStyle w:val="Style25"/>
        <w:keepNext w:val="0"/>
        <w:keepLines w:val="0"/>
        <w:widowControl w:val="0"/>
        <w:shd w:val="clear" w:color="auto" w:fill="auto"/>
        <w:tabs>
          <w:tab w:pos="928" w:val="left"/>
        </w:tabs>
        <w:bidi w:val="0"/>
        <w:spacing w:before="0" w:after="0" w:line="470" w:lineRule="exact"/>
        <w:ind w:left="0" w:right="0" w:firstLine="440"/>
        <w:jc w:val="both"/>
      </w:pPr>
      <w:bookmarkStart w:id="901" w:name="bookmark901"/>
      <w:r>
        <w:rPr>
          <w:color w:val="000000"/>
          <w:spacing w:val="0"/>
          <w:w w:val="100"/>
          <w:position w:val="0"/>
        </w:rPr>
        <w:t>（</w:t>
      </w:r>
      <w:bookmarkEnd w:id="901"/>
      <w:r>
        <w:rPr>
          <w:color w:val="000000"/>
          <w:spacing w:val="0"/>
          <w:w w:val="100"/>
          <w:position w:val="0"/>
        </w:rPr>
        <w:t>3）</w:t>
        <w:tab/>
      </w:r>
      <w:r>
        <w:rPr>
          <w:color w:val="000000"/>
          <w:spacing w:val="0"/>
          <w:w w:val="100"/>
          <w:position w:val="0"/>
        </w:rPr>
        <w:t>该义务的金额能够可靠地计量。</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预计负债按履行相关现时义务所需的支出的最佳估计数进行初始计量。</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在确定最佳估计数时，综合考虑与或有事项有关的风险、不确定性和货币时间价值等因素。对于货币 时间价值影响重大的，通过对相关未来现金流出进行折现后确定最佳估计数。</w:t>
      </w:r>
    </w:p>
    <w:p>
      <w:pPr>
        <w:pStyle w:val="Style2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所需支出存在一个连续范围，且该范围内各种结果发生的可能性相同的，最佳估计数按照该范围内的 中间值确定；在其他情况下，最佳估计数分别下列情况处理：</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-或有事项涉及单个项目的，按照最可能发生金额确定。</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-或有事项涉及多个项目的，按照各种可能结果及相关概率计算确定。</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清偿预计负债所需支出全部或部分预期由第三方补偿的，补偿金额在基本确定能够收到时，作为资产 单独确认，确认的补偿金额不超过预计负债的账面价值。</w:t>
      </w:r>
    </w:p>
    <w:p>
      <w:pPr>
        <w:pStyle w:val="Style25"/>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本公司在资产负债表日对预计负债的账面价值进行复核，有确凿证据表明该账面价值不能反映当前最 佳估计数的，按照当前最佳估计数对该账面价值进行调整。</w:t>
      </w:r>
    </w:p>
    <w:p>
      <w:pPr>
        <w:pStyle w:val="Style31"/>
        <w:keepNext/>
        <w:keepLines/>
        <w:widowControl w:val="0"/>
        <w:shd w:val="clear" w:color="auto" w:fill="auto"/>
        <w:bidi w:val="0"/>
        <w:spacing w:before="0" w:after="0" w:line="48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902"/>
      <w:bookmarkEnd w:id="903"/>
      <w:bookmarkEnd w:id="905"/>
    </w:p>
    <w:p>
      <w:pPr>
        <w:pStyle w:val="Style2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25"/>
        <w:keepNext w:val="0"/>
        <w:keepLines w:val="0"/>
        <w:widowControl w:val="0"/>
        <w:shd w:val="clear" w:color="auto" w:fill="auto"/>
        <w:tabs>
          <w:tab w:pos="894" w:val="left"/>
        </w:tabs>
        <w:bidi w:val="0"/>
        <w:spacing w:before="0" w:after="0" w:line="468" w:lineRule="exact"/>
        <w:ind w:left="0" w:right="0" w:firstLine="440"/>
        <w:jc w:val="both"/>
      </w:pPr>
      <w:bookmarkStart w:id="906" w:name="bookmark906"/>
      <w:r>
        <w:rPr>
          <w:color w:val="000000"/>
          <w:spacing w:val="0"/>
          <w:w w:val="100"/>
          <w:position w:val="0"/>
        </w:rPr>
        <w:t>（</w:t>
      </w:r>
      <w:bookmarkEnd w:id="906"/>
      <w:r>
        <w:rPr>
          <w:color w:val="000000"/>
          <w:spacing w:val="0"/>
          <w:w w:val="100"/>
          <w:position w:val="0"/>
        </w:rPr>
        <w:t>1）</w:t>
        <w:tab/>
      </w:r>
      <w:r>
        <w:rPr>
          <w:color w:val="000000"/>
          <w:spacing w:val="0"/>
          <w:w w:val="100"/>
          <w:position w:val="0"/>
        </w:rPr>
        <w:t>以权益结算的股份支付及权益工具</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以权益结算的股份支付换取职工提供服务的，以授予职工权益工具的公允价值计量。对于授予后立即 可行权的股份支付交易，在授予日按照权益工具的公允价值计入相关成本或费用，相应增加资本公积。对 于授予后完成等待期内的服务或达到规定业绩条件才可行权的股份支付交易，在等待期内每个资产负债表 日，本公司根据对可行权权益工具数量的最佳估计，按照授予日公允价值，将当期取得的服务计入相关成 本或费用，相应增加资本公积。</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在等待期内，如果取消了授予的权益工具，则本公司对取消所授予的权益性工具作为加速行权处理， 将剩余等待期内应确认的金额立即计入当期损益，同时确认资本公积。但是，如果授予新的权益工具，并 在新权益工具授予日认定所授予的新权益工具是用于替代被取消的权益工具的，则以与处理原权益工具条 款和条件修改相同的方式，对所授予的替代权益工具进行处理。</w:t>
      </w:r>
    </w:p>
    <w:p>
      <w:pPr>
        <w:pStyle w:val="Style25"/>
        <w:keepNext w:val="0"/>
        <w:keepLines w:val="0"/>
        <w:widowControl w:val="0"/>
        <w:shd w:val="clear" w:color="auto" w:fill="auto"/>
        <w:tabs>
          <w:tab w:pos="894" w:val="left"/>
        </w:tabs>
        <w:bidi w:val="0"/>
        <w:spacing w:before="0" w:after="0" w:line="468" w:lineRule="exact"/>
        <w:ind w:left="0" w:right="0" w:firstLine="440"/>
        <w:jc w:val="both"/>
      </w:pPr>
      <w:bookmarkStart w:id="907" w:name="bookmark907"/>
      <w:r>
        <w:rPr>
          <w:color w:val="000000"/>
          <w:spacing w:val="0"/>
          <w:w w:val="100"/>
          <w:position w:val="0"/>
        </w:rPr>
        <w:t>（</w:t>
      </w:r>
      <w:bookmarkEnd w:id="907"/>
      <w:r>
        <w:rPr>
          <w:color w:val="000000"/>
          <w:spacing w:val="0"/>
          <w:w w:val="100"/>
          <w:position w:val="0"/>
        </w:rPr>
        <w:t>2）</w:t>
        <w:tab/>
      </w:r>
      <w:r>
        <w:rPr>
          <w:color w:val="000000"/>
          <w:spacing w:val="0"/>
          <w:w w:val="100"/>
          <w:position w:val="0"/>
        </w:rPr>
        <w:t>以现金结算的股份支付及权益工具</w:t>
      </w:r>
    </w:p>
    <w:p>
      <w:pPr>
        <w:pStyle w:val="Style2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计量。授予后立即可行权的股份支付交易，本公司在授予日按照承担负债的公允价值计入相关成本或费用， 相应增加负债。对于授予后完成等待期内的服务或达到规定业绩条件才可行权的股份支付交易，在等待期 内的每个资产负债表日，本公司以对可行权情况的最佳估计为基础，按照本公司承担负债的公允价值，将 当期取得的服务计入相关成本或费用，并相应计入负债。在相关负债结算前的每个资产负债表日以及结算 日，对负债的公允价值重新计量，其变动计入当期损益。</w:t>
      </w:r>
    </w:p>
    <w:p>
      <w:pPr>
        <w:pStyle w:val="Style31"/>
        <w:keepNext/>
        <w:keepLines/>
        <w:widowControl w:val="0"/>
        <w:shd w:val="clear" w:color="auto" w:fill="auto"/>
        <w:tabs>
          <w:tab w:pos="483" w:val="left"/>
        </w:tabs>
        <w:bidi w:val="0"/>
        <w:spacing w:before="0" w:after="200" w:line="468" w:lineRule="exact"/>
        <w:ind w:left="0" w:right="0" w:firstLine="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08"/>
      <w:bookmarkEnd w:id="909"/>
      <w:bookmarkEnd w:id="911"/>
    </w:p>
    <w:p>
      <w:pPr>
        <w:pStyle w:val="Style2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本公司根据所发行优先股/永续债的合同条款及其所反映的经济实质而非仅以法律形式，在初始确认 时将该金融工具或其组成部分分类为金融资产、金融负债或权益工具。</w:t>
      </w:r>
    </w:p>
    <w:p>
      <w:pPr>
        <w:pStyle w:val="Style2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本公司发行的永续债/优先股等金融工具满足以下条件之一，在初始确认时将该金融工具整体或其组 成部分分类为金融负债：</w:t>
      </w:r>
    </w:p>
    <w:p>
      <w:pPr>
        <w:pStyle w:val="Style25"/>
        <w:keepNext w:val="0"/>
        <w:keepLines w:val="0"/>
        <w:widowControl w:val="0"/>
        <w:shd w:val="clear" w:color="auto" w:fill="auto"/>
        <w:tabs>
          <w:tab w:pos="928" w:val="left"/>
        </w:tabs>
        <w:bidi w:val="0"/>
        <w:spacing w:before="0" w:after="0" w:line="472" w:lineRule="exact"/>
        <w:ind w:left="0" w:right="0" w:firstLine="440"/>
        <w:jc w:val="both"/>
      </w:pPr>
      <w:bookmarkStart w:id="912" w:name="bookmark912"/>
      <w:r>
        <w:rPr>
          <w:color w:val="000000"/>
          <w:spacing w:val="0"/>
          <w:w w:val="100"/>
          <w:position w:val="0"/>
        </w:rPr>
        <w:t>（</w:t>
      </w:r>
      <w:bookmarkEnd w:id="912"/>
      <w:r>
        <w:rPr>
          <w:color w:val="000000"/>
          <w:spacing w:val="0"/>
          <w:w w:val="100"/>
          <w:position w:val="0"/>
        </w:rPr>
        <w:t>1）</w:t>
        <w:tab/>
      </w:r>
      <w:r>
        <w:rPr>
          <w:color w:val="000000"/>
          <w:spacing w:val="0"/>
          <w:w w:val="100"/>
          <w:position w:val="0"/>
        </w:rPr>
        <w:t>存在本公司不能无条件地避免以交付现金或其他金融资产履行的合同义务；</w:t>
      </w:r>
    </w:p>
    <w:p>
      <w:pPr>
        <w:pStyle w:val="Style25"/>
        <w:keepNext w:val="0"/>
        <w:keepLines w:val="0"/>
        <w:widowControl w:val="0"/>
        <w:shd w:val="clear" w:color="auto" w:fill="auto"/>
        <w:tabs>
          <w:tab w:pos="928" w:val="left"/>
        </w:tabs>
        <w:bidi w:val="0"/>
        <w:spacing w:before="0" w:after="0" w:line="472" w:lineRule="exact"/>
        <w:ind w:left="0" w:right="0" w:firstLine="440"/>
        <w:jc w:val="both"/>
      </w:pPr>
      <w:bookmarkStart w:id="913" w:name="bookmark913"/>
      <w:r>
        <w:rPr>
          <w:color w:val="000000"/>
          <w:spacing w:val="0"/>
          <w:w w:val="100"/>
          <w:position w:val="0"/>
        </w:rPr>
        <w:t>（</w:t>
      </w:r>
      <w:bookmarkEnd w:id="913"/>
      <w:r>
        <w:rPr>
          <w:color w:val="000000"/>
          <w:spacing w:val="0"/>
          <w:w w:val="100"/>
          <w:position w:val="0"/>
        </w:rPr>
        <w:t>2）</w:t>
        <w:tab/>
      </w:r>
      <w:r>
        <w:rPr>
          <w:color w:val="000000"/>
          <w:spacing w:val="0"/>
          <w:w w:val="100"/>
          <w:position w:val="0"/>
        </w:rPr>
        <w:t>包含交付可变数量的自身权益工具进行结算的合同义务；</w:t>
      </w:r>
    </w:p>
    <w:p>
      <w:pPr>
        <w:pStyle w:val="Style25"/>
        <w:keepNext w:val="0"/>
        <w:keepLines w:val="0"/>
        <w:widowControl w:val="0"/>
        <w:shd w:val="clear" w:color="auto" w:fill="auto"/>
        <w:tabs>
          <w:tab w:pos="1016" w:val="left"/>
        </w:tabs>
        <w:bidi w:val="0"/>
        <w:spacing w:before="0" w:after="0" w:line="472" w:lineRule="exact"/>
        <w:ind w:left="0" w:right="0" w:firstLine="440"/>
        <w:jc w:val="both"/>
      </w:pPr>
      <w:bookmarkStart w:id="914" w:name="bookmark914"/>
      <w:r>
        <w:rPr>
          <w:color w:val="000000"/>
          <w:spacing w:val="0"/>
          <w:w w:val="100"/>
          <w:position w:val="0"/>
        </w:rPr>
        <w:t>（</w:t>
      </w:r>
      <w:bookmarkEnd w:id="914"/>
      <w:r>
        <w:rPr>
          <w:color w:val="000000"/>
          <w:spacing w:val="0"/>
          <w:w w:val="100"/>
          <w:position w:val="0"/>
        </w:rPr>
        <w:t>3）</w:t>
        <w:tab/>
      </w:r>
      <w:r>
        <w:rPr>
          <w:color w:val="000000"/>
          <w:spacing w:val="0"/>
          <w:w w:val="100"/>
          <w:position w:val="0"/>
        </w:rPr>
        <w:t>包含以自身权益进行结算的衍生工具（例如转股权等），且该衍生工具不以固定数量的自身权 益工具交换固定金额的现金或其他金融资产进行结算；</w:t>
      </w:r>
    </w:p>
    <w:p>
      <w:pPr>
        <w:pStyle w:val="Style25"/>
        <w:keepNext w:val="0"/>
        <w:keepLines w:val="0"/>
        <w:widowControl w:val="0"/>
        <w:shd w:val="clear" w:color="auto" w:fill="auto"/>
        <w:tabs>
          <w:tab w:pos="928" w:val="left"/>
        </w:tabs>
        <w:bidi w:val="0"/>
        <w:spacing w:before="0" w:after="0" w:line="472" w:lineRule="exact"/>
        <w:ind w:left="0" w:right="0" w:firstLine="440"/>
        <w:jc w:val="both"/>
      </w:pPr>
      <w:bookmarkStart w:id="915" w:name="bookmark915"/>
      <w:r>
        <w:rPr>
          <w:color w:val="000000"/>
          <w:spacing w:val="0"/>
          <w:w w:val="100"/>
          <w:position w:val="0"/>
        </w:rPr>
        <w:t>（</w:t>
      </w:r>
      <w:bookmarkEnd w:id="915"/>
      <w:r>
        <w:rPr>
          <w:color w:val="000000"/>
          <w:spacing w:val="0"/>
          <w:w w:val="100"/>
          <w:position w:val="0"/>
        </w:rPr>
        <w:t>4）</w:t>
        <w:tab/>
      </w:r>
      <w:r>
        <w:rPr>
          <w:color w:val="000000"/>
          <w:spacing w:val="0"/>
          <w:w w:val="100"/>
          <w:position w:val="0"/>
        </w:rPr>
        <w:t>存在间接地形成合同义务的合同条款；</w:t>
      </w:r>
    </w:p>
    <w:p>
      <w:pPr>
        <w:pStyle w:val="Style25"/>
        <w:keepNext w:val="0"/>
        <w:keepLines w:val="0"/>
        <w:widowControl w:val="0"/>
        <w:shd w:val="clear" w:color="auto" w:fill="auto"/>
        <w:tabs>
          <w:tab w:pos="928" w:val="left"/>
        </w:tabs>
        <w:bidi w:val="0"/>
        <w:spacing w:before="0" w:after="0" w:line="472" w:lineRule="exact"/>
        <w:ind w:left="0" w:right="0" w:firstLine="440"/>
        <w:jc w:val="both"/>
      </w:pPr>
      <w:bookmarkStart w:id="916" w:name="bookmark916"/>
      <w:r>
        <w:rPr>
          <w:color w:val="000000"/>
          <w:spacing w:val="0"/>
          <w:w w:val="100"/>
          <w:position w:val="0"/>
        </w:rPr>
        <w:t>（</w:t>
      </w:r>
      <w:bookmarkEnd w:id="916"/>
      <w:r>
        <w:rPr>
          <w:color w:val="000000"/>
          <w:spacing w:val="0"/>
          <w:w w:val="100"/>
          <w:position w:val="0"/>
        </w:rPr>
        <w:t>5）</w:t>
        <w:tab/>
      </w:r>
      <w:r>
        <w:rPr>
          <w:color w:val="000000"/>
          <w:spacing w:val="0"/>
          <w:w w:val="100"/>
          <w:position w:val="0"/>
        </w:rPr>
        <w:t>发行方清算时永续债与发行方发行的普通债券和其他债务处于相同清偿顺序的。</w:t>
      </w:r>
    </w:p>
    <w:p>
      <w:pPr>
        <w:pStyle w:val="Style25"/>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不满足上述任何一项条件的永续债/优先股等金融工具，在初始确认时将该金融工具整体或其组成部 分分类为权益工具。</w:t>
      </w:r>
    </w:p>
    <w:p>
      <w:pPr>
        <w:pStyle w:val="Style31"/>
        <w:keepNext/>
        <w:keepLines/>
        <w:widowControl w:val="0"/>
        <w:shd w:val="clear" w:color="auto" w:fill="auto"/>
        <w:tabs>
          <w:tab w:pos="483" w:val="left"/>
        </w:tabs>
        <w:bidi w:val="0"/>
        <w:spacing w:before="0" w:after="260" w:line="468" w:lineRule="exact"/>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17"/>
      <w:bookmarkEnd w:id="918"/>
      <w:bookmarkEnd w:id="920"/>
    </w:p>
    <w:p>
      <w:pPr>
        <w:pStyle w:val="Style25"/>
        <w:keepNext w:val="0"/>
        <w:keepLines w:val="0"/>
        <w:widowControl w:val="0"/>
        <w:shd w:val="clear" w:color="auto" w:fill="auto"/>
        <w:bidi w:val="0"/>
        <w:spacing w:before="0" w:after="200" w:line="326" w:lineRule="exact"/>
        <w:ind w:left="0" w:right="0" w:firstLine="0"/>
        <w:jc w:val="both"/>
        <w:rPr>
          <w:sz w:val="19"/>
          <w:szCs w:val="19"/>
        </w:rPr>
      </w:pPr>
      <w:r>
        <w:rPr>
          <w:color w:val="000000"/>
          <w:spacing w:val="0"/>
          <w:w w:val="100"/>
          <w:position w:val="0"/>
          <w:sz w:val="19"/>
          <w:szCs w:val="19"/>
        </w:rPr>
        <w:t>公司需遵守《深圳证券交易所行业信息披露指引第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号——上市公司从事软件与信息技术服务业务》的披露要 求</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日起的会计政策</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（1）</w:t>
      </w:r>
      <w:r>
        <w:rPr>
          <w:color w:val="000000"/>
          <w:spacing w:val="0"/>
          <w:w w:val="100"/>
          <w:position w:val="0"/>
        </w:rPr>
        <w:t>收入确认和计量所采用的会计政策</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25"/>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交易价格是指本公司因向客户转让商品或服务而预期有权收取的对价金额，不包括代第三方收取的款 项以及预期将退还给客户的款项。本公司根据合同条款，结合其以往的习惯做法确定交易价格，并在确定 交易价格时，考虑可变对价、合同中存在的重大融资成分、非现金对价、应付客户对价等因素的影响。本 公司以不超过在相关不确定性消除时累计已确认收入极可能不会发生重大转回的金额确定包含可变对价 的交易价格。合同中存在重大融资成分的，本公司按照假定客户在取得商品或服务控制权时即以现金支付 的应付金额确定交易价格，并在合同期间内采用实际利率法摊销该交易价格与合同对价之间的差额。</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满足下列条件之一的，属于在某一时段内履行履约义务，否则，属于在某一时点履行履约义务：</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•客户在本公司履约的同时即取得并消耗本公司履约所带来的经济利益。</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•客户能够控制本公司履约过程中在建的商品。</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•本公司履约过程中所产出的商品具有不可替代用途，且本公司在整个合同期内有权就累计至今已完 成的履约部分收取款项。</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•本公司就该商品或服务享有现时收款权利，即客户就该商品或服务负有现时付款义务。</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•本公司已将该商品的法定所有权转移给客户，即客户已拥有该商品的法定所有权。</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•本公司已将该商品实物转移给客户，即客户已实物占有该商品。</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•本公司已将该商品所有权上的主要风险和报酬转移给客户，即客户已取得该商品所有权上的主要风 险和报酬。</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•客户已接受该商品或服务等。</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w:t>
      </w:r>
      <w:r>
        <w:rPr>
          <w:color w:val="000000"/>
          <w:spacing w:val="0"/>
          <w:w w:val="100"/>
          <w:position w:val="0"/>
        </w:rPr>
        <w:t>同类业务采用不同经营模式导致收入确认会计政策存在差异的情况</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日前的会计政策</w:t>
      </w:r>
    </w:p>
    <w:p>
      <w:pPr>
        <w:pStyle w:val="Style25"/>
        <w:keepNext w:val="0"/>
        <w:keepLines w:val="0"/>
        <w:widowControl w:val="0"/>
        <w:shd w:val="clear" w:color="auto" w:fill="auto"/>
        <w:tabs>
          <w:tab w:pos="813" w:val="left"/>
        </w:tabs>
        <w:bidi w:val="0"/>
        <w:spacing w:before="0" w:after="0" w:line="469" w:lineRule="exact"/>
        <w:ind w:left="0" w:right="0" w:firstLine="440"/>
        <w:jc w:val="left"/>
      </w:pPr>
      <w:bookmarkStart w:id="921" w:name="bookmark921"/>
      <w:r>
        <w:rPr>
          <w:color w:val="000000"/>
          <w:spacing w:val="0"/>
          <w:w w:val="100"/>
          <w:position w:val="0"/>
        </w:rPr>
        <w:t>1</w:t>
      </w:r>
      <w:bookmarkEnd w:id="921"/>
      <w:r>
        <w:rPr>
          <w:color w:val="000000"/>
          <w:spacing w:val="0"/>
          <w:w w:val="100"/>
          <w:position w:val="0"/>
        </w:rPr>
        <w:t>）</w:t>
        <w:tab/>
      </w:r>
      <w:r>
        <w:rPr>
          <w:color w:val="000000"/>
          <w:spacing w:val="0"/>
          <w:w w:val="100"/>
          <w:position w:val="0"/>
        </w:rPr>
        <w:t>销售商品收入确认的一般原则</w:t>
      </w:r>
    </w:p>
    <w:p>
      <w:pPr>
        <w:pStyle w:val="Style25"/>
        <w:keepNext w:val="0"/>
        <w:keepLines w:val="0"/>
        <w:widowControl w:val="0"/>
        <w:numPr>
          <w:ilvl w:val="0"/>
          <w:numId w:val="37"/>
        </w:numPr>
        <w:shd w:val="clear" w:color="auto" w:fill="auto"/>
        <w:tabs>
          <w:tab w:pos="832" w:val="left"/>
        </w:tabs>
        <w:bidi w:val="0"/>
        <w:spacing w:before="0" w:after="0" w:line="469" w:lineRule="exact"/>
        <w:ind w:left="0" w:right="0" w:firstLine="440"/>
        <w:jc w:val="left"/>
      </w:pPr>
      <w:bookmarkStart w:id="922" w:name="bookmark922"/>
      <w:bookmarkEnd w:id="922"/>
      <w:r>
        <w:rPr>
          <w:color w:val="000000"/>
          <w:spacing w:val="0"/>
          <w:w w:val="100"/>
          <w:position w:val="0"/>
        </w:rPr>
        <w:t>本公司已将商品所有权上的主要风险和报酬转移给购货方；</w:t>
      </w:r>
    </w:p>
    <w:p>
      <w:pPr>
        <w:pStyle w:val="Style25"/>
        <w:keepNext w:val="0"/>
        <w:keepLines w:val="0"/>
        <w:widowControl w:val="0"/>
        <w:numPr>
          <w:ilvl w:val="0"/>
          <w:numId w:val="37"/>
        </w:numPr>
        <w:shd w:val="clear" w:color="auto" w:fill="auto"/>
        <w:tabs>
          <w:tab w:pos="837" w:val="left"/>
        </w:tabs>
        <w:bidi w:val="0"/>
        <w:spacing w:before="0" w:after="0" w:line="469" w:lineRule="exact"/>
        <w:ind w:left="0" w:right="0" w:firstLine="440"/>
        <w:jc w:val="left"/>
      </w:pPr>
      <w:bookmarkStart w:id="923" w:name="bookmark923"/>
      <w:bookmarkEnd w:id="923"/>
      <w:r>
        <w:rPr>
          <w:color w:val="000000"/>
          <w:spacing w:val="0"/>
          <w:w w:val="100"/>
          <w:position w:val="0"/>
        </w:rPr>
        <w:t>本公司既没有保留通常与所有权相联系的继续管理权，也没有对已售出的商品实施有效控制；</w:t>
      </w:r>
    </w:p>
    <w:p>
      <w:pPr>
        <w:pStyle w:val="Style25"/>
        <w:keepNext w:val="0"/>
        <w:keepLines w:val="0"/>
        <w:widowControl w:val="0"/>
        <w:numPr>
          <w:ilvl w:val="0"/>
          <w:numId w:val="37"/>
        </w:numPr>
        <w:shd w:val="clear" w:color="auto" w:fill="auto"/>
        <w:tabs>
          <w:tab w:pos="837" w:val="left"/>
        </w:tabs>
        <w:bidi w:val="0"/>
        <w:spacing w:before="0" w:after="0" w:line="469" w:lineRule="exact"/>
        <w:ind w:left="0" w:right="0" w:firstLine="440"/>
        <w:jc w:val="both"/>
      </w:pPr>
      <w:bookmarkStart w:id="924" w:name="bookmark924"/>
      <w:bookmarkEnd w:id="924"/>
      <w:r>
        <w:rPr>
          <w:color w:val="000000"/>
          <w:spacing w:val="0"/>
          <w:w w:val="100"/>
          <w:position w:val="0"/>
        </w:rPr>
        <w:t>收入的金额能够可靠地计量；</w:t>
      </w:r>
    </w:p>
    <w:p>
      <w:pPr>
        <w:pStyle w:val="Style25"/>
        <w:keepNext w:val="0"/>
        <w:keepLines w:val="0"/>
        <w:widowControl w:val="0"/>
        <w:numPr>
          <w:ilvl w:val="0"/>
          <w:numId w:val="37"/>
        </w:numPr>
        <w:shd w:val="clear" w:color="auto" w:fill="auto"/>
        <w:tabs>
          <w:tab w:pos="837" w:val="left"/>
        </w:tabs>
        <w:bidi w:val="0"/>
        <w:spacing w:before="0" w:after="0" w:line="469" w:lineRule="exact"/>
        <w:ind w:left="0" w:right="0" w:firstLine="440"/>
        <w:jc w:val="both"/>
      </w:pPr>
      <w:bookmarkStart w:id="925" w:name="bookmark925"/>
      <w:bookmarkEnd w:id="925"/>
      <w:r>
        <w:rPr>
          <w:color w:val="000000"/>
          <w:spacing w:val="0"/>
          <w:w w:val="100"/>
          <w:position w:val="0"/>
        </w:rPr>
        <w:t>相关的经济利益很可能流入本公司；</w:t>
      </w:r>
    </w:p>
    <w:p>
      <w:pPr>
        <w:pStyle w:val="Style25"/>
        <w:keepNext w:val="0"/>
        <w:keepLines w:val="0"/>
        <w:widowControl w:val="0"/>
        <w:numPr>
          <w:ilvl w:val="0"/>
          <w:numId w:val="37"/>
        </w:numPr>
        <w:shd w:val="clear" w:color="auto" w:fill="auto"/>
        <w:tabs>
          <w:tab w:pos="837" w:val="left"/>
        </w:tabs>
        <w:bidi w:val="0"/>
        <w:spacing w:before="0" w:after="0" w:line="469" w:lineRule="exact"/>
        <w:ind w:left="0" w:right="0" w:firstLine="440"/>
        <w:jc w:val="both"/>
      </w:pPr>
      <w:bookmarkStart w:id="926" w:name="bookmark926"/>
      <w:bookmarkEnd w:id="926"/>
      <w:r>
        <w:rPr>
          <w:color w:val="000000"/>
          <w:spacing w:val="0"/>
          <w:w w:val="100"/>
          <w:position w:val="0"/>
        </w:rPr>
        <w:t>相关的、己发生或将发生的成本能够可靠地计量。</w:t>
      </w:r>
    </w:p>
    <w:p>
      <w:pPr>
        <w:pStyle w:val="Style25"/>
        <w:keepNext w:val="0"/>
        <w:keepLines w:val="0"/>
        <w:widowControl w:val="0"/>
        <w:shd w:val="clear" w:color="auto" w:fill="auto"/>
        <w:tabs>
          <w:tab w:pos="827" w:val="left"/>
        </w:tabs>
        <w:bidi w:val="0"/>
        <w:spacing w:before="0" w:after="0" w:line="469" w:lineRule="exact"/>
        <w:ind w:left="0" w:right="0" w:firstLine="440"/>
        <w:jc w:val="both"/>
      </w:pPr>
      <w:bookmarkStart w:id="927" w:name="bookmark927"/>
      <w:r>
        <w:rPr>
          <w:color w:val="000000"/>
          <w:spacing w:val="0"/>
          <w:w w:val="100"/>
          <w:position w:val="0"/>
        </w:rPr>
        <w:t>2</w:t>
      </w:r>
      <w:bookmarkEnd w:id="927"/>
      <w:r>
        <w:rPr>
          <w:color w:val="000000"/>
          <w:spacing w:val="0"/>
          <w:w w:val="100"/>
          <w:position w:val="0"/>
        </w:rPr>
        <w:t>）</w:t>
        <w:tab/>
      </w:r>
      <w:r>
        <w:rPr>
          <w:color w:val="000000"/>
          <w:spacing w:val="0"/>
          <w:w w:val="100"/>
          <w:position w:val="0"/>
        </w:rPr>
        <w:t>具体原则</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公司主营业务为应用软件开发、技术服务及相关的计算机信息系统集成服务。包括集成服务、技术服 务和软件产品销售，各类业务销售收入确认的具体方法如下：</w:t>
      </w:r>
    </w:p>
    <w:p>
      <w:pPr>
        <w:pStyle w:val="Style25"/>
        <w:keepNext w:val="0"/>
        <w:keepLines w:val="0"/>
        <w:widowControl w:val="0"/>
        <w:numPr>
          <w:ilvl w:val="0"/>
          <w:numId w:val="39"/>
        </w:numPr>
        <w:shd w:val="clear" w:color="auto" w:fill="auto"/>
        <w:tabs>
          <w:tab w:pos="832" w:val="left"/>
        </w:tabs>
        <w:bidi w:val="0"/>
        <w:spacing w:before="0" w:after="0" w:line="469" w:lineRule="exact"/>
        <w:ind w:left="0" w:right="0" w:firstLine="440"/>
        <w:jc w:val="left"/>
      </w:pPr>
      <w:bookmarkStart w:id="928" w:name="bookmark928"/>
      <w:bookmarkEnd w:id="928"/>
      <w:r>
        <w:rPr>
          <w:color w:val="000000"/>
          <w:spacing w:val="0"/>
          <w:w w:val="100"/>
          <w:position w:val="0"/>
        </w:rPr>
        <w:t>集成服务收入：按合同约定在产品交付购货方，并经客户验收合格后确认收入。</w:t>
      </w:r>
    </w:p>
    <w:p>
      <w:pPr>
        <w:pStyle w:val="Style25"/>
        <w:keepNext w:val="0"/>
        <w:keepLines w:val="0"/>
        <w:widowControl w:val="0"/>
        <w:numPr>
          <w:ilvl w:val="0"/>
          <w:numId w:val="39"/>
        </w:numPr>
        <w:shd w:val="clear" w:color="auto" w:fill="auto"/>
        <w:tabs>
          <w:tab w:pos="397" w:val="left"/>
        </w:tabs>
        <w:bidi w:val="0"/>
        <w:spacing w:before="0" w:after="0" w:line="469" w:lineRule="exact"/>
        <w:ind w:left="0" w:right="0" w:firstLine="440"/>
        <w:jc w:val="left"/>
      </w:pPr>
      <w:bookmarkStart w:id="929" w:name="bookmark929"/>
      <w:bookmarkEnd w:id="929"/>
      <w:r>
        <w:rPr>
          <w:color w:val="000000"/>
          <w:spacing w:val="0"/>
          <w:w w:val="100"/>
          <w:position w:val="0"/>
        </w:rPr>
        <w:t xml:space="preserve">技术服务收入：技术咨询、技术服务、技术培训按合同约定提供服务完成并经客户验收合格后，或 </w:t>
      </w:r>
      <w:r>
        <w:rPr>
          <w:color w:val="000000"/>
          <w:spacing w:val="0"/>
          <w:w w:val="100"/>
          <w:position w:val="0"/>
        </w:rPr>
        <w:t>服务期满后确认收入。技术开发收入按合同约定开发进度，并经客户阶段验收合格后按进度确认收入。</w:t>
      </w:r>
    </w:p>
    <w:p>
      <w:pPr>
        <w:pStyle w:val="Style25"/>
        <w:keepNext w:val="0"/>
        <w:keepLines w:val="0"/>
        <w:widowControl w:val="0"/>
        <w:numPr>
          <w:ilvl w:val="0"/>
          <w:numId w:val="39"/>
        </w:numPr>
        <w:shd w:val="clear" w:color="auto" w:fill="auto"/>
        <w:tabs>
          <w:tab w:pos="814" w:val="left"/>
        </w:tabs>
        <w:bidi w:val="0"/>
        <w:spacing w:before="0" w:after="0" w:line="473" w:lineRule="exact"/>
        <w:ind w:left="0" w:right="0" w:firstLine="440"/>
        <w:jc w:val="both"/>
      </w:pPr>
      <w:bookmarkStart w:id="930" w:name="bookmark930"/>
      <w:bookmarkEnd w:id="930"/>
      <w:r>
        <w:rPr>
          <w:color w:val="000000"/>
          <w:spacing w:val="0"/>
          <w:w w:val="100"/>
          <w:position w:val="0"/>
        </w:rPr>
        <w:t>软件产品销售收入：按合同约定，需安装调试的，在安装调试完成、投入运行并经客户验收合格后 确认收入；不需安装的，于产品发出且到货验收合格后确认收入。</w:t>
      </w:r>
    </w:p>
    <w:p>
      <w:pPr>
        <w:pStyle w:val="Style25"/>
        <w:keepNext w:val="0"/>
        <w:keepLines w:val="0"/>
        <w:widowControl w:val="0"/>
        <w:numPr>
          <w:ilvl w:val="0"/>
          <w:numId w:val="39"/>
        </w:numPr>
        <w:shd w:val="clear" w:color="auto" w:fill="auto"/>
        <w:tabs>
          <w:tab w:pos="814" w:val="left"/>
        </w:tabs>
        <w:bidi w:val="0"/>
        <w:spacing w:before="0" w:after="0" w:line="473" w:lineRule="exact"/>
        <w:ind w:left="0" w:right="0" w:firstLine="440"/>
        <w:jc w:val="both"/>
      </w:pPr>
      <w:bookmarkStart w:id="931" w:name="bookmark931"/>
      <w:bookmarkEnd w:id="931"/>
      <w:r>
        <w:rPr>
          <w:color w:val="000000"/>
          <w:spacing w:val="0"/>
          <w:w w:val="100"/>
          <w:position w:val="0"/>
        </w:rPr>
        <w:t>自助设备（硬件销售）收入：按合同约定，需开通上线的，在设备开通上线，经客户验收后确认收 入；不需开通上线的，于产品发出且到货验收合格后确认收入。</w:t>
      </w:r>
    </w:p>
    <w:p>
      <w:pPr>
        <w:pStyle w:val="Style25"/>
        <w:keepNext w:val="0"/>
        <w:keepLines w:val="0"/>
        <w:widowControl w:val="0"/>
        <w:numPr>
          <w:ilvl w:val="0"/>
          <w:numId w:val="39"/>
        </w:numPr>
        <w:shd w:val="clear" w:color="auto" w:fill="auto"/>
        <w:tabs>
          <w:tab w:pos="837" w:val="left"/>
        </w:tabs>
        <w:bidi w:val="0"/>
        <w:spacing w:before="0" w:after="460" w:line="473" w:lineRule="exact"/>
        <w:ind w:left="0" w:right="0" w:firstLine="440"/>
        <w:jc w:val="left"/>
      </w:pPr>
      <w:bookmarkStart w:id="932" w:name="bookmark932"/>
      <w:bookmarkEnd w:id="932"/>
      <w:r>
        <w:rPr>
          <w:color w:val="000000"/>
          <w:spacing w:val="0"/>
          <w:w w:val="100"/>
          <w:position w:val="0"/>
        </w:rPr>
        <w:t>合作运营：在每个运营期，依据合同约定比例以及经确认的交易金额确认收入。</w:t>
      </w:r>
    </w:p>
    <w:p>
      <w:pPr>
        <w:pStyle w:val="Style31"/>
        <w:keepNext/>
        <w:keepLines/>
        <w:widowControl w:val="0"/>
        <w:shd w:val="clear" w:color="auto" w:fill="auto"/>
        <w:bidi w:val="0"/>
        <w:spacing w:before="0" w:after="0" w:line="48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33"/>
      <w:bookmarkEnd w:id="934"/>
      <w:bookmarkEnd w:id="936"/>
    </w:p>
    <w:p>
      <w:pPr>
        <w:pStyle w:val="Style25"/>
        <w:keepNext w:val="0"/>
        <w:keepLines w:val="0"/>
        <w:widowControl w:val="0"/>
        <w:shd w:val="clear" w:color="auto" w:fill="auto"/>
        <w:tabs>
          <w:tab w:pos="928" w:val="left"/>
        </w:tabs>
        <w:bidi w:val="0"/>
        <w:spacing w:before="0" w:after="0" w:line="465" w:lineRule="exact"/>
        <w:ind w:left="0" w:right="0" w:firstLine="440"/>
        <w:jc w:val="left"/>
      </w:pPr>
      <w:bookmarkStart w:id="937" w:name="bookmark937"/>
      <w:r>
        <w:rPr>
          <w:color w:val="000000"/>
          <w:spacing w:val="0"/>
          <w:w w:val="100"/>
          <w:position w:val="0"/>
        </w:rPr>
        <w:t>（</w:t>
      </w:r>
      <w:bookmarkEnd w:id="937"/>
      <w:r>
        <w:rPr>
          <w:color w:val="000000"/>
          <w:spacing w:val="0"/>
          <w:w w:val="100"/>
          <w:position w:val="0"/>
        </w:rPr>
        <w:t>1）</w:t>
        <w:tab/>
      </w:r>
      <w:r>
        <w:rPr>
          <w:color w:val="000000"/>
          <w:spacing w:val="0"/>
          <w:w w:val="100"/>
          <w:position w:val="0"/>
        </w:rPr>
        <w:t>类型</w:t>
      </w:r>
    </w:p>
    <w:p>
      <w:pPr>
        <w:pStyle w:val="Style2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政府补助，是本公司从政府无偿取得的货币性资产或非货币性资产，分为与资产相关的政府补助和与 收益相关的政府补助。</w:t>
      </w:r>
    </w:p>
    <w:p>
      <w:pPr>
        <w:pStyle w:val="Style2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2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本公司将政府补助划分为与资产相关的具体标准为：企业取得的，用于购建或以其他方式形成长期资 产的政府补助；</w:t>
      </w:r>
    </w:p>
    <w:p>
      <w:pPr>
        <w:pStyle w:val="Style25"/>
        <w:keepNext w:val="0"/>
        <w:keepLines w:val="0"/>
        <w:widowControl w:val="0"/>
        <w:shd w:val="clear" w:color="auto" w:fill="auto"/>
        <w:bidi w:val="0"/>
        <w:spacing w:before="0" w:after="0" w:line="465" w:lineRule="exact"/>
        <w:ind w:left="0" w:right="0" w:firstLine="440"/>
        <w:jc w:val="left"/>
      </w:pPr>
      <w:r>
        <w:rPr>
          <w:color w:val="000000"/>
          <w:spacing w:val="0"/>
          <w:w w:val="100"/>
          <w:position w:val="0"/>
        </w:rPr>
        <w:t>本公司将政府补助划分为与收益相关的具体标准为：除与资产相关的政府补助之外的政府补助；</w:t>
      </w:r>
    </w:p>
    <w:p>
      <w:pPr>
        <w:pStyle w:val="Style2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对于政府文件未明确规定补助对象的，本公司将该政府补助划分为与资产相关或与收益相关的判断依 据为：是否用于购建或以其他方式形成长期资产。</w:t>
      </w:r>
    </w:p>
    <w:p>
      <w:pPr>
        <w:pStyle w:val="Style25"/>
        <w:keepNext w:val="0"/>
        <w:keepLines w:val="0"/>
        <w:widowControl w:val="0"/>
        <w:shd w:val="clear" w:color="auto" w:fill="auto"/>
        <w:tabs>
          <w:tab w:pos="928" w:val="left"/>
        </w:tabs>
        <w:bidi w:val="0"/>
        <w:spacing w:before="0" w:after="0" w:line="465" w:lineRule="exact"/>
        <w:ind w:left="0" w:right="0" w:firstLine="440"/>
        <w:jc w:val="left"/>
      </w:pPr>
      <w:bookmarkStart w:id="938" w:name="bookmark938"/>
      <w:r>
        <w:rPr>
          <w:color w:val="000000"/>
          <w:spacing w:val="0"/>
          <w:w w:val="100"/>
          <w:position w:val="0"/>
        </w:rPr>
        <w:t>（</w:t>
      </w:r>
      <w:bookmarkEnd w:id="938"/>
      <w:r>
        <w:rPr>
          <w:color w:val="000000"/>
          <w:spacing w:val="0"/>
          <w:w w:val="100"/>
          <w:position w:val="0"/>
        </w:rPr>
        <w:t>2）</w:t>
        <w:tab/>
      </w:r>
      <w:r>
        <w:rPr>
          <w:color w:val="000000"/>
          <w:spacing w:val="0"/>
          <w:w w:val="100"/>
          <w:position w:val="0"/>
        </w:rPr>
        <w:t>确认时点</w:t>
      </w:r>
    </w:p>
    <w:p>
      <w:pPr>
        <w:pStyle w:val="Style25"/>
        <w:keepNext w:val="0"/>
        <w:keepLines w:val="0"/>
        <w:widowControl w:val="0"/>
        <w:shd w:val="clear" w:color="auto" w:fill="auto"/>
        <w:bidi w:val="0"/>
        <w:spacing w:before="0" w:after="0" w:line="465" w:lineRule="exact"/>
        <w:ind w:left="0" w:right="0" w:firstLine="440"/>
        <w:jc w:val="left"/>
      </w:pPr>
      <w:r>
        <w:rPr>
          <w:color w:val="000000"/>
          <w:spacing w:val="0"/>
          <w:w w:val="100"/>
          <w:position w:val="0"/>
        </w:rPr>
        <w:t>与资产相关的政府补助，以建造或购买的资产达到可使用状态作为确认时点；</w:t>
      </w:r>
    </w:p>
    <w:p>
      <w:pPr>
        <w:pStyle w:val="Style25"/>
        <w:keepNext w:val="0"/>
        <w:keepLines w:val="0"/>
        <w:widowControl w:val="0"/>
        <w:shd w:val="clear" w:color="auto" w:fill="auto"/>
        <w:bidi w:val="0"/>
        <w:spacing w:before="0" w:after="0" w:line="465" w:lineRule="exact"/>
        <w:ind w:left="0" w:right="0" w:firstLine="440"/>
        <w:jc w:val="left"/>
      </w:pPr>
      <w:r>
        <w:rPr>
          <w:color w:val="000000"/>
          <w:spacing w:val="0"/>
          <w:w w:val="100"/>
          <w:position w:val="0"/>
        </w:rPr>
        <w:t>与收益相关的政府补助，用于补偿企业以后期间的相关费用或损失的，如政府补助相关文件规定需要 验收，以验收报告确认的完成时点作为确认时点，未规定是否验收，以确认相关费用的期间作为确认时点； 用于补偿企业已发生的相关费用或损失的，以实际收到政府补助款项作为确认时点。</w:t>
      </w:r>
    </w:p>
    <w:p>
      <w:pPr>
        <w:pStyle w:val="Style25"/>
        <w:keepNext w:val="0"/>
        <w:keepLines w:val="0"/>
        <w:widowControl w:val="0"/>
        <w:shd w:val="clear" w:color="auto" w:fill="auto"/>
        <w:tabs>
          <w:tab w:pos="928" w:val="left"/>
        </w:tabs>
        <w:bidi w:val="0"/>
        <w:spacing w:before="0" w:after="0" w:line="468" w:lineRule="exact"/>
        <w:ind w:left="0" w:right="0" w:firstLine="440"/>
        <w:jc w:val="both"/>
      </w:pPr>
      <w:bookmarkStart w:id="939" w:name="bookmark939"/>
      <w:r>
        <w:rPr>
          <w:color w:val="000000"/>
          <w:spacing w:val="0"/>
          <w:w w:val="100"/>
          <w:position w:val="0"/>
        </w:rPr>
        <w:t>（</w:t>
      </w:r>
      <w:bookmarkEnd w:id="939"/>
      <w:r>
        <w:rPr>
          <w:color w:val="000000"/>
          <w:spacing w:val="0"/>
          <w:w w:val="100"/>
          <w:position w:val="0"/>
        </w:rPr>
        <w:t>3）</w:t>
        <w:tab/>
      </w:r>
      <w:r>
        <w:rPr>
          <w:color w:val="000000"/>
          <w:spacing w:val="0"/>
          <w:w w:val="100"/>
          <w:position w:val="0"/>
        </w:rPr>
        <w:t>会计处理</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25"/>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 xml:space="preserve">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w:t>
      </w:r>
      <w:r>
        <w:rPr>
          <w:color w:val="000000"/>
          <w:spacing w:val="0"/>
          <w:w w:val="100"/>
          <w:position w:val="0"/>
        </w:rPr>
        <w:t>损失的，直接计入当期损益（与本公司日常活动相关的，计入其他收益；与本公司日常活动无关的，计入 营业外收入）或冲减相关成本费用或损失。</w:t>
      </w:r>
    </w:p>
    <w:p>
      <w:pPr>
        <w:pStyle w:val="Style31"/>
        <w:keepNext/>
        <w:keepLines/>
        <w:widowControl w:val="0"/>
        <w:shd w:val="clear" w:color="auto" w:fill="auto"/>
        <w:bidi w:val="0"/>
        <w:spacing w:before="0" w:after="0" w:line="480" w:lineRule="auto"/>
        <w:ind w:left="0" w:right="0" w:firstLine="0"/>
        <w:jc w:val="both"/>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40"/>
      <w:bookmarkEnd w:id="941"/>
      <w:bookmarkEnd w:id="943"/>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所得税包括当期所得税和递延所得税。除因企业合并和直接计入所有者权益（包括其他综合收益）的交 易或者事项产生的所得税外，本公司将当期所得税和递延所得税计入当期损益。</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递延所得税资产和递延所得税负债根据资产和负债的计税基础与其账面价值的差额（暂时性差异）计 算确认。</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对于应纳税暂时性差异，除特殊情况外，确认递延所得税负债。</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不确认递延所得税资产或递延所得税负债的特殊情况包括：</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•商誉的初始确认；</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•既不是企业合并、发生时也不影响会计利润和应纳税所得额（或可抵扣亏损）的交易或事项。</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对与子公司、联营企业及合营企业投资相关的应纳税暂时性差异，确认递延所得税负债，除非本公司 能够控制该暂时性差异转回的时间且该暂时性差异在可预见的未来很可能不会转回。对与子公司、联营企 业及合营企业投资相关的可抵扣暂时性差异，当该暂时性差异在可预见的未来很可能转回且未来很可能获 得用来抵扣可抵扣暂时性差异的应纳税所得额时，确认递延所得税资产。</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资产负债表日，本公司对递延所得税资产的账面价值进行复核。如果未来期间很可能无法获得足够的 应纳税所得额用以抵扣递延所得税资产的利益，则减记递延所得税资产的账面价值。在很可能获得足够的 应纳税所得额时，减记的金额予以转回。</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资产负债表日，递延所得税资产及递延所得税负债在同时满足以下条件时以抵销后的净额列示：</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•纳税主体拥有以净额结算当期所得税资产及当期所得税负债的法定权利；</w:t>
      </w:r>
    </w:p>
    <w:p>
      <w:pPr>
        <w:pStyle w:val="Style25"/>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 xml:space="preserve">•递延所得税资产及递延所得税负债是与同一税收征管部门对同一纳税主体征收的所得税相关或者是 对不同的纳税主体相关，但在未来每一具有重要性的递延所得税资产及负债转回的期间内，涉及的纳税主 </w:t>
      </w:r>
      <w:r>
        <w:rPr>
          <w:color w:val="000000"/>
          <w:spacing w:val="0"/>
          <w:w w:val="100"/>
          <w:position w:val="0"/>
        </w:rPr>
        <w:t>体意图以净额结算当期所得税资产和负债或是同时取得资产、清偿负债。</w:t>
      </w:r>
    </w:p>
    <w:p>
      <w:pPr>
        <w:pStyle w:val="Style31"/>
        <w:keepNext/>
        <w:keepLines/>
        <w:widowControl w:val="0"/>
        <w:shd w:val="clear" w:color="auto" w:fill="auto"/>
        <w:tabs>
          <w:tab w:pos="483" w:val="left"/>
        </w:tabs>
        <w:bidi w:val="0"/>
        <w:spacing w:before="0" w:after="0" w:line="492"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44"/>
      <w:bookmarkEnd w:id="945"/>
      <w:bookmarkEnd w:id="947"/>
    </w:p>
    <w:p>
      <w:pPr>
        <w:pStyle w:val="Style37"/>
        <w:keepNext/>
        <w:keepLines/>
        <w:widowControl w:val="0"/>
        <w:shd w:val="clear" w:color="auto" w:fill="auto"/>
        <w:tabs>
          <w:tab w:pos="493" w:val="left"/>
        </w:tabs>
        <w:bidi w:val="0"/>
        <w:spacing w:before="0" w:after="200" w:line="471" w:lineRule="exact"/>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48"/>
      <w:bookmarkEnd w:id="949"/>
      <w:bookmarkEnd w:id="951"/>
    </w:p>
    <w:p>
      <w:pPr>
        <w:pStyle w:val="Style25"/>
        <w:keepNext w:val="0"/>
        <w:keepLines w:val="0"/>
        <w:widowControl w:val="0"/>
        <w:shd w:val="clear" w:color="auto" w:fill="auto"/>
        <w:tabs>
          <w:tab w:pos="800" w:val="left"/>
        </w:tabs>
        <w:bidi w:val="0"/>
        <w:spacing w:before="0" w:after="0" w:line="471" w:lineRule="exact"/>
        <w:ind w:left="0" w:right="0" w:firstLine="440"/>
        <w:jc w:val="left"/>
      </w:pPr>
      <w:bookmarkStart w:id="952" w:name="bookmark952"/>
      <w:r>
        <w:rPr>
          <w:color w:val="000000"/>
          <w:spacing w:val="0"/>
          <w:w w:val="100"/>
          <w:position w:val="0"/>
        </w:rPr>
        <w:t>1</w:t>
      </w:r>
      <w:bookmarkEnd w:id="952"/>
      <w:r>
        <w:rPr>
          <w:color w:val="000000"/>
          <w:spacing w:val="0"/>
          <w:w w:val="100"/>
          <w:position w:val="0"/>
        </w:rPr>
        <w:t>）</w:t>
        <w:tab/>
      </w:r>
      <w:r>
        <w:rPr>
          <w:color w:val="000000"/>
          <w:spacing w:val="0"/>
          <w:w w:val="100"/>
          <w:position w:val="0"/>
        </w:rPr>
        <w:t>公司租入资产所支付的租赁费，在不扣除免租期的整个租赁期内，按直线法进行分摊，计入当期 费用。公司支付的与租赁交易相关的初始直接费用，计入当期费用。</w:t>
      </w:r>
    </w:p>
    <w:p>
      <w:pPr>
        <w:pStyle w:val="Style25"/>
        <w:keepNext w:val="0"/>
        <w:keepLines w:val="0"/>
        <w:widowControl w:val="0"/>
        <w:shd w:val="clear" w:color="auto" w:fill="auto"/>
        <w:bidi w:val="0"/>
        <w:spacing w:before="0" w:after="0" w:line="471" w:lineRule="exact"/>
        <w:ind w:left="0" w:right="0" w:firstLine="440"/>
        <w:jc w:val="left"/>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25"/>
        <w:keepNext w:val="0"/>
        <w:keepLines w:val="0"/>
        <w:widowControl w:val="0"/>
        <w:shd w:val="clear" w:color="auto" w:fill="auto"/>
        <w:tabs>
          <w:tab w:pos="810" w:val="left"/>
        </w:tabs>
        <w:bidi w:val="0"/>
        <w:spacing w:before="0" w:after="0" w:line="471" w:lineRule="exact"/>
        <w:ind w:left="0" w:right="0" w:firstLine="440"/>
        <w:jc w:val="left"/>
      </w:pPr>
      <w:bookmarkStart w:id="953" w:name="bookmark953"/>
      <w:r>
        <w:rPr>
          <w:color w:val="000000"/>
          <w:spacing w:val="0"/>
          <w:w w:val="100"/>
          <w:position w:val="0"/>
        </w:rPr>
        <w:t>2</w:t>
      </w:r>
      <w:bookmarkEnd w:id="953"/>
      <w:r>
        <w:rPr>
          <w:color w:val="000000"/>
          <w:spacing w:val="0"/>
          <w:w w:val="100"/>
          <w:position w:val="0"/>
        </w:rPr>
        <w:t>）</w:t>
        <w:tab/>
      </w:r>
      <w:r>
        <w:rPr>
          <w:color w:val="000000"/>
          <w:spacing w:val="0"/>
          <w:w w:val="100"/>
          <w:position w:val="0"/>
        </w:rPr>
        <w:t>公司出租资产所收取的租赁费，在不扣除免租期的整个租赁期内，按直线法进行分摊，确认为租 赁相关收入。公司支付的与租赁交易相关的初始直接费用，计入当期费用；如金额较大的，则予以资本化, 在整个租赁期间内按照与租赁相关收入确认相同的基础分期计入当期收益。</w:t>
      </w:r>
    </w:p>
    <w:p>
      <w:pPr>
        <w:pStyle w:val="Style25"/>
        <w:keepNext w:val="0"/>
        <w:keepLines w:val="0"/>
        <w:widowControl w:val="0"/>
        <w:shd w:val="clear" w:color="auto" w:fill="auto"/>
        <w:bidi w:val="0"/>
        <w:spacing w:before="0" w:after="200" w:line="471" w:lineRule="exact"/>
        <w:ind w:left="0" w:right="0" w:firstLine="440"/>
        <w:jc w:val="left"/>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7"/>
        <w:keepNext/>
        <w:keepLines/>
        <w:widowControl w:val="0"/>
        <w:shd w:val="clear" w:color="auto" w:fill="auto"/>
        <w:tabs>
          <w:tab w:pos="493" w:val="left"/>
        </w:tabs>
        <w:bidi w:val="0"/>
        <w:spacing w:before="0" w:after="200" w:line="471" w:lineRule="exact"/>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54"/>
      <w:bookmarkEnd w:id="955"/>
      <w:bookmarkEnd w:id="957"/>
    </w:p>
    <w:p>
      <w:pPr>
        <w:pStyle w:val="Style25"/>
        <w:keepNext w:val="0"/>
        <w:keepLines w:val="0"/>
        <w:widowControl w:val="0"/>
        <w:shd w:val="clear" w:color="auto" w:fill="auto"/>
        <w:tabs>
          <w:tab w:pos="810" w:val="left"/>
        </w:tabs>
        <w:bidi w:val="0"/>
        <w:spacing w:before="0" w:after="0" w:line="467" w:lineRule="exact"/>
        <w:ind w:left="0" w:right="0" w:firstLine="440"/>
        <w:jc w:val="left"/>
      </w:pPr>
      <w:bookmarkStart w:id="958" w:name="bookmark958"/>
      <w:r>
        <w:rPr>
          <w:color w:val="000000"/>
          <w:spacing w:val="0"/>
          <w:w w:val="100"/>
          <w:position w:val="0"/>
        </w:rPr>
        <w:t>1</w:t>
      </w:r>
      <w:bookmarkEnd w:id="958"/>
      <w:r>
        <w:rPr>
          <w:color w:val="000000"/>
          <w:spacing w:val="0"/>
          <w:w w:val="100"/>
          <w:position w:val="0"/>
        </w:rPr>
        <w:t>）</w:t>
        <w:tab/>
      </w:r>
      <w:r>
        <w:rPr>
          <w:color w:val="000000"/>
          <w:spacing w:val="0"/>
          <w:w w:val="100"/>
          <w:position w:val="0"/>
        </w:rPr>
        <w:t>融资租入资产：公司在承租开始日，将租赁资产公允价值与最低租赁付款额现值两者中较低者作 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25"/>
        <w:keepNext w:val="0"/>
        <w:keepLines w:val="0"/>
        <w:widowControl w:val="0"/>
        <w:shd w:val="clear" w:color="auto" w:fill="auto"/>
        <w:tabs>
          <w:tab w:pos="810" w:val="left"/>
        </w:tabs>
        <w:bidi w:val="0"/>
        <w:spacing w:before="0" w:after="460" w:line="467" w:lineRule="exact"/>
        <w:ind w:left="0" w:right="0" w:firstLine="440"/>
        <w:jc w:val="left"/>
      </w:pPr>
      <w:bookmarkStart w:id="959" w:name="bookmark959"/>
      <w:r>
        <w:rPr>
          <w:color w:val="000000"/>
          <w:spacing w:val="0"/>
          <w:w w:val="100"/>
          <w:position w:val="0"/>
        </w:rPr>
        <w:t>2</w:t>
      </w:r>
      <w:bookmarkEnd w:id="959"/>
      <w:r>
        <w:rPr>
          <w:color w:val="000000"/>
          <w:spacing w:val="0"/>
          <w:w w:val="100"/>
          <w:position w:val="0"/>
        </w:rPr>
        <w:t>）</w:t>
        <w:tab/>
      </w:r>
      <w:r>
        <w:rPr>
          <w:color w:val="000000"/>
          <w:spacing w:val="0"/>
          <w:w w:val="100"/>
          <w:position w:val="0"/>
        </w:rPr>
        <w:t>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31"/>
        <w:keepNext/>
        <w:keepLines/>
        <w:widowControl w:val="0"/>
        <w:shd w:val="clear" w:color="auto" w:fill="auto"/>
        <w:tabs>
          <w:tab w:pos="483" w:val="left"/>
        </w:tabs>
        <w:bidi w:val="0"/>
        <w:spacing w:before="0" w:after="140" w:line="492"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rFonts w:ascii="Times New Roman" w:eastAsia="Times New Roman" w:hAnsi="Times New Roman" w:cs="Times New Roman"/>
          <w:color w:val="000000"/>
          <w:spacing w:val="0"/>
          <w:w w:val="100"/>
          <w:position w:val="0"/>
        </w:rPr>
        <w:t>2</w:t>
      </w:r>
      <w:r>
        <w:rPr>
          <w:color w:val="000000"/>
          <w:spacing w:val="0"/>
          <w:w w:val="100"/>
          <w:position w:val="0"/>
        </w:rPr>
        <w:t>、</w:t>
        <w:tab/>
        <w:t>重要会计政策和会计估计变更</w:t>
      </w:r>
      <w:bookmarkEnd w:id="960"/>
      <w:bookmarkEnd w:id="961"/>
      <w:bookmarkEnd w:id="963"/>
    </w:p>
    <w:p>
      <w:pPr>
        <w:pStyle w:val="Style37"/>
        <w:keepNext/>
        <w:keepLines/>
        <w:widowControl w:val="0"/>
        <w:shd w:val="clear" w:color="auto" w:fill="auto"/>
        <w:bidi w:val="0"/>
        <w:spacing w:before="0" w:line="240" w:lineRule="auto"/>
        <w:ind w:left="0" w:right="0" w:firstLine="0"/>
        <w:jc w:val="left"/>
      </w:pPr>
      <w:bookmarkStart w:id="964" w:name="bookmark964"/>
      <w:bookmarkStart w:id="965" w:name="bookmark965"/>
      <w:bookmarkStart w:id="966" w:name="bookmark9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64"/>
      <w:bookmarkEnd w:id="965"/>
      <w:bookmarkEnd w:id="966"/>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与销售商品相关的预收款项重分类至合 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）执行《企业会计准则第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号一收入》（</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年修订）（以下简称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新收入准则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25"/>
        <w:keepNext w:val="0"/>
        <w:keepLines w:val="0"/>
        <w:widowControl w:val="0"/>
        <w:shd w:val="clear" w:color="auto" w:fill="auto"/>
        <w:bidi w:val="0"/>
        <w:spacing w:before="0" w:after="0" w:line="475" w:lineRule="exact"/>
        <w:ind w:left="0" w:right="0" w:firstLine="42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号一收入》。修订后的准则规定，首次执行该准则应 当根据累积影响数调整当年年初留存收益及财务报表其他相关项目金额，对可比期间信息不予调整。</w:t>
      </w:r>
    </w:p>
    <w:p>
      <w:pPr>
        <w:pStyle w:val="Style25"/>
        <w:keepNext w:val="0"/>
        <w:keepLines w:val="0"/>
        <w:widowControl w:val="0"/>
        <w:shd w:val="clear" w:color="auto" w:fill="auto"/>
        <w:bidi w:val="0"/>
        <w:spacing w:before="0" w:after="100" w:line="475" w:lineRule="exact"/>
        <w:ind w:left="0" w:right="0" w:firstLine="42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日起执行新收入准则。根据准则的规定，本公司仅对在首次执行日尚未完成的合 同的累积影响数调整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年年初留存收益以及财务报表其他相关项目金额，比较财务报表不做调整。执行 该准则的主要影响如下：</w:t>
      </w:r>
    </w:p>
    <w:tbl>
      <w:tblPr>
        <w:tblOverlap w:val="never"/>
        <w:jc w:val="center"/>
        <w:tblLayout w:type="fixed"/>
      </w:tblPr>
      <w:tblGrid>
        <w:gridCol w:w="2093"/>
        <w:gridCol w:w="1430"/>
        <w:gridCol w:w="1493"/>
        <w:gridCol w:w="1402"/>
        <w:gridCol w:w="1411"/>
      </w:tblGrid>
      <w:tr>
        <w:trPr>
          <w:trHeight w:val="65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会计政策变更的内容和 原因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审批程序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rPr>
              <w:t>受影响的报表项</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日余额的影响金 额（元）</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母公司</w:t>
            </w:r>
          </w:p>
        </w:tc>
      </w:tr>
      <w:tr>
        <w:trPr>
          <w:trHeight w:val="34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将与收入相关、不满足 无条件收款权的已完工 未结算、应收账款重分 类至合同资产，将与销 售商品相关的预收款项 重分类至合同负债。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董事会审批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47,418,175.48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47,418,175.48</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4,531,509.28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4,531,509.28</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-51,949,684.76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-51,949,684.76</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-319,061,022.84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-296,226,974.26</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316,735,118.96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294,148,496.18</w:t>
            </w:r>
          </w:p>
        </w:tc>
      </w:tr>
      <w:tr>
        <w:trPr>
          <w:trHeight w:val="35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2,325,903.88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2,078,478.08</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与原收入准则相比，执行新收入准则对</w:t>
      </w:r>
      <w:r>
        <w:rPr>
          <w:color w:val="000000"/>
          <w:spacing w:val="0"/>
          <w:w w:val="100"/>
          <w:position w:val="0"/>
        </w:rPr>
        <w:t>2020</w:t>
      </w:r>
      <w:r>
        <w:rPr>
          <w:color w:val="000000"/>
          <w:spacing w:val="0"/>
          <w:w w:val="100"/>
          <w:position w:val="0"/>
        </w:rPr>
        <w:t>年度财务报表相关项目的影响如下（增加</w:t>
      </w:r>
      <w:r>
        <w:rPr>
          <w:color w:val="000000"/>
          <w:spacing w:val="0"/>
          <w:w w:val="100"/>
          <w:position w:val="0"/>
        </w:rPr>
        <w:t xml:space="preserve">/ </w:t>
      </w:r>
      <w:r>
        <w:rPr>
          <w:color w:val="000000"/>
          <w:spacing w:val="0"/>
          <w:w w:val="100"/>
          <w:position w:val="0"/>
        </w:rPr>
        <w:t>（减少）</w:t>
      </w:r>
      <w:r>
        <w:rPr>
          <w:color w:val="000000"/>
          <w:spacing w:val="0"/>
          <w:w w:val="100"/>
          <w:position w:val="0"/>
        </w:rPr>
        <w:t>：</w:t>
      </w:r>
    </w:p>
    <w:tbl>
      <w:tblPr>
        <w:tblOverlap w:val="never"/>
        <w:jc w:val="left"/>
        <w:tblLayout w:type="fixed"/>
      </w:tblPr>
      <w:tblGrid>
        <w:gridCol w:w="2962"/>
        <w:gridCol w:w="2424"/>
        <w:gridCol w:w="2443"/>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受影响的资产负债表项目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日余额的影响金额（元）</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母公司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389,183,581.91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308,399,261.49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-392,270,620.91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-309,569,286.71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3,087,039.00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1,170,025.22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-69,479,688.75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-69,359,988.75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9,849,845.35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9,849,845.35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59,629,843.40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59,510,143.40</w:t>
            </w: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执行《企业会计准则解释第</w:t>
      </w:r>
      <w:r>
        <w:rPr>
          <w:color w:val="000000"/>
          <w:spacing w:val="0"/>
          <w:w w:val="100"/>
          <w:position w:val="0"/>
          <w:sz w:val="20"/>
          <w:szCs w:val="20"/>
        </w:rPr>
        <w:t>13</w:t>
      </w:r>
      <w:r>
        <w:rPr>
          <w:color w:val="000000"/>
          <w:spacing w:val="0"/>
          <w:w w:val="100"/>
          <w:position w:val="0"/>
          <w:sz w:val="20"/>
          <w:szCs w:val="20"/>
        </w:rPr>
        <w:t>号》</w:t>
      </w:r>
    </w:p>
    <w:p>
      <w:pPr>
        <w:pStyle w:val="Style25"/>
        <w:keepNext w:val="0"/>
        <w:keepLines w:val="0"/>
        <w:widowControl w:val="0"/>
        <w:shd w:val="clear" w:color="auto" w:fill="auto"/>
        <w:bidi w:val="0"/>
        <w:spacing w:before="0" w:after="0" w:line="472" w:lineRule="exact"/>
        <w:ind w:left="0" w:right="0" w:firstLine="420"/>
        <w:jc w:val="both"/>
      </w:pPr>
      <w:r>
        <w:rPr>
          <w:color w:val="000000"/>
          <w:spacing w:val="0"/>
          <w:w w:val="100"/>
          <w:position w:val="0"/>
        </w:rPr>
        <w:t>财政部于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日发布了《企业会计准则解释第</w:t>
      </w:r>
      <w:r>
        <w:rPr>
          <w:color w:val="000000"/>
          <w:spacing w:val="0"/>
          <w:w w:val="100"/>
          <w:position w:val="0"/>
        </w:rPr>
        <w:t>13</w:t>
      </w:r>
      <w:r>
        <w:rPr>
          <w:color w:val="000000"/>
          <w:spacing w:val="0"/>
          <w:w w:val="100"/>
          <w:position w:val="0"/>
        </w:rPr>
        <w:t>号》（财会〔</w:t>
      </w:r>
      <w:r>
        <w:rPr>
          <w:color w:val="000000"/>
          <w:spacing w:val="0"/>
          <w:w w:val="100"/>
          <w:position w:val="0"/>
        </w:rPr>
        <w:t>2019） 21</w:t>
      </w:r>
      <w:r>
        <w:rPr>
          <w:color w:val="000000"/>
          <w:spacing w:val="0"/>
          <w:w w:val="100"/>
          <w:position w:val="0"/>
        </w:rPr>
        <w:t>号，以下简称“解释 第</w:t>
      </w:r>
      <w:r>
        <w:rPr>
          <w:color w:val="000000"/>
          <w:spacing w:val="0"/>
          <w:w w:val="100"/>
          <w:position w:val="0"/>
        </w:rPr>
        <w:t>13</w:t>
      </w:r>
      <w:r>
        <w:rPr>
          <w:color w:val="000000"/>
          <w:spacing w:val="0"/>
          <w:w w:val="100"/>
          <w:position w:val="0"/>
        </w:rPr>
        <w:t>号”</w:t>
      </w:r>
      <w:r>
        <w:rPr>
          <w:color w:val="000000"/>
          <w:spacing w:val="0"/>
          <w:w w:val="100"/>
          <w:position w:val="0"/>
        </w:rPr>
        <w:t>）</w:t>
      </w: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日起施行，不要求追溯调整。</w:t>
      </w:r>
    </w:p>
    <w:p>
      <w:pPr>
        <w:pStyle w:val="Style25"/>
        <w:keepNext w:val="0"/>
        <w:keepLines w:val="0"/>
        <w:widowControl w:val="0"/>
        <w:numPr>
          <w:ilvl w:val="0"/>
          <w:numId w:val="41"/>
        </w:numPr>
        <w:shd w:val="clear" w:color="auto" w:fill="auto"/>
        <w:tabs>
          <w:tab w:pos="812" w:val="left"/>
        </w:tabs>
        <w:bidi w:val="0"/>
        <w:spacing w:before="0" w:after="0" w:line="472" w:lineRule="exact"/>
        <w:ind w:left="0" w:right="0" w:firstLine="420"/>
        <w:jc w:val="both"/>
      </w:pPr>
      <w:bookmarkStart w:id="967" w:name="bookmark967"/>
      <w:bookmarkEnd w:id="967"/>
      <w:r>
        <w:rPr>
          <w:color w:val="000000"/>
          <w:spacing w:val="0"/>
          <w:w w:val="100"/>
          <w:position w:val="0"/>
        </w:rPr>
        <w:t>关联方的认定</w:t>
      </w:r>
    </w:p>
    <w:p>
      <w:pPr>
        <w:pStyle w:val="Style25"/>
        <w:keepNext w:val="0"/>
        <w:keepLines w:val="0"/>
        <w:widowControl w:val="0"/>
        <w:shd w:val="clear" w:color="auto" w:fill="auto"/>
        <w:bidi w:val="0"/>
        <w:spacing w:before="0" w:after="0" w:line="472" w:lineRule="exact"/>
        <w:ind w:left="0" w:right="0" w:firstLine="420"/>
        <w:jc w:val="both"/>
      </w:pPr>
      <w:r>
        <w:rPr>
          <w:color w:val="000000"/>
          <w:spacing w:val="0"/>
          <w:w w:val="100"/>
          <w:position w:val="0"/>
        </w:rPr>
        <w:t>解释第</w:t>
      </w:r>
      <w:r>
        <w:rPr>
          <w:color w:val="000000"/>
          <w:spacing w:val="0"/>
          <w:w w:val="100"/>
          <w:position w:val="0"/>
        </w:rPr>
        <w:t>13</w:t>
      </w:r>
      <w:r>
        <w:rPr>
          <w:color w:val="000000"/>
          <w:spacing w:val="0"/>
          <w:w w:val="100"/>
          <w:position w:val="0"/>
        </w:rPr>
        <w:t>号明确了以下情形构成关联方：企业与其所属企业集团的其他成员单位（包括母公司和子公 司）的合营企业或联营企业；企业的合营企业与企业的其他合营企业或联营企业。此外，解释第</w:t>
      </w:r>
      <w:r>
        <w:rPr>
          <w:color w:val="000000"/>
          <w:spacing w:val="0"/>
          <w:w w:val="100"/>
          <w:position w:val="0"/>
        </w:rPr>
        <w:t>13</w:t>
      </w:r>
      <w:r>
        <w:rPr>
          <w:color w:val="000000"/>
          <w:spacing w:val="0"/>
          <w:w w:val="100"/>
          <w:position w:val="0"/>
        </w:rPr>
        <w:t>号也明 确了仅仅同受一方重大影响的两方或两方以上的企业不构成关联方，并补充说明了联营企业包括联营企业 及其子公司，合营企业包括合营企业及其子公司。</w:t>
      </w:r>
    </w:p>
    <w:p>
      <w:pPr>
        <w:pStyle w:val="Style25"/>
        <w:keepNext w:val="0"/>
        <w:keepLines w:val="0"/>
        <w:widowControl w:val="0"/>
        <w:numPr>
          <w:ilvl w:val="0"/>
          <w:numId w:val="41"/>
        </w:numPr>
        <w:shd w:val="clear" w:color="auto" w:fill="auto"/>
        <w:tabs>
          <w:tab w:pos="817" w:val="left"/>
        </w:tabs>
        <w:bidi w:val="0"/>
        <w:spacing w:before="0" w:after="0" w:line="472" w:lineRule="exact"/>
        <w:ind w:left="0" w:right="0" w:firstLine="420"/>
        <w:jc w:val="both"/>
      </w:pPr>
      <w:bookmarkStart w:id="968" w:name="bookmark968"/>
      <w:bookmarkEnd w:id="968"/>
      <w:r>
        <w:rPr>
          <w:color w:val="000000"/>
          <w:spacing w:val="0"/>
          <w:w w:val="100"/>
          <w:position w:val="0"/>
        </w:rPr>
        <w:t>业务的定义</w:t>
      </w:r>
    </w:p>
    <w:p>
      <w:pPr>
        <w:pStyle w:val="Style25"/>
        <w:keepNext w:val="0"/>
        <w:keepLines w:val="0"/>
        <w:widowControl w:val="0"/>
        <w:shd w:val="clear" w:color="auto" w:fill="auto"/>
        <w:bidi w:val="0"/>
        <w:spacing w:before="0" w:after="100" w:line="472" w:lineRule="exact"/>
        <w:ind w:left="0" w:right="0" w:firstLine="420"/>
        <w:jc w:val="both"/>
      </w:pPr>
      <w:r>
        <w:rPr>
          <w:color w:val="000000"/>
          <w:spacing w:val="0"/>
          <w:w w:val="100"/>
          <w:position w:val="0"/>
        </w:rPr>
        <w:t>解释第</w:t>
      </w:r>
      <w:r>
        <w:rPr>
          <w:color w:val="000000"/>
          <w:spacing w:val="0"/>
          <w:w w:val="100"/>
          <w:position w:val="0"/>
        </w:rPr>
        <w:t>13</w:t>
      </w:r>
      <w:r>
        <w:rPr>
          <w:color w:val="000000"/>
          <w:spacing w:val="0"/>
          <w:w w:val="100"/>
          <w:position w:val="0"/>
        </w:rPr>
        <w:t xml:space="preserve">号完善了业务构成的三个要素，细化了构成业务的判断条件，同时引入“集中度测试”选择, </w:t>
      </w:r>
      <w:r>
        <w:rPr>
          <w:color w:val="000000"/>
          <w:spacing w:val="0"/>
          <w:w w:val="100"/>
          <w:position w:val="0"/>
        </w:rPr>
        <w:t>以在一定程度上简化非同一控制下取得组合是否构成业务的判断等问题。</w:t>
      </w:r>
    </w:p>
    <w:p>
      <w:pPr>
        <w:pStyle w:val="Style25"/>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日起执行解释第</w:t>
      </w:r>
      <w:r>
        <w:rPr>
          <w:color w:val="000000"/>
          <w:spacing w:val="0"/>
          <w:w w:val="100"/>
          <w:position w:val="0"/>
        </w:rPr>
        <w:t>13</w:t>
      </w:r>
      <w:r>
        <w:rPr>
          <w:color w:val="000000"/>
          <w:spacing w:val="0"/>
          <w:w w:val="100"/>
          <w:position w:val="0"/>
        </w:rPr>
        <w:t>号，比较财务报表不做调整，执行解释第</w:t>
      </w:r>
      <w:r>
        <w:rPr>
          <w:color w:val="000000"/>
          <w:spacing w:val="0"/>
          <w:w w:val="100"/>
          <w:position w:val="0"/>
        </w:rPr>
        <w:t>13</w:t>
      </w:r>
      <w:r>
        <w:rPr>
          <w:color w:val="000000"/>
          <w:spacing w:val="0"/>
          <w:w w:val="100"/>
          <w:position w:val="0"/>
        </w:rPr>
        <w:t>号未对本公司财务 状况和经营成果产生重大影响。</w:t>
      </w:r>
    </w:p>
    <w:p>
      <w:pPr>
        <w:pStyle w:val="Style25"/>
        <w:keepNext w:val="0"/>
        <w:keepLines w:val="0"/>
        <w:widowControl w:val="0"/>
        <w:shd w:val="clear" w:color="auto" w:fill="auto"/>
        <w:bidi w:val="0"/>
        <w:spacing w:before="0" w:after="0" w:line="475" w:lineRule="exact"/>
        <w:ind w:left="0" w:right="0" w:firstLine="440"/>
        <w:jc w:val="both"/>
      </w:pPr>
      <w:bookmarkStart w:id="969" w:name="bookmark969"/>
      <w:r>
        <w:rPr>
          <w:color w:val="000000"/>
          <w:spacing w:val="0"/>
          <w:w w:val="100"/>
          <w:position w:val="0"/>
        </w:rPr>
        <w:t>3</w:t>
      </w:r>
      <w:bookmarkEnd w:id="969"/>
      <w:r>
        <w:rPr>
          <w:color w:val="000000"/>
          <w:spacing w:val="0"/>
          <w:w w:val="100"/>
          <w:position w:val="0"/>
        </w:rPr>
        <w:t>）</w:t>
      </w:r>
      <w:r>
        <w:rPr>
          <w:color w:val="000000"/>
          <w:spacing w:val="0"/>
          <w:w w:val="100"/>
          <w:position w:val="0"/>
        </w:rPr>
        <w:t>执行《碳排放权交易有关会计处理暂行规定》</w:t>
      </w:r>
    </w:p>
    <w:p>
      <w:pPr>
        <w:pStyle w:val="Style25"/>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财政部于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日发布了《碳排放权交易有关会计处理暂行规定》（财会</w:t>
      </w:r>
      <w:r>
        <w:rPr>
          <w:color w:val="000000"/>
          <w:spacing w:val="0"/>
          <w:w w:val="100"/>
          <w:position w:val="0"/>
        </w:rPr>
        <w:t>[2019]22</w:t>
      </w:r>
      <w:r>
        <w:rPr>
          <w:color w:val="000000"/>
          <w:spacing w:val="0"/>
          <w:w w:val="100"/>
          <w:position w:val="0"/>
        </w:rPr>
        <w:t>号）</w:t>
      </w:r>
      <w:r>
        <w:rPr>
          <w:color w:val="000000"/>
          <w:spacing w:val="0"/>
          <w:w w:val="100"/>
          <w:position w:val="0"/>
        </w:rPr>
        <w:t>，</w:t>
      </w:r>
      <w:r>
        <w:rPr>
          <w:color w:val="000000"/>
          <w:spacing w:val="0"/>
          <w:w w:val="100"/>
          <w:position w:val="0"/>
        </w:rPr>
        <w:t>适用 于按照《碳排放权交易管理暂行办法》等有关规定开展碳排放权交易业务的重点排放单位中的相关企业（以 下简称重点排放企业）。该规定自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日起施行，重点排放企业应当采用未来适用法应用该规定。</w:t>
      </w:r>
    </w:p>
    <w:p>
      <w:pPr>
        <w:pStyle w:val="Style37"/>
        <w:keepNext/>
        <w:keepLines/>
        <w:widowControl w:val="0"/>
        <w:shd w:val="clear" w:color="auto" w:fill="auto"/>
        <w:tabs>
          <w:tab w:pos="493" w:val="left"/>
        </w:tabs>
        <w:bidi w:val="0"/>
        <w:spacing w:before="0" w:after="120" w:line="475" w:lineRule="exact"/>
        <w:ind w:left="0" w:right="0" w:firstLine="0"/>
        <w:jc w:val="both"/>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70"/>
      <w:bookmarkEnd w:id="971"/>
      <w:bookmarkEnd w:id="973"/>
    </w:p>
    <w:p>
      <w:pPr>
        <w:pStyle w:val="Style25"/>
        <w:keepNext w:val="0"/>
        <w:keepLines w:val="0"/>
        <w:widowControl w:val="0"/>
        <w:shd w:val="clear" w:color="auto" w:fill="auto"/>
        <w:bidi w:val="0"/>
        <w:spacing w:before="0" w:after="120" w:line="475" w:lineRule="exact"/>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37"/>
        <w:keepNext/>
        <w:keepLines/>
        <w:widowControl w:val="0"/>
        <w:shd w:val="clear" w:color="auto" w:fill="auto"/>
        <w:tabs>
          <w:tab w:pos="493" w:val="left"/>
        </w:tabs>
        <w:bidi w:val="0"/>
        <w:spacing w:before="0" w:line="475" w:lineRule="exact"/>
        <w:ind w:left="0" w:right="0" w:firstLine="0"/>
        <w:jc w:val="both"/>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974"/>
      <w:bookmarkEnd w:id="975"/>
      <w:bookmarkEnd w:id="977"/>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适用</w:t>
      </w:r>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是否需要调整年初资产负债表科目</w:t>
      </w:r>
    </w:p>
    <w:p>
      <w:pPr>
        <w:pStyle w:val="Style25"/>
        <w:keepNext w:val="0"/>
        <w:keepLines w:val="0"/>
        <w:widowControl w:val="0"/>
        <w:shd w:val="clear" w:color="auto" w:fill="auto"/>
        <w:bidi w:val="0"/>
        <w:spacing w:before="0" w:after="12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否</w:t>
      </w:r>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合并资产负债表</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625,177,481.72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625,177,481.72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464,245,168.51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464,245,168.51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14,786,262.48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14,786,262.48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118,861,176.34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66,911,491.58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-51,949,684.76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11,153,866.83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11,153,866.83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45,245,672.88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45,245,672.88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492,933,565.14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492,933,565.14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47,418,175.48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47,418,175.48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44,046,368.14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44,046,368.14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2,212,449,562.04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2,212,449,562.04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197,980,200.00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197,980,200.00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373,325,638.78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373,325,638.78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15,810,830.00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21,481,744.79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21,481,744.79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92,541,089.09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92,541,089.09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193,578,999.56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193,578,999.56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76,281.13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26,703,325.81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26,703,325.81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16,421,638.18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20,953,147.46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4,531,509.28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937,919,747.34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937,919,747.34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3,150,369,309.38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3,150,369,309.38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126,157,746.00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126,157,746.00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358,495,549.74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358,495,549.74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319,061,022.84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-319,061,022.84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316,735,118.96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316,735,118.96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17,259,985.72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17,259,985.72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3,467,290.32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3,467,290.32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22,783,207.29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22,783,207.29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54,485,675.11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54,485,675.11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2,325,903.88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2,325,903.88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901,710,477.02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901,710,477.02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1,656,106.29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1,656,106.29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1,656,106.29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1,656,106.29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903,366,583.31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903,366,583.31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337,576,686.00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337,576,686.00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1,772,795,539.99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1,772,795,539.99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268,295.70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268,295.70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69,662,109.41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69,662,109.41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65,826,227.25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65,826,227.25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2,246,128,858.35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873,867.72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873,867.72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2,247,002,726.07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2,247,002,726.07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3,150,369,309.38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3,150,369,309.38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调整情况说明</w:t>
      </w:r>
    </w:p>
    <w:p>
      <w:pPr>
        <w:pStyle w:val="Style25"/>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将与收入相关的不满足无条件收款权的质量保证金，根据其流动性重分类至合同资产或其他非流动资 产，并对合同资产和其他非流动资产以预期信用减值损失为基础确认损失准备；与合同相关的预收款项重 分类至合同负债、其他流动负债。</w:t>
      </w:r>
    </w:p>
    <w:p>
      <w:pPr>
        <w:pStyle w:val="Style25"/>
        <w:keepNext w:val="0"/>
        <w:keepLines w:val="0"/>
        <w:widowControl w:val="0"/>
        <w:shd w:val="clear" w:color="auto" w:fill="auto"/>
        <w:bidi w:val="0"/>
        <w:spacing w:before="0" w:after="140" w:line="240" w:lineRule="auto"/>
        <w:ind w:left="0" w:right="0" w:firstLine="0"/>
        <w:jc w:val="both"/>
        <w:rPr>
          <w:sz w:val="19"/>
          <w:szCs w:val="19"/>
        </w:rPr>
      </w:pPr>
      <w:r>
        <w:rPr>
          <w:color w:val="000000"/>
          <w:spacing w:val="0"/>
          <w:w w:val="100"/>
          <w:position w:val="0"/>
          <w:sz w:val="19"/>
          <w:szCs w:val="19"/>
        </w:rPr>
        <w:t>母公司资产负债表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535,356,427.77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535,356,427.77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351,671,087.68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351,671,087.68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7,735,715.55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7,735,715.55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114,332,858.03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62,383,173.27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-51,949,684.76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9,070,881.37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9,070,881.37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76,731,654.76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76,731,654.76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465,096,482.12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465,096,482.12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47,418,175.48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47,418,175.48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2,050,591.41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2,050,591.41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1,562,045,698.69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1,562,045,698.69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2,119,579,761.42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2,119,579,761.42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17,189,427.62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17,189,427.62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75,062,729.29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75,062,729.29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21,354,533.24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21,354,533.24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16,421,638.18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20,953,147.46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4,531,509.28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2,249,684,370.88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2,249,684,370.88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3,811,730,069.57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3,811,730,069.57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126,057,746.00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126,057,746.00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345,402,676.23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345,402,676.23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296,226,974.26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-296,226,974.26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294,148,496.18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294,148,496.18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14,759,241.18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14,759,241.18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360,685.10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360,685.10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230,425,821.09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230,425,821.09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54,485,675.11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54,485,675.11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2,078,478.08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2,078,478.08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1,067,718,818.97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1,067,718,818.97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250,663.15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250,663.15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250,663.15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250,663.15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1,067,969,482.12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1,067,969,482.12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337,576,686.00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337,576,686.00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1,775,334,793.52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1,775,334,793.52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265,180.54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265,180.54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69,662,109.41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69,662,109.41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560,921,817.98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560,921,817.98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2,743,760,587.45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2,743,760,587.45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3,811,730,069.57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3,811,730,069.57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调整情况说明</w:t>
      </w:r>
    </w:p>
    <w:p>
      <w:pPr>
        <w:pStyle w:val="Style25"/>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将与收入相关的不满足无条件收款权的质量保证金，根据其流动性重分类至合同资产或其他非流动资 产，并对合同资产和其他非流动资产以预期信用减值损失为基础确认损失准备；与合同相关的预收款项重 分类至合同负债、其他流动负债。</w:t>
      </w:r>
    </w:p>
    <w:p>
      <w:pPr>
        <w:pStyle w:val="Style37"/>
        <w:keepNext/>
        <w:keepLines/>
        <w:widowControl w:val="0"/>
        <w:shd w:val="clear" w:color="auto" w:fill="auto"/>
        <w:bidi w:val="0"/>
        <w:spacing w:before="0" w:after="380" w:line="468" w:lineRule="exact"/>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78"/>
      <w:bookmarkEnd w:id="979"/>
      <w:bookmarkEnd w:id="981"/>
    </w:p>
    <w:p>
      <w:pPr>
        <w:pStyle w:val="Style25"/>
        <w:keepNext w:val="0"/>
        <w:keepLines w:val="0"/>
        <w:widowControl w:val="0"/>
        <w:shd w:val="clear" w:color="auto" w:fill="auto"/>
        <w:bidi w:val="0"/>
        <w:spacing w:before="0"/>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3"/>
        <w:keepNext/>
        <w:keepLines/>
        <w:widowControl w:val="0"/>
        <w:shd w:val="clear" w:color="auto" w:fill="auto"/>
        <w:bidi w:val="0"/>
        <w:spacing w:before="0" w:after="38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sz w:val="24"/>
          <w:szCs w:val="24"/>
        </w:rPr>
        <w:t>六</w:t>
      </w:r>
      <w:bookmarkEnd w:id="984"/>
      <w:r>
        <w:rPr>
          <w:color w:val="000000"/>
          <w:spacing w:val="0"/>
          <w:w w:val="100"/>
          <w:position w:val="0"/>
          <w:sz w:val="24"/>
          <w:szCs w:val="24"/>
        </w:rPr>
        <w:t>、税项</w:t>
      </w:r>
      <w:bookmarkEnd w:id="982"/>
      <w:bookmarkEnd w:id="983"/>
      <w:bookmarkEnd w:id="985"/>
    </w:p>
    <w:p>
      <w:pPr>
        <w:pStyle w:val="Style31"/>
        <w:keepNext/>
        <w:keepLines/>
        <w:widowControl w:val="0"/>
        <w:shd w:val="clear" w:color="auto" w:fill="auto"/>
        <w:bidi w:val="0"/>
        <w:spacing w:before="0" w:after="80" w:line="480" w:lineRule="auto"/>
        <w:ind w:left="0" w:right="0" w:firstLine="0"/>
        <w:jc w:val="left"/>
      </w:pPr>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86"/>
      <w:bookmarkEnd w:id="987"/>
      <w:bookmarkEnd w:id="98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按实际缴纳的增值税计缴</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按实际缴纳的增值税计缴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按照应纳税所得额计缴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按实际缴纳的增值税计缴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按实际缴纳的增值税计缴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北京中科金财科技股份有限公司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天津中科金财科技有限公司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北京中科金财信息科技有限公司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北京中科金财软件技术有限公司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北京中科金财投资管理有限公司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中科金财（上海）互联网金融信息服务有限公司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天津壬辰软件开发有限公司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大连鼎运企业管理有限公司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中科金财保险经纪有限公司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华缔资产管理（北京）有限公司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深圳中金财富科技有限公司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香港中科金财科技有限公司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深圳前海中科金财金控投资有限公司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北京志东方科技有限责任公司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99" w:line="1" w:lineRule="exact"/>
      </w:pPr>
    </w:p>
    <w:p>
      <w:pPr>
        <w:pStyle w:val="Style31"/>
        <w:keepNext/>
        <w:keepLines/>
        <w:widowControl w:val="0"/>
        <w:shd w:val="clear" w:color="auto" w:fill="auto"/>
        <w:bidi w:val="0"/>
        <w:spacing w:before="0" w:after="220" w:line="468" w:lineRule="exact"/>
        <w:ind w:left="0" w:right="0" w:firstLine="0"/>
        <w:jc w:val="both"/>
      </w:pPr>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89"/>
      <w:bookmarkEnd w:id="990"/>
      <w:bookmarkEnd w:id="991"/>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）企业所得税减免</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日取得北京市科学技术委员会、北京市财政局、国家税务总局北京市税务局核发 的编号为</w:t>
      </w:r>
      <w:r>
        <w:rPr>
          <w:rFonts w:ascii="Times New Roman" w:eastAsia="Times New Roman" w:hAnsi="Times New Roman" w:cs="Times New Roman"/>
          <w:color w:val="000000"/>
          <w:spacing w:val="0"/>
          <w:w w:val="100"/>
          <w:position w:val="0"/>
        </w:rPr>
        <w:t>GR20201100342</w:t>
      </w:r>
      <w:r>
        <w:rPr>
          <w:rFonts w:ascii="Times New Roman" w:eastAsia="Times New Roman" w:hAnsi="Times New Roman" w:cs="Times New Roman"/>
          <w:color w:val="000000"/>
          <w:spacing w:val="0"/>
          <w:w w:val="100"/>
          <w:position w:val="0"/>
        </w:rPr>
        <w:t>1</w:t>
      </w:r>
      <w:r>
        <w:rPr>
          <w:color w:val="000000"/>
          <w:spacing w:val="0"/>
          <w:w w:val="100"/>
          <w:position w:val="0"/>
        </w:rPr>
        <w:t>的《高新技术企业证书》，有效期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 第</w:t>
      </w:r>
      <w:r>
        <w:rPr>
          <w:rFonts w:ascii="Times New Roman" w:eastAsia="Times New Roman" w:hAnsi="Times New Roman" w:cs="Times New Roman"/>
          <w:color w:val="000000"/>
          <w:spacing w:val="0"/>
          <w:w w:val="100"/>
          <w:position w:val="0"/>
        </w:rPr>
        <w:t>28</w:t>
      </w:r>
      <w:r>
        <w:rPr>
          <w:color w:val="000000"/>
          <w:spacing w:val="0"/>
          <w:w w:val="100"/>
          <w:position w:val="0"/>
        </w:rPr>
        <w:t>条的规定，</w:t>
      </w:r>
      <w:r>
        <w:rPr>
          <w:rFonts w:ascii="Times New Roman" w:eastAsia="Times New Roman" w:hAnsi="Times New Roman" w:cs="Times New Roman"/>
          <w:color w:val="000000"/>
          <w:spacing w:val="0"/>
          <w:w w:val="100"/>
          <w:position w:val="0"/>
        </w:rPr>
        <w:t>2020</w:t>
      </w:r>
      <w:r>
        <w:rPr>
          <w:color w:val="000000"/>
          <w:spacing w:val="0"/>
          <w:w w:val="100"/>
          <w:position w:val="0"/>
        </w:rPr>
        <w:t>年度按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子公司北京中科金财信息科技有限公司于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日取得北京市科学技术委员会、北京市财政局、 国家税务总局北京市税务局核发的编号为</w:t>
      </w:r>
      <w:r>
        <w:rPr>
          <w:rFonts w:ascii="Times New Roman" w:eastAsia="Times New Roman" w:hAnsi="Times New Roman" w:cs="Times New Roman"/>
          <w:color w:val="000000"/>
          <w:spacing w:val="0"/>
          <w:w w:val="100"/>
          <w:position w:val="0"/>
        </w:rPr>
        <w:t>GR20201100574</w:t>
      </w:r>
      <w:r>
        <w:rPr>
          <w:rFonts w:ascii="Times New Roman" w:eastAsia="Times New Roman" w:hAnsi="Times New Roman" w:cs="Times New Roman"/>
          <w:color w:val="000000"/>
          <w:spacing w:val="0"/>
          <w:w w:val="100"/>
          <w:position w:val="0"/>
        </w:rPr>
        <w:t>9</w:t>
      </w:r>
      <w:r>
        <w:rPr>
          <w:color w:val="000000"/>
          <w:spacing w:val="0"/>
          <w:w w:val="100"/>
          <w:position w:val="0"/>
        </w:rPr>
        <w:t>的《高新技术企业证书》，有效期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 华人民共和国企业所得税法》第</w:t>
      </w:r>
      <w:r>
        <w:rPr>
          <w:rFonts w:ascii="Times New Roman" w:eastAsia="Times New Roman" w:hAnsi="Times New Roman" w:cs="Times New Roman"/>
          <w:color w:val="000000"/>
          <w:spacing w:val="0"/>
          <w:w w:val="100"/>
          <w:position w:val="0"/>
        </w:rPr>
        <w:t>28</w:t>
      </w:r>
      <w:r>
        <w:rPr>
          <w:color w:val="000000"/>
          <w:spacing w:val="0"/>
          <w:w w:val="100"/>
          <w:position w:val="0"/>
        </w:rPr>
        <w:t>条的规定，</w:t>
      </w:r>
      <w:r>
        <w:rPr>
          <w:rFonts w:ascii="Times New Roman" w:eastAsia="Times New Roman" w:hAnsi="Times New Roman" w:cs="Times New Roman"/>
          <w:color w:val="000000"/>
          <w:spacing w:val="0"/>
          <w:w w:val="100"/>
          <w:position w:val="0"/>
        </w:rPr>
        <w:t>2020</w:t>
      </w:r>
      <w:r>
        <w:rPr>
          <w:color w:val="000000"/>
          <w:spacing w:val="0"/>
          <w:w w:val="100"/>
          <w:position w:val="0"/>
        </w:rPr>
        <w:t>年度按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子公司北京中科金财软件技术有限公司已根据《财政部税务总局关于集成电路设计和软件产业企业所 得税政策的公告》财政部税务总局公告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号文件规定办理企业所得税减免备案，文件规定：</w:t>
      </w:r>
      <w:r>
        <w:rPr>
          <w:rFonts w:ascii="Times New Roman" w:eastAsia="Times New Roman" w:hAnsi="Times New Roman" w:cs="Times New Roman"/>
          <w:color w:val="000000"/>
          <w:spacing w:val="0"/>
          <w:w w:val="100"/>
          <w:position w:val="0"/>
        </w:rPr>
        <w:t>“</w:t>
      </w:r>
      <w:r>
        <w:rPr>
          <w:color w:val="000000"/>
          <w:spacing w:val="0"/>
          <w:w w:val="100"/>
          <w:position w:val="0"/>
        </w:rPr>
        <w:t>依 法成立且符合条件的集成电路设计企业和软件企业，在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日前自获利年度起计算优惠期，第一 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 止。</w:t>
      </w:r>
      <w:r>
        <w:rPr>
          <w:rFonts w:ascii="Times New Roman" w:eastAsia="Times New Roman" w:hAnsi="Times New Roman" w:cs="Times New Roman"/>
          <w:color w:val="000000"/>
          <w:spacing w:val="0"/>
          <w:w w:val="100"/>
          <w:position w:val="0"/>
        </w:rPr>
        <w:t>”2020</w:t>
      </w:r>
      <w:r>
        <w:rPr>
          <w:color w:val="000000"/>
          <w:spacing w:val="0"/>
          <w:w w:val="100"/>
          <w:position w:val="0"/>
        </w:rPr>
        <w:t>年度按照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子公司北京志东方科技有限责任公司于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日取得北京市科学技术委员会、北京市财政局、 国家税务总局北京市税务局核发的编号为</w:t>
      </w:r>
      <w:r>
        <w:rPr>
          <w:rFonts w:ascii="Times New Roman" w:eastAsia="Times New Roman" w:hAnsi="Times New Roman" w:cs="Times New Roman"/>
          <w:color w:val="000000"/>
          <w:spacing w:val="0"/>
          <w:w w:val="100"/>
          <w:position w:val="0"/>
        </w:rPr>
        <w:t>GR201811002137</w:t>
      </w:r>
      <w:r>
        <w:rPr>
          <w:color w:val="000000"/>
          <w:spacing w:val="0"/>
          <w:w w:val="100"/>
          <w:position w:val="0"/>
        </w:rPr>
        <w:t>的《高新技术企业证书》，有效期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 华人民共和国企业所得税法》第</w:t>
      </w:r>
      <w:r>
        <w:rPr>
          <w:rFonts w:ascii="Times New Roman" w:eastAsia="Times New Roman" w:hAnsi="Times New Roman" w:cs="Times New Roman"/>
          <w:color w:val="000000"/>
          <w:spacing w:val="0"/>
          <w:w w:val="100"/>
          <w:position w:val="0"/>
        </w:rPr>
        <w:t>28</w:t>
      </w:r>
      <w:r>
        <w:rPr>
          <w:color w:val="000000"/>
          <w:spacing w:val="0"/>
          <w:w w:val="100"/>
          <w:position w:val="0"/>
        </w:rPr>
        <w:t>条的规定，</w:t>
      </w:r>
      <w:r>
        <w:rPr>
          <w:rFonts w:ascii="Times New Roman" w:eastAsia="Times New Roman" w:hAnsi="Times New Roman" w:cs="Times New Roman"/>
          <w:color w:val="000000"/>
          <w:spacing w:val="0"/>
          <w:w w:val="100"/>
          <w:position w:val="0"/>
        </w:rPr>
        <w:t>2020</w:t>
      </w:r>
      <w:r>
        <w:rPr>
          <w:color w:val="000000"/>
          <w:spacing w:val="0"/>
          <w:w w:val="100"/>
          <w:position w:val="0"/>
        </w:rPr>
        <w:t>年度按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[2019]13</w:t>
      </w:r>
      <w:r>
        <w:rPr>
          <w:color w:val="000000"/>
          <w:spacing w:val="0"/>
          <w:w w:val="100"/>
          <w:position w:val="0"/>
        </w:rPr>
        <w:t>号文政策规定，对小型微利企业年应纳税所得额不超过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 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 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的税率缴纳企业所得税。子公司杭州中科金财科技有限公司、孙公司 中科金财（上海）互联网金融信息服务有限公司、天津壬辰软件开发有限公司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年满足小型微利企业的 </w:t>
      </w:r>
      <w:r>
        <w:rPr>
          <w:color w:val="000000"/>
          <w:spacing w:val="0"/>
          <w:w w:val="100"/>
          <w:position w:val="0"/>
        </w:rPr>
        <w:t>要求，以上公司</w:t>
      </w:r>
      <w:r>
        <w:rPr>
          <w:rFonts w:ascii="Times New Roman" w:eastAsia="Times New Roman" w:hAnsi="Times New Roman" w:cs="Times New Roman"/>
          <w:color w:val="000000"/>
          <w:spacing w:val="0"/>
          <w:w w:val="100"/>
          <w:position w:val="0"/>
        </w:rPr>
        <w:t>2020</w:t>
      </w:r>
      <w:r>
        <w:rPr>
          <w:color w:val="000000"/>
          <w:spacing w:val="0"/>
          <w:w w:val="100"/>
          <w:position w:val="0"/>
        </w:rPr>
        <w:t>年度按</w:t>
      </w:r>
      <w:r>
        <w:rPr>
          <w:rFonts w:ascii="Times New Roman" w:eastAsia="Times New Roman" w:hAnsi="Times New Roman" w:cs="Times New Roman"/>
          <w:color w:val="000000"/>
          <w:spacing w:val="0"/>
          <w:w w:val="100"/>
          <w:position w:val="0"/>
        </w:rPr>
        <w:t>25%</w:t>
      </w:r>
      <w:r>
        <w:rPr>
          <w:color w:val="000000"/>
          <w:spacing w:val="0"/>
          <w:w w:val="100"/>
          <w:position w:val="0"/>
        </w:rPr>
        <w:t>计入应纳税额所得额，按</w:t>
      </w:r>
      <w:r>
        <w:rPr>
          <w:rFonts w:ascii="Times New Roman" w:eastAsia="Times New Roman" w:hAnsi="Times New Roman" w:cs="Times New Roman"/>
          <w:color w:val="000000"/>
          <w:spacing w:val="0"/>
          <w:w w:val="100"/>
          <w:position w:val="0"/>
        </w:rPr>
        <w:t>20%</w:t>
      </w:r>
      <w:r>
        <w:rPr>
          <w:color w:val="000000"/>
          <w:spacing w:val="0"/>
          <w:w w:val="100"/>
          <w:position w:val="0"/>
        </w:rPr>
        <w:t>税率缴纳企业所得税。</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）增值税减免及退税</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号规定，本公 司</w:t>
      </w:r>
      <w:r>
        <w:rPr>
          <w:rFonts w:ascii="Times New Roman" w:eastAsia="Times New Roman" w:hAnsi="Times New Roman" w:cs="Times New Roman"/>
          <w:color w:val="000000"/>
          <w:spacing w:val="0"/>
          <w:w w:val="100"/>
          <w:position w:val="0"/>
        </w:rPr>
        <w:t>2020</w:t>
      </w:r>
      <w:r>
        <w:rPr>
          <w:color w:val="000000"/>
          <w:spacing w:val="0"/>
          <w:w w:val="100"/>
          <w:position w:val="0"/>
        </w:rPr>
        <w:t>年度提供技术转让、技术开发业务和与之相关的技术咨询、技术服务业务取得的收入免征增值税。</w:t>
      </w:r>
    </w:p>
    <w:p>
      <w:pPr>
        <w:pStyle w:val="Style25"/>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日，国务院颁发《进一步鼓励软件产业和集成电路产业发展的若干政策》（国发</w:t>
      </w:r>
      <w:r>
        <w:rPr>
          <w:rFonts w:ascii="Times New Roman" w:eastAsia="Times New Roman" w:hAnsi="Times New Roman" w:cs="Times New Roman"/>
          <w:color w:val="000000"/>
          <w:spacing w:val="0"/>
          <w:w w:val="100"/>
          <w:position w:val="0"/>
        </w:rPr>
        <w:t xml:space="preserve">[2011]4 </w:t>
      </w:r>
      <w:r>
        <w:rPr>
          <w:color w:val="000000"/>
          <w:spacing w:val="0"/>
          <w:w w:val="100"/>
          <w:position w:val="0"/>
        </w:rPr>
        <w:t>号），规定明确了</w:t>
      </w:r>
      <w:r>
        <w:rPr>
          <w:rFonts w:ascii="Times New Roman" w:eastAsia="Times New Roman" w:hAnsi="Times New Roman" w:cs="Times New Roman"/>
          <w:color w:val="000000"/>
          <w:spacing w:val="0"/>
          <w:w w:val="100"/>
          <w:position w:val="0"/>
        </w:rPr>
        <w:t>“</w:t>
      </w:r>
      <w:r>
        <w:rPr>
          <w:color w:val="000000"/>
          <w:spacing w:val="0"/>
          <w:w w:val="100"/>
          <w:position w:val="0"/>
        </w:rPr>
        <w:t>继续实施软件增值税优惠政策</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号）明确了增值税一般纳税人销售其自行开 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根据《财政部国家税务总局关于扩大有关政府性基金免征范围的通知》（财税（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12</w:t>
      </w:r>
      <w:r>
        <w:rPr>
          <w:color w:val="000000"/>
          <w:spacing w:val="0"/>
          <w:w w:val="100"/>
          <w:position w:val="0"/>
        </w:rPr>
        <w:t xml:space="preserve">号）规定: </w:t>
      </w:r>
      <w:r>
        <w:rPr>
          <w:rFonts w:ascii="Times New Roman" w:eastAsia="Times New Roman" w:hAnsi="Times New Roman" w:cs="Times New Roman"/>
          <w:color w:val="000000"/>
          <w:spacing w:val="0"/>
          <w:w w:val="100"/>
          <w:position w:val="0"/>
        </w:rPr>
        <w:t>“</w:t>
      </w:r>
      <w:r>
        <w:rPr>
          <w:color w:val="000000"/>
          <w:spacing w:val="0"/>
          <w:w w:val="100"/>
          <w:position w:val="0"/>
        </w:rPr>
        <w:t>将免征教育附加、地方教育附加、水利建设基金的范围由现月销售额或营业额不超过三万，季销售额或 营业额不超过</w:t>
      </w:r>
      <w:r>
        <w:rPr>
          <w:rFonts w:ascii="Times New Roman" w:eastAsia="Times New Roman" w:hAnsi="Times New Roman" w:cs="Times New Roman"/>
          <w:color w:val="000000"/>
          <w:spacing w:val="0"/>
          <w:w w:val="100"/>
          <w:position w:val="0"/>
        </w:rPr>
        <w:t>10</w:t>
      </w:r>
      <w:r>
        <w:rPr>
          <w:color w:val="000000"/>
          <w:spacing w:val="0"/>
          <w:w w:val="100"/>
          <w:position w:val="0"/>
        </w:rPr>
        <w:t>万的缴纳义务人扩大到月销售或营业额不超过</w:t>
      </w:r>
      <w:r>
        <w:rPr>
          <w:rFonts w:ascii="Times New Roman" w:eastAsia="Times New Roman" w:hAnsi="Times New Roman" w:cs="Times New Roman"/>
          <w:color w:val="000000"/>
          <w:spacing w:val="0"/>
          <w:w w:val="100"/>
          <w:position w:val="0"/>
        </w:rPr>
        <w:t>10</w:t>
      </w:r>
      <w:r>
        <w:rPr>
          <w:color w:val="000000"/>
          <w:spacing w:val="0"/>
          <w:w w:val="100"/>
          <w:position w:val="0"/>
        </w:rPr>
        <w:t>万，季销售额或营业额不超过</w:t>
      </w:r>
      <w:r>
        <w:rPr>
          <w:rFonts w:ascii="Times New Roman" w:eastAsia="Times New Roman" w:hAnsi="Times New Roman" w:cs="Times New Roman"/>
          <w:color w:val="000000"/>
          <w:spacing w:val="0"/>
          <w:w w:val="100"/>
          <w:position w:val="0"/>
        </w:rPr>
        <w:t>30</w:t>
      </w:r>
      <w:r>
        <w:rPr>
          <w:color w:val="000000"/>
          <w:spacing w:val="0"/>
          <w:w w:val="100"/>
          <w:position w:val="0"/>
        </w:rPr>
        <w:t>万的缴纳 义务人。</w:t>
      </w:r>
      <w:r>
        <w:rPr>
          <w:rFonts w:ascii="Times New Roman" w:eastAsia="Times New Roman" w:hAnsi="Times New Roman" w:cs="Times New Roman"/>
          <w:color w:val="000000"/>
          <w:spacing w:val="0"/>
          <w:w w:val="100"/>
          <w:position w:val="0"/>
        </w:rPr>
        <w:t>’’</w:t>
      </w:r>
    </w:p>
    <w:p>
      <w:pPr>
        <w:pStyle w:val="Style25"/>
        <w:keepNext w:val="0"/>
        <w:keepLines w:val="0"/>
        <w:widowControl w:val="0"/>
        <w:shd w:val="clear" w:color="auto" w:fill="auto"/>
        <w:bidi w:val="0"/>
        <w:spacing w:before="0" w:after="100" w:line="469" w:lineRule="exact"/>
        <w:ind w:left="0" w:right="0" w:firstLine="440"/>
        <w:jc w:val="left"/>
      </w:pPr>
      <w:r>
        <w:rPr>
          <w:color w:val="000000"/>
          <w:spacing w:val="0"/>
          <w:w w:val="100"/>
          <w:position w:val="0"/>
        </w:rPr>
        <w:t>根据财政部、税务总局、海关总署公告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号《关于深化增值税改革有关政策的公告》规定， 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日，允许生产、生活性服务业纳税人按照当期可抵扣进项税额加计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 抵减应纳税额。子公司北京中科金财软件技术有限公司、孙公司天津壬辰软件开发有限公司符合该项规定 的条件，自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日起适用加计抵减政策。</w:t>
      </w:r>
    </w:p>
    <w:p>
      <w:pPr>
        <w:pStyle w:val="Style25"/>
        <w:keepNext w:val="0"/>
        <w:keepLines w:val="0"/>
        <w:widowControl w:val="0"/>
        <w:shd w:val="clear" w:color="auto" w:fill="auto"/>
        <w:bidi w:val="0"/>
        <w:spacing w:before="0" w:after="360" w:line="326" w:lineRule="exact"/>
        <w:ind w:left="0" w:right="0" w:firstLine="0"/>
        <w:jc w:val="both"/>
        <w:rPr>
          <w:sz w:val="19"/>
          <w:szCs w:val="19"/>
        </w:rPr>
      </w:pPr>
      <w:r>
        <w:rPr>
          <w:color w:val="000000"/>
          <w:spacing w:val="0"/>
          <w:w w:val="100"/>
          <w:position w:val="0"/>
          <w:sz w:val="19"/>
          <w:szCs w:val="19"/>
        </w:rPr>
        <w:t>公司需遵守《深圳证券交易所行业信息披露指引第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号——上市公司从事软件与信息技术服务业务》的披露要 求</w:t>
      </w:r>
    </w:p>
    <w:p>
      <w:pPr>
        <w:pStyle w:val="Style23"/>
        <w:keepNext/>
        <w:keepLines/>
        <w:widowControl w:val="0"/>
        <w:shd w:val="clear" w:color="auto" w:fill="auto"/>
        <w:bidi w:val="0"/>
        <w:spacing w:before="0" w:after="360" w:line="240" w:lineRule="auto"/>
        <w:ind w:left="0" w:right="0" w:firstLine="0"/>
        <w:jc w:val="both"/>
      </w:pPr>
      <w:bookmarkStart w:id="992" w:name="bookmark992"/>
      <w:bookmarkStart w:id="993" w:name="bookmark993"/>
      <w:bookmarkStart w:id="994" w:name="bookmark994"/>
      <w:bookmarkStart w:id="995" w:name="bookmark995"/>
      <w:r>
        <w:rPr>
          <w:color w:val="000000"/>
          <w:spacing w:val="0"/>
          <w:w w:val="100"/>
          <w:position w:val="0"/>
          <w:sz w:val="24"/>
          <w:szCs w:val="24"/>
        </w:rPr>
        <w:t>七</w:t>
      </w:r>
      <w:bookmarkEnd w:id="994"/>
      <w:r>
        <w:rPr>
          <w:color w:val="000000"/>
          <w:spacing w:val="0"/>
          <w:w w:val="100"/>
          <w:position w:val="0"/>
          <w:sz w:val="24"/>
          <w:szCs w:val="24"/>
        </w:rPr>
        <w:t>、合并财务报表项目注释</w:t>
      </w:r>
      <w:bookmarkEnd w:id="992"/>
      <w:bookmarkEnd w:id="993"/>
      <w:bookmarkEnd w:id="995"/>
    </w:p>
    <w:p>
      <w:pPr>
        <w:pStyle w:val="Style31"/>
        <w:keepNext/>
        <w:keepLines/>
        <w:widowControl w:val="0"/>
        <w:shd w:val="clear" w:color="auto" w:fill="auto"/>
        <w:bidi w:val="0"/>
        <w:spacing w:before="0" w:after="100" w:line="480" w:lineRule="auto"/>
        <w:ind w:left="0" w:right="0" w:firstLine="0"/>
        <w:jc w:val="both"/>
      </w:pPr>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96"/>
      <w:bookmarkEnd w:id="997"/>
      <w:bookmarkEnd w:id="998"/>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252,625.37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178,063.00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369,889,977.89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593,477,555.77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32,662,573.65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31,521,862.95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402,805,176.91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625,177,481.72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36,420.23</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2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3341"/>
        <w:gridCol w:w="2237"/>
        <w:gridCol w:w="2246"/>
      </w:tblGrid>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上年年末余额（元）</w:t>
            </w:r>
          </w:p>
        </w:tc>
      </w:tr>
    </w:tbl>
    <w:p>
      <w:pPr>
        <w:widowControl w:val="0"/>
        <w:spacing w:line="1" w:lineRule="exact"/>
      </w:pPr>
    </w:p>
    <w:tbl>
      <w:tblPr>
        <w:tblOverlap w:val="never"/>
        <w:jc w:val="center"/>
        <w:tblLayout w:type="fixed"/>
      </w:tblPr>
      <w:tblGrid>
        <w:gridCol w:w="3341"/>
        <w:gridCol w:w="2237"/>
        <w:gridCol w:w="224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31,758,821.00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30,407,523.36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信托托管金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533,672.51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929,883.47</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32,467,493.51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31,337,406.83</w:t>
            </w:r>
          </w:p>
        </w:tc>
      </w:tr>
    </w:tbl>
    <w:p>
      <w:pPr>
        <w:pStyle w:val="Style2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，其他货币资金中</w:t>
      </w:r>
      <w:r>
        <w:rPr>
          <w:rFonts w:ascii="Times New Roman" w:eastAsia="Times New Roman" w:hAnsi="Times New Roman" w:cs="Times New Roman"/>
          <w:color w:val="000000"/>
          <w:spacing w:val="0"/>
          <w:w w:val="100"/>
          <w:position w:val="0"/>
        </w:rPr>
        <w:t>175,000.00</w:t>
      </w:r>
      <w:r>
        <w:rPr>
          <w:color w:val="000000"/>
          <w:spacing w:val="0"/>
          <w:w w:val="100"/>
          <w:position w:val="0"/>
        </w:rPr>
        <w:t>元系本公司向银行申请开具银行承兑汇票所存入的 保证金存款，</w:t>
      </w:r>
      <w:r>
        <w:rPr>
          <w:rFonts w:ascii="Times New Roman" w:eastAsia="Times New Roman" w:hAnsi="Times New Roman" w:cs="Times New Roman"/>
          <w:color w:val="000000"/>
          <w:spacing w:val="0"/>
          <w:w w:val="100"/>
          <w:position w:val="0"/>
        </w:rPr>
        <w:t>31,758,821.00</w:t>
      </w:r>
      <w:r>
        <w:rPr>
          <w:color w:val="000000"/>
          <w:spacing w:val="0"/>
          <w:w w:val="100"/>
          <w:position w:val="0"/>
        </w:rPr>
        <w:t xml:space="preserve">元系本公司向银行申请开具无条件、不可撤销的担保函所存入的保证金存款， </w:t>
      </w:r>
      <w:r>
        <w:rPr>
          <w:rFonts w:ascii="Times New Roman" w:eastAsia="Times New Roman" w:hAnsi="Times New Roman" w:cs="Times New Roman"/>
          <w:color w:val="000000"/>
          <w:spacing w:val="0"/>
          <w:w w:val="100"/>
          <w:position w:val="0"/>
        </w:rPr>
        <w:t>533,672.51</w:t>
      </w:r>
      <w:r>
        <w:rPr>
          <w:color w:val="000000"/>
          <w:spacing w:val="0"/>
          <w:w w:val="100"/>
          <w:position w:val="0"/>
        </w:rPr>
        <w:t>元系纳入合并范围的信托计划存放于信托公司的资金账户余额。</w:t>
      </w:r>
    </w:p>
    <w:p>
      <w:pPr>
        <w:pStyle w:val="Style31"/>
        <w:keepNext/>
        <w:keepLines/>
        <w:widowControl w:val="0"/>
        <w:shd w:val="clear" w:color="auto" w:fill="auto"/>
        <w:bidi w:val="0"/>
        <w:spacing w:before="0" w:after="380" w:line="468" w:lineRule="exact"/>
        <w:ind w:left="0" w:right="0" w:firstLine="0"/>
        <w:jc w:val="left"/>
      </w:pPr>
      <w:bookmarkStart w:id="1000" w:name="bookmark1000"/>
      <w:bookmarkStart w:id="1001" w:name="bookmark1001"/>
      <w:bookmarkStart w:id="999" w:name="bookmark999"/>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00"/>
      <w:bookmarkEnd w:id="1001"/>
      <w:bookmarkEnd w:id="99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253,760,054.51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464,245,168.51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253,760,054.51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464,245,168.51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253,760,054.51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464,245,168.51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3</w:t>
      </w:r>
      <w:bookmarkEnd w:id="1004"/>
      <w:r>
        <w:rPr>
          <w:color w:val="000000"/>
          <w:spacing w:val="0"/>
          <w:w w:val="100"/>
          <w:position w:val="0"/>
        </w:rPr>
        <w:t>、应收票据</w:t>
      </w:r>
      <w:bookmarkEnd w:id="1002"/>
      <w:bookmarkEnd w:id="1003"/>
      <w:bookmarkEnd w:id="1005"/>
    </w:p>
    <w:p>
      <w:pPr>
        <w:pStyle w:val="Style37"/>
        <w:keepNext/>
        <w:keepLines/>
        <w:widowControl w:val="0"/>
        <w:shd w:val="clear" w:color="auto" w:fill="auto"/>
        <w:bidi w:val="0"/>
        <w:spacing w:before="0" w:after="380" w:line="240" w:lineRule="auto"/>
        <w:ind w:left="0" w:right="0" w:firstLine="0"/>
        <w:jc w:val="left"/>
      </w:pPr>
      <w:bookmarkStart w:id="1006" w:name="bookmark1006"/>
      <w:bookmarkStart w:id="1007" w:name="bookmark1007"/>
      <w:bookmarkStart w:id="1008" w:name="bookmark10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06"/>
      <w:bookmarkEnd w:id="1007"/>
      <w:bookmarkEnd w:id="100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13,548,716.93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1,237,545.55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14,786,262.48</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rPr>
        <w:t>如是按照预期信用损失一般模型计提应收票据坏账准备，请参照其他应收款的披露方式披露坏账准备的相关信</w:t>
      </w:r>
    </w:p>
    <w:p>
      <w:pPr>
        <w:pStyle w:val="Style25"/>
        <w:keepNext w:val="0"/>
        <w:keepLines w:val="0"/>
        <w:widowControl w:val="0"/>
        <w:shd w:val="clear" w:color="auto" w:fill="auto"/>
        <w:bidi w:val="0"/>
        <w:spacing w:before="0" w:after="160" w:line="240" w:lineRule="auto"/>
        <w:ind w:left="0" w:right="0" w:firstLine="0"/>
        <w:jc w:val="left"/>
        <w:rPr>
          <w:sz w:val="19"/>
          <w:szCs w:val="19"/>
        </w:rPr>
      </w:pPr>
      <w:r>
        <w:rPr>
          <w:color w:val="000000"/>
          <w:spacing w:val="0"/>
          <w:w w:val="100"/>
          <w:position w:val="0"/>
          <w:sz w:val="19"/>
          <w:szCs w:val="19"/>
        </w:rPr>
        <w:t>息：</w:t>
      </w:r>
    </w:p>
    <w:p>
      <w:pPr>
        <w:pStyle w:val="Style25"/>
        <w:keepNext w:val="0"/>
        <w:keepLines w:val="0"/>
        <w:widowControl w:val="0"/>
        <w:shd w:val="clear" w:color="auto" w:fill="auto"/>
        <w:bidi w:val="0"/>
        <w:spacing w:before="0" w:after="3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31"/>
        <w:keepNext/>
        <w:keepLines/>
        <w:widowControl w:val="0"/>
        <w:shd w:val="clear" w:color="auto" w:fill="auto"/>
        <w:bidi w:val="0"/>
        <w:spacing w:before="0" w:after="38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4</w:t>
      </w:r>
      <w:bookmarkEnd w:id="1011"/>
      <w:r>
        <w:rPr>
          <w:color w:val="000000"/>
          <w:spacing w:val="0"/>
          <w:w w:val="100"/>
          <w:position w:val="0"/>
        </w:rPr>
        <w:t>、应收账款</w:t>
      </w:r>
      <w:bookmarkEnd w:id="1009"/>
      <w:bookmarkEnd w:id="1010"/>
      <w:bookmarkEnd w:id="1012"/>
    </w:p>
    <w:p>
      <w:pPr>
        <w:pStyle w:val="Style37"/>
        <w:keepNext/>
        <w:keepLines/>
        <w:widowControl w:val="0"/>
        <w:shd w:val="clear" w:color="auto" w:fill="auto"/>
        <w:bidi w:val="0"/>
        <w:spacing w:before="0" w:after="380" w:line="240" w:lineRule="auto"/>
        <w:ind w:left="0" w:right="0" w:firstLine="0"/>
        <w:jc w:val="left"/>
      </w:pPr>
      <w:bookmarkStart w:id="1013" w:name="bookmark1013"/>
      <w:bookmarkStart w:id="1014" w:name="bookmark1014"/>
      <w:bookmarkStart w:id="1015" w:name="bookmark10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13"/>
      <w:bookmarkEnd w:id="1014"/>
      <w:bookmarkEnd w:id="101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3840"/>
        <w:gridCol w:w="410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4,201,96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4,201,96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141,194,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16,324,4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124,869,8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79,900,98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12,989,49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66,911,491.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141,194,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16,324,4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124,869,8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79,900,98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12,989,49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66,911,491.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145,396,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20,526,4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124,869,8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84,076,46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17,164,97</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66,911,491.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19"/>
          <w:szCs w:val="19"/>
        </w:rPr>
        <w:t>按单项计提坏账准备:</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4,201,962.49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4,201,962.49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收回可能性较小</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4,201,962.49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4,201,962.49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both"/>
        <w:rPr>
          <w:sz w:val="19"/>
          <w:szCs w:val="19"/>
        </w:rPr>
      </w:pPr>
      <w:r>
        <w:rPr>
          <w:color w:val="000000"/>
          <w:spacing w:val="0"/>
          <w:w w:val="100"/>
          <w:position w:val="0"/>
          <w:sz w:val="19"/>
          <w:szCs w:val="19"/>
        </w:rPr>
        <w:t>按组合计提坏账准备：账龄组合</w:t>
      </w:r>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113,720,661.28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5,686,033.06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12,305,167.69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1,230,516.77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5,686,487.13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1,137,297.42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2,422,781.03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1,211,390.52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7,059,235.42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7,059,235.42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141,194,332.55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16,324,473.18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140" w:line="302" w:lineRule="exact"/>
        <w:ind w:left="0" w:right="0" w:firstLine="0"/>
        <w:jc w:val="both"/>
        <w:rPr>
          <w:sz w:val="19"/>
          <w:szCs w:val="19"/>
        </w:rPr>
      </w:pPr>
      <w:r>
        <w:rPr>
          <w:color w:val="000000"/>
          <w:spacing w:val="0"/>
          <w:w w:val="100"/>
          <w:position w:val="0"/>
          <w:sz w:val="19"/>
          <w:szCs w:val="19"/>
        </w:rPr>
        <w:t>如是按照预期信用损失一般模型计提应收账款坏账准备，请参照其他应收款的披露方式披露坏账准备的相关信 息：</w:t>
      </w:r>
    </w:p>
    <w:p>
      <w:pPr>
        <w:pStyle w:val="Style25"/>
        <w:keepNext w:val="0"/>
        <w:keepLines w:val="0"/>
        <w:widowControl w:val="0"/>
        <w:shd w:val="clear" w:color="auto" w:fill="auto"/>
        <w:bidi w:val="0"/>
        <w:spacing w:before="0" w:after="0" w:line="317"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140" w:line="302" w:lineRule="exact"/>
        <w:ind w:left="0" w:right="0" w:firstLine="0"/>
        <w:jc w:val="both"/>
        <w:rPr>
          <w:sz w:val="19"/>
          <w:szCs w:val="19"/>
        </w:rPr>
      </w:pPr>
      <w:r>
        <w:rPr>
          <w:color w:val="000000"/>
          <w:spacing w:val="0"/>
          <w:w w:val="100"/>
          <w:position w:val="0"/>
          <w:sz w:val="19"/>
          <w:szCs w:val="19"/>
        </w:rPr>
        <w:t>按账龄披露</w:t>
      </w:r>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113,720,661.28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12,305,167.69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6,074,805.91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13,295,660.16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3,914,201.16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6,932,359.51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2,449,099.49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145,396,295.04</w:t>
            </w:r>
          </w:p>
        </w:tc>
      </w:tr>
    </w:tbl>
    <w:p>
      <w:pPr>
        <w:pStyle w:val="Style25"/>
        <w:keepNext w:val="0"/>
        <w:keepLines w:val="0"/>
        <w:widowControl w:val="0"/>
        <w:shd w:val="clear" w:color="auto" w:fill="auto"/>
        <w:bidi w:val="0"/>
        <w:spacing w:before="0" w:after="280" w:line="326" w:lineRule="exact"/>
        <w:ind w:left="0" w:right="0" w:firstLine="0"/>
        <w:jc w:val="both"/>
        <w:rPr>
          <w:sz w:val="19"/>
          <w:szCs w:val="19"/>
        </w:rPr>
      </w:pPr>
      <w:r>
        <w:rPr>
          <w:color w:val="000000"/>
          <w:spacing w:val="0"/>
          <w:w w:val="100"/>
          <w:position w:val="0"/>
          <w:sz w:val="19"/>
          <w:szCs w:val="19"/>
        </w:rPr>
        <w:t>公司需要遵守《深圳证券交易所行业信息披露指引第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号——上市公司从事软件与信息技术服务业务》的披露 要求</w:t>
      </w:r>
    </w:p>
    <w:p>
      <w:pPr>
        <w:pStyle w:val="Style37"/>
        <w:keepNext/>
        <w:keepLines/>
        <w:widowControl w:val="0"/>
        <w:shd w:val="clear" w:color="auto" w:fill="auto"/>
        <w:bidi w:val="0"/>
        <w:spacing w:before="0" w:after="280" w:line="326" w:lineRule="exact"/>
        <w:ind w:left="0" w:right="0" w:firstLine="0"/>
        <w:jc w:val="both"/>
      </w:pPr>
      <w:bookmarkStart w:id="1016" w:name="bookmark1016"/>
      <w:bookmarkStart w:id="1017" w:name="bookmark1017"/>
      <w:bookmarkStart w:id="1018" w:name="bookmark10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16"/>
      <w:bookmarkEnd w:id="1017"/>
      <w:bookmarkEnd w:id="1018"/>
    </w:p>
    <w:p>
      <w:pPr>
        <w:pStyle w:val="Style25"/>
        <w:keepNext w:val="0"/>
        <w:keepLines w:val="0"/>
        <w:widowControl w:val="0"/>
        <w:shd w:val="clear" w:color="auto" w:fill="auto"/>
        <w:bidi w:val="0"/>
        <w:spacing w:before="0" w:after="100" w:line="326" w:lineRule="exact"/>
        <w:ind w:left="0" w:right="0" w:firstLine="0"/>
        <w:jc w:val="both"/>
        <w:rPr>
          <w:sz w:val="19"/>
          <w:szCs w:val="19"/>
        </w:rPr>
      </w:pPr>
      <w:r>
        <w:rPr>
          <w:color w:val="000000"/>
          <w:spacing w:val="0"/>
          <w:w w:val="100"/>
          <w:position w:val="0"/>
          <w:sz w:val="19"/>
          <w:szCs w:val="19"/>
        </w:rPr>
        <w:t>本期计提坏账准备情况：</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4,175,479.74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12,989,493.43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17,164,973.17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numPr>
          <w:ilvl w:val="0"/>
          <w:numId w:val="43"/>
        </w:numPr>
        <w:shd w:val="clear" w:color="auto" w:fill="auto"/>
        <w:bidi w:val="0"/>
        <w:spacing w:before="0" w:after="400" w:line="240" w:lineRule="auto"/>
        <w:ind w:left="0" w:right="0" w:firstLine="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按欠款方归集的期末余额前五名的应收账款情况</w:t>
      </w:r>
      <w:bookmarkEnd w:id="1019"/>
      <w:bookmarkEnd w:id="1020"/>
      <w:bookmarkEnd w:id="1022"/>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39,180,386.36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1,959,019.32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13,242,430.90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662,121.55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11,246,772.49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562,338.62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6,743,738.20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337,186.91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4,579,633.46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228,981.67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74,992,961.41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both"/>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5</w:t>
      </w:r>
      <w:bookmarkEnd w:id="1025"/>
      <w:r>
        <w:rPr>
          <w:color w:val="000000"/>
          <w:spacing w:val="0"/>
          <w:w w:val="100"/>
          <w:position w:val="0"/>
        </w:rPr>
        <w:t>、应收款项融资</w:t>
      </w:r>
      <w:bookmarkEnd w:id="1023"/>
      <w:bookmarkEnd w:id="1024"/>
      <w:bookmarkEnd w:id="1026"/>
    </w:p>
    <w:p>
      <w:pPr>
        <w:pStyle w:val="Style34"/>
        <w:keepNext w:val="0"/>
        <w:keepLines w:val="0"/>
        <w:widowControl w:val="0"/>
        <w:shd w:val="clear" w:color="auto" w:fill="auto"/>
        <w:bidi w:val="0"/>
        <w:spacing w:before="0" w:after="30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14,849,053.60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14,849,053.60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应收款项融资本期增减变动及公允价值变动情况</w:t>
      </w:r>
    </w:p>
    <w:p>
      <w:pPr>
        <w:pStyle w:val="Style25"/>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40"/>
        <w:keepNext w:val="0"/>
        <w:keepLines w:val="0"/>
        <w:widowControl w:val="0"/>
        <w:shd w:val="clear" w:color="auto" w:fill="auto"/>
        <w:bidi w:val="0"/>
        <w:spacing w:before="0" w:after="0" w:line="240" w:lineRule="auto"/>
        <w:ind w:left="771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39"/>
        <w:gridCol w:w="1018"/>
        <w:gridCol w:w="1253"/>
        <w:gridCol w:w="1248"/>
        <w:gridCol w:w="677"/>
        <w:gridCol w:w="1272"/>
        <w:gridCol w:w="1997"/>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上年年末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本期新增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本期终止确认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其他变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累计在其他综合收益 中确认的损失准备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25,483,835.48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10,634,781.88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14,849,053.60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25,483,835.48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10,634,781.88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14,849,053.60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val="0"/>
        <w:keepLines w:val="0"/>
        <w:widowControl w:val="0"/>
        <w:shd w:val="clear" w:color="auto" w:fill="auto"/>
        <w:bidi w:val="0"/>
        <w:spacing w:before="0" w:after="100" w:line="312" w:lineRule="exact"/>
        <w:ind w:left="0" w:right="0" w:firstLine="0"/>
        <w:jc w:val="left"/>
        <w:rPr>
          <w:sz w:val="19"/>
          <w:szCs w:val="19"/>
        </w:rPr>
      </w:pPr>
      <w:r>
        <w:rPr>
          <w:color w:val="000000"/>
          <w:spacing w:val="0"/>
          <w:w w:val="100"/>
          <w:position w:val="0"/>
          <w:sz w:val="19"/>
          <w:szCs w:val="19"/>
        </w:rPr>
        <w:t>如是按照预期信用损失一般模型计提应收款项融资减值准备，请参照其他应收款的披露方式披露减值准备的相 关信息：</w:t>
      </w:r>
    </w:p>
    <w:p>
      <w:pPr>
        <w:pStyle w:val="Style25"/>
        <w:keepNext w:val="0"/>
        <w:keepLines w:val="0"/>
        <w:widowControl w:val="0"/>
        <w:shd w:val="clear" w:color="auto" w:fill="auto"/>
        <w:bidi w:val="0"/>
        <w:spacing w:before="0" w:after="0" w:line="326"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其他说明：</w:t>
      </w:r>
    </w:p>
    <w:p>
      <w:pPr>
        <w:pStyle w:val="Style25"/>
        <w:keepNext w:val="0"/>
        <w:keepLines w:val="0"/>
        <w:widowControl w:val="0"/>
        <w:shd w:val="clear" w:color="auto" w:fill="auto"/>
        <w:bidi w:val="0"/>
        <w:spacing w:before="0" w:after="380" w:line="312" w:lineRule="exact"/>
        <w:ind w:left="0" w:right="0" w:firstLine="0"/>
        <w:jc w:val="left"/>
        <w:rPr>
          <w:sz w:val="19"/>
          <w:szCs w:val="19"/>
        </w:rPr>
      </w:pPr>
      <w:r>
        <w:rPr>
          <w:color w:val="000000"/>
          <w:spacing w:val="0"/>
          <w:w w:val="100"/>
          <w:position w:val="0"/>
          <w:sz w:val="19"/>
          <w:szCs w:val="19"/>
        </w:rPr>
        <w:t>期末公司无已质押的应收票据。</w:t>
      </w:r>
    </w:p>
    <w:p>
      <w:pPr>
        <w:pStyle w:val="Style31"/>
        <w:keepNext/>
        <w:keepLines/>
        <w:widowControl w:val="0"/>
        <w:shd w:val="clear" w:color="auto" w:fill="auto"/>
        <w:bidi w:val="0"/>
        <w:spacing w:before="0" w:after="220" w:line="326"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6</w:t>
      </w:r>
      <w:bookmarkEnd w:id="1029"/>
      <w:r>
        <w:rPr>
          <w:color w:val="000000"/>
          <w:spacing w:val="0"/>
          <w:w w:val="100"/>
          <w:position w:val="0"/>
        </w:rPr>
        <w:t>、预付款项</w:t>
      </w:r>
      <w:bookmarkEnd w:id="1027"/>
      <w:bookmarkEnd w:id="1028"/>
      <w:bookmarkEnd w:id="1030"/>
    </w:p>
    <w:p>
      <w:pPr>
        <w:pStyle w:val="Style37"/>
        <w:keepNext/>
        <w:keepLines/>
        <w:widowControl w:val="0"/>
        <w:shd w:val="clear" w:color="auto" w:fill="auto"/>
        <w:bidi w:val="0"/>
        <w:spacing w:before="0" w:after="380" w:line="312" w:lineRule="exact"/>
        <w:ind w:left="0" w:right="0" w:firstLine="0"/>
        <w:jc w:val="left"/>
      </w:pPr>
      <w:bookmarkStart w:id="1031" w:name="bookmark1031"/>
      <w:bookmarkStart w:id="1032" w:name="bookmark1032"/>
      <w:bookmarkStart w:id="1033" w:name="bookmark10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31"/>
      <w:bookmarkEnd w:id="1032"/>
      <w:bookmarkEnd w:id="1033"/>
    </w:p>
    <w:p>
      <w:pPr>
        <w:pStyle w:val="Style40"/>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20,661,318.76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11,073,262.43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20,661,318.76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11,153,866.83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440" w:line="240" w:lineRule="auto"/>
        <w:ind w:left="0" w:right="0" w:firstLine="0"/>
        <w:jc w:val="left"/>
      </w:pPr>
      <w:bookmarkStart w:id="1034" w:name="bookmark1034"/>
      <w:bookmarkStart w:id="1035" w:name="bookmark1035"/>
      <w:bookmarkStart w:id="1036" w:name="bookmark10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34"/>
      <w:bookmarkEnd w:id="1035"/>
      <w:bookmarkEnd w:id="1036"/>
    </w:p>
    <w:p>
      <w:pPr>
        <w:pStyle w:val="Style2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本报告期按预付对象归集的期末余额前五名的预付款汇总金额</w:t>
      </w:r>
      <w:r>
        <w:rPr>
          <w:rFonts w:ascii="Times New Roman" w:eastAsia="Times New Roman" w:hAnsi="Times New Roman" w:cs="Times New Roman"/>
          <w:color w:val="000000"/>
          <w:spacing w:val="0"/>
          <w:w w:val="100"/>
          <w:position w:val="0"/>
        </w:rPr>
        <w:t>20,217,038.00</w:t>
      </w:r>
      <w:r>
        <w:rPr>
          <w:color w:val="000000"/>
          <w:spacing w:val="0"/>
          <w:w w:val="100"/>
          <w:position w:val="0"/>
        </w:rPr>
        <w:t>元，占预付款项期末余额</w:t>
      </w:r>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合计数的比例</w:t>
      </w:r>
      <w:r>
        <w:rPr>
          <w:rFonts w:ascii="Times New Roman" w:eastAsia="Times New Roman" w:hAnsi="Times New Roman" w:cs="Times New Roman"/>
          <w:color w:val="000000"/>
          <w:spacing w:val="0"/>
          <w:w w:val="100"/>
          <w:position w:val="0"/>
        </w:rPr>
        <w:t>97.85%</w:t>
      </w:r>
      <w:r>
        <w:rPr>
          <w:color w:val="000000"/>
          <w:spacing w:val="0"/>
          <w:w w:val="100"/>
          <w:position w:val="0"/>
        </w:rPr>
        <w:t>。</w:t>
      </w:r>
    </w:p>
    <w:p>
      <w:pPr>
        <w:pStyle w:val="Style31"/>
        <w:keepNext/>
        <w:keepLines/>
        <w:widowControl w:val="0"/>
        <w:shd w:val="clear" w:color="auto" w:fill="auto"/>
        <w:bidi w:val="0"/>
        <w:spacing w:before="0" w:after="38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7</w:t>
      </w:r>
      <w:bookmarkEnd w:id="1039"/>
      <w:r>
        <w:rPr>
          <w:color w:val="000000"/>
          <w:spacing w:val="0"/>
          <w:w w:val="100"/>
          <w:position w:val="0"/>
        </w:rPr>
        <w:t>、其他应收款</w:t>
      </w:r>
      <w:bookmarkEnd w:id="1037"/>
      <w:bookmarkEnd w:id="1038"/>
      <w:bookmarkEnd w:id="1040"/>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31,258,030.42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45,245,672.88</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31,258,030.42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45,245,672.88</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041" w:name="bookmark1041"/>
      <w:bookmarkStart w:id="1042" w:name="bookmark1042"/>
      <w:bookmarkStart w:id="1043" w:name="bookmark10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41"/>
      <w:bookmarkEnd w:id="1042"/>
      <w:bookmarkEnd w:id="1043"/>
    </w:p>
    <w:p>
      <w:pPr>
        <w:pStyle w:val="Style66"/>
        <w:keepNext/>
        <w:keepLines/>
        <w:widowControl w:val="0"/>
        <w:shd w:val="clear" w:color="auto" w:fill="auto"/>
        <w:bidi w:val="0"/>
        <w:spacing w:before="0" w:after="380" w:line="240" w:lineRule="auto"/>
        <w:ind w:left="0" w:right="0" w:firstLine="0"/>
        <w:jc w:val="left"/>
      </w:pPr>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044"/>
      <w:bookmarkEnd w:id="1045"/>
      <w:bookmarkEnd w:id="1046"/>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41,913,777.59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49,834,369.46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1,693,781.62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2,054,445.09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房租物业押金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2,680,112.60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2,321,678.79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922,949.96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824,764.24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1,005,229.50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1,326,297.60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48,215,851.27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56,361,555.18</w:t>
            </w:r>
          </w:p>
        </w:tc>
      </w:tr>
    </w:tbl>
    <w:p>
      <w:pPr>
        <w:widowControl w:val="0"/>
        <w:spacing w:after="339" w:line="1" w:lineRule="exact"/>
      </w:pPr>
    </w:p>
    <w:p>
      <w:pPr>
        <w:pStyle w:val="Style66"/>
        <w:keepNext/>
        <w:keepLines/>
        <w:widowControl w:val="0"/>
        <w:shd w:val="clear" w:color="auto" w:fill="auto"/>
        <w:bidi w:val="0"/>
        <w:spacing w:before="0" w:after="380" w:line="240" w:lineRule="auto"/>
        <w:ind w:left="0" w:right="0" w:firstLine="0"/>
        <w:jc w:val="left"/>
      </w:pPr>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047"/>
      <w:bookmarkEnd w:id="1048"/>
      <w:bookmarkEnd w:id="1049"/>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11,115,882.30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11,115,882.30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-453,969.45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453,969.45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4,026,060.76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1,815,877.79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5,841,938.55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16,957,820.85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2,269,847.24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16,957,820.85</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损失准备本期变动金额重大的账面余额变动情况</w:t>
      </w:r>
    </w:p>
    <w:p>
      <w:pPr>
        <w:pStyle w:val="Style25"/>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按账龄披露</w:t>
      </w:r>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18,860,419.39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6,494,478.33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5,367,595.22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15,223,511.09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6,403,050.65</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8,820,460.44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45,946,004.03</w:t>
            </w:r>
          </w:p>
        </w:tc>
      </w:tr>
    </w:tbl>
    <w:p>
      <w:pPr>
        <w:widowControl w:val="0"/>
        <w:spacing w:after="359" w:line="1" w:lineRule="exact"/>
      </w:pPr>
    </w:p>
    <w:p>
      <w:pPr>
        <w:pStyle w:val="Style66"/>
        <w:keepNext/>
        <w:keepLines/>
        <w:widowControl w:val="0"/>
        <w:shd w:val="clear" w:color="auto" w:fill="auto"/>
        <w:bidi w:val="0"/>
        <w:spacing w:before="0" w:after="36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3</w:t>
      </w:r>
      <w:bookmarkEnd w:id="1052"/>
      <w:r>
        <w:rPr>
          <w:color w:val="000000"/>
          <w:spacing w:val="0"/>
          <w:w w:val="100"/>
          <w:position w:val="0"/>
        </w:rPr>
        <w:t>）本期计提、收回或转回的坏账准备情况</w:t>
      </w:r>
      <w:bookmarkEnd w:id="1050"/>
      <w:bookmarkEnd w:id="1051"/>
      <w:bookmarkEnd w:id="1053"/>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本期计提坏账准备情况：</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2,269,847.24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2,269,847.24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11,115,882.30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3,572,091.31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14,687,973.61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11,115,882.30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5,841,938.55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16,957,820.85</w:t>
            </w:r>
          </w:p>
        </w:tc>
      </w:tr>
    </w:tbl>
    <w:p>
      <w:pPr>
        <w:widowControl w:val="0"/>
        <w:spacing w:after="359" w:line="1" w:lineRule="exact"/>
      </w:pPr>
    </w:p>
    <w:p>
      <w:pPr>
        <w:pStyle w:val="Style66"/>
        <w:keepNext/>
        <w:keepLines/>
        <w:widowControl w:val="0"/>
        <w:shd w:val="clear" w:color="auto" w:fill="auto"/>
        <w:bidi w:val="0"/>
        <w:spacing w:before="0" w:after="36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4</w:t>
      </w:r>
      <w:bookmarkEnd w:id="1056"/>
      <w:r>
        <w:rPr>
          <w:color w:val="000000"/>
          <w:spacing w:val="0"/>
          <w:w w:val="100"/>
          <w:position w:val="0"/>
        </w:rPr>
        <w:t>）按欠款方归集的期末余额前五名的其他应收款情况</w:t>
      </w:r>
      <w:bookmarkEnd w:id="1054"/>
      <w:bookmarkEnd w:id="1055"/>
      <w:bookmarkEnd w:id="105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中科软科技股份有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5,010,355.65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2,928,690.65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浙江省公安厅业务 费户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4,217,540.00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4,217,540.00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北京锐安科技有限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北京北航科技园有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2,059,602.00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932,878.20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中招国际招标有限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1,727,525.16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86,376.26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15,553,022.81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8,673,085.11</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8</w:t>
      </w:r>
      <w:bookmarkEnd w:id="1060"/>
      <w:r>
        <w:rPr>
          <w:color w:val="000000"/>
          <w:spacing w:val="0"/>
          <w:w w:val="100"/>
          <w:position w:val="0"/>
        </w:rPr>
        <w:t>、存货</w:t>
      </w:r>
      <w:bookmarkEnd w:id="1058"/>
      <w:bookmarkEnd w:id="1059"/>
      <w:bookmarkEnd w:id="1061"/>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公司是否需要遵守房地产行业的披露要求</w:t>
      </w:r>
    </w:p>
    <w:p>
      <w:pPr>
        <w:pStyle w:val="Style25"/>
        <w:keepNext w:val="0"/>
        <w:keepLines w:val="0"/>
        <w:widowControl w:val="0"/>
        <w:shd w:val="clear" w:color="auto" w:fill="auto"/>
        <w:bidi w:val="0"/>
        <w:spacing w:before="0" w:after="360" w:line="240" w:lineRule="auto"/>
        <w:ind w:left="0" w:right="0" w:firstLine="0"/>
        <w:jc w:val="both"/>
        <w:rPr>
          <w:sz w:val="19"/>
          <w:szCs w:val="19"/>
        </w:rPr>
      </w:pPr>
      <w:r>
        <w:rPr>
          <w:color w:val="000000"/>
          <w:spacing w:val="0"/>
          <w:w w:val="100"/>
          <w:position w:val="0"/>
          <w:sz w:val="19"/>
          <w:szCs w:val="19"/>
        </w:rPr>
        <w:t>否</w:t>
      </w:r>
    </w:p>
    <w:p>
      <w:pPr>
        <w:pStyle w:val="Style37"/>
        <w:keepNext/>
        <w:keepLines/>
        <w:widowControl w:val="0"/>
        <w:shd w:val="clear" w:color="auto" w:fill="auto"/>
        <w:bidi w:val="0"/>
        <w:spacing w:before="0" w:line="240" w:lineRule="auto"/>
        <w:ind w:left="0" w:right="0" w:firstLine="0"/>
        <w:jc w:val="both"/>
      </w:pPr>
      <w:bookmarkStart w:id="1062" w:name="bookmark1062"/>
      <w:bookmarkStart w:id="1063" w:name="bookmark1063"/>
      <w:bookmarkStart w:id="1064" w:name="bookmark10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62"/>
      <w:bookmarkEnd w:id="1063"/>
      <w:bookmarkEnd w:id="1064"/>
    </w:p>
    <w:p>
      <w:pPr>
        <w:pStyle w:val="Style3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81,202,625.22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34,152,953.98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47,049,671.24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126,992,287.61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52,636,667.79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74,355,619.82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459,421,561.00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1,312,337.91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458,109,223.09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418,577,945.32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418,577,945.32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540,624,186.22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35,465,291.89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505,158,894.33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545,570,232.93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52,636,667.79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492,933,565.14</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65"/>
      <w:bookmarkEnd w:id="1066"/>
      <w:bookmarkEnd w:id="1067"/>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52,636,667.79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1,684,529.91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20,168,243.72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34,152,953.98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1,312,337.91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1,312,337.91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52,636,667.79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2,996,867.82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20,168,243.72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35,465,291.89</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9</w:t>
      </w:r>
      <w:bookmarkEnd w:id="1070"/>
      <w:r>
        <w:rPr>
          <w:color w:val="000000"/>
          <w:spacing w:val="0"/>
          <w:w w:val="100"/>
          <w:position w:val="0"/>
        </w:rPr>
        <w:t>、合同资产</w:t>
      </w:r>
      <w:bookmarkEnd w:id="1068"/>
      <w:bookmarkEnd w:id="1069"/>
      <w:bookmarkEnd w:id="1071"/>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未到期质保金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62,768,256.21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3,138,412.81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59,629,843.40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49,913,868.93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2,495,693.45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47,418,175.48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62,768,256.21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3,138,412.81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59,629,843.40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49,913,868.93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2,495,693.45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47,418,175.48</w:t>
            </w:r>
          </w:p>
        </w:tc>
      </w:tr>
    </w:tbl>
    <w:p>
      <w:pPr>
        <w:pStyle w:val="Style25"/>
        <w:keepNext w:val="0"/>
        <w:keepLines w:val="0"/>
        <w:widowControl w:val="0"/>
        <w:shd w:val="clear" w:color="auto" w:fill="auto"/>
        <w:bidi w:val="0"/>
        <w:spacing w:before="0" w:after="100" w:line="302" w:lineRule="exact"/>
        <w:ind w:left="0" w:right="0" w:firstLine="0"/>
        <w:jc w:val="both"/>
        <w:rPr>
          <w:sz w:val="19"/>
          <w:szCs w:val="19"/>
        </w:rPr>
      </w:pPr>
      <w:r>
        <w:rPr>
          <w:color w:val="000000"/>
          <w:spacing w:val="0"/>
          <w:w w:val="100"/>
          <w:position w:val="0"/>
          <w:sz w:val="19"/>
          <w:szCs w:val="19"/>
        </w:rPr>
        <w:t>如是按照预期信用损失一般模型计提合同资产坏账准备，请参照其他应收款的披露方式披露坏账准备的相关信 息：</w:t>
      </w:r>
    </w:p>
    <w:p>
      <w:pPr>
        <w:pStyle w:val="Style25"/>
        <w:keepNext w:val="0"/>
        <w:keepLines w:val="0"/>
        <w:widowControl w:val="0"/>
        <w:shd w:val="clear" w:color="auto" w:fill="auto"/>
        <w:bidi w:val="0"/>
        <w:spacing w:before="0" w:after="0" w:line="317"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100" w:line="302" w:lineRule="exact"/>
        <w:ind w:left="0" w:right="0" w:firstLine="0"/>
        <w:jc w:val="both"/>
        <w:rPr>
          <w:sz w:val="19"/>
          <w:szCs w:val="19"/>
        </w:rPr>
      </w:pPr>
      <w:r>
        <w:rPr>
          <w:color w:val="000000"/>
          <w:spacing w:val="0"/>
          <w:w w:val="100"/>
          <w:position w:val="0"/>
          <w:sz w:val="19"/>
          <w:szCs w:val="19"/>
        </w:rPr>
        <w:t>本期合同资产计提减值准备情况</w:t>
      </w:r>
    </w:p>
    <w:p>
      <w:pPr>
        <w:pStyle w:val="Style40"/>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642,719.36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项目未回款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642,719.36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both"/>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1</w:t>
      </w:r>
      <w:bookmarkEnd w:id="1074"/>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、一年内到期的非流动资产</w:t>
      </w:r>
      <w:bookmarkEnd w:id="1072"/>
      <w:bookmarkEnd w:id="1073"/>
      <w:bookmarkEnd w:id="1075"/>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一年内到期的债权投资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267,240,600.00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267,240,600.00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396,000,000.00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rPr>
          <w:sz w:val="19"/>
          <w:szCs w:val="19"/>
        </w:rPr>
      </w:pPr>
      <w:r>
        <w:rPr>
          <w:color w:val="000000"/>
          <w:spacing w:val="0"/>
          <w:w w:val="100"/>
          <w:position w:val="0"/>
          <w:sz w:val="19"/>
          <w:szCs w:val="19"/>
        </w:rPr>
        <w:t>重要的债权投资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其他债权投资</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到期日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华鑫信托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睿科</w:t>
            </w:r>
            <w:r>
              <w:rPr>
                <w:rFonts w:ascii="Times New Roman" w:eastAsia="Times New Roman" w:hAnsi="Times New Roman" w:cs="Times New Roman"/>
                <w:color w:val="000000"/>
                <w:spacing w:val="0"/>
                <w:w w:val="100"/>
                <w:position w:val="0"/>
                <w:sz w:val="18"/>
                <w:szCs w:val="18"/>
              </w:rPr>
              <w:t>42</w:t>
            </w:r>
            <w:r>
              <w:rPr>
                <w:color w:val="000000"/>
                <w:spacing w:val="0"/>
                <w:w w:val="100"/>
                <w:position w:val="0"/>
                <w:sz w:val="17"/>
                <w:szCs w:val="17"/>
              </w:rPr>
              <w:t>号单 一资金信托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华鑫信托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睿科</w:t>
            </w: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7"/>
                <w:szCs w:val="17"/>
              </w:rPr>
              <w:t>号单 一资金信托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华鑫信托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睿科</w:t>
            </w:r>
            <w:r>
              <w:rPr>
                <w:rFonts w:ascii="Times New Roman" w:eastAsia="Times New Roman" w:hAnsi="Times New Roman" w:cs="Times New Roman"/>
                <w:color w:val="000000"/>
                <w:spacing w:val="0"/>
                <w:w w:val="100"/>
                <w:position w:val="0"/>
                <w:sz w:val="18"/>
                <w:szCs w:val="18"/>
              </w:rPr>
              <w:t>64</w:t>
            </w:r>
            <w:r>
              <w:rPr>
                <w:color w:val="000000"/>
                <w:spacing w:val="0"/>
                <w:w w:val="100"/>
                <w:position w:val="0"/>
                <w:sz w:val="17"/>
                <w:szCs w:val="17"/>
              </w:rPr>
              <w:t>号单 一资金信托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69,940,000.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269,940,000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w:t>
            </w:r>
          </w:p>
        </w:tc>
      </w:tr>
    </w:tbl>
    <w:p>
      <w:pPr>
        <w:widowControl w:val="0"/>
        <w:spacing w:after="79" w:line="1" w:lineRule="exact"/>
      </w:pPr>
    </w:p>
    <w:p>
      <w:pPr>
        <w:pStyle w:val="Style25"/>
        <w:keepNext w:val="0"/>
        <w:keepLines w:val="0"/>
        <w:widowControl w:val="0"/>
        <w:shd w:val="clear" w:color="auto" w:fill="auto"/>
        <w:bidi w:val="0"/>
        <w:spacing w:before="0" w:after="200" w:line="240" w:lineRule="auto"/>
        <w:ind w:left="0" w:right="0" w:firstLine="0"/>
        <w:jc w:val="both"/>
        <w:rPr>
          <w:sz w:val="19"/>
          <w:szCs w:val="19"/>
        </w:rPr>
      </w:pPr>
      <w:r>
        <w:rPr>
          <w:color w:val="000000"/>
          <w:spacing w:val="0"/>
          <w:w w:val="100"/>
          <w:position w:val="0"/>
          <w:sz w:val="19"/>
          <w:szCs w:val="19"/>
        </w:rPr>
        <w:t>其他说明:</w:t>
      </w:r>
    </w:p>
    <w:p>
      <w:pPr>
        <w:pStyle w:val="Style25"/>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一年内到期的其他债权投资系公司纳入结构化主体的信托产品，其中本金</w:t>
      </w:r>
      <w:r>
        <w:rPr>
          <w:rFonts w:ascii="Times New Roman" w:eastAsia="Times New Roman" w:hAnsi="Times New Roman" w:cs="Times New Roman"/>
          <w:color w:val="000000"/>
          <w:spacing w:val="0"/>
          <w:w w:val="100"/>
          <w:position w:val="0"/>
        </w:rPr>
        <w:t>269,940,000.00</w:t>
      </w:r>
      <w:r>
        <w:rPr>
          <w:color w:val="000000"/>
          <w:spacing w:val="0"/>
          <w:w w:val="100"/>
          <w:position w:val="0"/>
        </w:rPr>
        <w:t>元，减值</w:t>
      </w:r>
    </w:p>
    <w:p>
      <w:pPr>
        <w:pStyle w:val="Style59"/>
        <w:keepNext w:val="0"/>
        <w:keepLines w:val="0"/>
        <w:widowControl w:val="0"/>
        <w:shd w:val="clear" w:color="auto" w:fill="auto"/>
        <w:bidi w:val="0"/>
        <w:spacing w:before="0" w:after="460" w:line="240" w:lineRule="auto"/>
        <w:ind w:left="0" w:right="0" w:firstLine="0"/>
        <w:jc w:val="both"/>
      </w:pPr>
      <w:r>
        <w:rPr>
          <w:color w:val="000000"/>
          <w:spacing w:val="0"/>
          <w:w w:val="100"/>
          <w:position w:val="0"/>
        </w:rPr>
        <w:t>2,699,400.00</w:t>
      </w:r>
      <w:r>
        <w:rPr>
          <w:rFonts w:ascii="SimSun" w:eastAsia="SimSun" w:hAnsi="SimSun" w:cs="SimSun"/>
          <w:color w:val="000000"/>
          <w:spacing w:val="0"/>
          <w:w w:val="100"/>
          <w:position w:val="0"/>
        </w:rPr>
        <w:t>元。</w:t>
      </w:r>
    </w:p>
    <w:p>
      <w:pPr>
        <w:pStyle w:val="Style31"/>
        <w:keepNext/>
        <w:keepLines/>
        <w:widowControl w:val="0"/>
        <w:shd w:val="clear" w:color="auto" w:fill="auto"/>
        <w:bidi w:val="0"/>
        <w:spacing w:before="0" w:after="360" w:line="240" w:lineRule="auto"/>
        <w:ind w:left="0" w:right="0" w:firstLine="0"/>
        <w:jc w:val="both"/>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1</w:t>
      </w:r>
      <w:bookmarkEnd w:id="1078"/>
      <w:r>
        <w:rPr>
          <w:rFonts w:ascii="Times New Roman" w:eastAsia="Times New Roman" w:hAnsi="Times New Roman" w:cs="Times New Roman"/>
          <w:color w:val="000000"/>
          <w:spacing w:val="0"/>
          <w:w w:val="100"/>
          <w:position w:val="0"/>
        </w:rPr>
        <w:t>1</w:t>
      </w:r>
      <w:r>
        <w:rPr>
          <w:color w:val="000000"/>
          <w:spacing w:val="0"/>
          <w:w w:val="100"/>
          <w:position w:val="0"/>
        </w:rPr>
        <w:t>、其他流动资产</w:t>
      </w:r>
      <w:bookmarkEnd w:id="1076"/>
      <w:bookmarkEnd w:id="1077"/>
      <w:bookmarkEnd w:id="107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2,194,821.06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4,258,390.24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643,107.23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26,545,805.28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39,144,870.67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28,740,626.34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44,046,368.14</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rFonts w:ascii="Times New Roman" w:eastAsia="Times New Roman" w:hAnsi="Times New Roman" w:cs="Times New Roman"/>
          <w:color w:val="000000"/>
          <w:spacing w:val="0"/>
          <w:w w:val="100"/>
          <w:position w:val="0"/>
        </w:rPr>
        <w:t>2</w:t>
      </w:r>
      <w:r>
        <w:rPr>
          <w:color w:val="000000"/>
          <w:spacing w:val="0"/>
          <w:w w:val="100"/>
          <w:position w:val="0"/>
        </w:rPr>
        <w:t>、债权投资</w:t>
      </w:r>
      <w:bookmarkEnd w:id="1080"/>
      <w:bookmarkEnd w:id="1081"/>
      <w:bookmarkEnd w:id="1083"/>
    </w:p>
    <w:p>
      <w:pPr>
        <w:pStyle w:val="Style40"/>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197,980,200.00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197,980,200.00</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重要的债权投资</w:t>
      </w:r>
    </w:p>
    <w:p>
      <w:pPr>
        <w:pStyle w:val="Style40"/>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到期日</w:t>
            </w:r>
          </w:p>
        </w:tc>
      </w:tr>
    </w:tbl>
    <w:p>
      <w:pPr>
        <w:widowControl w:val="0"/>
        <w:spacing w:line="1" w:lineRule="exact"/>
      </w:pPr>
      <w:r>
        <w:br w:type="page"/>
      </w:r>
    </w:p>
    <w:tbl>
      <w:tblPr>
        <w:tblOverlap w:val="never"/>
        <w:jc w:val="center"/>
        <w:tblLayout w:type="fixed"/>
      </w:tblPr>
      <w:tblGrid>
        <w:gridCol w:w="1925"/>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华鑫信托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睿科</w:t>
            </w:r>
            <w:r>
              <w:rPr>
                <w:rFonts w:ascii="Times New Roman" w:eastAsia="Times New Roman" w:hAnsi="Times New Roman" w:cs="Times New Roman"/>
                <w:color w:val="000000"/>
                <w:spacing w:val="0"/>
                <w:w w:val="100"/>
                <w:position w:val="0"/>
                <w:sz w:val="18"/>
                <w:szCs w:val="18"/>
              </w:rPr>
              <w:t>64</w:t>
            </w:r>
            <w:r>
              <w:rPr>
                <w:color w:val="000000"/>
                <w:spacing w:val="0"/>
                <w:w w:val="100"/>
                <w:position w:val="0"/>
                <w:sz w:val="17"/>
                <w:szCs w:val="17"/>
              </w:rPr>
              <w:t>号单 一资金信托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华鑫信托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睿科</w:t>
            </w:r>
            <w:r>
              <w:rPr>
                <w:rFonts w:ascii="Times New Roman" w:eastAsia="Times New Roman" w:hAnsi="Times New Roman" w:cs="Times New Roman"/>
                <w:color w:val="000000"/>
                <w:spacing w:val="0"/>
                <w:w w:val="100"/>
                <w:position w:val="0"/>
                <w:sz w:val="18"/>
                <w:szCs w:val="18"/>
              </w:rPr>
              <w:t>123</w:t>
            </w:r>
            <w:r>
              <w:rPr>
                <w:color w:val="000000"/>
                <w:spacing w:val="0"/>
                <w:w w:val="100"/>
                <w:position w:val="0"/>
                <w:sz w:val="17"/>
                <w:szCs w:val="17"/>
              </w:rPr>
              <w:t>号单 一资金信托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rPr>
          <w:sz w:val="19"/>
          <w:szCs w:val="19"/>
        </w:rPr>
      </w:pPr>
      <w:r>
        <w:rPr>
          <w:color w:val="000000"/>
          <w:spacing w:val="0"/>
          <w:w w:val="100"/>
          <w:position w:val="0"/>
          <w:sz w:val="19"/>
          <w:szCs w:val="19"/>
        </w:rPr>
        <w:t>减值准备计提情况</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1,999,800.00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1,999,800.00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1,300,400.00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1,300,400.00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-699,400.00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rPr>
          <w:sz w:val="19"/>
          <w:szCs w:val="19"/>
        </w:rPr>
      </w:pPr>
      <w:r>
        <w:rPr>
          <w:color w:val="000000"/>
          <w:spacing w:val="0"/>
          <w:w w:val="100"/>
          <w:position w:val="0"/>
          <w:sz w:val="19"/>
          <w:szCs w:val="19"/>
        </w:rPr>
        <w:t>损失准备本期变动金额重大的账面余额变动情况</w:t>
      </w:r>
    </w:p>
    <w:p>
      <w:pPr>
        <w:pStyle w:val="Style25"/>
        <w:keepNext w:val="0"/>
        <w:keepLines w:val="0"/>
        <w:widowControl w:val="0"/>
        <w:shd w:val="clear" w:color="auto" w:fill="auto"/>
        <w:bidi w:val="0"/>
        <w:spacing w:before="0" w:after="36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31"/>
        <w:keepNext/>
        <w:keepLines/>
        <w:widowControl w:val="0"/>
        <w:shd w:val="clear" w:color="auto" w:fill="auto"/>
        <w:bidi w:val="0"/>
        <w:spacing w:before="0" w:after="360" w:line="240" w:lineRule="auto"/>
        <w:ind w:left="0" w:right="0" w:firstLine="0"/>
        <w:jc w:val="both"/>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1</w:t>
      </w:r>
      <w:bookmarkEnd w:id="1086"/>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1084"/>
      <w:bookmarkEnd w:id="1085"/>
      <w:bookmarkEnd w:id="1087"/>
    </w:p>
    <w:p>
      <w:pPr>
        <w:pStyle w:val="Style40"/>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中科环嘉 电子商务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1,622,761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1,597,006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北京中关 村互联网 金融信息 服务中心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2,736,079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125,094.3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2,861,174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安粮期货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273,798,2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12,926,97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2,174,092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288,899,2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92.65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深圳市金 方达信息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1,637,676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-1,006,99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630,680.8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陕西金财 云商电子 商务有限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65,398.90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大连金融 资产交易 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93,465,49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2,886,486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96,351,98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上海惬昶 信息科技 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146,993,0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00.10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深圳市金 源兴信息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245,002,9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373,325,6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14,901,59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2,174,092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782,336,0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61.12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373,325,6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14,901,59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2,174,092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782,336,0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1</w:t>
      </w:r>
      <w:bookmarkEnd w:id="1090"/>
      <w:r>
        <w:rPr>
          <w:rFonts w:ascii="Times New Roman" w:eastAsia="Times New Roman" w:hAnsi="Times New Roman" w:cs="Times New Roman"/>
          <w:color w:val="000000"/>
          <w:spacing w:val="0"/>
          <w:w w:val="100"/>
          <w:position w:val="0"/>
        </w:rPr>
        <w:t>4</w:t>
      </w:r>
      <w:r>
        <w:rPr>
          <w:color w:val="000000"/>
          <w:spacing w:val="0"/>
          <w:w w:val="100"/>
          <w:position w:val="0"/>
        </w:rPr>
        <w:t>、其他非流动金融资产</w:t>
      </w:r>
      <w:bookmarkEnd w:id="1088"/>
      <w:bookmarkEnd w:id="1089"/>
      <w:bookmarkEnd w:id="109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15,810,830.00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13,448,400.00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15,810,830.00</w:t>
            </w:r>
          </w:p>
        </w:tc>
      </w:tr>
    </w:tbl>
    <w:p>
      <w:pPr>
        <w:widowControl w:val="0"/>
        <w:spacing w:after="79" w:line="1" w:lineRule="exact"/>
      </w:pPr>
    </w:p>
    <w:p>
      <w:pPr>
        <w:pStyle w:val="Style25"/>
        <w:keepNext w:val="0"/>
        <w:keepLines w:val="0"/>
        <w:widowControl w:val="0"/>
        <w:shd w:val="clear" w:color="auto" w:fill="auto"/>
        <w:bidi w:val="0"/>
        <w:spacing w:before="0" w:after="200" w:line="240" w:lineRule="auto"/>
        <w:ind w:left="0" w:right="0" w:firstLine="0"/>
        <w:jc w:val="left"/>
        <w:rPr>
          <w:sz w:val="19"/>
          <w:szCs w:val="19"/>
        </w:rPr>
      </w:pPr>
      <w:r>
        <w:rPr>
          <w:color w:val="000000"/>
          <w:spacing w:val="0"/>
          <w:w w:val="100"/>
          <w:position w:val="0"/>
          <w:sz w:val="19"/>
          <w:szCs w:val="19"/>
        </w:rPr>
        <w:t>其他说明:</w:t>
      </w:r>
    </w:p>
    <w:p>
      <w:pPr>
        <w:pStyle w:val="Style25"/>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以公允价值计量且其变动计入当期损益的金融资产</w:t>
      </w:r>
      <w:r>
        <w:rPr>
          <w:rFonts w:ascii="Times New Roman" w:eastAsia="Times New Roman" w:hAnsi="Times New Roman" w:cs="Times New Roman"/>
          <w:color w:val="000000"/>
          <w:spacing w:val="0"/>
          <w:w w:val="100"/>
          <w:position w:val="0"/>
        </w:rPr>
        <w:t>13,448,400.00</w:t>
      </w:r>
      <w:r>
        <w:rPr>
          <w:color w:val="000000"/>
          <w:spacing w:val="0"/>
          <w:w w:val="100"/>
          <w:position w:val="0"/>
        </w:rPr>
        <w:t>元系公司投资佛山南海新华村镇银行</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股份有限公司</w:t>
      </w:r>
      <w:r>
        <w:rPr>
          <w:rFonts w:ascii="Times New Roman" w:eastAsia="Times New Roman" w:hAnsi="Times New Roman" w:cs="Times New Roman"/>
          <w:color w:val="000000"/>
          <w:spacing w:val="0"/>
          <w:w w:val="100"/>
          <w:position w:val="0"/>
        </w:rPr>
        <w:t>4,900,000.00</w:t>
      </w:r>
      <w:r>
        <w:rPr>
          <w:color w:val="000000"/>
          <w:spacing w:val="0"/>
          <w:w w:val="100"/>
          <w:position w:val="0"/>
        </w:rPr>
        <w:t>元、大连鼎金企业管理中心（有限合伙）</w:t>
      </w:r>
      <w:r>
        <w:rPr>
          <w:rFonts w:ascii="Times New Roman" w:eastAsia="Times New Roman" w:hAnsi="Times New Roman" w:cs="Times New Roman"/>
          <w:color w:val="000000"/>
          <w:spacing w:val="0"/>
          <w:w w:val="100"/>
          <w:position w:val="0"/>
        </w:rPr>
        <w:t>8,548,400.00</w:t>
      </w:r>
      <w:r>
        <w:rPr>
          <w:color w:val="000000"/>
          <w:spacing w:val="0"/>
          <w:w w:val="100"/>
          <w:position w:val="0"/>
        </w:rPr>
        <w:t>元。</w:t>
      </w:r>
      <w:r>
        <w:br w:type="page"/>
      </w:r>
    </w:p>
    <w:p>
      <w:pPr>
        <w:pStyle w:val="Style31"/>
        <w:keepNext/>
        <w:keepLines/>
        <w:widowControl w:val="0"/>
        <w:shd w:val="clear" w:color="auto" w:fill="auto"/>
        <w:bidi w:val="0"/>
        <w:spacing w:before="0" w:after="38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1</w:t>
      </w:r>
      <w:bookmarkEnd w:id="1094"/>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092"/>
      <w:bookmarkEnd w:id="1093"/>
      <w:bookmarkEnd w:id="109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17,035,213.60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21,481,744.79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17,035,213.60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21,481,744.79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96"/>
      <w:bookmarkEnd w:id="1097"/>
      <w:bookmarkEnd w:id="1098"/>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电子设备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13,220,484.94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57,141,071.20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15,002,073.26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50,764,042.83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136,127,672.23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993,246.83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993,246.83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993,246.83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993,246.83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318,589.73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405,863.00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32,851,232.72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33,575,685.45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318,589.73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405,863.00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32,851,232.72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33,575,685.45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13,220,484.94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56,822,481.47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14,596,210.26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18,906,056.94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103,545,233.61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1,109,520.90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56,589,217.75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10,947,362.11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45,999,826.68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114,645,927.40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480,023.88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418,965.21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1,349,349.13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677,658.57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2,925,996.79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480,023.88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418,965.21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1,349,349.13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677,658.57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2,925,996.79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318,589.73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385,569.85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30,646,683.18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31,350,842.76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318,589.73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385,569.85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30,646,683.18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31,350,842.76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1,589,544.78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56,689,593.23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11,911,141.39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16,030,802.07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86,221,081.47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288,938.54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288,938.54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288,938.54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288,938.54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288,938.54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288,938.54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11,342,001.62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132,888.24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2,685,068.87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2,875,254.87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17,035,213.60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12,110,964.04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551,853.45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4,054,711.15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4,764,216.15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21,481,744.79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1</w:t>
      </w:r>
      <w:bookmarkEnd w:id="1101"/>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099"/>
      <w:bookmarkEnd w:id="1100"/>
      <w:bookmarkEnd w:id="1102"/>
    </w:p>
    <w:p>
      <w:pPr>
        <w:pStyle w:val="Style37"/>
        <w:keepNext/>
        <w:keepLines/>
        <w:widowControl w:val="0"/>
        <w:shd w:val="clear" w:color="auto" w:fill="auto"/>
        <w:bidi w:val="0"/>
        <w:spacing w:before="0" w:after="380" w:line="240" w:lineRule="auto"/>
        <w:ind w:left="0" w:right="0" w:firstLine="0"/>
        <w:jc w:val="left"/>
      </w:pPr>
      <w:bookmarkStart w:id="1103" w:name="bookmark1103"/>
      <w:bookmarkStart w:id="1104" w:name="bookmark1104"/>
      <w:bookmarkStart w:id="1105" w:name="bookmark11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03"/>
      <w:bookmarkEnd w:id="1104"/>
      <w:bookmarkEnd w:id="110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203,770,152.45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203,770,152.45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129,800.89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129,800.89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129,800.89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129,800.89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54,193,242.01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54,193,242.01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54,193,242.01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54,193,242.01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149,706,711.33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149,706,711.33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111,229,063.36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111,229,063.36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30,053,278.62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30,053,278.62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30,053,278.62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30,053,278.62</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54,177,755.28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54,177,755.28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54,177,755.28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54,177,755.28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87,104,586.70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87,104,586.70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62,602,124.63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62,602,124.63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92,541,089.09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92,541,089.09</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rPr>
          <w:sz w:val="19"/>
          <w:szCs w:val="19"/>
        </w:rPr>
      </w:pPr>
      <w:r>
        <w:rPr>
          <w:color w:val="000000"/>
          <w:spacing w:val="0"/>
          <w:w w:val="100"/>
          <w:position w:val="0"/>
          <w:sz w:val="19"/>
          <w:szCs w:val="19"/>
        </w:rPr>
        <w:t>本期末通过公司内部研发形成的无形资产占无形资产余额的比例</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19"/>
          <w:szCs w:val="19"/>
        </w:rPr>
        <w:t>。</w:t>
      </w:r>
    </w:p>
    <w:p>
      <w:pPr>
        <w:pStyle w:val="Style31"/>
        <w:keepNext/>
        <w:keepLines/>
        <w:widowControl w:val="0"/>
        <w:shd w:val="clear" w:color="auto" w:fill="auto"/>
        <w:bidi w:val="0"/>
        <w:spacing w:before="0" w:after="380" w:line="240" w:lineRule="auto"/>
        <w:ind w:left="0" w:right="0" w:firstLine="0"/>
        <w:jc w:val="left"/>
      </w:pPr>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17</w:t>
      </w:r>
      <w:r>
        <w:rPr>
          <w:color w:val="000000"/>
          <w:spacing w:val="0"/>
          <w:w w:val="100"/>
          <w:position w:val="0"/>
        </w:rPr>
        <w:t>、商誉</w:t>
      </w:r>
      <w:bookmarkEnd w:id="1106"/>
      <w:bookmarkEnd w:id="1107"/>
      <w:bookmarkEnd w:id="1108"/>
    </w:p>
    <w:p>
      <w:pPr>
        <w:pStyle w:val="Style37"/>
        <w:keepNext/>
        <w:keepLines/>
        <w:widowControl w:val="0"/>
        <w:shd w:val="clear" w:color="auto" w:fill="auto"/>
        <w:bidi w:val="0"/>
        <w:spacing w:before="0" w:after="380" w:line="240" w:lineRule="auto"/>
        <w:ind w:left="0" w:right="0" w:firstLine="0"/>
        <w:jc w:val="left"/>
      </w:pPr>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09"/>
      <w:bookmarkEnd w:id="1110"/>
      <w:bookmarkEnd w:id="111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天津中科金财科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624,031,391.94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624,031,391.94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深圳中金财富科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4,278,710.43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4,278,710.43</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华缔资产管理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120,690.97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120,690.97</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北京志东方科技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193,578,999.56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193,578,999.56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822,009,792.90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822,009,792.90</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bookmarkStart w:id="1112" w:name="bookmark111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bookmarkEnd w:id="1112"/>
    </w:p>
    <w:p>
      <w:pPr>
        <w:widowControl w:val="0"/>
        <w:spacing w:after="33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天津中科金财科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624,031,391.94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624,031,391.94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深圳中金财富科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4,278,710.43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4,278,710.43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华缔资产管理</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120,690.97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120,690.97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北京志东方科技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628,430,793.34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628,430,793.34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5"/>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上述公司商誉减值测试的资产组的构成为形成商誉的资产组涉及的资产，组成资产组的资产包括固定 资产、无形资产等。</w:t>
      </w:r>
    </w:p>
    <w:p>
      <w:pPr>
        <w:pStyle w:val="Style25"/>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说明商誉减值测试过程、关键参数（如预计未来现金流量现值时的预测期增长率、稳定期增长率、利润率、折 现率、预测期等）及商誉减值损失的确认方法：</w:t>
      </w:r>
    </w:p>
    <w:p>
      <w:pPr>
        <w:pStyle w:val="Style2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包含商誉的资产组可收回金额按照预计未来现金流量的现值计算，其预计现金流量根据公司批准的</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年期现金流量预测为基础，公司根据历史实际经营数据、行业发展趋势、预期收入增长率、毛利率等指标 编制预测未来</w:t>
      </w:r>
      <w:r>
        <w:rPr>
          <w:rFonts w:ascii="Times New Roman" w:eastAsia="Times New Roman" w:hAnsi="Times New Roman" w:cs="Times New Roman"/>
          <w:color w:val="000000"/>
          <w:spacing w:val="0"/>
          <w:w w:val="100"/>
          <w:position w:val="0"/>
        </w:rPr>
        <w:t>5</w:t>
      </w:r>
      <w:r>
        <w:rPr>
          <w:color w:val="000000"/>
          <w:spacing w:val="0"/>
          <w:w w:val="100"/>
          <w:position w:val="0"/>
        </w:rPr>
        <w:t>年现金流量，预测期以后的现金流量维持不变。</w:t>
      </w:r>
    </w:p>
    <w:p>
      <w:pPr>
        <w:pStyle w:val="Style25"/>
        <w:keepNext w:val="0"/>
        <w:keepLines w:val="0"/>
        <w:widowControl w:val="0"/>
        <w:shd w:val="clear" w:color="auto" w:fill="auto"/>
        <w:bidi w:val="0"/>
        <w:spacing w:before="0" w:after="180" w:line="468" w:lineRule="exact"/>
        <w:ind w:left="0" w:right="0" w:firstLine="440"/>
        <w:jc w:val="left"/>
      </w:pPr>
      <w:r>
        <w:rPr>
          <w:color w:val="000000"/>
          <w:spacing w:val="0"/>
          <w:w w:val="100"/>
          <w:position w:val="0"/>
        </w:rPr>
        <w:t>减值测试中采用的其他关键数据包括：产品预计售价、成本及其他相关费用。公司根据历史经验及对 市场发展的预测确定上述关键数据。公司采用合理的折现率作为计算未来现金流量现值的税前折现率，采 用的折现率已考虑了公司的资本成本、市场预期报酬率等因素，反映了各资产组的特定风险。</w:t>
      </w:r>
    </w:p>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商誉减值测试的影响</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经测试后</w:t>
      </w:r>
      <w:r>
        <w:rPr>
          <w:rFonts w:ascii="Times New Roman" w:eastAsia="Times New Roman" w:hAnsi="Times New Roman" w:cs="Times New Roman"/>
          <w:color w:val="000000"/>
          <w:spacing w:val="0"/>
          <w:w w:val="100"/>
          <w:position w:val="0"/>
        </w:rPr>
        <w:t>2020</w:t>
      </w:r>
      <w:r>
        <w:rPr>
          <w:color w:val="000000"/>
          <w:spacing w:val="0"/>
          <w:w w:val="100"/>
          <w:position w:val="0"/>
        </w:rPr>
        <w:t>年度对北京志东方科技有限责任公司无需计提商誉减值准备。</w:t>
      </w:r>
    </w:p>
    <w:p>
      <w:pPr>
        <w:pStyle w:val="Style25"/>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北京志东方科技有限责任公司系公司</w:t>
      </w:r>
      <w:r>
        <w:rPr>
          <w:rFonts w:ascii="Times New Roman" w:eastAsia="Times New Roman" w:hAnsi="Times New Roman" w:cs="Times New Roman"/>
          <w:color w:val="000000"/>
          <w:spacing w:val="0"/>
          <w:w w:val="100"/>
          <w:position w:val="0"/>
        </w:rPr>
        <w:t>2019</w:t>
      </w:r>
      <w:r>
        <w:rPr>
          <w:color w:val="000000"/>
          <w:spacing w:val="0"/>
          <w:w w:val="100"/>
          <w:position w:val="0"/>
        </w:rPr>
        <w:t>年新纳入合并范围的子公司，确认商誉</w:t>
      </w:r>
      <w:r>
        <w:rPr>
          <w:rFonts w:ascii="Times New Roman" w:eastAsia="Times New Roman" w:hAnsi="Times New Roman" w:cs="Times New Roman"/>
          <w:color w:val="000000"/>
          <w:spacing w:val="0"/>
          <w:w w:val="100"/>
          <w:position w:val="0"/>
        </w:rPr>
        <w:t>193,578,999.56</w:t>
      </w:r>
      <w:r>
        <w:rPr>
          <w:color w:val="000000"/>
          <w:spacing w:val="0"/>
          <w:w w:val="100"/>
          <w:position w:val="0"/>
        </w:rPr>
        <w:t>元，其 原股东承诺</w:t>
      </w:r>
      <w:r>
        <w:rPr>
          <w:rFonts w:ascii="Times New Roman" w:eastAsia="Times New Roman" w:hAnsi="Times New Roman" w:cs="Times New Roman"/>
          <w:color w:val="000000"/>
          <w:spacing w:val="0"/>
          <w:w w:val="100"/>
          <w:position w:val="0"/>
        </w:rPr>
        <w:t>2020</w:t>
      </w:r>
      <w:r>
        <w:rPr>
          <w:color w:val="000000"/>
          <w:spacing w:val="0"/>
          <w:w w:val="100"/>
          <w:position w:val="0"/>
        </w:rPr>
        <w:t>年扣除非经常性损益后实现</w:t>
      </w:r>
      <w:r>
        <w:rPr>
          <w:rFonts w:ascii="Times New Roman" w:eastAsia="Times New Roman" w:hAnsi="Times New Roman" w:cs="Times New Roman"/>
          <w:color w:val="000000"/>
          <w:spacing w:val="0"/>
          <w:w w:val="100"/>
          <w:position w:val="0"/>
        </w:rPr>
        <w:t>2,200</w:t>
      </w:r>
      <w:r>
        <w:rPr>
          <w:color w:val="000000"/>
          <w:spacing w:val="0"/>
          <w:w w:val="100"/>
          <w:position w:val="0"/>
        </w:rPr>
        <w:t>万元，北京志东方科技有限责任公司扣除非经常性损益后</w:t>
      </w:r>
      <w:r>
        <w:br w:type="page"/>
      </w:r>
    </w:p>
    <w:p>
      <w:pPr>
        <w:pStyle w:val="Style25"/>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年实际实现净利润</w:t>
      </w:r>
      <w:r>
        <w:rPr>
          <w:rFonts w:ascii="Times New Roman" w:eastAsia="Times New Roman" w:hAnsi="Times New Roman" w:cs="Times New Roman"/>
          <w:color w:val="000000"/>
          <w:spacing w:val="0"/>
          <w:w w:val="100"/>
          <w:position w:val="0"/>
        </w:rPr>
        <w:t>2,261.10</w:t>
      </w:r>
      <w:r>
        <w:rPr>
          <w:color w:val="000000"/>
          <w:spacing w:val="0"/>
          <w:w w:val="100"/>
          <w:position w:val="0"/>
        </w:rPr>
        <w:t>万元。</w:t>
      </w:r>
    </w:p>
    <w:p>
      <w:pPr>
        <w:pStyle w:val="Style31"/>
        <w:keepNext/>
        <w:keepLines/>
        <w:widowControl w:val="0"/>
        <w:shd w:val="clear" w:color="auto" w:fill="auto"/>
        <w:bidi w:val="0"/>
        <w:spacing w:before="0" w:after="38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w:t>
      </w:r>
      <w:bookmarkEnd w:id="1115"/>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113"/>
      <w:bookmarkEnd w:id="1114"/>
      <w:bookmarkEnd w:id="111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经营租入固定资产 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76,281.13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3,770,959.19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469,110.91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3,378,129.41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76,281.13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3,770,959.19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469,110.91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3,378,129.41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1</w:t>
      </w:r>
      <w:bookmarkEnd w:id="1119"/>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17"/>
      <w:bookmarkEnd w:id="1118"/>
      <w:bookmarkEnd w:id="1120"/>
    </w:p>
    <w:p>
      <w:pPr>
        <w:pStyle w:val="Style37"/>
        <w:keepNext/>
        <w:keepLines/>
        <w:widowControl w:val="0"/>
        <w:shd w:val="clear" w:color="auto" w:fill="auto"/>
        <w:bidi w:val="0"/>
        <w:spacing w:before="0" w:after="380" w:line="240" w:lineRule="auto"/>
        <w:ind w:left="0" w:right="0" w:firstLine="0"/>
        <w:jc w:val="left"/>
      </w:pPr>
      <w:bookmarkStart w:id="1121" w:name="bookmark1121"/>
      <w:bookmarkStart w:id="1122" w:name="bookmark1122"/>
      <w:bookmarkStart w:id="1123" w:name="bookmark11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21"/>
      <w:bookmarkEnd w:id="1122"/>
      <w:bookmarkEnd w:id="1123"/>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75,201,557.80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13,510,099.87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84,183,584.64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13,782,192.88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83,623,642.38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12,548,718.79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86,127,700.40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12,921,132.93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158,825,200.18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26,058,818.66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170,311,285.04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26,703,325.81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24"/>
      <w:bookmarkEnd w:id="1125"/>
      <w:bookmarkEnd w:id="1126"/>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7,013,241.56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1,051,986.23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8,697,683.24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1,304,652.49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760,054.51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2,245,168.51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351,453.80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7,773,296.07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1,203,699.87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10,942,851.75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1,656,106.29</w:t>
            </w:r>
          </w:p>
        </w:tc>
      </w:tr>
    </w:tbl>
    <w:p>
      <w:pPr>
        <w:widowControl w:val="0"/>
        <w:spacing w:after="319" w:line="1" w:lineRule="exact"/>
      </w:pPr>
    </w:p>
    <w:p>
      <w:pPr>
        <w:pStyle w:val="Style37"/>
        <w:keepNext/>
        <w:keepLines/>
        <w:widowControl w:val="0"/>
        <w:numPr>
          <w:ilvl w:val="0"/>
          <w:numId w:val="45"/>
        </w:numPr>
        <w:shd w:val="clear" w:color="auto" w:fill="auto"/>
        <w:bidi w:val="0"/>
        <w:spacing w:before="0" w:after="380" w:line="240" w:lineRule="auto"/>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以抵销后净额列示的递延所得税资产或负债</w:t>
      </w:r>
      <w:bookmarkEnd w:id="1127"/>
      <w:bookmarkEnd w:id="1128"/>
      <w:bookmarkEnd w:id="1130"/>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26,058,818.66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26,058,818.66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170,311,285.04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26,703,325.81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1,099,254.30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1,203,699.87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10,942,851.75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1,656,106.29</w:t>
            </w:r>
          </w:p>
        </w:tc>
      </w:tr>
    </w:tbl>
    <w:p>
      <w:pPr>
        <w:spacing w:lineRule="exact" w:line="1"/>
        <w:rPr>
          <w:sz w:val="2"/>
          <w:szCs w:val="2"/>
        </w:rPr>
      </w:pPr>
      <w:r>
        <w:br w:type="page"/>
      </w:r>
    </w:p>
    <w:p>
      <w:pPr>
        <w:pStyle w:val="Style37"/>
        <w:keepNext/>
        <w:keepLines/>
        <w:widowControl w:val="0"/>
        <w:numPr>
          <w:ilvl w:val="0"/>
          <w:numId w:val="47"/>
        </w:numPr>
        <w:shd w:val="clear" w:color="auto" w:fill="auto"/>
        <w:bidi w:val="0"/>
        <w:spacing w:before="0" w:after="38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未确认递延所得税资产明细</w:t>
      </w:r>
      <w:bookmarkEnd w:id="1131"/>
      <w:bookmarkEnd w:id="1132"/>
      <w:bookmarkEnd w:id="113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31,139,015.51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37,866,230.44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143,307,237.78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103,301,101.12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174,446,253.29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141,167,331.56</w:t>
            </w:r>
          </w:p>
        </w:tc>
      </w:tr>
    </w:tbl>
    <w:p>
      <w:pPr>
        <w:widowControl w:val="0"/>
        <w:spacing w:after="319" w:line="1" w:lineRule="exact"/>
      </w:pPr>
    </w:p>
    <w:p>
      <w:pPr>
        <w:pStyle w:val="Style37"/>
        <w:keepNext/>
        <w:keepLines/>
        <w:widowControl w:val="0"/>
        <w:numPr>
          <w:ilvl w:val="0"/>
          <w:numId w:val="47"/>
        </w:numPr>
        <w:shd w:val="clear" w:color="auto" w:fill="auto"/>
        <w:bidi w:val="0"/>
        <w:spacing w:before="0" w:after="38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未确认递延所得税资产的可抵扣亏损将于以下年度到期</w:t>
      </w:r>
      <w:bookmarkEnd w:id="1135"/>
      <w:bookmarkEnd w:id="1136"/>
      <w:bookmarkEnd w:id="113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261,213.70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224,691.50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1,335,966.30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11,408,000.92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31,657,946.83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12,278,252.44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13,110,434.02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32,079,533.26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36,098,903.36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56,710,848.77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高新技术企业未弥补亏损可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在未来</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年内弥补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50,106,581.50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143,307,237.78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103,301,101.12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2</w:t>
      </w:r>
      <w:bookmarkEnd w:id="1141"/>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139"/>
      <w:bookmarkEnd w:id="1140"/>
      <w:bookmarkEnd w:id="114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将于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年以后到期的履约保证金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16,861,166.2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2,992,424.76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13,868,741.5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19,995,967.4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3,574,329.26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16,421,638.1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43,946,309.6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43,946,309.6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未到期质保金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11,203,115.1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1,353,269.83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9,849,845.35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5,317,479.61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785,970.33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4,531,509.28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72,010,591.1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4,345,694.59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67,664,896.5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25,313,447.0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4,360,299.59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20,953,147.4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31"/>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2</w:t>
      </w:r>
      <w:bookmarkEnd w:id="1145"/>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143"/>
      <w:bookmarkEnd w:id="1144"/>
      <w:bookmarkEnd w:id="1146"/>
    </w:p>
    <w:p>
      <w:pPr>
        <w:pStyle w:val="Style37"/>
        <w:keepNext/>
        <w:keepLines/>
        <w:widowControl w:val="0"/>
        <w:shd w:val="clear" w:color="auto" w:fill="auto"/>
        <w:bidi w:val="0"/>
        <w:spacing w:before="0" w:after="380" w:line="240" w:lineRule="auto"/>
        <w:ind w:left="0" w:right="0" w:firstLine="140"/>
        <w:jc w:val="left"/>
      </w:pPr>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47"/>
      <w:bookmarkEnd w:id="1148"/>
      <w:bookmarkEnd w:id="114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126,157,746.00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126,157,746.00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短期借款分类的说明:</w:t>
      </w:r>
    </w:p>
    <w:p>
      <w:pPr>
        <w:pStyle w:val="Style25"/>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本公司实际控制人朱烨东、沈飒以及子公司天津中科金财科技有限公司同北京银行中关村科技园支行 签订《最高额保证合同》，为公司借款提供保证担保；本公司实际控制人朱烨东、沈飒同厦门国际银行股 份有限公司北京分行签订《保证合同》，为公司借款提供保证担保；本公司实际控制人朱烨东、沈飒同华 夏银行股份有限公司北京中轴路支行签订《个人最高额保证合同》，为公司借款提供保证担保；截至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日，公司累计保证借款金额合计为</w:t>
      </w:r>
      <w:r>
        <w:rPr>
          <w:rFonts w:ascii="Times New Roman" w:eastAsia="Times New Roman" w:hAnsi="Times New Roman" w:cs="Times New Roman"/>
          <w:color w:val="000000"/>
          <w:spacing w:val="0"/>
          <w:w w:val="100"/>
          <w:position w:val="0"/>
        </w:rPr>
        <w:t>40,000,000.00</w:t>
      </w:r>
      <w:r>
        <w:rPr>
          <w:color w:val="000000"/>
          <w:spacing w:val="0"/>
          <w:w w:val="100"/>
          <w:position w:val="0"/>
        </w:rPr>
        <w:t>元。</w:t>
      </w:r>
    </w:p>
    <w:p>
      <w:pPr>
        <w:pStyle w:val="Style31"/>
        <w:keepNext/>
        <w:keepLines/>
        <w:widowControl w:val="0"/>
        <w:shd w:val="clear" w:color="auto" w:fill="auto"/>
        <w:bidi w:val="0"/>
        <w:spacing w:before="0" w:after="140" w:line="48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bookmarkEnd w:id="1152"/>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150"/>
      <w:bookmarkEnd w:id="1151"/>
      <w:bookmarkEnd w:id="115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rPr>
          <w:sz w:val="19"/>
          <w:szCs w:val="19"/>
        </w:rPr>
      </w:pPr>
      <w:r>
        <w:rPr>
          <w:color w:val="000000"/>
          <w:spacing w:val="0"/>
          <w:w w:val="100"/>
          <w:position w:val="0"/>
          <w:sz w:val="19"/>
          <w:szCs w:val="19"/>
        </w:rPr>
        <w:t>本期末已到期未支付的应付票据总额为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19"/>
          <w:szCs w:val="19"/>
        </w:rPr>
        <w:t>元。</w:t>
      </w:r>
    </w:p>
    <w:p>
      <w:pPr>
        <w:pStyle w:val="Style31"/>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bookmarkEnd w:id="1156"/>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154"/>
      <w:bookmarkEnd w:id="1155"/>
      <w:bookmarkEnd w:id="1157"/>
    </w:p>
    <w:p>
      <w:pPr>
        <w:pStyle w:val="Style37"/>
        <w:keepNext/>
        <w:keepLines/>
        <w:widowControl w:val="0"/>
        <w:shd w:val="clear" w:color="auto" w:fill="auto"/>
        <w:bidi w:val="0"/>
        <w:spacing w:before="0" w:after="380" w:line="240" w:lineRule="auto"/>
        <w:ind w:left="0" w:right="0" w:firstLine="140"/>
        <w:jc w:val="left"/>
      </w:pPr>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58"/>
      <w:bookmarkEnd w:id="1159"/>
      <w:bookmarkEnd w:id="116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317,294,012.51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309,774,925.53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63,438,522.90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24,042,911.92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10,581,798.49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13,522,471.16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17,098,916.23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11,155,241.13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408,413,250.13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358,495,549.74</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140"/>
        <w:jc w:val="left"/>
      </w:pPr>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61"/>
      <w:bookmarkEnd w:id="1162"/>
      <w:bookmarkEnd w:id="116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6,090,437.11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项目未完成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5,650,855.66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项目未完成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3,500,174.66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项目未完成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3,479,684.80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项目未完成</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3,454,670.66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项目未完成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22,175,822.89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2</w:t>
      </w:r>
      <w:bookmarkEnd w:id="1166"/>
      <w:r>
        <w:rPr>
          <w:rFonts w:ascii="Times New Roman" w:eastAsia="Times New Roman" w:hAnsi="Times New Roman" w:cs="Times New Roman"/>
          <w:color w:val="000000"/>
          <w:spacing w:val="0"/>
          <w:w w:val="100"/>
          <w:position w:val="0"/>
        </w:rPr>
        <w:t>4</w:t>
      </w:r>
      <w:r>
        <w:rPr>
          <w:color w:val="000000"/>
          <w:spacing w:val="0"/>
          <w:w w:val="100"/>
          <w:position w:val="0"/>
        </w:rPr>
        <w:t>、合同负债</w:t>
      </w:r>
      <w:bookmarkEnd w:id="1164"/>
      <w:bookmarkEnd w:id="1165"/>
      <w:bookmarkEnd w:id="116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389,183,581.91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316,735,118.96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389,183,581.91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316,735,118.96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bookmarkEnd w:id="1170"/>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168"/>
      <w:bookmarkEnd w:id="1169"/>
      <w:bookmarkEnd w:id="1171"/>
    </w:p>
    <w:p>
      <w:pPr>
        <w:pStyle w:val="Style37"/>
        <w:keepNext/>
        <w:keepLines/>
        <w:widowControl w:val="0"/>
        <w:shd w:val="clear" w:color="auto" w:fill="auto"/>
        <w:bidi w:val="0"/>
        <w:spacing w:before="0" w:after="380" w:line="240" w:lineRule="auto"/>
        <w:ind w:left="0" w:right="0" w:firstLine="0"/>
        <w:jc w:val="both"/>
      </w:pPr>
      <w:bookmarkStart w:id="1172" w:name="bookmark1172"/>
      <w:bookmarkStart w:id="1173" w:name="bookmark1173"/>
      <w:bookmarkStart w:id="1174" w:name="bookmark11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72"/>
      <w:bookmarkEnd w:id="1173"/>
      <w:bookmarkEnd w:id="1174"/>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17,224,028.86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178,532,451.68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180,714,578.85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15,041,901.69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8,071,567.67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8,107,524.53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870,345.84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870,345.84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17,259,985.72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187,474,365.19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189,692,449.22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15,041,901.69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both"/>
      </w:pPr>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75"/>
      <w:bookmarkEnd w:id="1176"/>
      <w:bookmarkEnd w:id="1177"/>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16,380,928.36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149,471,693.12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151,632,760.38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14,219,861.10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3,925,257.74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3,925,257.74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9,594,012.01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9,602,887.69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20,404.40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26,267.80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8,802,476.18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8,808,339.58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170,373.30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171,283.98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621,162.53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623,264.13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12,110,037.95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12,063,010.40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47,027.55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813,820.42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3,431,450.86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3,490,662.64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754,608.64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17,224,028.86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178,532,451.68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180,714,578.85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15,041,901.69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178"/>
      <w:bookmarkEnd w:id="1179"/>
      <w:bookmarkEnd w:id="1181"/>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34,244.64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7,692,691.72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7,726,936.36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378,875.95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380,588.17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35,956.86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8,071,567.67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8,107,524.53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bookmarkEnd w:id="1184"/>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182"/>
      <w:bookmarkEnd w:id="1183"/>
      <w:bookmarkEnd w:id="118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4,645,777.34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1,455,319.57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4,167,364.56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1,445,743.12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430,617.38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377,959.07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293,516.72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103,814.91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199,535.11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9,750,677.43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3,467,290.32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bookmarkEnd w:id="1188"/>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186"/>
      <w:bookmarkEnd w:id="1187"/>
      <w:bookmarkEnd w:id="1189"/>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10,568,575.81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22,783,207.29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10,568,575.81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22,783,207.29</w:t>
            </w:r>
          </w:p>
        </w:tc>
      </w:tr>
    </w:tbl>
    <w:p>
      <w:pPr>
        <w:spacing w:lineRule="exact" w:line="1"/>
        <w:rPr>
          <w:sz w:val="2"/>
          <w:szCs w:val="2"/>
        </w:rPr>
      </w:pPr>
      <w:r>
        <w:br w:type="page"/>
      </w:r>
    </w:p>
    <w:p>
      <w:pPr>
        <w:pStyle w:val="Style37"/>
        <w:keepNext/>
        <w:keepLines/>
        <w:widowControl w:val="0"/>
        <w:shd w:val="clear" w:color="auto" w:fill="auto"/>
        <w:bidi w:val="0"/>
        <w:spacing w:before="0" w:after="320" w:line="240" w:lineRule="auto"/>
        <w:ind w:left="0" w:right="0" w:firstLine="0"/>
        <w:jc w:val="left"/>
      </w:pPr>
      <w:bookmarkStart w:id="1190" w:name="bookmark1190"/>
      <w:bookmarkStart w:id="1191" w:name="bookmark1191"/>
      <w:bookmarkStart w:id="1192" w:name="bookmark11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190"/>
      <w:bookmarkEnd w:id="1191"/>
      <w:bookmarkEnd w:id="1192"/>
    </w:p>
    <w:p>
      <w:pPr>
        <w:pStyle w:val="Style66"/>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93"/>
      <w:bookmarkEnd w:id="1194"/>
      <w:bookmarkEnd w:id="119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9,348,163.36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16,099,918.18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1,220,412.45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6,683,289.11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10,568,575.81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22,783,207.29</w:t>
            </w:r>
          </w:p>
        </w:tc>
      </w:tr>
    </w:tbl>
    <w:p>
      <w:pPr>
        <w:widowControl w:val="0"/>
        <w:spacing w:after="319" w:line="1" w:lineRule="exact"/>
      </w:pPr>
    </w:p>
    <w:p>
      <w:pPr>
        <w:pStyle w:val="Style66"/>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196"/>
      <w:bookmarkEnd w:id="1197"/>
      <w:bookmarkEnd w:id="119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7,007,595.65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履约期内</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淄博市康华医院管理有限公司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履约期内</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1,537,704.40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履约期内</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浙江省公安厅业务费户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1,149,376.00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履约期内</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981,809.60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履约期内</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12,470,485.65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bookmarkEnd w:id="1201"/>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199"/>
      <w:bookmarkEnd w:id="1200"/>
      <w:bookmarkEnd w:id="120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54,485,675.11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54,485,675.11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w:t>
      </w:r>
      <w:bookmarkEnd w:id="1205"/>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1203"/>
      <w:bookmarkEnd w:id="1204"/>
      <w:bookmarkEnd w:id="120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3,087,039.00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2,325,903.88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3,087,039.00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2,325,903.88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207"/>
      <w:bookmarkEnd w:id="1208"/>
      <w:bookmarkEnd w:id="120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5981"/>
        <w:gridCol w:w="120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337,576,686.00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337,576,686.00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31</w:t>
      </w:r>
      <w:r>
        <w:rPr>
          <w:color w:val="000000"/>
          <w:spacing w:val="0"/>
          <w:w w:val="100"/>
          <w:position w:val="0"/>
        </w:rPr>
        <w:t>、资本公积</w:t>
      </w:r>
      <w:bookmarkEnd w:id="1210"/>
      <w:bookmarkEnd w:id="1211"/>
      <w:bookmarkEnd w:id="1212"/>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1,773,201,926.11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1,773,201,926.11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-406,386.12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-406,386.12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1,772,795,539.99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1,772,795,539.99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32</w:t>
      </w:r>
      <w:r>
        <w:rPr>
          <w:color w:val="000000"/>
          <w:spacing w:val="0"/>
          <w:w w:val="100"/>
          <w:position w:val="0"/>
        </w:rPr>
        <w:t>、其他综合收益</w:t>
      </w:r>
      <w:bookmarkEnd w:id="1213"/>
      <w:bookmarkEnd w:id="1214"/>
      <w:bookmarkEnd w:id="1215"/>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本期所得 税前发生</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268,295.70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2,173,174.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2,173,174.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其中：权益法下可转损益的其他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265,180.54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2,174,092.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2,174,092.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2,197.07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268,295.70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2,173,174.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2,173,174.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3</w:t>
      </w:r>
      <w:bookmarkEnd w:id="1218"/>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216"/>
      <w:bookmarkEnd w:id="1217"/>
      <w:bookmarkEnd w:id="1219"/>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69,662,109.41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1,272,279.21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70,934,388.62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69,662,109.41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1,272,279.21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70,934,388.62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3</w:t>
      </w:r>
      <w:bookmarkEnd w:id="1222"/>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220"/>
      <w:bookmarkEnd w:id="1221"/>
      <w:bookmarkEnd w:id="1223"/>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bl>
    <w:p>
      <w:pPr>
        <w:widowControl w:val="0"/>
        <w:spacing w:line="1" w:lineRule="exact"/>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65,826,227.25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350,033,607.47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1,289,502.49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65,826,227.25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351,323,109.96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6,900,120.48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-281,841,963.94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1,272,279.21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1,967,035.34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1,687,883.43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71,454,134.78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65,826,227.25</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调整期初未分配利润明细：</w:t>
      </w:r>
    </w:p>
    <w:p>
      <w:pPr>
        <w:pStyle w:val="Style25"/>
        <w:keepNext w:val="0"/>
        <w:keepLines w:val="0"/>
        <w:widowControl w:val="0"/>
        <w:shd w:val="clear" w:color="auto" w:fill="auto"/>
        <w:tabs>
          <w:tab w:pos="334" w:val="left"/>
        </w:tabs>
        <w:bidi w:val="0"/>
        <w:spacing w:before="0" w:after="100" w:line="240" w:lineRule="auto"/>
        <w:ind w:left="0" w:right="0" w:firstLine="0"/>
        <w:jc w:val="left"/>
        <w:rPr>
          <w:sz w:val="19"/>
          <w:szCs w:val="19"/>
        </w:rPr>
      </w:pPr>
      <w:bookmarkStart w:id="1224" w:name="bookmark1224"/>
      <w:r>
        <w:rPr>
          <w:rFonts w:ascii="Times New Roman" w:eastAsia="Times New Roman" w:hAnsi="Times New Roman" w:cs="Times New Roman"/>
          <w:color w:val="000000"/>
          <w:spacing w:val="0"/>
          <w:w w:val="100"/>
          <w:position w:val="0"/>
          <w:sz w:val="20"/>
          <w:szCs w:val="20"/>
        </w:rPr>
        <w:t>1</w:t>
      </w:r>
      <w:bookmarkEnd w:id="1224"/>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19"/>
          <w:szCs w:val="19"/>
        </w:rPr>
        <w:t>、由于《企业会计准则》及其相关新规定进行追溯调整，影响期初未分配利润</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19"/>
          <w:szCs w:val="19"/>
        </w:rPr>
        <w:t>元。</w:t>
      </w:r>
    </w:p>
    <w:p>
      <w:pPr>
        <w:pStyle w:val="Style25"/>
        <w:keepNext w:val="0"/>
        <w:keepLines w:val="0"/>
        <w:widowControl w:val="0"/>
        <w:shd w:val="clear" w:color="auto" w:fill="auto"/>
        <w:tabs>
          <w:tab w:pos="354" w:val="left"/>
        </w:tabs>
        <w:bidi w:val="0"/>
        <w:spacing w:before="0" w:after="100" w:line="240" w:lineRule="auto"/>
        <w:ind w:left="0" w:right="0" w:firstLine="0"/>
        <w:jc w:val="left"/>
        <w:rPr>
          <w:sz w:val="19"/>
          <w:szCs w:val="19"/>
        </w:rPr>
      </w:pPr>
      <w:bookmarkStart w:id="1225" w:name="bookmark1225"/>
      <w:r>
        <w:rPr>
          <w:rFonts w:ascii="Times New Roman" w:eastAsia="Times New Roman" w:hAnsi="Times New Roman" w:cs="Times New Roman"/>
          <w:color w:val="000000"/>
          <w:spacing w:val="0"/>
          <w:w w:val="100"/>
          <w:position w:val="0"/>
          <w:sz w:val="20"/>
          <w:szCs w:val="20"/>
        </w:rPr>
        <w:t>2</w:t>
      </w:r>
      <w:bookmarkEnd w:id="1225"/>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19"/>
          <w:szCs w:val="19"/>
        </w:rPr>
        <w:t>、由于会计政策变更，影响期初未分配利润</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19"/>
          <w:szCs w:val="19"/>
        </w:rPr>
        <w:t>元。</w:t>
      </w:r>
    </w:p>
    <w:p>
      <w:pPr>
        <w:pStyle w:val="Style25"/>
        <w:keepNext w:val="0"/>
        <w:keepLines w:val="0"/>
        <w:widowControl w:val="0"/>
        <w:shd w:val="clear" w:color="auto" w:fill="auto"/>
        <w:tabs>
          <w:tab w:pos="354" w:val="left"/>
        </w:tabs>
        <w:bidi w:val="0"/>
        <w:spacing w:before="0" w:after="100" w:line="240" w:lineRule="auto"/>
        <w:ind w:left="0" w:right="0" w:firstLine="0"/>
        <w:jc w:val="left"/>
        <w:rPr>
          <w:sz w:val="19"/>
          <w:szCs w:val="19"/>
        </w:rPr>
      </w:pPr>
      <w:bookmarkStart w:id="1226" w:name="bookmark1226"/>
      <w:r>
        <w:rPr>
          <w:rFonts w:ascii="Times New Roman" w:eastAsia="Times New Roman" w:hAnsi="Times New Roman" w:cs="Times New Roman"/>
          <w:color w:val="000000"/>
          <w:spacing w:val="0"/>
          <w:w w:val="100"/>
          <w:position w:val="0"/>
          <w:sz w:val="20"/>
          <w:szCs w:val="20"/>
        </w:rPr>
        <w:t>3</w:t>
      </w:r>
      <w:bookmarkEnd w:id="1226"/>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19"/>
          <w:szCs w:val="19"/>
        </w:rPr>
        <w:t>、由于重大会计差错更正，影响期初未分配利润</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19"/>
          <w:szCs w:val="19"/>
        </w:rPr>
        <w:t>元。</w:t>
      </w:r>
    </w:p>
    <w:p>
      <w:pPr>
        <w:pStyle w:val="Style25"/>
        <w:keepNext w:val="0"/>
        <w:keepLines w:val="0"/>
        <w:widowControl w:val="0"/>
        <w:shd w:val="clear" w:color="auto" w:fill="auto"/>
        <w:tabs>
          <w:tab w:pos="354" w:val="left"/>
        </w:tabs>
        <w:bidi w:val="0"/>
        <w:spacing w:before="0" w:after="100" w:line="240" w:lineRule="auto"/>
        <w:ind w:left="0" w:right="0" w:firstLine="0"/>
        <w:jc w:val="left"/>
        <w:rPr>
          <w:sz w:val="19"/>
          <w:szCs w:val="19"/>
        </w:rPr>
      </w:pPr>
      <w:bookmarkStart w:id="1227" w:name="bookmark1227"/>
      <w:r>
        <w:rPr>
          <w:rFonts w:ascii="Times New Roman" w:eastAsia="Times New Roman" w:hAnsi="Times New Roman" w:cs="Times New Roman"/>
          <w:color w:val="000000"/>
          <w:spacing w:val="0"/>
          <w:w w:val="100"/>
          <w:position w:val="0"/>
          <w:sz w:val="20"/>
          <w:szCs w:val="20"/>
        </w:rPr>
        <w:t>4</w:t>
      </w:r>
      <w:bookmarkEnd w:id="1227"/>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19"/>
          <w:szCs w:val="19"/>
        </w:rPr>
        <w:t>、由于同一控制导致的合并范围变更，影响期初未分配利润</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19"/>
          <w:szCs w:val="19"/>
        </w:rPr>
        <w:t>元。</w:t>
      </w:r>
    </w:p>
    <w:p>
      <w:pPr>
        <w:pStyle w:val="Style25"/>
        <w:keepNext w:val="0"/>
        <w:keepLines w:val="0"/>
        <w:widowControl w:val="0"/>
        <w:shd w:val="clear" w:color="auto" w:fill="auto"/>
        <w:tabs>
          <w:tab w:pos="354" w:val="left"/>
        </w:tabs>
        <w:bidi w:val="0"/>
        <w:spacing w:before="0" w:after="360" w:line="240" w:lineRule="auto"/>
        <w:ind w:left="0" w:right="0" w:firstLine="0"/>
        <w:jc w:val="left"/>
        <w:rPr>
          <w:sz w:val="19"/>
          <w:szCs w:val="19"/>
        </w:rPr>
      </w:pPr>
      <w:bookmarkStart w:id="1228" w:name="bookmark1228"/>
      <w:r>
        <w:rPr>
          <w:rFonts w:ascii="Times New Roman" w:eastAsia="Times New Roman" w:hAnsi="Times New Roman" w:cs="Times New Roman"/>
          <w:color w:val="000000"/>
          <w:spacing w:val="0"/>
          <w:w w:val="100"/>
          <w:position w:val="0"/>
          <w:sz w:val="20"/>
          <w:szCs w:val="20"/>
        </w:rPr>
        <w:t>5</w:t>
      </w:r>
      <w:bookmarkEnd w:id="1228"/>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19"/>
          <w:szCs w:val="19"/>
        </w:rPr>
        <w:t>、其他调整合计影响期初未分配利润</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19"/>
          <w:szCs w:val="19"/>
        </w:rPr>
        <w:t>元。</w:t>
      </w:r>
    </w:p>
    <w:p>
      <w:pPr>
        <w:pStyle w:val="Style31"/>
        <w:keepNext/>
        <w:keepLines/>
        <w:widowControl w:val="0"/>
        <w:shd w:val="clear" w:color="auto" w:fill="auto"/>
        <w:bidi w:val="0"/>
        <w:spacing w:before="0" w:after="36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3</w:t>
      </w:r>
      <w:bookmarkEnd w:id="1231"/>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229"/>
      <w:bookmarkEnd w:id="1230"/>
      <w:bookmarkEnd w:id="1232"/>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1,728,398,786.84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1,461,411,392.07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1,625,763,433.02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1,386,493,175.29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30,003,889.70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27,463,696.53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46,630,983.41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48,877,417.57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1,758,402,676.54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1,488,875,088.60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1,672,394,416.43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1,435,370,592.86</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经审计扣除非经常损益前后净利润孰低是否为负值</w:t>
      </w:r>
    </w:p>
    <w:p>
      <w:pPr>
        <w:pStyle w:val="Style25"/>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是</w:t>
      </w:r>
      <w:r>
        <w:rPr>
          <w:color w:val="000000"/>
          <w:spacing w:val="0"/>
          <w:w w:val="100"/>
          <w:position w:val="0"/>
          <w:sz w:val="20"/>
          <w:szCs w:val="20"/>
        </w:rPr>
        <w:t>口</w:t>
      </w:r>
      <w:r>
        <w:rPr>
          <w:color w:val="000000"/>
          <w:spacing w:val="0"/>
          <w:w w:val="100"/>
          <w:position w:val="0"/>
          <w:sz w:val="19"/>
          <w:szCs w:val="19"/>
        </w:rPr>
        <w:t>否</w:t>
      </w: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备注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1,758,402,676.54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1,672,394,416.43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主营业务收入及其他业务 收入合计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30,003,889.70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46,630,983.41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公司自有房屋对外出租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智能化工程收入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29,871,779.60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建筑智能化工程设计与施 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与主营业务无关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30,003,889.70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46,630,983.41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不具备商业实质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line="1" w:lineRule="exact"/>
      </w:pPr>
      <w:r>
        <w:br w:type="page"/>
      </w:r>
    </w:p>
    <w:tbl>
      <w:tblPr>
        <w:tblOverlap w:val="never"/>
        <w:jc w:val="center"/>
        <w:tblLayout w:type="fixed"/>
      </w:tblPr>
      <w:tblGrid>
        <w:gridCol w:w="2189"/>
        <w:gridCol w:w="2640"/>
        <w:gridCol w:w="2578"/>
        <w:gridCol w:w="2179"/>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的收入小计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1,728,398,786.84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1,625,763,433.02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r>
    </w:tbl>
    <w:p>
      <w:pPr>
        <w:widowControl w:val="0"/>
        <w:spacing w:after="439"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5"/>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公司主营业务为应用软件开发、技术服务及相关的计算机信息系统集成服务。集成服务在产品交付购 货方，技术服务按合同约定提供服务完成，并经客户验收合格后客户验收，软件产品销售按合同约定，需 安装调试的，在安装调试完成、投入运行并经客户验收合格；不需安装的，于产品发出且到货验收合格时 客户取得相关商品及服务的控制权时确认收入实现。按照合同约定履行履约义务，并按照合同约定的收款 进度收款。</w:t>
      </w: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与分摊至剩余履约义务的交易价格相关的信息：</w:t>
      </w:r>
    </w:p>
    <w:p>
      <w:pPr>
        <w:pStyle w:val="Style2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2,016,970,795.89</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/元。</w:t>
      </w:r>
    </w:p>
    <w:p>
      <w:pPr>
        <w:pStyle w:val="Style31"/>
        <w:keepNext/>
        <w:keepLines/>
        <w:widowControl w:val="0"/>
        <w:shd w:val="clear" w:color="auto" w:fill="auto"/>
        <w:bidi w:val="0"/>
        <w:spacing w:before="0" w:after="180" w:line="48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3</w:t>
      </w:r>
      <w:bookmarkEnd w:id="1235"/>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233"/>
      <w:bookmarkEnd w:id="1234"/>
      <w:bookmarkEnd w:id="1236"/>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2,554,633.35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457,393.93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1,825,040.55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328,623.54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47,343.66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888,995.10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1,070,692.00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水利行政事业性收费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5,330,559.39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1,882,733.46</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3</w:t>
      </w:r>
      <w:bookmarkEnd w:id="1239"/>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237"/>
      <w:bookmarkEnd w:id="1238"/>
      <w:bookmarkEnd w:id="1240"/>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35,817,668.41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34,195,488.96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186,150.52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1,935,607.43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3,241,185.42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1,858,615.58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1,520,848.06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1,542,427.30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1,526,610.73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5,928,133.86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9,450,966.50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实施费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3,455,051.36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4,901,403.08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888,826.96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1,692,380.17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37,660.00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207,478.44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303,869.33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18,448.77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51,954,010.75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56,825,467.63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3</w:t>
      </w:r>
      <w:bookmarkEnd w:id="1243"/>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241"/>
      <w:bookmarkEnd w:id="1242"/>
      <w:bookmarkEnd w:id="1244"/>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60,952,924.62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60,563,336.42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15,553,584.21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16,340,066.91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2,303,294.41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3,649,613.22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3,988,436.61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4,985,995.57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2,034,341.30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687,996.65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2,699,829.89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5,190,366.95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4,958,698.98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5,342,933.11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8,126,963.84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7,585,232.24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628,148.45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367,438.81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686,500.02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1,417,582.73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2,217,524.10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1,780,332.55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1,515,208.85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1,646,115.67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105,665,455.28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109,557,010.83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w:t>
      </w:r>
      <w:bookmarkEnd w:id="1247"/>
      <w:r>
        <w:rPr>
          <w:rFonts w:ascii="Times New Roman" w:eastAsia="Times New Roman" w:hAnsi="Times New Roman" w:cs="Times New Roman"/>
          <w:color w:val="000000"/>
          <w:spacing w:val="0"/>
          <w:w w:val="100"/>
          <w:position w:val="0"/>
        </w:rPr>
        <w:t>9</w:t>
      </w:r>
      <w:r>
        <w:rPr>
          <w:color w:val="000000"/>
          <w:spacing w:val="0"/>
          <w:w w:val="100"/>
          <w:position w:val="0"/>
        </w:rPr>
        <w:t>、研发费用</w:t>
      </w:r>
      <w:bookmarkEnd w:id="1245"/>
      <w:bookmarkEnd w:id="1246"/>
      <w:bookmarkEnd w:id="1248"/>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90,736,101.16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81,280,738.26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27,998,182.60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30,409,113.89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5,103,502.83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6,155,316.61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4,147,607.49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4,557,744.67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2,200,068.57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2,646,130.31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30,187.83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18,849.00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3,026,994.58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1,559,864.55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453,315.60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692,021.25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224,491.89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160,237.67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285,748.94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259,404.50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134,206,201.49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127,739,420.71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4</w:t>
      </w:r>
      <w:bookmarkEnd w:id="1251"/>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249"/>
      <w:bookmarkEnd w:id="1250"/>
      <w:bookmarkEnd w:id="1252"/>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8,738,250.37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19,280,618.82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2,356,213.32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2,521,262.22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392,042.39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2,831,356.85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3,175,470.89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9,213,401.74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20,326,869.88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4</w:t>
      </w:r>
      <w:bookmarkEnd w:id="1255"/>
      <w:r>
        <w:rPr>
          <w:rFonts w:ascii="Times New Roman" w:eastAsia="Times New Roman" w:hAnsi="Times New Roman" w:cs="Times New Roman"/>
          <w:color w:val="000000"/>
          <w:spacing w:val="0"/>
          <w:w w:val="100"/>
          <w:position w:val="0"/>
        </w:rPr>
        <w:t>1</w:t>
      </w:r>
      <w:r>
        <w:rPr>
          <w:color w:val="000000"/>
          <w:spacing w:val="0"/>
          <w:w w:val="100"/>
          <w:position w:val="0"/>
        </w:rPr>
        <w:t>、其他收益</w:t>
      </w:r>
      <w:bookmarkEnd w:id="1253"/>
      <w:bookmarkEnd w:id="1254"/>
      <w:bookmarkEnd w:id="1256"/>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404,396.21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167,189.75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金融行业海量数据处理北京市工程实验 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1,390,833.33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语言的移动应用软件开发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年现代服务业试点项目（基金）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354,878.04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472,281.71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金融科技应用技术项目支持资金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年企业研发投入补助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96,683.00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年高新企业补助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附加税免税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购买信用报告专项补贴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35,324.42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152,620.63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知识产权专项资金补贴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杭州市职业能力建设指导服务中心促进 就业专项资金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培训补贴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102,288.00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高新技术企业补贴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4</w:t>
      </w:r>
      <w:bookmarkEnd w:id="1259"/>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257"/>
      <w:bookmarkEnd w:id="1258"/>
      <w:bookmarkEnd w:id="1260"/>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14,901,596.42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6,771,276.45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1,686,099.73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21,868,667.79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41,301,087.79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丧失控制权后，剩余股权按公允价值重新计 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81,553,115.71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34,923,827.05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31,515,251.88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处置其他非流动金融资产取得的投资收益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2,643,668.63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71,643,872.20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165,940,500.19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4</w:t>
      </w:r>
      <w:bookmarkEnd w:id="1263"/>
      <w:r>
        <w:rPr>
          <w:rFonts w:ascii="Times New Roman" w:eastAsia="Times New Roman" w:hAnsi="Times New Roman" w:cs="Times New Roman"/>
          <w:color w:val="000000"/>
          <w:spacing w:val="0"/>
          <w:w w:val="100"/>
          <w:position w:val="0"/>
        </w:rPr>
        <w:t>3</w:t>
      </w:r>
      <w:r>
        <w:rPr>
          <w:color w:val="000000"/>
          <w:spacing w:val="0"/>
          <w:w w:val="100"/>
          <w:position w:val="0"/>
        </w:rPr>
        <w:t>、公允价值变动收益</w:t>
      </w:r>
      <w:bookmarkEnd w:id="1261"/>
      <w:bookmarkEnd w:id="1262"/>
      <w:bookmarkEnd w:id="1264"/>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760,054.51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-2,572,094.86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760,054.51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-2,572,094.86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4</w:t>
      </w:r>
      <w:bookmarkEnd w:id="1267"/>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265"/>
      <w:bookmarkEnd w:id="1266"/>
      <w:bookmarkEnd w:id="126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-5,260,034.05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-2,461,329.84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2,199,934.61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-36,509,604.19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-6,643,126.28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-6,128,060.14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-9,703,225.72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-45,098,994.17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4</w:t>
      </w:r>
      <w:bookmarkEnd w:id="1271"/>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269"/>
      <w:bookmarkEnd w:id="1270"/>
      <w:bookmarkEnd w:id="127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二、存货跌价损失及合同履约成本减值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-2,996,867.82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-49,467,642.81</w:t>
            </w:r>
          </w:p>
        </w:tc>
      </w:tr>
    </w:tbl>
    <w:p>
      <w:pPr>
        <w:widowControl w:val="0"/>
        <w:spacing w:line="1" w:lineRule="exact"/>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-288,938.54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-285,022,670.05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-1,210,018.86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-4,495,825.22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-334,490,312.86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4</w:t>
      </w:r>
      <w:bookmarkEnd w:id="1275"/>
      <w:r>
        <w:rPr>
          <w:rFonts w:ascii="Times New Roman" w:eastAsia="Times New Roman" w:hAnsi="Times New Roman" w:cs="Times New Roman"/>
          <w:color w:val="000000"/>
          <w:spacing w:val="0"/>
          <w:w w:val="100"/>
          <w:position w:val="0"/>
        </w:rPr>
        <w:t>6</w:t>
      </w:r>
      <w:r>
        <w:rPr>
          <w:color w:val="000000"/>
          <w:spacing w:val="0"/>
          <w:w w:val="100"/>
          <w:position w:val="0"/>
        </w:rPr>
        <w:t>、资产处置收益</w:t>
      </w:r>
      <w:bookmarkEnd w:id="1273"/>
      <w:bookmarkEnd w:id="1274"/>
      <w:bookmarkEnd w:id="127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-2,084,657.54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-377,633.40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4</w:t>
      </w:r>
      <w:bookmarkEnd w:id="1279"/>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277"/>
      <w:bookmarkEnd w:id="1278"/>
      <w:bookmarkEnd w:id="1280"/>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317,222.88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161,070.55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317,222.88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317,222.88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161,070.55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317,222.88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4</w:t>
      </w:r>
      <w:bookmarkEnd w:id="1283"/>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281"/>
      <w:bookmarkEnd w:id="1282"/>
      <w:bookmarkEnd w:id="1284"/>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3,022,125.38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117,154.68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3,022,125.38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5,022,125.38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3,117,154.68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5,022,125.38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4</w:t>
      </w:r>
      <w:bookmarkEnd w:id="1287"/>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285"/>
      <w:bookmarkEnd w:id="1286"/>
      <w:bookmarkEnd w:id="1288"/>
    </w:p>
    <w:p>
      <w:pPr>
        <w:pStyle w:val="Style37"/>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89"/>
      <w:bookmarkEnd w:id="1290"/>
      <w:bookmarkEnd w:id="129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9,658,793.68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1,536,406.80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192,100.73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-9,702,009.08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9,850,894.41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-8,165,602.28</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92"/>
      <w:bookmarkEnd w:id="1293"/>
      <w:bookmarkEnd w:id="1294"/>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16,751,068.79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2,512,660.32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1,028,059.81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2,572,470.27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1,783,133.68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-345,391.21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13,266,757.10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子公司不纳入合并影响</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与上年税率不一致递延所得税影响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研发加计扣除影响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-10,966,795.56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9,850,894.41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5</w:t>
      </w:r>
      <w:bookmarkEnd w:id="1297"/>
      <w:r>
        <w:rPr>
          <w:rFonts w:ascii="Times New Roman" w:eastAsia="Times New Roman" w:hAnsi="Times New Roman" w:cs="Times New Roman"/>
          <w:color w:val="000000"/>
          <w:spacing w:val="0"/>
          <w:w w:val="100"/>
          <w:position w:val="0"/>
        </w:rPr>
        <w:t>0</w:t>
      </w:r>
      <w:r>
        <w:rPr>
          <w:color w:val="000000"/>
          <w:spacing w:val="0"/>
          <w:w w:val="100"/>
          <w:position w:val="0"/>
        </w:rPr>
        <w:t>、现金流量表项目</w:t>
      </w:r>
      <w:bookmarkEnd w:id="1295"/>
      <w:bookmarkEnd w:id="1296"/>
      <w:bookmarkEnd w:id="1298"/>
    </w:p>
    <w:p>
      <w:pPr>
        <w:pStyle w:val="Style37"/>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99"/>
      <w:bookmarkEnd w:id="1300"/>
      <w:bookmarkEnd w:id="1301"/>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政府及其他奖励资金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1,586,534.07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5,573,427.10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147,664,195.35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197,443,529.08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1,065,576.40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6,241,427.00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2,219,694.26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2,286,665.77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1,961,165.23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896,570.22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154,497,165.31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212,441,619.17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02"/>
      <w:bookmarkEnd w:id="1303"/>
      <w:bookmarkEnd w:id="1304"/>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146,462,217.24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223,071,525.26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77,193,030.42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81,137,102.22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699,786.11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226,355,033.77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307,208,627.48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3</w:t>
      </w:r>
      <w:r>
        <w:rPr>
          <w:color w:val="000000"/>
          <w:spacing w:val="0"/>
          <w:w w:val="100"/>
          <w:position w:val="0"/>
        </w:rPr>
        <w:t>）支付的其他与投资活动有关的现金</w:t>
      </w:r>
      <w:bookmarkEnd w:id="1305"/>
      <w:bookmarkEnd w:id="1306"/>
      <w:bookmarkEnd w:id="1308"/>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丧失控制权日大金所持有的现金及现金 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5,205,269.58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原纳入合并范围的合伙企业退伙收回的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824,602.03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824,602.03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5,205,269.58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309"/>
      <w:bookmarkEnd w:id="1310"/>
      <w:bookmarkEnd w:id="1312"/>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234,596.45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234,596.45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w:t>
      </w:r>
      <w:bookmarkEnd w:id="1315"/>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313"/>
      <w:bookmarkEnd w:id="1314"/>
      <w:bookmarkEnd w:id="1316"/>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分红银行手续费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少数股权股东退股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2,477.11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5</w:t>
      </w:r>
      <w:bookmarkEnd w:id="131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17"/>
      <w:bookmarkEnd w:id="1318"/>
      <w:bookmarkEnd w:id="1320"/>
    </w:p>
    <w:p>
      <w:pPr>
        <w:pStyle w:val="Style37"/>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21"/>
      <w:bookmarkEnd w:id="1322"/>
      <w:bookmarkEnd w:id="1323"/>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6,900,174.38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-283,022,412.44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14,199,050.94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379,589,307.03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固定资产折旧、油气资产折耗、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生产性生物资产折旧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2,925,996.79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5,238,594.81</w:t>
            </w:r>
          </w:p>
        </w:tc>
      </w:tr>
    </w:tbl>
    <w:p>
      <w:pPr>
        <w:sectPr>
          <w:footnotePr>
            <w:pos w:val="pageBottom"/>
            <w:numFmt w:val="decimal"/>
            <w:numRestart w:val="continuous"/>
          </w:footnotePr>
          <w:type w:val="continuous"/>
          <w:pgSz w:w="11900" w:h="16840"/>
          <w:pgMar w:top="1244" w:right="1061" w:bottom="1436" w:left="1048" w:header="0" w:footer="3" w:gutter="0"/>
          <w:cols w:space="720"/>
          <w:noEndnote/>
          <w:rtlGutter w:val="0"/>
          <w:docGrid w:linePitch="360"/>
        </w:sectPr>
      </w:pPr>
    </w:p>
    <w:p>
      <w:pPr>
        <w:widowControl w:val="0"/>
        <w:spacing w:after="419" w:line="1" w:lineRule="exact"/>
      </w:pP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30,053,278.62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31,097,110.54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189,276.00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2,084,657.54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377,633.40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-760,054.51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2,572,094.86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11,056,707.76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21,696,464.73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-71,643,872.20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-165,904,585.01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740"/>
              <w:jc w:val="left"/>
              <w:rPr>
                <w:sz w:val="17"/>
                <w:szCs w:val="17"/>
              </w:rPr>
            </w:pPr>
            <w:r>
              <w:rPr>
                <w:color w:val="000000"/>
                <w:spacing w:val="0"/>
                <w:w w:val="100"/>
                <w:position w:val="0"/>
                <w:sz w:val="17"/>
                <w:szCs w:val="17"/>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644,507.15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-9,295,569.85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740"/>
              <w:jc w:val="left"/>
              <w:rPr>
                <w:sz w:val="17"/>
                <w:szCs w:val="17"/>
              </w:rPr>
            </w:pPr>
            <w:r>
              <w:rPr>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-452,406.42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-406,439.23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-15,222,197.01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-37,455,428.52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left"/>
              <w:rPr>
                <w:sz w:val="17"/>
                <w:szCs w:val="17"/>
              </w:rPr>
            </w:pPr>
            <w:r>
              <w:rPr>
                <w:color w:val="000000"/>
                <w:spacing w:val="0"/>
                <w:w w:val="100"/>
                <w:position w:val="0"/>
                <w:sz w:val="17"/>
                <w:szCs w:val="17"/>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-157,120,057.01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31,477,152.45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rPr>
                <w:sz w:val="17"/>
                <w:szCs w:val="17"/>
              </w:rPr>
            </w:pPr>
            <w:r>
              <w:rPr>
                <w:color w:val="000000"/>
                <w:spacing w:val="0"/>
                <w:w w:val="100"/>
                <w:position w:val="0"/>
                <w:sz w:val="17"/>
                <w:szCs w:val="17"/>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208,633,408.55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-112,715,761.63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31,768,305.49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-136,562,562.86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370,337,683.40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593,840,074.89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593,840,074.89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328,634,428.60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-223,502,391.49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265,205,646.29</w:t>
            </w:r>
          </w:p>
        </w:tc>
      </w:tr>
    </w:tbl>
    <w:p>
      <w:pPr>
        <w:widowControl w:val="0"/>
        <w:spacing w:after="319" w:line="1" w:lineRule="exact"/>
      </w:pPr>
    </w:p>
    <w:p>
      <w:pPr>
        <w:pStyle w:val="Style37"/>
        <w:keepNext/>
        <w:keepLines/>
        <w:widowControl w:val="0"/>
        <w:shd w:val="clear" w:color="auto" w:fill="auto"/>
        <w:bidi w:val="0"/>
        <w:spacing w:before="0" w:after="0" w:line="240" w:lineRule="auto"/>
        <w:ind w:left="0" w:right="0" w:firstLine="0"/>
        <w:jc w:val="left"/>
      </w:pPr>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24"/>
      <w:bookmarkEnd w:id="1325"/>
      <w:bookmarkEnd w:id="1326"/>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370,337,683.40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593,840,074.89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252,625.37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178,063.00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369,889,977.89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593,477,555.77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195,080.14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184,456.12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370,337,683.40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593,840,074.89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5</w:t>
      </w:r>
      <w:bookmarkEnd w:id="1329"/>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327"/>
      <w:bookmarkEnd w:id="1328"/>
      <w:bookmarkEnd w:id="1330"/>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32,467,493.51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保证金、代管资金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32,467,493.51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5</w:t>
      </w:r>
      <w:bookmarkEnd w:id="1333"/>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331"/>
      <w:bookmarkEnd w:id="1332"/>
      <w:bookmarkEnd w:id="1334"/>
    </w:p>
    <w:p>
      <w:pPr>
        <w:pStyle w:val="Style37"/>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35"/>
      <w:bookmarkEnd w:id="1336"/>
      <w:bookmarkEnd w:id="133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3,250.91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keepLines/>
        <w:widowControl w:val="0"/>
        <w:shd w:val="clear" w:color="auto" w:fill="auto"/>
        <w:bidi w:val="0"/>
        <w:spacing w:before="0" w:after="280" w:line="336" w:lineRule="exact"/>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38"/>
      <w:bookmarkEnd w:id="1339"/>
      <w:bookmarkEnd w:id="1340"/>
    </w:p>
    <w:p>
      <w:pPr>
        <w:pStyle w:val="Style25"/>
        <w:keepNext w:val="0"/>
        <w:keepLines w:val="0"/>
        <w:widowControl w:val="0"/>
        <w:shd w:val="clear" w:color="auto" w:fill="auto"/>
        <w:bidi w:val="0"/>
        <w:spacing w:before="0" w:after="280" w:line="336"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31"/>
        <w:keepNext/>
        <w:keepLines/>
        <w:widowControl w:val="0"/>
        <w:shd w:val="clear" w:color="auto" w:fill="auto"/>
        <w:bidi w:val="0"/>
        <w:spacing w:before="0" w:after="280" w:line="336" w:lineRule="exact"/>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5</w:t>
      </w:r>
      <w:bookmarkEnd w:id="1343"/>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341"/>
      <w:bookmarkEnd w:id="1342"/>
      <w:bookmarkEnd w:id="1344"/>
    </w:p>
    <w:p>
      <w:pPr>
        <w:pStyle w:val="Style37"/>
        <w:keepNext/>
        <w:keepLines/>
        <w:widowControl w:val="0"/>
        <w:shd w:val="clear" w:color="auto" w:fill="auto"/>
        <w:bidi w:val="0"/>
        <w:spacing w:before="0" w:line="336" w:lineRule="exact"/>
        <w:ind w:left="0" w:right="0" w:firstLine="0"/>
        <w:jc w:val="left"/>
      </w:pPr>
      <w:bookmarkStart w:id="1345" w:name="bookmark1345"/>
      <w:bookmarkStart w:id="1346" w:name="bookmark1346"/>
      <w:bookmarkStart w:id="1347" w:name="bookmark13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45"/>
      <w:bookmarkEnd w:id="1346"/>
      <w:bookmarkEnd w:id="1347"/>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404,396.21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404,396.21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472,281.71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472,281.71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知识产权专项资金补贴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杭州市职业能力建设指导服 务中心促进就业专项资金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102,288.00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102,288.00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高新技术企业补贴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bl>
    <w:p>
      <w:pPr>
        <w:widowControl w:val="0"/>
        <w:spacing w:after="119" w:line="1" w:lineRule="exact"/>
      </w:pPr>
    </w:p>
    <w:p>
      <w:pPr>
        <w:pStyle w:val="Style37"/>
        <w:keepNext/>
        <w:keepLines/>
        <w:widowControl w:val="0"/>
        <w:shd w:val="clear" w:color="auto" w:fill="auto"/>
        <w:bidi w:val="0"/>
        <w:spacing w:before="0" w:after="120" w:line="470" w:lineRule="exact"/>
        <w:ind w:left="0" w:right="0" w:firstLine="0"/>
        <w:jc w:val="left"/>
      </w:pPr>
      <w:bookmarkStart w:id="1348" w:name="bookmark1348"/>
      <w:bookmarkStart w:id="1349" w:name="bookmark1349"/>
      <w:bookmarkStart w:id="1350" w:name="bookmark13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348"/>
      <w:bookmarkEnd w:id="1349"/>
      <w:bookmarkEnd w:id="1350"/>
    </w:p>
    <w:p>
      <w:pPr>
        <w:pStyle w:val="Style25"/>
        <w:keepNext w:val="0"/>
        <w:keepLines w:val="0"/>
        <w:widowControl w:val="0"/>
        <w:shd w:val="clear" w:color="auto" w:fill="auto"/>
        <w:bidi w:val="0"/>
        <w:spacing w:before="0" w:after="360" w:line="470"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3"/>
        <w:keepNext/>
        <w:keepLines/>
        <w:widowControl w:val="0"/>
        <w:shd w:val="clear" w:color="auto" w:fill="auto"/>
        <w:tabs>
          <w:tab w:pos="517" w:val="left"/>
        </w:tabs>
        <w:bidi w:val="0"/>
        <w:spacing w:before="0" w:after="12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sz w:val="24"/>
          <w:szCs w:val="24"/>
        </w:rPr>
        <w:t>八</w:t>
      </w:r>
      <w:bookmarkEnd w:id="1353"/>
      <w:r>
        <w:rPr>
          <w:color w:val="000000"/>
          <w:spacing w:val="0"/>
          <w:w w:val="100"/>
          <w:position w:val="0"/>
          <w:sz w:val="24"/>
          <w:szCs w:val="24"/>
        </w:rPr>
        <w:t>、</w:t>
        <w:tab/>
        <w:t>合并范围的变更</w:t>
      </w:r>
      <w:bookmarkEnd w:id="1351"/>
      <w:bookmarkEnd w:id="1352"/>
      <w:bookmarkEnd w:id="1354"/>
    </w:p>
    <w:p>
      <w:pPr>
        <w:pStyle w:val="Style31"/>
        <w:keepNext/>
        <w:keepLines/>
        <w:widowControl w:val="0"/>
        <w:shd w:val="clear" w:color="auto" w:fill="auto"/>
        <w:bidi w:val="0"/>
        <w:spacing w:before="0" w:after="120" w:line="470" w:lineRule="exact"/>
        <w:ind w:left="0" w:right="0" w:firstLine="0"/>
        <w:jc w:val="left"/>
      </w:pPr>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355"/>
      <w:bookmarkEnd w:id="1356"/>
      <w:bookmarkEnd w:id="1357"/>
    </w:p>
    <w:p>
      <w:pPr>
        <w:pStyle w:val="Style25"/>
        <w:keepNext w:val="0"/>
        <w:keepLines w:val="0"/>
        <w:widowControl w:val="0"/>
        <w:shd w:val="clear" w:color="auto" w:fill="auto"/>
        <w:bidi w:val="0"/>
        <w:spacing w:before="0" w:after="0" w:line="470" w:lineRule="exact"/>
        <w:ind w:left="0" w:right="0" w:firstLine="0"/>
        <w:jc w:val="left"/>
        <w:rPr>
          <w:sz w:val="19"/>
          <w:szCs w:val="19"/>
        </w:rPr>
      </w:pPr>
      <w:r>
        <w:rPr>
          <w:color w:val="000000"/>
          <w:spacing w:val="0"/>
          <w:w w:val="100"/>
          <w:position w:val="0"/>
          <w:sz w:val="19"/>
          <w:szCs w:val="19"/>
        </w:rPr>
        <w:t>说明其他原因导致的合并范围变动（如，新设子公司、清算子公司等）及其相关情况：</w:t>
      </w:r>
    </w:p>
    <w:p>
      <w:pPr>
        <w:pStyle w:val="Style25"/>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本年与上年比较减少合并单位</w:t>
      </w:r>
      <w:r>
        <w:rPr>
          <w:rFonts w:ascii="Times New Roman" w:eastAsia="Times New Roman" w:hAnsi="Times New Roman" w:cs="Times New Roman"/>
          <w:color w:val="000000"/>
          <w:spacing w:val="0"/>
          <w:w w:val="100"/>
          <w:position w:val="0"/>
        </w:rPr>
        <w:t>1</w:t>
      </w:r>
      <w:r>
        <w:rPr>
          <w:color w:val="000000"/>
          <w:spacing w:val="0"/>
          <w:w w:val="100"/>
          <w:position w:val="0"/>
        </w:rPr>
        <w:t>家，增加</w:t>
      </w:r>
      <w:r>
        <w:rPr>
          <w:rFonts w:ascii="Times New Roman" w:eastAsia="Times New Roman" w:hAnsi="Times New Roman" w:cs="Times New Roman"/>
          <w:color w:val="000000"/>
          <w:spacing w:val="0"/>
          <w:w w:val="100"/>
          <w:position w:val="0"/>
        </w:rPr>
        <w:t>1</w:t>
      </w:r>
      <w:r>
        <w:rPr>
          <w:color w:val="000000"/>
          <w:spacing w:val="0"/>
          <w:w w:val="100"/>
          <w:position w:val="0"/>
        </w:rPr>
        <w:t>家。报告期内因撤资减少北京国信金泽投资中心（有限合伙）。 报告期内因投资设立增加杭州中科金财科技有限公司。</w:t>
      </w:r>
    </w:p>
    <w:p>
      <w:pPr>
        <w:pStyle w:val="Style23"/>
        <w:keepNext/>
        <w:keepLines/>
        <w:widowControl w:val="0"/>
        <w:shd w:val="clear" w:color="auto" w:fill="auto"/>
        <w:tabs>
          <w:tab w:pos="517" w:val="left"/>
        </w:tabs>
        <w:bidi w:val="0"/>
        <w:spacing w:before="0" w:after="12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sz w:val="24"/>
          <w:szCs w:val="24"/>
        </w:rPr>
        <w:t>九</w:t>
      </w:r>
      <w:bookmarkEnd w:id="1360"/>
      <w:r>
        <w:rPr>
          <w:color w:val="000000"/>
          <w:spacing w:val="0"/>
          <w:w w:val="100"/>
          <w:position w:val="0"/>
          <w:sz w:val="24"/>
          <w:szCs w:val="24"/>
        </w:rPr>
        <w:t>、</w:t>
        <w:tab/>
        <w:t>在其他主体中的权益</w:t>
      </w:r>
      <w:bookmarkEnd w:id="1358"/>
      <w:bookmarkEnd w:id="1359"/>
      <w:bookmarkEnd w:id="1361"/>
    </w:p>
    <w:p>
      <w:pPr>
        <w:pStyle w:val="Style31"/>
        <w:keepNext/>
        <w:keepLines/>
        <w:widowControl w:val="0"/>
        <w:shd w:val="clear" w:color="auto" w:fill="auto"/>
        <w:bidi w:val="0"/>
        <w:spacing w:before="0" w:after="120" w:line="470" w:lineRule="exact"/>
        <w:ind w:left="0" w:right="0" w:firstLine="0"/>
        <w:jc w:val="left"/>
      </w:pPr>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62"/>
      <w:bookmarkEnd w:id="1363"/>
      <w:bookmarkEnd w:id="1364"/>
    </w:p>
    <w:p>
      <w:pPr>
        <w:pStyle w:val="Style37"/>
        <w:keepNext/>
        <w:keepLines/>
        <w:widowControl w:val="0"/>
        <w:shd w:val="clear" w:color="auto" w:fill="auto"/>
        <w:bidi w:val="0"/>
        <w:spacing w:before="0" w:after="280" w:line="470" w:lineRule="exact"/>
        <w:ind w:left="0" w:right="0" w:firstLine="0"/>
        <w:jc w:val="left"/>
      </w:pPr>
      <w:bookmarkStart w:id="1365" w:name="bookmark1365"/>
      <w:bookmarkStart w:id="1366" w:name="bookmark1366"/>
      <w:bookmarkStart w:id="1367" w:name="bookmark13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65"/>
      <w:bookmarkEnd w:id="1366"/>
      <w:bookmarkEnd w:id="1367"/>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取得方式</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天津中科金财科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技术开发服务、 电子产品销售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非同一控制合并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北京中科金财信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移动支付、移动 电子商务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非同一控制合并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北京中科金财软 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技术开发及服 务，计算机软、 硬件及电子产品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北京中科金财投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投资管理；资产 管理；项目投资； 技术转让、技术 服务、技术咨询； 计算机技术培训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天津壬辰软件开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技术开发服务、 电子产品销售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子公司设立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大连鼎运企业管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辽宁省大连市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辽宁省大连市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企业管理及咨询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子公司设立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中科金财（上海） 互联网金融信息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金融信息服务、 金融应用软件开 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华缔资产管理</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投资管理；资产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管理等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非同一控制合并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香港中科金财科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计算机系统集成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深圳中金财富科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金融信息咨询、 金融软件的技术 开发及相关技术 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非同一控制合并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中科金财保险经 纪有限公司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河南省郑州市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河南省郑州市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为投保人拟定投 保方案、选择保 险公司以及办理 投保手续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深圳前海中科金 财金控投资有限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投资兴办实业、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企业收购兼并策</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划咨询等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北京志东方科技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技术开发、技术 推广、技术转让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非同一控制合并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北京中科金财智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技术开发、技术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bl>
    <w:p>
      <w:pPr>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311" w:right="1063" w:bottom="1508" w:left="1046" w:header="0" w:footer="3" w:gutter="0"/>
          <w:cols w:space="720"/>
          <w:noEndnote/>
          <w:titlePg/>
          <w:rtlGutter w:val="0"/>
          <w:docGrid w:linePitch="360"/>
        </w:sectPr>
      </w:pP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杭州中科金财科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技术开发、技术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对于纳入合并范围的重要的结构化主体，控制的依据:</w:t>
      </w:r>
    </w:p>
    <w:p>
      <w:pPr>
        <w:widowControl w:val="0"/>
        <w:spacing w:after="59" w:line="1" w:lineRule="exact"/>
      </w:pPr>
    </w:p>
    <w:tbl>
      <w:tblPr>
        <w:tblOverlap w:val="never"/>
        <w:jc w:val="center"/>
        <w:tblLayout w:type="fixed"/>
      </w:tblPr>
      <w:tblGrid>
        <w:gridCol w:w="2035"/>
        <w:gridCol w:w="2126"/>
        <w:gridCol w:w="1982"/>
        <w:gridCol w:w="1138"/>
        <w:gridCol w:w="1608"/>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持有信托产品子公司名 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信托产品名称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信托公司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信托产品存 续期（年）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截止</w:t>
            </w:r>
            <w:r>
              <w:rPr>
                <w:rFonts w:ascii="Times New Roman" w:eastAsia="Times New Roman" w:hAnsi="Times New Roman" w:cs="Times New Roman"/>
                <w:color w:val="000000"/>
                <w:spacing w:val="0"/>
                <w:w w:val="100"/>
                <w:position w:val="0"/>
                <w:sz w:val="20"/>
                <w:szCs w:val="20"/>
              </w:rPr>
              <w:t xml:space="preserve">2020.12.31 </w:t>
            </w:r>
            <w:r>
              <w:rPr>
                <w:color w:val="000000"/>
                <w:spacing w:val="0"/>
                <w:w w:val="100"/>
                <w:position w:val="0"/>
                <w:sz w:val="19"/>
                <w:szCs w:val="19"/>
              </w:rPr>
              <w:t>信 托产品余额（元）</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华缔资产管理（北京）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西藏信托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乐家</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号单一 资金信托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西藏信托有限公司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39,375,366.47</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华缔资产管理（北京）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9"/>
                <w:szCs w:val="19"/>
              </w:rPr>
            </w:pPr>
            <w:r>
              <w:rPr>
                <w:color w:val="000000"/>
                <w:spacing w:val="0"/>
                <w:w w:val="100"/>
                <w:position w:val="0"/>
                <w:sz w:val="19"/>
                <w:szCs w:val="19"/>
              </w:rPr>
              <w:t>西藏信托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乐家</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号单一 资金信托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西藏信托有限公司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4,476,400.00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华缔资产管理（北京）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西藏信托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宜家</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号集合 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西藏信托有限公司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4,000,000.00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华缔资产管理（北京）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9"/>
                <w:szCs w:val="19"/>
              </w:rPr>
            </w:pPr>
            <w:r>
              <w:rPr>
                <w:color w:val="000000"/>
                <w:spacing w:val="0"/>
                <w:w w:val="100"/>
                <w:position w:val="0"/>
                <w:sz w:val="19"/>
                <w:szCs w:val="19"/>
              </w:rPr>
              <w:t>华鑫信托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睿科</w:t>
            </w:r>
            <w:r>
              <w:rPr>
                <w:rFonts w:ascii="Times New Roman" w:eastAsia="Times New Roman" w:hAnsi="Times New Roman" w:cs="Times New Roman"/>
                <w:color w:val="000000"/>
                <w:spacing w:val="0"/>
                <w:w w:val="100"/>
                <w:position w:val="0"/>
                <w:sz w:val="20"/>
                <w:szCs w:val="20"/>
              </w:rPr>
              <w:t>46</w:t>
            </w:r>
            <w:r>
              <w:rPr>
                <w:color w:val="000000"/>
                <w:spacing w:val="0"/>
                <w:w w:val="100"/>
                <w:position w:val="0"/>
                <w:sz w:val="19"/>
                <w:szCs w:val="19"/>
              </w:rPr>
              <w:t>号单一 资金信托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华鑫国际信托有限公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200,000,000.00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华缔资产管理（北京）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9"/>
                <w:szCs w:val="19"/>
              </w:rPr>
            </w:pPr>
            <w:r>
              <w:rPr>
                <w:color w:val="000000"/>
                <w:spacing w:val="0"/>
                <w:w w:val="100"/>
                <w:position w:val="0"/>
                <w:sz w:val="19"/>
                <w:szCs w:val="19"/>
              </w:rPr>
              <w:t>华鑫信托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睿科</w:t>
            </w:r>
            <w:r>
              <w:rPr>
                <w:rFonts w:ascii="Times New Roman" w:eastAsia="Times New Roman" w:hAnsi="Times New Roman" w:cs="Times New Roman"/>
                <w:color w:val="000000"/>
                <w:spacing w:val="0"/>
                <w:w w:val="100"/>
                <w:position w:val="0"/>
                <w:sz w:val="20"/>
                <w:szCs w:val="20"/>
              </w:rPr>
              <w:t>64</w:t>
            </w:r>
            <w:r>
              <w:rPr>
                <w:color w:val="000000"/>
                <w:spacing w:val="0"/>
                <w:w w:val="100"/>
                <w:position w:val="0"/>
                <w:sz w:val="19"/>
                <w:szCs w:val="19"/>
              </w:rPr>
              <w:t>号单一 资金信托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华鑫国际信托有限公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69,940,000.00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华缔资产管理（北京）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华鑫信托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睿科</w:t>
            </w:r>
            <w:r>
              <w:rPr>
                <w:rFonts w:ascii="Times New Roman" w:eastAsia="Times New Roman" w:hAnsi="Times New Roman" w:cs="Times New Roman"/>
                <w:color w:val="000000"/>
                <w:spacing w:val="0"/>
                <w:w w:val="100"/>
                <w:position w:val="0"/>
                <w:sz w:val="20"/>
                <w:szCs w:val="20"/>
              </w:rPr>
              <w:t>123</w:t>
            </w:r>
            <w:r>
              <w:rPr>
                <w:color w:val="000000"/>
                <w:spacing w:val="0"/>
                <w:w w:val="100"/>
                <w:position w:val="0"/>
                <w:sz w:val="19"/>
                <w:szCs w:val="19"/>
              </w:rPr>
              <w:t>号单 一资金信托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华鑫国际信托有限公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270,000,000.00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深圳中金财富科技有限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西藏信托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开放式单一资 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西藏信托有限公司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3,350,000.00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591,141,766.47</w:t>
            </w:r>
          </w:p>
        </w:tc>
      </w:tr>
    </w:tbl>
    <w:p>
      <w:pPr>
        <w:pStyle w:val="Style25"/>
        <w:keepNext w:val="0"/>
        <w:keepLines w:val="0"/>
        <w:widowControl w:val="0"/>
        <w:shd w:val="clear" w:color="auto" w:fill="auto"/>
        <w:bidi w:val="0"/>
        <w:spacing w:before="0" w:after="460" w:line="466" w:lineRule="exact"/>
        <w:ind w:left="0" w:right="0" w:firstLine="420"/>
        <w:jc w:val="left"/>
      </w:pPr>
      <w:r>
        <w:rPr>
          <w:color w:val="000000"/>
          <w:spacing w:val="0"/>
          <w:w w:val="100"/>
          <w:position w:val="0"/>
        </w:rPr>
        <w:t>对于纳入合并范围的重要的结构化主体，控制的依据：拥有对被投资方的权利，通过参与被投资方的 相关活动而享有可变回报，并且有能力运用对被投资方的权利影响其回报金额。</w:t>
      </w:r>
    </w:p>
    <w:p>
      <w:pPr>
        <w:pStyle w:val="Style31"/>
        <w:keepNext/>
        <w:keepLines/>
        <w:widowControl w:val="0"/>
        <w:shd w:val="clear" w:color="auto" w:fill="auto"/>
        <w:bidi w:val="0"/>
        <w:spacing w:before="0" w:after="120" w:line="48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color w:val="000000"/>
          <w:spacing w:val="0"/>
          <w:w w:val="100"/>
          <w:position w:val="0"/>
        </w:rPr>
        <w:t>、在合营安排或联营企业中的权益</w:t>
      </w:r>
      <w:bookmarkEnd w:id="1368"/>
      <w:bookmarkEnd w:id="1369"/>
      <w:bookmarkEnd w:id="1371"/>
    </w:p>
    <w:p>
      <w:pPr>
        <w:pStyle w:val="Style40"/>
        <w:keepNext w:val="0"/>
        <w:keepLines w:val="0"/>
        <w:widowControl w:val="0"/>
        <w:shd w:val="clear" w:color="auto" w:fill="auto"/>
        <w:bidi w:val="0"/>
        <w:spacing w:before="0" w:after="0" w:line="240" w:lineRule="auto"/>
        <w:ind w:left="101" w:right="0" w:firstLine="0"/>
        <w:jc w:val="left"/>
        <w:rPr>
          <w:sz w:val="20"/>
          <w:szCs w:val="20"/>
        </w:rPr>
      </w:pPr>
      <w:bookmarkStart w:id="1372" w:name="bookmark137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）重要的合营企业或联营企业</w:t>
      </w:r>
      <w:bookmarkEnd w:id="137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安粮期货股份有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安徽省合肥市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安徽省合肥市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商品、金融期货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上海惬昶信息科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技术服务、技术 开发、技术咨询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深圳市金源兴信 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从事区块链研 发、咨询等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pStyle w:val="Style40"/>
        <w:keepNext w:val="0"/>
        <w:keepLines w:val="0"/>
        <w:widowControl w:val="0"/>
        <w:shd w:val="clear" w:color="auto" w:fill="auto"/>
        <w:bidi w:val="0"/>
        <w:spacing w:before="0" w:after="0" w:line="240" w:lineRule="auto"/>
        <w:ind w:left="101" w:right="0" w:firstLine="0"/>
        <w:jc w:val="left"/>
        <w:rPr>
          <w:sz w:val="20"/>
          <w:szCs w:val="20"/>
        </w:rPr>
      </w:pPr>
      <w:bookmarkStart w:id="1373" w:name="bookmark137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）重要联营企业的主要财务信息</w:t>
      </w:r>
      <w:bookmarkEnd w:id="1373"/>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安粮期货股份有限公司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上海惬昶信息科技有限 责任公司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深圳市金源兴信息技术</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安粮期货股份有限公司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3,432,094,223.96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23,217.00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500,007,963.37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2,373,545,510.35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366,889,325.84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199,465,425.33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3,798,983,549.80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300,023,217.00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500,007,963.37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2,573,010,935.68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2,958,254,713.22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37,502.50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1,990.84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1,895,349,343.37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160,049,242.28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34,734,659.78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3,118,303,955.50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37,502.50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1,990.84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1,930,084,003.15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680,679,594.30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299,985,714.50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500,005,972.53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642,926,932.53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272,271,837.73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146,993,000.10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245,002,926.54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257,170,773.02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16,627,454.92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16,627,454.92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15,024,745.50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15,024,745.50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1,602,709.42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1,602,709.42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288,899,292.65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146,993,000.10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245,002,926.54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273,798,227.94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2,210,777,195.76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1,201,792,903.09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32,317,431.53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5,972.53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29,180,024.22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662,951.35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5,435,230.24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29,842,975.57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37,752,661.77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5,972.53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本年度收到的来自联营 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15,240,000.00</w:t>
            </w:r>
          </w:p>
        </w:tc>
      </w:tr>
    </w:tbl>
    <w:p>
      <w:pPr>
        <w:widowControl w:val="0"/>
        <w:spacing w:after="319" w:line="1" w:lineRule="exact"/>
      </w:pPr>
    </w:p>
    <w:p>
      <w:pPr>
        <w:pStyle w:val="Style37"/>
        <w:keepNext/>
        <w:keepLines/>
        <w:widowControl w:val="0"/>
        <w:numPr>
          <w:ilvl w:val="0"/>
          <w:numId w:val="49"/>
        </w:numPr>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不重要的合营企业和联营企业的汇总财务信息</w:t>
      </w:r>
      <w:bookmarkEnd w:id="1374"/>
      <w:bookmarkEnd w:id="1375"/>
      <w:bookmarkEnd w:id="137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101,440,841.83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99,527,410.84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1,978,697.17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-4,936,648.42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1,978,697.17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-4,936,648.42</w:t>
            </w:r>
          </w:p>
        </w:tc>
      </w:tr>
    </w:tbl>
    <w:p>
      <w:pPr>
        <w:pStyle w:val="Style23"/>
        <w:keepNext/>
        <w:keepLines/>
        <w:widowControl w:val="0"/>
        <w:shd w:val="clear" w:color="auto" w:fill="auto"/>
        <w:bidi w:val="0"/>
        <w:spacing w:before="0" w:after="180" w:line="240" w:lineRule="auto"/>
        <w:ind w:left="0" w:right="0" w:firstLine="0"/>
        <w:jc w:val="both"/>
      </w:pPr>
      <w:bookmarkStart w:id="1378" w:name="bookmark1378"/>
      <w:bookmarkStart w:id="1379" w:name="bookmark1379"/>
      <w:bookmarkStart w:id="1380" w:name="bookmark1380"/>
      <w:r>
        <w:rPr>
          <w:color w:val="000000"/>
          <w:spacing w:val="0"/>
          <w:w w:val="100"/>
          <w:position w:val="0"/>
          <w:sz w:val="24"/>
          <w:szCs w:val="24"/>
        </w:rPr>
        <w:t>十、与金融工具相关的风险</w:t>
      </w:r>
      <w:bookmarkEnd w:id="1378"/>
      <w:bookmarkEnd w:id="1379"/>
      <w:bookmarkEnd w:id="1380"/>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本公司的主要金融工具包括应收款项、应付款项等，各项金融工具的详细情况说明见本附注五。与这 些金融工具有关的风险，以及本公司为降低这些风险所采取的的风险管理政策如下所述。本公司管理层对 这些风险敞口进行管理和监控以确保将上述风险控制在限定的范围之内。各类风险的管理目标和政策：</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本公司从事风险管理的目标是在风险和收益之间取得适当的平衡，将风险对本公司经营业绩的负面影 响减低到最低水平，使股东及其他权益投资者的利益最大化。基于该风险管理目标，本公司风险管理的基 本政策是确定和分析本公司所面临的各种风险，建立适当的风险承受底线并进行风险管理，并及时可靠地 对各种风险进行监督，将风险控制在限定的范围之内。</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本公司金融工具的风险主要是信用风险、市场风险、流动性风险。</w:t>
      </w:r>
    </w:p>
    <w:p>
      <w:pPr>
        <w:pStyle w:val="Style25"/>
        <w:keepNext w:val="0"/>
        <w:keepLines w:val="0"/>
        <w:widowControl w:val="0"/>
        <w:shd w:val="clear" w:color="auto" w:fill="auto"/>
        <w:tabs>
          <w:tab w:pos="1076" w:val="left"/>
        </w:tabs>
        <w:bidi w:val="0"/>
        <w:spacing w:before="0" w:after="0" w:line="470" w:lineRule="exact"/>
        <w:ind w:left="0" w:right="0" w:firstLine="540"/>
        <w:jc w:val="both"/>
      </w:pPr>
      <w:bookmarkStart w:id="1381" w:name="bookmark1381"/>
      <w:r>
        <w:rPr>
          <w:color w:val="000000"/>
          <w:spacing w:val="0"/>
          <w:w w:val="100"/>
          <w:position w:val="0"/>
        </w:rPr>
        <w:t>（</w:t>
      </w:r>
      <w:bookmarkEnd w:id="1381"/>
      <w:r>
        <w:rPr>
          <w:color w:val="000000"/>
          <w:spacing w:val="0"/>
          <w:w w:val="100"/>
          <w:position w:val="0"/>
        </w:rPr>
        <w:t>一）</w:t>
        <w:tab/>
        <w:t>信用风险</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致的客户信用风险。在签订新合同之前，本公司会对新客户的信用风险进行评估，包括外部信用评级和在 某些情况下的银行资信证明（当此信息可获取时）。公司对每一客户均设置了赊销限额，该限额为无需获 得额外批准的最大额度。</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风险在可控的范围内。在监控客户的信用风险时，按照客户的信用特征对其分组。被评为“高风险”级别 的客户会放在受限制客户名单里，并且只有在额外批准的前提下，公司才可在未来期间内对其赊销，否则 必须要求其提前支付相应款项。</w:t>
      </w:r>
    </w:p>
    <w:p>
      <w:pPr>
        <w:pStyle w:val="Style25"/>
        <w:keepNext w:val="0"/>
        <w:keepLines w:val="0"/>
        <w:widowControl w:val="0"/>
        <w:shd w:val="clear" w:color="auto" w:fill="auto"/>
        <w:tabs>
          <w:tab w:pos="1076" w:val="left"/>
        </w:tabs>
        <w:bidi w:val="0"/>
        <w:spacing w:before="0" w:after="0" w:line="466" w:lineRule="exact"/>
        <w:ind w:left="0" w:right="0" w:firstLine="540"/>
        <w:jc w:val="both"/>
      </w:pPr>
      <w:bookmarkStart w:id="1382" w:name="bookmark1382"/>
      <w:r>
        <w:rPr>
          <w:color w:val="000000"/>
          <w:spacing w:val="0"/>
          <w:w w:val="100"/>
          <w:position w:val="0"/>
        </w:rPr>
        <w:t>（</w:t>
      </w:r>
      <w:bookmarkEnd w:id="1382"/>
      <w:r>
        <w:rPr>
          <w:color w:val="000000"/>
          <w:spacing w:val="0"/>
          <w:w w:val="100"/>
          <w:position w:val="0"/>
        </w:rPr>
        <w:t>二）</w:t>
        <w:tab/>
        <w:t>市场风险</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25"/>
        <w:keepNext w:val="0"/>
        <w:keepLines w:val="0"/>
        <w:widowControl w:val="0"/>
        <w:shd w:val="clear" w:color="auto" w:fill="auto"/>
        <w:tabs>
          <w:tab w:pos="928" w:val="left"/>
        </w:tabs>
        <w:bidi w:val="0"/>
        <w:spacing w:before="0" w:after="0" w:line="466" w:lineRule="exact"/>
        <w:ind w:left="0" w:right="0" w:firstLine="440"/>
        <w:jc w:val="both"/>
      </w:pPr>
      <w:bookmarkStart w:id="1383" w:name="bookmark1383"/>
      <w:r>
        <w:rPr>
          <w:color w:val="000000"/>
          <w:spacing w:val="0"/>
          <w:w w:val="100"/>
          <w:position w:val="0"/>
        </w:rPr>
        <w:t>（</w:t>
      </w:r>
      <w:bookmarkEnd w:id="1383"/>
      <w:r>
        <w:rPr>
          <w:color w:val="000000"/>
          <w:spacing w:val="0"/>
          <w:w w:val="100"/>
          <w:position w:val="0"/>
        </w:rPr>
        <w:t>1）</w:t>
        <w:tab/>
      </w:r>
      <w:r>
        <w:rPr>
          <w:color w:val="000000"/>
          <w:spacing w:val="0"/>
          <w:w w:val="100"/>
          <w:position w:val="0"/>
        </w:rPr>
        <w:t>利率风险</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利率风险，是指金融工具的公允价值或未来现金流量因市场利率变动而发生波动的风险。</w:t>
      </w:r>
    </w:p>
    <w:p>
      <w:pPr>
        <w:pStyle w:val="Style25"/>
        <w:keepNext w:val="0"/>
        <w:keepLines w:val="0"/>
        <w:widowControl w:val="0"/>
        <w:shd w:val="clear" w:color="auto" w:fill="auto"/>
        <w:tabs>
          <w:tab w:pos="928" w:val="left"/>
        </w:tabs>
        <w:bidi w:val="0"/>
        <w:spacing w:before="0" w:after="0" w:line="466" w:lineRule="exact"/>
        <w:ind w:left="0" w:right="0" w:firstLine="440"/>
        <w:jc w:val="both"/>
      </w:pPr>
      <w:bookmarkStart w:id="1384" w:name="bookmark1384"/>
      <w:r>
        <w:rPr>
          <w:color w:val="000000"/>
          <w:spacing w:val="0"/>
          <w:w w:val="100"/>
          <w:position w:val="0"/>
        </w:rPr>
        <w:t>（</w:t>
      </w:r>
      <w:bookmarkEnd w:id="1384"/>
      <w:r>
        <w:rPr>
          <w:color w:val="000000"/>
          <w:spacing w:val="0"/>
          <w:w w:val="100"/>
          <w:position w:val="0"/>
        </w:rPr>
        <w:t>2）</w:t>
        <w:tab/>
      </w:r>
      <w:r>
        <w:rPr>
          <w:color w:val="000000"/>
          <w:spacing w:val="0"/>
          <w:w w:val="100"/>
          <w:position w:val="0"/>
        </w:rPr>
        <w:t>汇率风险</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汇率风险，是指金融工具的公允价值或未来现金流量因外汇汇率变动而发生波动的风险。</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本公司本期以美元计价的金融资产和金融负债金额较小，无汇率风险。</w:t>
      </w:r>
    </w:p>
    <w:p>
      <w:pPr>
        <w:pStyle w:val="Style25"/>
        <w:keepNext w:val="0"/>
        <w:keepLines w:val="0"/>
        <w:widowControl w:val="0"/>
        <w:shd w:val="clear" w:color="auto" w:fill="auto"/>
        <w:tabs>
          <w:tab w:pos="928" w:val="left"/>
        </w:tabs>
        <w:bidi w:val="0"/>
        <w:spacing w:before="0" w:after="0" w:line="466" w:lineRule="exact"/>
        <w:ind w:left="0" w:right="0" w:firstLine="440"/>
        <w:jc w:val="both"/>
      </w:pPr>
      <w:bookmarkStart w:id="1385" w:name="bookmark1385"/>
      <w:r>
        <w:rPr>
          <w:color w:val="000000"/>
          <w:spacing w:val="0"/>
          <w:w w:val="100"/>
          <w:position w:val="0"/>
        </w:rPr>
        <w:t>（</w:t>
      </w:r>
      <w:bookmarkEnd w:id="1385"/>
      <w:r>
        <w:rPr>
          <w:color w:val="000000"/>
          <w:spacing w:val="0"/>
          <w:w w:val="100"/>
          <w:position w:val="0"/>
        </w:rPr>
        <w:t>3）</w:t>
        <w:tab/>
      </w:r>
      <w:r>
        <w:rPr>
          <w:color w:val="000000"/>
          <w:spacing w:val="0"/>
          <w:w w:val="100"/>
          <w:position w:val="0"/>
        </w:rPr>
        <w:t>其他价格风险</w:t>
      </w:r>
    </w:p>
    <w:p>
      <w:pPr>
        <w:pStyle w:val="Style25"/>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本公司持有的权益投资列示如下：</w:t>
      </w:r>
    </w:p>
    <w:tbl>
      <w:tblPr>
        <w:tblOverlap w:val="never"/>
        <w:jc w:val="center"/>
        <w:tblLayout w:type="fixed"/>
      </w:tblPr>
      <w:tblGrid>
        <w:gridCol w:w="2702"/>
        <w:gridCol w:w="2338"/>
        <w:gridCol w:w="2491"/>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上年年末余额（元）</w:t>
            </w:r>
          </w:p>
        </w:tc>
      </w:tr>
    </w:tbl>
    <w:tbl>
      <w:tblPr>
        <w:tblOverlap w:val="never"/>
        <w:jc w:val="center"/>
        <w:tblLayout w:type="fixed"/>
      </w:tblPr>
      <w:tblGrid>
        <w:gridCol w:w="2702"/>
        <w:gridCol w:w="2338"/>
        <w:gridCol w:w="249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13,448,400.00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15,810,830.00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13,448,400.00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15,810,830.00</w:t>
            </w:r>
          </w:p>
        </w:tc>
      </w:tr>
    </w:tbl>
    <w:p>
      <w:pPr>
        <w:widowControl w:val="0"/>
        <w:spacing w:after="179" w:line="1" w:lineRule="exact"/>
      </w:pPr>
    </w:p>
    <w:p>
      <w:pPr>
        <w:pStyle w:val="Style25"/>
        <w:keepNext w:val="0"/>
        <w:keepLines w:val="0"/>
        <w:widowControl w:val="0"/>
        <w:shd w:val="clear" w:color="auto" w:fill="auto"/>
        <w:bidi w:val="0"/>
        <w:spacing w:before="0" w:after="0" w:line="468" w:lineRule="exact"/>
        <w:ind w:left="0" w:right="0" w:firstLine="540"/>
        <w:jc w:val="left"/>
      </w:pPr>
      <w:bookmarkStart w:id="1386" w:name="bookmark1386"/>
      <w:r>
        <w:rPr>
          <w:color w:val="000000"/>
          <w:spacing w:val="0"/>
          <w:w w:val="100"/>
          <w:position w:val="0"/>
        </w:rPr>
        <w:t>（</w:t>
      </w:r>
      <w:bookmarkEnd w:id="1386"/>
      <w:r>
        <w:rPr>
          <w:color w:val="000000"/>
          <w:spacing w:val="0"/>
          <w:w w:val="100"/>
          <w:position w:val="0"/>
        </w:rPr>
        <w:t>三）流动性风险</w:t>
      </w:r>
    </w:p>
    <w:p>
      <w:pPr>
        <w:pStyle w:val="Style2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流动性风险，是指企业在履行以交付现金或其他金融资产的方式结算的义务时发生资金短缺的风险。</w:t>
      </w:r>
    </w:p>
    <w:p>
      <w:pPr>
        <w:pStyle w:val="Style25"/>
        <w:keepNext w:val="0"/>
        <w:keepLines w:val="0"/>
        <w:widowControl w:val="0"/>
        <w:shd w:val="clear" w:color="auto" w:fill="auto"/>
        <w:bidi w:val="0"/>
        <w:spacing w:before="0" w:after="0" w:line="468" w:lineRule="exact"/>
        <w:ind w:left="0" w:right="0" w:firstLine="0"/>
        <w:jc w:val="both"/>
      </w:pPr>
      <w:r>
        <w:rPr>
          <w:color w:val="000000"/>
          <w:spacing w:val="0"/>
          <w:w w:val="100"/>
          <w:position w:val="0"/>
        </w:rPr>
        <w:t>本公司的政策是确保拥有充足的现金以偿还到期债务。流动性风险由本公司的财务部门集中控制。财务部 门通过监控现金余额、可随时变现的有价证券以及对未来</w:t>
      </w:r>
      <w:r>
        <w:rPr>
          <w:color w:val="000000"/>
          <w:spacing w:val="0"/>
          <w:w w:val="100"/>
          <w:position w:val="0"/>
        </w:rPr>
        <w:t>12</w:t>
      </w:r>
      <w:r>
        <w:rPr>
          <w:color w:val="000000"/>
          <w:spacing w:val="0"/>
          <w:w w:val="100"/>
          <w:position w:val="0"/>
        </w:rPr>
        <w:t>个月现金流量的滚动预测，确保公司在所有合 理预测的情况下拥有充足的资金偿还债务。</w:t>
      </w:r>
    </w:p>
    <w:p>
      <w:pPr>
        <w:pStyle w:val="Style25"/>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1733"/>
        <w:gridCol w:w="2664"/>
        <w:gridCol w:w="2414"/>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期末余额（元）</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40,200,000.00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9,675,000.00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408,413,250.13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403,276,214.88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10,568,575.81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10,329,643.27</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468,856,825.94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463,480,858.15</w:t>
            </w:r>
          </w:p>
        </w:tc>
      </w:tr>
    </w:tbl>
    <w:p>
      <w:pPr>
        <w:widowControl w:val="0"/>
        <w:spacing w:after="619" w:line="1" w:lineRule="exact"/>
      </w:pPr>
    </w:p>
    <w:p>
      <w:pPr>
        <w:pStyle w:val="Style23"/>
        <w:keepNext/>
        <w:keepLines/>
        <w:widowControl w:val="0"/>
        <w:shd w:val="clear" w:color="auto" w:fill="auto"/>
        <w:bidi w:val="0"/>
        <w:spacing w:before="0" w:after="140" w:line="240" w:lineRule="auto"/>
        <w:ind w:left="0" w:right="0" w:firstLine="0"/>
        <w:jc w:val="both"/>
      </w:pPr>
      <w:bookmarkStart w:id="1387" w:name="bookmark1387"/>
      <w:bookmarkStart w:id="1388" w:name="bookmark1388"/>
      <w:bookmarkStart w:id="1389" w:name="bookmark1389"/>
      <w:r>
        <w:rPr>
          <w:color w:val="000000"/>
          <w:spacing w:val="0"/>
          <w:w w:val="100"/>
          <w:position w:val="0"/>
          <w:sz w:val="24"/>
          <w:szCs w:val="24"/>
        </w:rPr>
        <w:t>十一、关联方及关联交易</w:t>
      </w:r>
      <w:bookmarkEnd w:id="1387"/>
      <w:bookmarkEnd w:id="1388"/>
      <w:bookmarkEnd w:id="1389"/>
    </w:p>
    <w:p>
      <w:pPr>
        <w:pStyle w:val="Style31"/>
        <w:keepNext/>
        <w:keepLines/>
        <w:widowControl w:val="0"/>
        <w:shd w:val="clear" w:color="auto" w:fill="auto"/>
        <w:tabs>
          <w:tab w:pos="368" w:val="left"/>
        </w:tabs>
        <w:bidi w:val="0"/>
        <w:spacing w:before="0" w:after="360" w:line="451" w:lineRule="exact"/>
        <w:ind w:left="0" w:right="0" w:firstLine="0"/>
        <w:jc w:val="both"/>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1</w:t>
      </w:r>
      <w:bookmarkEnd w:id="1392"/>
      <w:r>
        <w:rPr>
          <w:color w:val="000000"/>
          <w:spacing w:val="0"/>
          <w:w w:val="100"/>
          <w:position w:val="0"/>
        </w:rPr>
        <w:t>、</w:t>
        <w:tab/>
        <w:t>本企业的母公司情况</w:t>
      </w:r>
      <w:bookmarkEnd w:id="1390"/>
      <w:bookmarkEnd w:id="1391"/>
      <w:bookmarkEnd w:id="1393"/>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本企业最终控制方是沈飒、朱烨东夫妇。</w:t>
      </w:r>
    </w:p>
    <w:p>
      <w:pPr>
        <w:pStyle w:val="Style25"/>
        <w:keepNext w:val="0"/>
        <w:keepLines w:val="0"/>
        <w:widowControl w:val="0"/>
        <w:shd w:val="clear" w:color="auto" w:fill="auto"/>
        <w:bidi w:val="0"/>
        <w:spacing w:before="0" w:after="0" w:line="451" w:lineRule="exact"/>
        <w:ind w:left="0" w:right="0" w:firstLine="0"/>
        <w:jc w:val="both"/>
        <w:rPr>
          <w:sz w:val="19"/>
          <w:szCs w:val="19"/>
        </w:rPr>
      </w:pPr>
      <w:r>
        <w:rPr>
          <w:color w:val="000000"/>
          <w:spacing w:val="0"/>
          <w:w w:val="100"/>
          <w:position w:val="0"/>
          <w:sz w:val="19"/>
          <w:szCs w:val="19"/>
        </w:rPr>
        <w:t>其他说明：</w:t>
      </w:r>
    </w:p>
    <w:p>
      <w:pPr>
        <w:pStyle w:val="Style25"/>
        <w:keepNext w:val="0"/>
        <w:keepLines w:val="0"/>
        <w:widowControl w:val="0"/>
        <w:shd w:val="clear" w:color="auto" w:fill="auto"/>
        <w:bidi w:val="0"/>
        <w:spacing w:before="0" w:after="240" w:line="451" w:lineRule="exact"/>
        <w:ind w:left="0" w:right="0" w:firstLine="440"/>
        <w:jc w:val="both"/>
      </w:pPr>
      <w:r>
        <w:rPr>
          <w:color w:val="000000"/>
          <w:spacing w:val="0"/>
          <w:w w:val="100"/>
          <w:position w:val="0"/>
        </w:rPr>
        <w:t>公司实际控制人为沈飒、朱烨东夫妇，本公司第一大股东为自然人沈飒，沈飒、朱烨东夫妇直接持有 公司</w:t>
      </w:r>
      <w:r>
        <w:rPr>
          <w:rFonts w:ascii="Times New Roman" w:eastAsia="Times New Roman" w:hAnsi="Times New Roman" w:cs="Times New Roman"/>
          <w:color w:val="000000"/>
          <w:spacing w:val="0"/>
          <w:w w:val="100"/>
          <w:position w:val="0"/>
        </w:rPr>
        <w:t>15.8949%</w:t>
      </w:r>
      <w:r>
        <w:rPr>
          <w:color w:val="000000"/>
          <w:spacing w:val="0"/>
          <w:w w:val="100"/>
          <w:position w:val="0"/>
        </w:rPr>
        <w:t>的股份。</w:t>
      </w:r>
    </w:p>
    <w:p>
      <w:pPr>
        <w:pStyle w:val="Style31"/>
        <w:keepNext/>
        <w:keepLines/>
        <w:widowControl w:val="0"/>
        <w:shd w:val="clear" w:color="auto" w:fill="auto"/>
        <w:tabs>
          <w:tab w:pos="378" w:val="left"/>
        </w:tabs>
        <w:bidi w:val="0"/>
        <w:spacing w:before="0" w:after="140" w:line="451" w:lineRule="exact"/>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color w:val="000000"/>
          <w:spacing w:val="0"/>
          <w:w w:val="100"/>
          <w:position w:val="0"/>
        </w:rPr>
        <w:t>、</w:t>
        <w:tab/>
        <w:t>本企业的子公司情况</w:t>
      </w:r>
      <w:bookmarkEnd w:id="1394"/>
      <w:bookmarkEnd w:id="1395"/>
      <w:bookmarkEnd w:id="1397"/>
    </w:p>
    <w:p>
      <w:pPr>
        <w:pStyle w:val="Style25"/>
        <w:keepNext w:val="0"/>
        <w:keepLines w:val="0"/>
        <w:widowControl w:val="0"/>
        <w:shd w:val="clear" w:color="auto" w:fill="auto"/>
        <w:bidi w:val="0"/>
        <w:spacing w:before="0" w:after="140" w:line="451" w:lineRule="exact"/>
        <w:ind w:left="0" w:right="0" w:firstLine="0"/>
        <w:jc w:val="left"/>
        <w:rPr>
          <w:sz w:val="19"/>
          <w:szCs w:val="19"/>
        </w:rPr>
      </w:pPr>
      <w:r>
        <w:rPr>
          <w:color w:val="000000"/>
          <w:spacing w:val="0"/>
          <w:w w:val="100"/>
          <w:position w:val="0"/>
          <w:sz w:val="19"/>
          <w:szCs w:val="19"/>
        </w:rPr>
        <w:t>本企业子公司的情况详见附注九、在其他主体中的权益。</w:t>
      </w:r>
    </w:p>
    <w:p>
      <w:pPr>
        <w:pStyle w:val="Style31"/>
        <w:keepNext/>
        <w:keepLines/>
        <w:widowControl w:val="0"/>
        <w:shd w:val="clear" w:color="auto" w:fill="auto"/>
        <w:tabs>
          <w:tab w:pos="378" w:val="left"/>
        </w:tabs>
        <w:bidi w:val="0"/>
        <w:spacing w:before="0" w:after="360" w:line="451" w:lineRule="exact"/>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3</w:t>
      </w:r>
      <w:bookmarkEnd w:id="1400"/>
      <w:r>
        <w:rPr>
          <w:color w:val="000000"/>
          <w:spacing w:val="0"/>
          <w:w w:val="100"/>
          <w:position w:val="0"/>
        </w:rPr>
        <w:t>、</w:t>
        <w:tab/>
        <w:t>本企业合营和联营企业情况</w:t>
      </w:r>
      <w:bookmarkEnd w:id="1398"/>
      <w:bookmarkEnd w:id="1399"/>
      <w:bookmarkEnd w:id="1401"/>
    </w:p>
    <w:p>
      <w:pPr>
        <w:pStyle w:val="Style25"/>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本企业重要的合营或联营企业详见附注九、在其他主体中的权益。</w:t>
      </w:r>
    </w:p>
    <w:p>
      <w:pPr>
        <w:pStyle w:val="Style25"/>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北京中关村互联网金融信息服务中心有限公司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both"/>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4</w:t>
      </w:r>
      <w:bookmarkEnd w:id="1404"/>
      <w:r>
        <w:rPr>
          <w:color w:val="000000"/>
          <w:spacing w:val="0"/>
          <w:w w:val="100"/>
          <w:position w:val="0"/>
        </w:rPr>
        <w:t>、其他关联方情况</w:t>
      </w:r>
      <w:bookmarkEnd w:id="1402"/>
      <w:bookmarkEnd w:id="1403"/>
      <w:bookmarkEnd w:id="1405"/>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北京奥金智策传媒科技有限公司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年期末已处置的联营企业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深圳市金方达信息技术有限公司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年期末已处置的联营企业</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5</w:t>
      </w:r>
      <w:bookmarkEnd w:id="1408"/>
      <w:r>
        <w:rPr>
          <w:color w:val="000000"/>
          <w:spacing w:val="0"/>
          <w:w w:val="100"/>
          <w:position w:val="0"/>
        </w:rPr>
        <w:t>、关联交易情况</w:t>
      </w:r>
      <w:bookmarkEnd w:id="1406"/>
      <w:bookmarkEnd w:id="1407"/>
      <w:bookmarkEnd w:id="1409"/>
    </w:p>
    <w:p>
      <w:pPr>
        <w:pStyle w:val="Style37"/>
        <w:keepNext/>
        <w:keepLines/>
        <w:widowControl w:val="0"/>
        <w:shd w:val="clear" w:color="auto" w:fill="auto"/>
        <w:bidi w:val="0"/>
        <w:spacing w:before="0" w:after="340" w:line="240" w:lineRule="auto"/>
        <w:ind w:left="0" w:right="0" w:firstLine="0"/>
        <w:jc w:val="both"/>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10"/>
      <w:bookmarkEnd w:id="1411"/>
      <w:bookmarkEnd w:id="1412"/>
    </w:p>
    <w:p>
      <w:pPr>
        <w:pStyle w:val="Style25"/>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采购商品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接受劳务情况表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深圳市金方达信息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设备采购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2,437,755.78</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出售商品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提供劳务情况表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北京中关村互联网金融信息服 务中心有限公司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243,811.32</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北京奥金智策传媒科技有限公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47,169.81</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413"/>
      <w:bookmarkEnd w:id="1414"/>
      <w:bookmarkEnd w:id="1415"/>
    </w:p>
    <w:p>
      <w:pPr>
        <w:pStyle w:val="Style25"/>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本公司作为被担保方</w:t>
      </w:r>
    </w:p>
    <w:p>
      <w:pPr>
        <w:pStyle w:val="Style40"/>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沈飒、朱烨东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29,437,781.46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沈飒、朱烨东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29,442,390.55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沈飒、朱烨东、北京中 科金财信息科技有限公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11,890,000.00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沈飒、朱烨东、北京中 科金财信息科技有限公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33,667,746.00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沈飒、朱烨东、北京中 科金财信息科技有限公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沈飒、朱烨东、北京中 科金财信息科技有限公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朱烨东、沈飒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11,890,000.00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沈飒、朱烨东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天津中科金财科技有限 公司、沈飒、朱烨东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天津中科金财科技有限 公司、沈飒、朱烨东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w:t>
      </w:r>
      <w:bookmarkEnd w:id="1418"/>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416"/>
      <w:bookmarkEnd w:id="1417"/>
      <w:bookmarkEnd w:id="141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7,215,992.60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8,202,091.04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6</w:t>
      </w:r>
      <w:bookmarkEnd w:id="1422"/>
      <w:r>
        <w:rPr>
          <w:color w:val="000000"/>
          <w:spacing w:val="0"/>
          <w:w w:val="100"/>
          <w:position w:val="0"/>
        </w:rPr>
        <w:t>、关联方应收应付款项</w:t>
      </w:r>
      <w:bookmarkEnd w:id="1420"/>
      <w:bookmarkEnd w:id="1421"/>
      <w:bookmarkEnd w:id="1423"/>
    </w:p>
    <w:p>
      <w:pPr>
        <w:pStyle w:val="Style37"/>
        <w:keepNext/>
        <w:keepLines/>
        <w:widowControl w:val="0"/>
        <w:shd w:val="clear" w:color="auto" w:fill="auto"/>
        <w:bidi w:val="0"/>
        <w:spacing w:before="0" w:after="380" w:line="240" w:lineRule="auto"/>
        <w:ind w:left="0" w:right="0" w:firstLine="0"/>
        <w:jc w:val="both"/>
      </w:pPr>
      <w:bookmarkStart w:id="1424" w:name="bookmark1424"/>
      <w:bookmarkStart w:id="1425" w:name="bookmark1425"/>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）应付项目</w:t>
      </w:r>
      <w:bookmarkEnd w:id="1424"/>
      <w:bookmarkEnd w:id="1425"/>
      <w:bookmarkEnd w:id="142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深圳市金方达信息技术有限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626,088.12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北京国信新网通讯技术有限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737,292.41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北京国信新网通讯技术有限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2,469,930.00</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r>
        <w:rPr>
          <w:color w:val="000000"/>
          <w:spacing w:val="0"/>
          <w:w w:val="100"/>
          <w:position w:val="0"/>
          <w:sz w:val="24"/>
          <w:szCs w:val="24"/>
        </w:rPr>
        <w:t>十二、承诺及或有事项</w:t>
      </w:r>
      <w:bookmarkEnd w:id="1427"/>
      <w:bookmarkEnd w:id="1428"/>
      <w:bookmarkEnd w:id="1429"/>
    </w:p>
    <w:p>
      <w:pPr>
        <w:pStyle w:val="Style31"/>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30"/>
      <w:bookmarkEnd w:id="1431"/>
      <w:bookmarkEnd w:id="1432"/>
    </w:p>
    <w:p>
      <w:pPr>
        <w:pStyle w:val="Style25"/>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rPr>
        <w:t>资产负债表日存在的重要承诺</w:t>
      </w:r>
    </w:p>
    <w:p>
      <w:pPr>
        <w:pStyle w:val="Style25"/>
        <w:keepNext w:val="0"/>
        <w:keepLines w:val="0"/>
        <w:widowControl w:val="0"/>
        <w:shd w:val="clear" w:color="auto" w:fill="auto"/>
        <w:bidi w:val="0"/>
        <w:spacing w:before="0" w:after="340" w:line="240" w:lineRule="auto"/>
        <w:ind w:left="0" w:right="0" w:firstLine="0"/>
        <w:jc w:val="left"/>
        <w:rPr>
          <w:sz w:val="19"/>
          <w:szCs w:val="19"/>
        </w:rPr>
        <w:sectPr>
          <w:headerReference w:type="default" r:id="rId15"/>
          <w:footerReference w:type="default" r:id="rId16"/>
          <w:headerReference w:type="first" r:id="rId17"/>
          <w:footerReference w:type="first" r:id="rId18"/>
          <w:footnotePr>
            <w:pos w:val="pageBottom"/>
            <w:numFmt w:val="decimal"/>
            <w:numRestart w:val="continuous"/>
          </w:footnotePr>
          <w:pgSz w:w="11900" w:h="16840"/>
          <w:pgMar w:top="1311" w:right="1063" w:bottom="1508" w:left="1046" w:header="0" w:footer="3" w:gutter="0"/>
          <w:cols w:space="720"/>
          <w:noEndnote/>
          <w:titlePg/>
          <w:rtlGutter w:val="0"/>
          <w:docGrid w:linePitch="360"/>
        </w:sect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）经营租赁承诺</w:t>
      </w:r>
    </w:p>
    <w:p>
      <w:pPr>
        <w:pStyle w:val="Style25"/>
        <w:keepNext w:val="0"/>
        <w:keepLines w:val="0"/>
        <w:widowControl w:val="0"/>
        <w:shd w:val="clear" w:color="auto" w:fill="auto"/>
        <w:bidi w:val="0"/>
        <w:spacing w:before="320" w:after="22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月，公司与北京高技术创业服务中心有限公司签订了编号为</w:t>
      </w:r>
      <w:r>
        <w:rPr>
          <w:rFonts w:ascii="Times New Roman" w:eastAsia="Times New Roman" w:hAnsi="Times New Roman" w:cs="Times New Roman"/>
          <w:color w:val="000000"/>
          <w:spacing w:val="0"/>
          <w:w w:val="100"/>
          <w:position w:val="0"/>
        </w:rPr>
        <w:t xml:space="preserve">B2020-9 </w:t>
      </w:r>
      <w:r>
        <w:rPr>
          <w:color w:val="000000"/>
          <w:spacing w:val="0"/>
          <w:w w:val="100"/>
          <w:position w:val="0"/>
        </w:rPr>
        <w:t>（</w:t>
      </w:r>
      <w:r>
        <w:rPr>
          <w:rFonts w:ascii="Times New Roman" w:eastAsia="Times New Roman" w:hAnsi="Times New Roman" w:cs="Times New Roman"/>
          <w:color w:val="000000"/>
          <w:spacing w:val="0"/>
          <w:w w:val="100"/>
          <w:position w:val="0"/>
        </w:rPr>
        <w:t>ZQ200133</w:t>
      </w:r>
      <w:r>
        <w:rPr>
          <w:color w:val="000000"/>
          <w:spacing w:val="0"/>
          <w:w w:val="100"/>
          <w:position w:val="0"/>
        </w:rPr>
        <w:t>）</w:t>
      </w:r>
      <w:r>
        <w:rPr>
          <w:color w:val="000000"/>
          <w:spacing w:val="0"/>
          <w:w w:val="100"/>
          <w:position w:val="0"/>
        </w:rPr>
        <w:t>的房屋租 赁合同，租赁北京创业大厦</w:t>
      </w:r>
      <w:r>
        <w:rPr>
          <w:rFonts w:ascii="Times New Roman" w:eastAsia="Times New Roman" w:hAnsi="Times New Roman" w:cs="Times New Roman"/>
          <w:color w:val="000000"/>
          <w:spacing w:val="0"/>
          <w:w w:val="100"/>
          <w:position w:val="0"/>
        </w:rPr>
        <w:t>B</w:t>
      </w:r>
      <w:r>
        <w:rPr>
          <w:color w:val="000000"/>
          <w:spacing w:val="0"/>
          <w:w w:val="100"/>
          <w:position w:val="0"/>
        </w:rPr>
        <w:t>座第</w:t>
      </w:r>
      <w:r>
        <w:rPr>
          <w:i/>
          <w:iCs/>
          <w:color w:val="000000"/>
          <w:spacing w:val="0"/>
          <w:w w:val="100"/>
          <w:position w:val="0"/>
        </w:rPr>
        <w:t>9</w:t>
      </w:r>
      <w:r>
        <w:rPr>
          <w:color w:val="000000"/>
          <w:spacing w:val="0"/>
          <w:w w:val="100"/>
          <w:position w:val="0"/>
        </w:rPr>
        <w:t>层</w:t>
      </w:r>
      <w:r>
        <w:rPr>
          <w:rFonts w:ascii="Times New Roman" w:eastAsia="Times New Roman" w:hAnsi="Times New Roman" w:cs="Times New Roman"/>
          <w:color w:val="000000"/>
          <w:spacing w:val="0"/>
          <w:w w:val="100"/>
          <w:position w:val="0"/>
        </w:rPr>
        <w:t>903</w:t>
      </w:r>
      <w:r>
        <w:rPr>
          <w:color w:val="000000"/>
          <w:spacing w:val="0"/>
          <w:w w:val="100"/>
          <w:position w:val="0"/>
        </w:rPr>
        <w:t>、</w:t>
      </w:r>
      <w:r>
        <w:rPr>
          <w:rFonts w:ascii="Times New Roman" w:eastAsia="Times New Roman" w:hAnsi="Times New Roman" w:cs="Times New Roman"/>
          <w:color w:val="000000"/>
          <w:spacing w:val="0"/>
          <w:w w:val="100"/>
          <w:position w:val="0"/>
        </w:rPr>
        <w:t>905</w:t>
      </w:r>
      <w:r>
        <w:rPr>
          <w:color w:val="000000"/>
          <w:spacing w:val="0"/>
          <w:w w:val="100"/>
          <w:position w:val="0"/>
        </w:rPr>
        <w:t>、</w:t>
      </w:r>
      <w:r>
        <w:rPr>
          <w:rFonts w:ascii="Times New Roman" w:eastAsia="Times New Roman" w:hAnsi="Times New Roman" w:cs="Times New Roman"/>
          <w:color w:val="000000"/>
          <w:spacing w:val="0"/>
          <w:w w:val="100"/>
          <w:position w:val="0"/>
        </w:rPr>
        <w:t>906</w:t>
      </w:r>
      <w:r>
        <w:rPr>
          <w:color w:val="000000"/>
          <w:spacing w:val="0"/>
          <w:w w:val="100"/>
          <w:position w:val="0"/>
        </w:rPr>
        <w:t>、</w:t>
      </w:r>
      <w:r>
        <w:rPr>
          <w:rFonts w:ascii="Times New Roman" w:eastAsia="Times New Roman" w:hAnsi="Times New Roman" w:cs="Times New Roman"/>
          <w:color w:val="000000"/>
          <w:spacing w:val="0"/>
          <w:w w:val="100"/>
          <w:position w:val="0"/>
        </w:rPr>
        <w:t>907</w:t>
      </w:r>
      <w:r>
        <w:rPr>
          <w:color w:val="000000"/>
          <w:spacing w:val="0"/>
          <w:w w:val="100"/>
          <w:position w:val="0"/>
        </w:rPr>
        <w:t>、</w:t>
      </w:r>
      <w:r>
        <w:rPr>
          <w:rFonts w:ascii="Times New Roman" w:eastAsia="Times New Roman" w:hAnsi="Times New Roman" w:cs="Times New Roman"/>
          <w:color w:val="000000"/>
          <w:spacing w:val="0"/>
          <w:w w:val="100"/>
          <w:position w:val="0"/>
        </w:rPr>
        <w:t>908</w:t>
      </w:r>
      <w:r>
        <w:rPr>
          <w:color w:val="000000"/>
          <w:spacing w:val="0"/>
          <w:w w:val="100"/>
          <w:position w:val="0"/>
        </w:rPr>
        <w:t>、</w:t>
      </w:r>
      <w:r>
        <w:rPr>
          <w:rFonts w:ascii="Times New Roman" w:eastAsia="Times New Roman" w:hAnsi="Times New Roman" w:cs="Times New Roman"/>
          <w:color w:val="000000"/>
          <w:spacing w:val="0"/>
          <w:w w:val="100"/>
          <w:position w:val="0"/>
        </w:rPr>
        <w:t>909</w:t>
      </w:r>
      <w:r>
        <w:rPr>
          <w:color w:val="000000"/>
          <w:spacing w:val="0"/>
          <w:w w:val="100"/>
          <w:position w:val="0"/>
        </w:rPr>
        <w:t>室。租期自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日起至 </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日止。租赁建筑面积为</w:t>
      </w:r>
      <w:r>
        <w:rPr>
          <w:rFonts w:ascii="Times New Roman" w:eastAsia="Times New Roman" w:hAnsi="Times New Roman" w:cs="Times New Roman"/>
          <w:color w:val="000000"/>
          <w:spacing w:val="0"/>
          <w:w w:val="100"/>
          <w:position w:val="0"/>
        </w:rPr>
        <w:t>1332</w:t>
      </w:r>
      <w:r>
        <w:rPr>
          <w:color w:val="000000"/>
          <w:spacing w:val="0"/>
          <w:w w:val="100"/>
          <w:position w:val="0"/>
        </w:rPr>
        <w:t>平方米，收费标准：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日期间 租赁单位的租金及物业服务费标准为</w:t>
      </w:r>
      <w:r>
        <w:rPr>
          <w:rFonts w:ascii="Times New Roman" w:eastAsia="Times New Roman" w:hAnsi="Times New Roman" w:cs="Times New Roman"/>
          <w:color w:val="000000"/>
          <w:spacing w:val="0"/>
          <w:w w:val="100"/>
          <w:position w:val="0"/>
        </w:rPr>
        <w:t>5.3</w:t>
      </w:r>
      <w:r>
        <w:rPr>
          <w:color w:val="000000"/>
          <w:spacing w:val="0"/>
          <w:w w:val="100"/>
          <w:position w:val="0"/>
        </w:rPr>
        <w:t>元人民币</w:t>
      </w:r>
      <w:r>
        <w:rPr>
          <w:rFonts w:ascii="Times New Roman" w:eastAsia="Times New Roman" w:hAnsi="Times New Roman" w:cs="Times New Roman"/>
          <w:color w:val="000000"/>
          <w:spacing w:val="0"/>
          <w:w w:val="100"/>
          <w:position w:val="0"/>
        </w:rPr>
        <w:t>/</w:t>
      </w:r>
      <w:r>
        <w:rPr>
          <w:color w:val="000000"/>
          <w:spacing w:val="0"/>
          <w:w w:val="100"/>
          <w:position w:val="0"/>
        </w:rPr>
        <w:t>建筑平方米</w:t>
      </w:r>
      <w:r>
        <w:rPr>
          <w:rFonts w:ascii="Times New Roman" w:eastAsia="Times New Roman" w:hAnsi="Times New Roman" w:cs="Times New Roman"/>
          <w:color w:val="000000"/>
          <w:spacing w:val="0"/>
          <w:w w:val="100"/>
          <w:position w:val="0"/>
        </w:rPr>
        <w:t>/</w:t>
      </w:r>
      <w:r>
        <w:rPr>
          <w:color w:val="000000"/>
          <w:spacing w:val="0"/>
          <w:w w:val="100"/>
          <w:position w:val="0"/>
        </w:rPr>
        <w:t>0，</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日期 间租赁单位的租金及物业服务费标准为</w:t>
      </w:r>
      <w:r>
        <w:rPr>
          <w:rFonts w:ascii="Times New Roman" w:eastAsia="Times New Roman" w:hAnsi="Times New Roman" w:cs="Times New Roman"/>
          <w:color w:val="000000"/>
          <w:spacing w:val="0"/>
          <w:w w:val="100"/>
          <w:position w:val="0"/>
        </w:rPr>
        <w:t>5.62</w:t>
      </w:r>
      <w:r>
        <w:rPr>
          <w:color w:val="000000"/>
          <w:spacing w:val="0"/>
          <w:w w:val="100"/>
          <w:position w:val="0"/>
        </w:rPr>
        <w:t>元人民币</w:t>
      </w:r>
      <w:r>
        <w:rPr>
          <w:rFonts w:ascii="Times New Roman" w:eastAsia="Times New Roman" w:hAnsi="Times New Roman" w:cs="Times New Roman"/>
          <w:color w:val="000000"/>
          <w:spacing w:val="0"/>
          <w:w w:val="100"/>
          <w:position w:val="0"/>
        </w:rPr>
        <w:t>/</w:t>
      </w:r>
      <w:r>
        <w:rPr>
          <w:color w:val="000000"/>
          <w:spacing w:val="0"/>
          <w:w w:val="100"/>
          <w:position w:val="0"/>
        </w:rPr>
        <w:t>建筑平方米</w:t>
      </w:r>
      <w:r>
        <w:rPr>
          <w:rFonts w:ascii="Times New Roman" w:eastAsia="Times New Roman" w:hAnsi="Times New Roman" w:cs="Times New Roman"/>
          <w:color w:val="000000"/>
          <w:spacing w:val="0"/>
          <w:w w:val="100"/>
          <w:position w:val="0"/>
        </w:rPr>
        <w:t>/</w:t>
      </w:r>
      <w:r>
        <w:rPr>
          <w:color w:val="000000"/>
          <w:spacing w:val="0"/>
          <w:w w:val="100"/>
          <w:position w:val="0"/>
        </w:rPr>
        <w:t>日。</w:t>
      </w:r>
    </w:p>
    <w:p>
      <w:pPr>
        <w:pStyle w:val="Style31"/>
        <w:keepNext/>
        <w:keepLines/>
        <w:widowControl w:val="0"/>
        <w:shd w:val="clear" w:color="auto" w:fill="auto"/>
        <w:bidi w:val="0"/>
        <w:spacing w:before="0" w:after="120" w:line="469" w:lineRule="exact"/>
        <w:ind w:left="0" w:right="0" w:firstLine="0"/>
        <w:jc w:val="left"/>
      </w:pPr>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433"/>
      <w:bookmarkEnd w:id="1434"/>
      <w:bookmarkEnd w:id="1435"/>
    </w:p>
    <w:p>
      <w:pPr>
        <w:pStyle w:val="Style37"/>
        <w:keepNext/>
        <w:keepLines/>
        <w:widowControl w:val="0"/>
        <w:shd w:val="clear" w:color="auto" w:fill="auto"/>
        <w:bidi w:val="0"/>
        <w:spacing w:before="0" w:after="460" w:line="469" w:lineRule="exact"/>
        <w:ind w:left="0" w:right="0" w:firstLine="0"/>
        <w:jc w:val="left"/>
      </w:pPr>
      <w:bookmarkStart w:id="1436" w:name="bookmark1436"/>
      <w:bookmarkStart w:id="1437" w:name="bookmark1437"/>
      <w:bookmarkStart w:id="1438" w:name="bookmark14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436"/>
      <w:bookmarkEnd w:id="1437"/>
      <w:bookmarkEnd w:id="1438"/>
    </w:p>
    <w:p>
      <w:pPr>
        <w:pStyle w:val="Style25"/>
        <w:keepNext w:val="0"/>
        <w:keepLines w:val="0"/>
        <w:widowControl w:val="0"/>
        <w:shd w:val="clear" w:color="auto" w:fill="auto"/>
        <w:bidi w:val="0"/>
        <w:spacing w:before="0" w:after="22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、提供保函担保</w:t>
      </w:r>
    </w:p>
    <w:p>
      <w:pPr>
        <w:pStyle w:val="Style25"/>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日，公司尚有未到期的由银行为公司提供的保函担保，明细见下表:</w:t>
      </w:r>
    </w:p>
    <w:tbl>
      <w:tblPr>
        <w:tblOverlap w:val="never"/>
        <w:jc w:val="center"/>
        <w:tblLayout w:type="fixed"/>
      </w:tblPr>
      <w:tblGrid>
        <w:gridCol w:w="3461"/>
        <w:gridCol w:w="758"/>
        <w:gridCol w:w="1032"/>
        <w:gridCol w:w="1560"/>
        <w:gridCol w:w="1286"/>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币种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担保金额</w:t>
            </w:r>
            <w:r>
              <w:rPr>
                <w:color w:val="000000"/>
                <w:spacing w:val="0"/>
                <w:w w:val="100"/>
                <w:position w:val="0"/>
                <w:sz w:val="19"/>
                <w:szCs w:val="19"/>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担保事由</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北京银行中关村科技园区支行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5,457,745.13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杭州银行北京上地支行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954,723.00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中国建设银行北京安华支行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18,589,131.39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宁波银行股份有限公司北京分行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11,204,868.49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厦门国际银行北京中关村支行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3,551,694.93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招商银行股份有限公司北京大运村支行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浙商银行股份有限公司北京分行营业部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14,321,143.78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中信银行北京西山壹号院支行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59,035,371.72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日，公司尚有已到期尚未撤销的由银行为公司提供的保函担保，明细见下表:</w:t>
      </w:r>
    </w:p>
    <w:tbl>
      <w:tblPr>
        <w:tblOverlap w:val="never"/>
        <w:jc w:val="center"/>
        <w:tblLayout w:type="fixed"/>
      </w:tblPr>
      <w:tblGrid>
        <w:gridCol w:w="3408"/>
        <w:gridCol w:w="854"/>
        <w:gridCol w:w="989"/>
        <w:gridCol w:w="1560"/>
        <w:gridCol w:w="1286"/>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币种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担保金额</w:t>
            </w:r>
            <w:r>
              <w:rPr>
                <w:color w:val="000000"/>
                <w:spacing w:val="0"/>
                <w:w w:val="100"/>
                <w:position w:val="0"/>
                <w:sz w:val="19"/>
                <w:szCs w:val="19"/>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担保事由</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杭州银行北京上地支行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中信银行北京西山壹号院支行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浙商银行北京分行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305,321.11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1,302,141.11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7"/>
        <w:keepNext/>
        <w:keepLines/>
        <w:widowControl w:val="0"/>
        <w:shd w:val="clear" w:color="auto" w:fill="auto"/>
        <w:bidi w:val="0"/>
        <w:spacing w:before="0" w:line="240" w:lineRule="auto"/>
        <w:ind w:left="0" w:right="0" w:firstLine="0"/>
        <w:jc w:val="both"/>
      </w:pPr>
      <w:bookmarkStart w:id="1439" w:name="bookmark1439"/>
      <w:bookmarkStart w:id="1440" w:name="bookmark1440"/>
      <w:bookmarkStart w:id="1441" w:name="bookmark14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439"/>
      <w:bookmarkEnd w:id="1440"/>
      <w:bookmarkEnd w:id="1441"/>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公司不存在需要披露的重要或有事项。</w:t>
      </w:r>
    </w:p>
    <w:p>
      <w:pPr>
        <w:pStyle w:val="Style23"/>
        <w:keepNext/>
        <w:keepLines/>
        <w:widowControl w:val="0"/>
        <w:shd w:val="clear" w:color="auto" w:fill="auto"/>
        <w:bidi w:val="0"/>
        <w:spacing w:before="0" w:after="360" w:line="240" w:lineRule="auto"/>
        <w:ind w:left="0" w:right="0" w:firstLine="0"/>
        <w:jc w:val="both"/>
      </w:pPr>
      <w:bookmarkStart w:id="1442" w:name="bookmark1442"/>
      <w:bookmarkStart w:id="1443" w:name="bookmark1443"/>
      <w:bookmarkStart w:id="1444" w:name="bookmark1444"/>
      <w:r>
        <w:rPr>
          <w:color w:val="000000"/>
          <w:spacing w:val="0"/>
          <w:w w:val="100"/>
          <w:position w:val="0"/>
          <w:sz w:val="24"/>
          <w:szCs w:val="24"/>
        </w:rPr>
        <w:t>十三、资产负债表日后事项</w:t>
      </w:r>
      <w:bookmarkEnd w:id="1442"/>
      <w:bookmarkEnd w:id="1443"/>
      <w:bookmarkEnd w:id="1444"/>
    </w:p>
    <w:p>
      <w:pPr>
        <w:pStyle w:val="Style31"/>
        <w:keepNext/>
        <w:keepLines/>
        <w:widowControl w:val="0"/>
        <w:shd w:val="clear" w:color="auto" w:fill="auto"/>
        <w:bidi w:val="0"/>
        <w:spacing w:before="0" w:after="280" w:line="240" w:lineRule="auto"/>
        <w:ind w:left="0" w:right="0" w:firstLine="0"/>
        <w:jc w:val="both"/>
      </w:pPr>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445"/>
      <w:bookmarkEnd w:id="1446"/>
      <w:bookmarkEnd w:id="1447"/>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1,080,569.24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1,080,569.24</w:t>
            </w:r>
          </w:p>
        </w:tc>
      </w:tr>
    </w:tbl>
    <w:p>
      <w:pPr>
        <w:widowControl w:val="0"/>
        <w:spacing w:after="119" w:line="1" w:lineRule="exact"/>
      </w:pPr>
    </w:p>
    <w:p>
      <w:pPr>
        <w:pStyle w:val="Style31"/>
        <w:keepNext/>
        <w:keepLines/>
        <w:widowControl w:val="0"/>
        <w:shd w:val="clear" w:color="auto" w:fill="auto"/>
        <w:bidi w:val="0"/>
        <w:spacing w:before="0" w:after="180" w:line="470" w:lineRule="exact"/>
        <w:ind w:left="0" w:right="0" w:firstLine="0"/>
        <w:jc w:val="left"/>
      </w:pPr>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448"/>
      <w:bookmarkEnd w:id="1449"/>
      <w:bookmarkEnd w:id="1450"/>
    </w:p>
    <w:p>
      <w:pPr>
        <w:pStyle w:val="Style25"/>
        <w:keepNext w:val="0"/>
        <w:keepLines w:val="0"/>
        <w:widowControl w:val="0"/>
        <w:shd w:val="clear" w:color="auto" w:fill="auto"/>
        <w:tabs>
          <w:tab w:pos="928" w:val="left"/>
        </w:tabs>
        <w:bidi w:val="0"/>
        <w:spacing w:before="0" w:after="0" w:line="475" w:lineRule="exact"/>
        <w:ind w:left="0" w:right="0" w:firstLine="440"/>
        <w:jc w:val="left"/>
      </w:pPr>
      <w:bookmarkStart w:id="1451" w:name="bookmark1451"/>
      <w:r>
        <w:rPr>
          <w:color w:val="000000"/>
          <w:spacing w:val="0"/>
          <w:w w:val="100"/>
          <w:position w:val="0"/>
        </w:rPr>
        <w:t>（</w:t>
      </w:r>
      <w:bookmarkEnd w:id="1451"/>
      <w:r>
        <w:rPr>
          <w:color w:val="000000"/>
          <w:spacing w:val="0"/>
          <w:w w:val="100"/>
          <w:position w:val="0"/>
        </w:rPr>
        <w:t>1）</w:t>
        <w:tab/>
      </w:r>
      <w:r>
        <w:rPr>
          <w:color w:val="000000"/>
          <w:spacing w:val="0"/>
          <w:w w:val="100"/>
          <w:position w:val="0"/>
        </w:rPr>
        <w:t>上海惬昶信息科技有限责任公司</w:t>
      </w:r>
    </w:p>
    <w:p>
      <w:pPr>
        <w:pStyle w:val="Style25"/>
        <w:keepNext w:val="0"/>
        <w:keepLines w:val="0"/>
        <w:widowControl w:val="0"/>
        <w:shd w:val="clear" w:color="auto" w:fill="auto"/>
        <w:bidi w:val="0"/>
        <w:spacing w:before="0" w:after="0" w:line="475"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日，公司与上海晋宇投资管理有限公司共同设立上海惬昶信息科技有限责任公司（以下 简称“上海惬昶”），注册资本</w:t>
      </w:r>
      <w:r>
        <w:rPr>
          <w:color w:val="000000"/>
          <w:spacing w:val="0"/>
          <w:w w:val="100"/>
          <w:position w:val="0"/>
        </w:rPr>
        <w:t>40,000.0</w:t>
      </w:r>
      <w:r>
        <w:rPr>
          <w:color w:val="000000"/>
          <w:spacing w:val="0"/>
          <w:w w:val="100"/>
          <w:position w:val="0"/>
        </w:rPr>
        <w:t>0</w:t>
      </w:r>
      <w:r>
        <w:rPr>
          <w:color w:val="000000"/>
          <w:spacing w:val="0"/>
          <w:w w:val="100"/>
          <w:position w:val="0"/>
        </w:rPr>
        <w:t>万元，公司认缴出资</w:t>
      </w:r>
      <w:r>
        <w:rPr>
          <w:color w:val="000000"/>
          <w:spacing w:val="0"/>
          <w:w w:val="100"/>
          <w:position w:val="0"/>
        </w:rPr>
        <w:t>19,600.0</w:t>
      </w:r>
      <w:r>
        <w:rPr>
          <w:color w:val="000000"/>
          <w:spacing w:val="0"/>
          <w:w w:val="100"/>
          <w:position w:val="0"/>
        </w:rPr>
        <w:t>0</w:t>
      </w:r>
      <w:r>
        <w:rPr>
          <w:color w:val="000000"/>
          <w:spacing w:val="0"/>
          <w:w w:val="100"/>
          <w:position w:val="0"/>
        </w:rPr>
        <w:t>万元，持股比例</w:t>
      </w:r>
      <w:r>
        <w:rPr>
          <w:color w:val="000000"/>
          <w:spacing w:val="0"/>
          <w:w w:val="100"/>
          <w:position w:val="0"/>
        </w:rPr>
        <w:t>49%</w:t>
      </w:r>
      <w:r>
        <w:rPr>
          <w:color w:val="000000"/>
          <w:spacing w:val="0"/>
          <w:w w:val="100"/>
          <w:position w:val="0"/>
        </w:rPr>
        <w:t>。公司实缴 出资</w:t>
      </w:r>
      <w:r>
        <w:rPr>
          <w:color w:val="000000"/>
          <w:spacing w:val="0"/>
          <w:w w:val="100"/>
          <w:position w:val="0"/>
        </w:rPr>
        <w:t>14,700.0</w:t>
      </w:r>
      <w:r>
        <w:rPr>
          <w:color w:val="000000"/>
          <w:spacing w:val="0"/>
          <w:w w:val="100"/>
          <w:position w:val="0"/>
        </w:rPr>
        <w:t>0</w:t>
      </w:r>
      <w:r>
        <w:rPr>
          <w:color w:val="000000"/>
          <w:spacing w:val="0"/>
          <w:w w:val="100"/>
          <w:position w:val="0"/>
        </w:rPr>
        <w:t>万元，另一股东实缴出资</w:t>
      </w:r>
      <w:r>
        <w:rPr>
          <w:color w:val="000000"/>
          <w:spacing w:val="0"/>
          <w:w w:val="100"/>
          <w:position w:val="0"/>
        </w:rPr>
        <w:t>15,300.0</w:t>
      </w:r>
      <w:r>
        <w:rPr>
          <w:color w:val="000000"/>
          <w:spacing w:val="0"/>
          <w:w w:val="100"/>
          <w:position w:val="0"/>
        </w:rPr>
        <w:t>0</w:t>
      </w:r>
      <w:r>
        <w:rPr>
          <w:color w:val="000000"/>
          <w:spacing w:val="0"/>
          <w:w w:val="100"/>
          <w:position w:val="0"/>
        </w:rPr>
        <w:t>万元，共计已实缴出资</w:t>
      </w:r>
      <w:r>
        <w:rPr>
          <w:color w:val="000000"/>
          <w:spacing w:val="0"/>
          <w:w w:val="100"/>
          <w:position w:val="0"/>
        </w:rPr>
        <w:t>30,000.0</w:t>
      </w:r>
      <w:r>
        <w:rPr>
          <w:color w:val="000000"/>
          <w:spacing w:val="0"/>
          <w:w w:val="100"/>
          <w:position w:val="0"/>
        </w:rPr>
        <w:t>0</w:t>
      </w:r>
      <w:r>
        <w:rPr>
          <w:color w:val="000000"/>
          <w:spacing w:val="0"/>
          <w:w w:val="100"/>
          <w:position w:val="0"/>
        </w:rPr>
        <w:t>万元。上海惬昶未正 式开展经营活动。</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日，经公司第五届董事会第十七次会议审议决定注销上海惬昶。</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日，公司已 收到退回的投资款</w:t>
      </w:r>
      <w:r>
        <w:rPr>
          <w:color w:val="000000"/>
          <w:spacing w:val="0"/>
          <w:w w:val="100"/>
          <w:position w:val="0"/>
        </w:rPr>
        <w:t>14,650.0</w:t>
      </w:r>
      <w:r>
        <w:rPr>
          <w:color w:val="000000"/>
          <w:spacing w:val="0"/>
          <w:w w:val="100"/>
          <w:position w:val="0"/>
        </w:rPr>
        <w:t>0</w:t>
      </w:r>
      <w:r>
        <w:rPr>
          <w:color w:val="000000"/>
          <w:spacing w:val="0"/>
          <w:w w:val="100"/>
          <w:position w:val="0"/>
        </w:rPr>
        <w:t>万元。</w:t>
      </w:r>
    </w:p>
    <w:p>
      <w:pPr>
        <w:pStyle w:val="Style25"/>
        <w:keepNext w:val="0"/>
        <w:keepLines w:val="0"/>
        <w:widowControl w:val="0"/>
        <w:shd w:val="clear" w:color="auto" w:fill="auto"/>
        <w:tabs>
          <w:tab w:pos="928" w:val="left"/>
        </w:tabs>
        <w:bidi w:val="0"/>
        <w:spacing w:before="0" w:after="0" w:line="469" w:lineRule="exact"/>
        <w:ind w:left="0" w:right="0" w:firstLine="440"/>
        <w:jc w:val="left"/>
      </w:pPr>
      <w:bookmarkStart w:id="1452" w:name="bookmark1452"/>
      <w:r>
        <w:rPr>
          <w:color w:val="000000"/>
          <w:spacing w:val="0"/>
          <w:w w:val="100"/>
          <w:position w:val="0"/>
        </w:rPr>
        <w:t>（</w:t>
      </w:r>
      <w:bookmarkEnd w:id="1452"/>
      <w:r>
        <w:rPr>
          <w:color w:val="000000"/>
          <w:spacing w:val="0"/>
          <w:w w:val="100"/>
          <w:position w:val="0"/>
        </w:rPr>
        <w:t>2）</w:t>
        <w:tab/>
      </w:r>
      <w:r>
        <w:rPr>
          <w:color w:val="000000"/>
          <w:spacing w:val="0"/>
          <w:w w:val="100"/>
          <w:position w:val="0"/>
        </w:rPr>
        <w:t>深圳市金源兴信息技术有限公司</w:t>
      </w:r>
    </w:p>
    <w:p>
      <w:pPr>
        <w:pStyle w:val="Style25"/>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日，公司与深圳市航嘉源控股（集团）有限公司共同设立深圳市金源兴信息技术有限公 司（以下简称“深圳金源兴”</w:t>
      </w:r>
      <w:r>
        <w:rPr>
          <w:color w:val="000000"/>
          <w:spacing w:val="0"/>
          <w:w w:val="100"/>
          <w:position w:val="0"/>
        </w:rPr>
        <w:t>），</w:t>
      </w:r>
      <w:r>
        <w:rPr>
          <w:color w:val="000000"/>
          <w:spacing w:val="0"/>
          <w:w w:val="100"/>
          <w:position w:val="0"/>
        </w:rPr>
        <w:t>注册资本</w:t>
      </w:r>
      <w:r>
        <w:rPr>
          <w:color w:val="000000"/>
          <w:spacing w:val="0"/>
          <w:w w:val="100"/>
          <w:position w:val="0"/>
        </w:rPr>
        <w:t xml:space="preserve">50,000. </w:t>
      </w:r>
      <w:r>
        <w:rPr>
          <w:color w:val="000000"/>
          <w:spacing w:val="0"/>
          <w:w w:val="100"/>
          <w:position w:val="0"/>
        </w:rPr>
        <w:t>00</w:t>
      </w:r>
      <w:r>
        <w:rPr>
          <w:color w:val="000000"/>
          <w:spacing w:val="0"/>
          <w:w w:val="100"/>
          <w:position w:val="0"/>
        </w:rPr>
        <w:t>万元，公司认缴出资</w:t>
      </w:r>
      <w:r>
        <w:rPr>
          <w:color w:val="000000"/>
          <w:spacing w:val="0"/>
          <w:w w:val="100"/>
          <w:position w:val="0"/>
        </w:rPr>
        <w:t xml:space="preserve">24, </w:t>
      </w:r>
      <w:r>
        <w:rPr>
          <w:color w:val="000000"/>
          <w:spacing w:val="0"/>
          <w:w w:val="100"/>
          <w:position w:val="0"/>
        </w:rPr>
        <w:t>500.0</w:t>
      </w:r>
      <w:r>
        <w:rPr>
          <w:color w:val="000000"/>
          <w:spacing w:val="0"/>
          <w:w w:val="100"/>
          <w:position w:val="0"/>
        </w:rPr>
        <w:t>0</w:t>
      </w:r>
      <w:r>
        <w:rPr>
          <w:color w:val="000000"/>
          <w:spacing w:val="0"/>
          <w:w w:val="100"/>
          <w:position w:val="0"/>
        </w:rPr>
        <w:t>万元，持股比例</w:t>
      </w:r>
      <w:r>
        <w:rPr>
          <w:color w:val="000000"/>
          <w:spacing w:val="0"/>
          <w:w w:val="100"/>
          <w:position w:val="0"/>
        </w:rPr>
        <w:t>49%</w:t>
      </w:r>
      <w:r>
        <w:rPr>
          <w:color w:val="000000"/>
          <w:spacing w:val="0"/>
          <w:w w:val="100"/>
          <w:position w:val="0"/>
        </w:rPr>
        <w:t>。 公司实缴出资</w:t>
      </w:r>
      <w:r>
        <w:rPr>
          <w:color w:val="000000"/>
          <w:spacing w:val="0"/>
          <w:w w:val="100"/>
          <w:position w:val="0"/>
        </w:rPr>
        <w:t>24,500.0</w:t>
      </w:r>
      <w:r>
        <w:rPr>
          <w:color w:val="000000"/>
          <w:spacing w:val="0"/>
          <w:w w:val="100"/>
          <w:position w:val="0"/>
        </w:rPr>
        <w:t>0</w:t>
      </w:r>
      <w:r>
        <w:rPr>
          <w:color w:val="000000"/>
          <w:spacing w:val="0"/>
          <w:w w:val="100"/>
          <w:position w:val="0"/>
        </w:rPr>
        <w:t>万元，另一股东实缴出资</w:t>
      </w:r>
      <w:r>
        <w:rPr>
          <w:color w:val="000000"/>
          <w:spacing w:val="0"/>
          <w:w w:val="100"/>
          <w:position w:val="0"/>
        </w:rPr>
        <w:t>25,500.0</w:t>
      </w:r>
      <w:r>
        <w:rPr>
          <w:color w:val="000000"/>
          <w:spacing w:val="0"/>
          <w:w w:val="100"/>
          <w:position w:val="0"/>
        </w:rPr>
        <w:t>0</w:t>
      </w:r>
      <w:r>
        <w:rPr>
          <w:color w:val="000000"/>
          <w:spacing w:val="0"/>
          <w:w w:val="100"/>
          <w:position w:val="0"/>
        </w:rPr>
        <w:t>万元，共计实缴出资</w:t>
      </w:r>
      <w:r>
        <w:rPr>
          <w:color w:val="000000"/>
          <w:spacing w:val="0"/>
          <w:w w:val="100"/>
          <w:position w:val="0"/>
        </w:rPr>
        <w:t>50,000.0</w:t>
      </w:r>
      <w:r>
        <w:rPr>
          <w:color w:val="000000"/>
          <w:spacing w:val="0"/>
          <w:w w:val="100"/>
          <w:position w:val="0"/>
        </w:rPr>
        <w:t>0</w:t>
      </w:r>
      <w:r>
        <w:rPr>
          <w:color w:val="000000"/>
          <w:spacing w:val="0"/>
          <w:w w:val="100"/>
          <w:position w:val="0"/>
        </w:rPr>
        <w:t>万元。深圳金 源兴未正式开展经营活动。于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月将资金借予深圳市航嘉源控股（集团）有限公司的两个关联企业。 资金借款方于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日期间归还了上述借款并支付了资金使用费。</w:t>
      </w:r>
    </w:p>
    <w:p>
      <w:pPr>
        <w:pStyle w:val="Style23"/>
        <w:keepNext/>
        <w:keepLines/>
        <w:widowControl w:val="0"/>
        <w:shd w:val="clear" w:color="auto" w:fill="auto"/>
        <w:bidi w:val="0"/>
        <w:spacing w:before="0" w:after="120" w:line="240" w:lineRule="auto"/>
        <w:ind w:left="0" w:right="0" w:firstLine="0"/>
        <w:jc w:val="left"/>
      </w:pPr>
      <w:bookmarkStart w:id="1453" w:name="bookmark1453"/>
      <w:bookmarkStart w:id="1454" w:name="bookmark1454"/>
      <w:bookmarkStart w:id="1455" w:name="bookmark1455"/>
      <w:r>
        <w:rPr>
          <w:color w:val="000000"/>
          <w:spacing w:val="0"/>
          <w:w w:val="100"/>
          <w:position w:val="0"/>
          <w:sz w:val="24"/>
          <w:szCs w:val="24"/>
        </w:rPr>
        <w:t>十四、其他重要事项</w:t>
      </w:r>
      <w:bookmarkEnd w:id="1453"/>
      <w:bookmarkEnd w:id="1454"/>
      <w:bookmarkEnd w:id="1455"/>
    </w:p>
    <w:p>
      <w:pPr>
        <w:pStyle w:val="Style31"/>
        <w:keepNext/>
        <w:keepLines/>
        <w:widowControl w:val="0"/>
        <w:shd w:val="clear" w:color="auto" w:fill="auto"/>
        <w:bidi w:val="0"/>
        <w:spacing w:before="0" w:after="180" w:line="470" w:lineRule="exact"/>
        <w:ind w:left="0" w:right="0" w:firstLine="0"/>
        <w:jc w:val="left"/>
      </w:pPr>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456"/>
      <w:bookmarkEnd w:id="1457"/>
      <w:bookmarkEnd w:id="1458"/>
    </w:p>
    <w:p>
      <w:pPr>
        <w:pStyle w:val="Style25"/>
        <w:keepNext w:val="0"/>
        <w:keepLines w:val="0"/>
        <w:widowControl w:val="0"/>
        <w:shd w:val="clear" w:color="auto" w:fill="auto"/>
        <w:tabs>
          <w:tab w:pos="928" w:val="left"/>
        </w:tabs>
        <w:bidi w:val="0"/>
        <w:spacing w:before="0" w:after="0" w:line="470" w:lineRule="exact"/>
        <w:ind w:left="0" w:right="0" w:firstLine="440"/>
        <w:jc w:val="left"/>
      </w:pPr>
      <w:bookmarkStart w:id="1459" w:name="bookmark1459"/>
      <w:r>
        <w:rPr>
          <w:color w:val="000000"/>
          <w:spacing w:val="0"/>
          <w:w w:val="100"/>
          <w:position w:val="0"/>
        </w:rPr>
        <w:t>（</w:t>
      </w:r>
      <w:bookmarkEnd w:id="1459"/>
      <w:r>
        <w:rPr>
          <w:color w:val="000000"/>
          <w:spacing w:val="0"/>
          <w:w w:val="100"/>
          <w:position w:val="0"/>
        </w:rPr>
        <w:t>1）</w:t>
        <w:tab/>
      </w:r>
      <w:r>
        <w:rPr>
          <w:color w:val="000000"/>
          <w:spacing w:val="0"/>
          <w:w w:val="100"/>
          <w:position w:val="0"/>
        </w:rPr>
        <w:t>补缴税款情况</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月收到国家税务总局北京市税务局第一稽查局税务检查通知书，公司自查补缴增值税</w:t>
      </w:r>
    </w:p>
    <w:p>
      <w:pPr>
        <w:pStyle w:val="Style25"/>
        <w:keepNext w:val="0"/>
        <w:keepLines w:val="0"/>
        <w:widowControl w:val="0"/>
        <w:shd w:val="clear" w:color="auto" w:fill="auto"/>
        <w:bidi w:val="0"/>
        <w:spacing w:before="0" w:after="0" w:line="470" w:lineRule="exact"/>
        <w:ind w:left="0" w:right="0" w:firstLine="0"/>
        <w:jc w:val="left"/>
      </w:pPr>
      <w:r>
        <w:rPr>
          <w:color w:val="000000"/>
          <w:spacing w:val="0"/>
          <w:w w:val="100"/>
          <w:position w:val="0"/>
        </w:rPr>
        <w:t xml:space="preserve">5,510, </w:t>
      </w:r>
      <w:r>
        <w:rPr>
          <w:color w:val="000000"/>
          <w:spacing w:val="0"/>
          <w:w w:val="100"/>
          <w:position w:val="0"/>
        </w:rPr>
        <w:t xml:space="preserve">344. </w:t>
      </w:r>
      <w:r>
        <w:rPr>
          <w:color w:val="000000"/>
          <w:spacing w:val="0"/>
          <w:w w:val="100"/>
          <w:position w:val="0"/>
        </w:rPr>
        <w:t>50</w:t>
      </w:r>
      <w:r>
        <w:rPr>
          <w:color w:val="000000"/>
          <w:spacing w:val="0"/>
          <w:w w:val="100"/>
          <w:position w:val="0"/>
        </w:rPr>
        <w:t>元，附加税</w:t>
      </w:r>
      <w:r>
        <w:rPr>
          <w:color w:val="000000"/>
          <w:spacing w:val="0"/>
          <w:w w:val="100"/>
          <w:position w:val="0"/>
        </w:rPr>
        <w:t>661,241.36</w:t>
      </w:r>
      <w:r>
        <w:rPr>
          <w:color w:val="000000"/>
          <w:spacing w:val="0"/>
          <w:w w:val="100"/>
          <w:position w:val="0"/>
        </w:rPr>
        <w:t>元，企业所得税</w:t>
      </w:r>
      <w:r>
        <w:rPr>
          <w:color w:val="000000"/>
          <w:spacing w:val="0"/>
          <w:w w:val="100"/>
          <w:position w:val="0"/>
        </w:rPr>
        <w:t xml:space="preserve">2,734, </w:t>
      </w:r>
      <w:r>
        <w:rPr>
          <w:color w:val="000000"/>
          <w:spacing w:val="0"/>
          <w:w w:val="100"/>
          <w:position w:val="0"/>
        </w:rPr>
        <w:t xml:space="preserve">528. </w:t>
      </w:r>
      <w:r>
        <w:rPr>
          <w:color w:val="000000"/>
          <w:spacing w:val="0"/>
          <w:w w:val="100"/>
          <w:position w:val="0"/>
        </w:rPr>
        <w:t>14</w:t>
      </w:r>
      <w:r>
        <w:rPr>
          <w:color w:val="000000"/>
          <w:spacing w:val="0"/>
          <w:w w:val="100"/>
          <w:position w:val="0"/>
        </w:rPr>
        <w:t>元，滞纳金</w:t>
      </w:r>
      <w:r>
        <w:rPr>
          <w:color w:val="000000"/>
          <w:spacing w:val="0"/>
          <w:w w:val="100"/>
          <w:position w:val="0"/>
        </w:rPr>
        <w:t>2,881,789.75</w:t>
      </w:r>
      <w:r>
        <w:rPr>
          <w:color w:val="000000"/>
          <w:spacing w:val="0"/>
          <w:w w:val="100"/>
          <w:position w:val="0"/>
        </w:rPr>
        <w:t>元。</w:t>
      </w:r>
    </w:p>
    <w:p>
      <w:pPr>
        <w:pStyle w:val="Style25"/>
        <w:keepNext w:val="0"/>
        <w:keepLines w:val="0"/>
        <w:widowControl w:val="0"/>
        <w:shd w:val="clear" w:color="auto" w:fill="auto"/>
        <w:tabs>
          <w:tab w:pos="928" w:val="left"/>
        </w:tabs>
        <w:bidi w:val="0"/>
        <w:spacing w:before="0" w:after="0" w:line="470" w:lineRule="exact"/>
        <w:ind w:left="0" w:right="0" w:firstLine="440"/>
        <w:jc w:val="left"/>
      </w:pPr>
      <w:bookmarkStart w:id="1460" w:name="bookmark1460"/>
      <w:r>
        <w:rPr>
          <w:color w:val="000000"/>
          <w:spacing w:val="0"/>
          <w:w w:val="100"/>
          <w:position w:val="0"/>
        </w:rPr>
        <w:t>（</w:t>
      </w:r>
      <w:bookmarkEnd w:id="1460"/>
      <w:r>
        <w:rPr>
          <w:color w:val="000000"/>
          <w:spacing w:val="0"/>
          <w:w w:val="100"/>
          <w:position w:val="0"/>
        </w:rPr>
        <w:t>2）</w:t>
        <w:tab/>
      </w:r>
      <w:r>
        <w:rPr>
          <w:color w:val="000000"/>
          <w:spacing w:val="0"/>
          <w:w w:val="100"/>
          <w:position w:val="0"/>
        </w:rPr>
        <w:t>大股东股权质押情况</w:t>
      </w:r>
    </w:p>
    <w:p>
      <w:pPr>
        <w:pStyle w:val="Style25"/>
        <w:keepNext w:val="0"/>
        <w:keepLines w:val="0"/>
        <w:widowControl w:val="0"/>
        <w:shd w:val="clear" w:color="auto" w:fill="auto"/>
        <w:bidi w:val="0"/>
        <w:spacing w:before="0" w:after="160" w:line="470" w:lineRule="exact"/>
        <w:ind w:left="0" w:right="0" w:firstLine="44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日，公司第一大股东沈飒持有公司股份</w:t>
      </w:r>
      <w:r>
        <w:rPr>
          <w:color w:val="000000"/>
          <w:spacing w:val="0"/>
          <w:w w:val="100"/>
          <w:position w:val="0"/>
        </w:rPr>
        <w:t>50,392,918</w:t>
      </w:r>
      <w:r>
        <w:rPr>
          <w:color w:val="000000"/>
          <w:spacing w:val="0"/>
          <w:w w:val="100"/>
          <w:position w:val="0"/>
        </w:rPr>
        <w:t>股，占公司总股本的</w:t>
      </w:r>
      <w:r>
        <w:rPr>
          <w:color w:val="000000"/>
          <w:spacing w:val="0"/>
          <w:w w:val="100"/>
          <w:position w:val="0"/>
        </w:rPr>
        <w:t>14.93%</w:t>
      </w:r>
      <w:r>
        <w:rPr>
          <w:color w:val="000000"/>
          <w:spacing w:val="0"/>
          <w:w w:val="100"/>
          <w:position w:val="0"/>
        </w:rPr>
        <w:t>，其 中质押公司股份</w:t>
      </w:r>
      <w:r>
        <w:rPr>
          <w:color w:val="000000"/>
          <w:spacing w:val="0"/>
          <w:w w:val="100"/>
          <w:position w:val="0"/>
        </w:rPr>
        <w:t>19,827,599</w:t>
      </w:r>
      <w:r>
        <w:rPr>
          <w:color w:val="000000"/>
          <w:spacing w:val="0"/>
          <w:w w:val="100"/>
          <w:position w:val="0"/>
        </w:rPr>
        <w:t>股，占其持有公司股份总数的</w:t>
      </w:r>
      <w:r>
        <w:rPr>
          <w:color w:val="000000"/>
          <w:spacing w:val="0"/>
          <w:w w:val="100"/>
          <w:position w:val="0"/>
        </w:rPr>
        <w:t>39.35%，</w:t>
      </w:r>
      <w:r>
        <w:rPr>
          <w:color w:val="000000"/>
          <w:spacing w:val="0"/>
          <w:w w:val="100"/>
          <w:position w:val="0"/>
        </w:rPr>
        <w:t>占公司总股本的</w:t>
      </w:r>
      <w:r>
        <w:rPr>
          <w:color w:val="000000"/>
          <w:spacing w:val="0"/>
          <w:w w:val="100"/>
          <w:position w:val="0"/>
        </w:rPr>
        <w:t>5.87%</w:t>
      </w:r>
      <w:r>
        <w:rPr>
          <w:color w:val="000000"/>
          <w:spacing w:val="0"/>
          <w:w w:val="100"/>
          <w:position w:val="0"/>
        </w:rPr>
        <w:t>。</w:t>
      </w:r>
      <w:r>
        <w:br w:type="page"/>
      </w:r>
    </w:p>
    <w:p>
      <w:pPr>
        <w:pStyle w:val="Style23"/>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r>
        <w:rPr>
          <w:color w:val="000000"/>
          <w:spacing w:val="0"/>
          <w:w w:val="100"/>
          <w:position w:val="0"/>
          <w:sz w:val="24"/>
          <w:szCs w:val="24"/>
        </w:rPr>
        <w:t>十五、母公司财务报表主要项目注释</w:t>
      </w:r>
      <w:bookmarkEnd w:id="1461"/>
      <w:bookmarkEnd w:id="1462"/>
      <w:bookmarkEnd w:id="1463"/>
    </w:p>
    <w:p>
      <w:pPr>
        <w:pStyle w:val="Style31"/>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64"/>
      <w:bookmarkEnd w:id="1465"/>
      <w:bookmarkEnd w:id="1466"/>
    </w:p>
    <w:p>
      <w:pPr>
        <w:pStyle w:val="Style37"/>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67"/>
      <w:bookmarkEnd w:id="1468"/>
      <w:bookmarkEnd w:id="1469"/>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126,978,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12,033,8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114,944,1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73,009,71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10,626,54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62,383,173.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126,978,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12,033,8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114,944,1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73,009,71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10,626,54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62,383,173.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按组合计提坏账准备：账龄组合</w: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105,223,527.95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5,261,176.40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11,497,837.46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1,149,783.75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5,071,362.59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1,014,272.52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1,153,303.92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576,651.96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1,628,408.83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1,628,408.83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2,403,599.49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2,403,599.49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126,978,040.24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12,033,892.94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140" w:line="298" w:lineRule="exact"/>
        <w:ind w:left="0" w:right="0" w:firstLine="0"/>
        <w:jc w:val="both"/>
        <w:rPr>
          <w:sz w:val="19"/>
          <w:szCs w:val="19"/>
        </w:rPr>
      </w:pPr>
      <w:r>
        <w:rPr>
          <w:color w:val="000000"/>
          <w:spacing w:val="0"/>
          <w:w w:val="100"/>
          <w:position w:val="0"/>
          <w:sz w:val="19"/>
          <w:szCs w:val="19"/>
        </w:rPr>
        <w:t>如是按照预期信用损失一般模型计提应收账款坏账准备，请参照其他应收款的披露方式披露坏账准备的相关信 息：</w:t>
      </w:r>
    </w:p>
    <w:p>
      <w:pPr>
        <w:pStyle w:val="Style25"/>
        <w:keepNext w:val="0"/>
        <w:keepLines w:val="0"/>
        <w:widowControl w:val="0"/>
        <w:shd w:val="clear" w:color="auto" w:fill="auto"/>
        <w:bidi w:val="0"/>
        <w:spacing w:before="0" w:after="0" w:line="312"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140" w:line="298" w:lineRule="exact"/>
        <w:ind w:left="0" w:right="0" w:firstLine="0"/>
        <w:jc w:val="both"/>
        <w:rPr>
          <w:sz w:val="19"/>
          <w:szCs w:val="19"/>
        </w:rPr>
      </w:pPr>
      <w:r>
        <w:rPr>
          <w:color w:val="000000"/>
          <w:spacing w:val="0"/>
          <w:w w:val="100"/>
          <w:position w:val="0"/>
          <w:sz w:val="19"/>
          <w:szCs w:val="19"/>
        </w:rPr>
        <w:t>按账龄披露</w: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105,223,527.95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11,497,837.46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5,071,362.59</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5,185,312.24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1,153,303.92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1,628,408.83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2,403,599.49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126,978,040.24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70"/>
      <w:bookmarkEnd w:id="1471"/>
      <w:bookmarkEnd w:id="1472"/>
    </w:p>
    <w:p>
      <w:pPr>
        <w:pStyle w:val="Style25"/>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本期计提坏账准备情况：</w: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10,626,544.71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1,407,348.23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12,033,892.94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10,626,544.71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1,407,348.23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12,033,892.94</w:t>
            </w:r>
          </w:p>
        </w:tc>
      </w:tr>
    </w:tbl>
    <w:p>
      <w:pPr>
        <w:widowControl w:val="0"/>
        <w:spacing w:after="319" w:line="1" w:lineRule="exact"/>
      </w:pPr>
    </w:p>
    <w:p>
      <w:pPr>
        <w:pStyle w:val="Style37"/>
        <w:keepNext/>
        <w:keepLines/>
        <w:widowControl w:val="0"/>
        <w:numPr>
          <w:ilvl w:val="0"/>
          <w:numId w:val="51"/>
        </w:numPr>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按欠款方归集的期末余额前五名的应收账款情况</w:t>
      </w:r>
      <w:bookmarkEnd w:id="1473"/>
      <w:bookmarkEnd w:id="1474"/>
      <w:bookmarkEnd w:id="1476"/>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13,242,430.90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662,121.55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11,246,772.49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562,338.62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10,944,701.56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547,235.08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5,015,485.90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250,774.30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4,579,633.46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228,981.67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45,029,024.31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77"/>
      <w:bookmarkEnd w:id="1478"/>
      <w:bookmarkEnd w:id="1479"/>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65,373,186.69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76,731,654.76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65,373,186.69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76,731,654.76</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80"/>
      <w:bookmarkEnd w:id="1481"/>
      <w:bookmarkEnd w:id="1482"/>
    </w:p>
    <w:p>
      <w:pPr>
        <w:pStyle w:val="Style66"/>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483"/>
      <w:bookmarkEnd w:id="1484"/>
      <w:bookmarkEnd w:id="1485"/>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36,111,314.92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44,458,661.56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30,149.03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房租物业押金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2,607,418.60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2,181,034.00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39,610,000.00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344,433.25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78,424,251.65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86,514,277.84</w:t>
            </w:r>
          </w:p>
        </w:tc>
      </w:tr>
    </w:tbl>
    <w:p>
      <w:pPr>
        <w:widowControl w:val="0"/>
        <w:spacing w:after="319" w:line="1" w:lineRule="exact"/>
      </w:pPr>
    </w:p>
    <w:p>
      <w:pPr>
        <w:pStyle w:val="Style66"/>
        <w:keepNext/>
        <w:keepLines/>
        <w:widowControl w:val="0"/>
        <w:shd w:val="clear" w:color="auto" w:fill="auto"/>
        <w:bidi w:val="0"/>
        <w:spacing w:before="0" w:after="380" w:line="240" w:lineRule="auto"/>
        <w:ind w:left="0" w:right="0" w:firstLine="0"/>
        <w:jc w:val="left"/>
      </w:pPr>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486"/>
      <w:bookmarkEnd w:id="1487"/>
      <w:bookmarkEnd w:id="1488"/>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9,782,623.08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9,782,623.08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3,268,441.88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3,268,441.88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13,051,064.96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13,051,064.96</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损失准备本期变动金额重大的账面余额变动情况</w:t>
      </w:r>
    </w:p>
    <w:p>
      <w:pPr>
        <w:pStyle w:val="Style25"/>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不适用</w:t>
      </w:r>
    </w:p>
    <w:p>
      <w:pPr>
        <w:pStyle w:val="Style2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按账龄披露</w:t>
      </w:r>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56,688,725.03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6,088,309.63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1,908,324.85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13,738,892.14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5,064,518.73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7,550,412.23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1,123,961.18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78,424,251.65</w:t>
            </w:r>
          </w:p>
        </w:tc>
      </w:tr>
    </w:tbl>
    <w:p>
      <w:pPr>
        <w:spacing w:lineRule="exact" w:line="1"/>
        <w:rPr>
          <w:sz w:val="2"/>
          <w:szCs w:val="2"/>
        </w:rPr>
      </w:pPr>
      <w:r>
        <w:br w:type="page"/>
      </w:r>
    </w:p>
    <w:p>
      <w:pPr>
        <w:pStyle w:val="Style66"/>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color w:val="000000"/>
          <w:spacing w:val="0"/>
          <w:w w:val="100"/>
          <w:position w:val="0"/>
        </w:rPr>
        <w:t>）本期计提、收回或转回的坏账准备情况</w:t>
      </w:r>
      <w:bookmarkEnd w:id="1489"/>
      <w:bookmarkEnd w:id="1490"/>
      <w:bookmarkEnd w:id="1492"/>
    </w:p>
    <w:p>
      <w:pPr>
        <w:pStyle w:val="Style25"/>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本期计提坏账准备情况：</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按组合计提坏账准 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9,782,623.08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3,268,441.88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13,051,064.96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9,782,623.08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3,268,441.88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13,051,064.96</w:t>
            </w:r>
          </w:p>
        </w:tc>
      </w:tr>
    </w:tbl>
    <w:p>
      <w:pPr>
        <w:widowControl w:val="0"/>
        <w:spacing w:after="359" w:line="1" w:lineRule="exact"/>
      </w:pPr>
    </w:p>
    <w:p>
      <w:pPr>
        <w:pStyle w:val="Style66"/>
        <w:keepNext/>
        <w:keepLines/>
        <w:widowControl w:val="0"/>
        <w:shd w:val="clear" w:color="auto" w:fill="auto"/>
        <w:bidi w:val="0"/>
        <w:spacing w:before="0" w:after="36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4</w:t>
      </w:r>
      <w:bookmarkEnd w:id="1495"/>
      <w:r>
        <w:rPr>
          <w:color w:val="000000"/>
          <w:spacing w:val="0"/>
          <w:w w:val="100"/>
          <w:position w:val="0"/>
        </w:rPr>
        <w:t>）按欠款方归集的期末余额前五名的其他应收款情况</w:t>
      </w:r>
      <w:bookmarkEnd w:id="1493"/>
      <w:bookmarkEnd w:id="1494"/>
      <w:bookmarkEnd w:id="149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中科金财（上海）互 联网金融信息服务有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杭州中科金财科技有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北京中科金财软件技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中科软科技股份有限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5,010,355.65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2,928,690.65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浙江省公安厅业务费 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4,217,540.00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4,217,540.00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48,837,895.65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7,146,230.65</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3</w:t>
      </w:r>
      <w:bookmarkEnd w:id="1499"/>
      <w:r>
        <w:rPr>
          <w:color w:val="000000"/>
          <w:spacing w:val="0"/>
          <w:w w:val="100"/>
          <w:position w:val="0"/>
        </w:rPr>
        <w:t>、长期股权投资</w:t>
      </w:r>
      <w:bookmarkEnd w:id="1497"/>
      <w:bookmarkEnd w:id="1498"/>
      <w:bookmarkEnd w:id="1500"/>
    </w:p>
    <w:p>
      <w:pPr>
        <w:pStyle w:val="Style40"/>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1,734,403,007.37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1,734,403,007.37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1,732,702,877.37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1,732,702,877.37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795,887,306.39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795,887,306.39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386,876,884.05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386,876,884.05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2,530,290,313.76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2,530,290,313.76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2,119,579,761.42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2,119,579,761.42</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01"/>
      <w:bookmarkEnd w:id="1502"/>
      <w:bookmarkEnd w:id="1503"/>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北京中科金财 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110,124,410.5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110,124,410.57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北京中科金财 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天津中科金财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北京国信金泽 投资中心（有限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1,299,870.00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1,299,870.00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深圳中金财富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200,210,236.4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200,210,236.43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深圳前海中科 金财金控投资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中科金财保险 经纪有限公司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香港中科金财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北京志东方科 技有限责任公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杭州中科金财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1,732,702,877.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1,299,870.00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1,734,403,007.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04"/>
      <w:bookmarkEnd w:id="1505"/>
      <w:bookmarkEnd w:id="1506"/>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中科环嘉 电子商务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1,622,761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1,597,006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北京中关 村互联网 金融信息 服务中心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2,736,079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125,094.3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2,861,174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安粮期货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273,798,2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12,926,97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2,174,092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288,899,2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92.65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深圳市金 方达信息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1,637,676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630,680.8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陕西金财 云商电子 商务有限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65,398.90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大连金融 资产交易 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107,016,7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2,886,486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109,903,2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25.59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上海惬昶 信息科技 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146,993,0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00.10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深圳市金 源兴信息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245,002,9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386,876,8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14,901,59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2,174,092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795,887,3</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06.39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386,876,8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14,901,59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2,174,092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795,887,3</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06.39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color w:val="000000"/>
          <w:spacing w:val="0"/>
          <w:w w:val="100"/>
          <w:position w:val="0"/>
        </w:rPr>
        <w:t>、营业收入和营业成本</w:t>
      </w:r>
      <w:bookmarkEnd w:id="1507"/>
      <w:bookmarkEnd w:id="1508"/>
      <w:bookmarkEnd w:id="1510"/>
    </w:p>
    <w:p>
      <w:pPr>
        <w:pStyle w:val="Style3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1,465,336,981.45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1,254,286,938.18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1,583,087,520.81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1,371,539,869.95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30,003,889.70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27,463,696.53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46,586,912.61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43,221,160.80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1,495,340,871.15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1,281,750,634.71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1,629,674,433.42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1,414,761,030.75</w:t>
            </w:r>
          </w:p>
        </w:tc>
      </w:tr>
    </w:tbl>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与履约义务相关的信息:</w:t>
      </w:r>
    </w:p>
    <w:p>
      <w:pPr>
        <w:pStyle w:val="Style25"/>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公司主营业务为应用软件开发、技术服务及相关的计算机信息系统集成服务。集成服务在产品交付购 货方，技术服务按合同约定提供服务完成，并经客户验收合格后客户验收，软件产品销售按合同约定，需 安装调试的，在安装调试完成、投入运行并经客户验收合格；不需安装的，于产品发出且到货验收合格时 客户取得相关商品及服务的控制权时确认收入实现。按照合同约定履行履约义务，并按照合同约定的收款 进度收款。</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与分摊至剩余履约义务的交易价格相关的信息：</w:t>
      </w:r>
    </w:p>
    <w:p>
      <w:pPr>
        <w:pStyle w:val="Style25"/>
        <w:keepNext w:val="0"/>
        <w:keepLines w:val="0"/>
        <w:widowControl w:val="0"/>
        <w:shd w:val="clear" w:color="auto" w:fill="auto"/>
        <w:bidi w:val="0"/>
        <w:spacing w:before="0" w:after="460" w:line="456" w:lineRule="exact"/>
        <w:ind w:left="0" w:right="0" w:firstLine="440"/>
        <w:jc w:val="left"/>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rPr>
        <w:t xml:space="preserve">1,824, 883, </w:t>
      </w:r>
      <w:r>
        <w:rPr>
          <w:color w:val="000000"/>
          <w:spacing w:val="0"/>
          <w:w w:val="100"/>
          <w:position w:val="0"/>
        </w:rPr>
        <w:t xml:space="preserve">297. </w:t>
      </w:r>
      <w:r>
        <w:rPr>
          <w:color w:val="000000"/>
          <w:spacing w:val="0"/>
          <w:w w:val="100"/>
          <w:position w:val="0"/>
        </w:rPr>
        <w:t>08</w:t>
      </w:r>
      <w:r>
        <w:rPr>
          <w:color w:val="000000"/>
          <w:spacing w:val="0"/>
          <w:w w:val="100"/>
          <w:position w:val="0"/>
        </w:rPr>
        <w:t>元。</w:t>
      </w:r>
    </w:p>
    <w:p>
      <w:pPr>
        <w:pStyle w:val="Style31"/>
        <w:keepNext/>
        <w:keepLines/>
        <w:widowControl w:val="0"/>
        <w:shd w:val="clear" w:color="auto" w:fill="auto"/>
        <w:bidi w:val="0"/>
        <w:spacing w:before="0" w:after="180" w:line="48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5</w:t>
      </w:r>
      <w:bookmarkEnd w:id="1513"/>
      <w:r>
        <w:rPr>
          <w:color w:val="000000"/>
          <w:spacing w:val="0"/>
          <w:w w:val="100"/>
          <w:position w:val="0"/>
        </w:rPr>
        <w:t>、投资收益</w:t>
      </w:r>
      <w:bookmarkEnd w:id="1511"/>
      <w:bookmarkEnd w:id="1512"/>
      <w:bookmarkEnd w:id="1514"/>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41,075,000.00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14,901,596.42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6,691,700.09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179,651.76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2,131,987.37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18,359,477.25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37,225,885.19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处置其他非流动金融资产取得的投资收益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股权被动稀释取得的投资收益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19,667,649.27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33,440,725.43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107,262,221.92</w:t>
            </w:r>
          </w:p>
        </w:tc>
      </w:tr>
    </w:tbl>
    <w:p>
      <w:pPr>
        <w:widowControl w:val="0"/>
        <w:spacing w:after="339" w:line="1" w:lineRule="exact"/>
      </w:pPr>
    </w:p>
    <w:p>
      <w:pPr>
        <w:pStyle w:val="Style23"/>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r>
        <w:rPr>
          <w:color w:val="000000"/>
          <w:spacing w:val="0"/>
          <w:w w:val="100"/>
          <w:position w:val="0"/>
          <w:sz w:val="24"/>
          <w:szCs w:val="24"/>
        </w:rPr>
        <w:t>十六、补充资料</w:t>
      </w:r>
      <w:bookmarkEnd w:id="1515"/>
      <w:bookmarkEnd w:id="1516"/>
      <w:bookmarkEnd w:id="1517"/>
    </w:p>
    <w:p>
      <w:pPr>
        <w:pStyle w:val="Style31"/>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18"/>
      <w:bookmarkEnd w:id="1519"/>
      <w:bookmarkEnd w:id="1520"/>
    </w:p>
    <w:p>
      <w:pPr>
        <w:pStyle w:val="Style25"/>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-2,138,434.77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1,773,397.56</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56,684,180.33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-4,704,902.50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3,759,405.96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47,854,834.66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140" w:line="310" w:lineRule="exact"/>
        <w:ind w:left="0" w:right="0" w:firstLine="0"/>
        <w:jc w:val="both"/>
        <w:rPr>
          <w:sz w:val="19"/>
          <w:szCs w:val="19"/>
        </w:rPr>
      </w:pPr>
      <w:r>
        <w:rPr>
          <w:color w:val="000000"/>
          <w:spacing w:val="0"/>
          <w:w w:val="100"/>
          <w:position w:val="0"/>
          <w:sz w:val="19"/>
          <w:szCs w:val="19"/>
        </w:rPr>
        <w:t>对公司根据《公开发行证券的公司信息披露解释性公告第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号一非经常性损益》定义界定的非经常性损益项 目，以及把《公开发行证券的公司信息披露解释性公告第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号一非经常性损益》中列举的非经常性损益项目 界定为经常性损益的项目，应说明原因。</w:t>
      </w:r>
    </w:p>
    <w:p>
      <w:pPr>
        <w:pStyle w:val="Style25"/>
        <w:keepNext w:val="0"/>
        <w:keepLines w:val="0"/>
        <w:widowControl w:val="0"/>
        <w:shd w:val="clear" w:color="auto" w:fill="auto"/>
        <w:bidi w:val="0"/>
        <w:spacing w:before="0" w:after="0" w:line="324"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软件增值税退税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404,396.21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该项政府补助系与公司正常经营业务密 切相关，符合国家政策规定、按照一定 标准定额和定量持续享受的政府补助。</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both"/>
      </w:pPr>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21"/>
      <w:bookmarkEnd w:id="1522"/>
      <w:bookmarkEnd w:id="1523"/>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bl>
    <w:p>
      <w:pPr>
        <w:widowControl w:val="0"/>
        <w:spacing w:after="679" w:line="1" w:lineRule="exact"/>
      </w:pPr>
    </w:p>
    <w:p>
      <w:pPr>
        <w:pStyle w:val="Style31"/>
        <w:keepNext/>
        <w:keepLines/>
        <w:widowControl w:val="0"/>
        <w:shd w:val="clear" w:color="auto" w:fill="auto"/>
        <w:bidi w:val="0"/>
        <w:spacing w:before="0" w:after="440" w:line="240" w:lineRule="auto"/>
        <w:ind w:left="0" w:right="0" w:firstLine="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3</w:t>
      </w:r>
      <w:bookmarkEnd w:id="1526"/>
      <w:r>
        <w:rPr>
          <w:color w:val="000000"/>
          <w:spacing w:val="0"/>
          <w:w w:val="100"/>
          <w:position w:val="0"/>
        </w:rPr>
        <w:t>、其他</w:t>
      </w:r>
      <w:bookmarkEnd w:id="1524"/>
      <w:bookmarkEnd w:id="1525"/>
      <w:bookmarkEnd w:id="1527"/>
    </w:p>
    <w:p>
      <w:pPr>
        <w:pStyle w:val="Style25"/>
        <w:keepNext w:val="0"/>
        <w:keepLines w:val="0"/>
        <w:widowControl w:val="0"/>
        <w:shd w:val="clear" w:color="auto" w:fill="auto"/>
        <w:bidi w:val="0"/>
        <w:spacing w:before="0" w:after="140" w:line="240" w:lineRule="auto"/>
        <w:ind w:left="0" w:right="0" w:firstLine="0"/>
        <w:jc w:val="right"/>
        <w:rPr>
          <w:sz w:val="19"/>
          <w:szCs w:val="19"/>
        </w:rPr>
      </w:pPr>
      <w:r>
        <w:rPr>
          <w:color w:val="000000"/>
          <w:spacing w:val="0"/>
          <w:w w:val="100"/>
          <w:position w:val="0"/>
          <w:sz w:val="19"/>
          <w:szCs w:val="19"/>
        </w:rPr>
        <w:t>单位：元</w:t>
      </w:r>
    </w:p>
    <w:tbl>
      <w:tblPr>
        <w:tblOverlap w:val="never"/>
        <w:jc w:val="center"/>
        <w:tblLayout w:type="fixed"/>
      </w:tblPr>
      <w:tblGrid>
        <w:gridCol w:w="1637"/>
        <w:gridCol w:w="1944"/>
        <w:gridCol w:w="1982"/>
        <w:gridCol w:w="1421"/>
        <w:gridCol w:w="2141"/>
      </w:tblGrid>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b/>
                <w:bCs/>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变化比例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变动原因说明</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402,805, </w:t>
            </w:r>
            <w:r>
              <w:rPr>
                <w:color w:val="000000"/>
                <w:spacing w:val="0"/>
                <w:w w:val="100"/>
                <w:position w:val="0"/>
              </w:rPr>
              <w:t xml:space="preserve">176. </w:t>
            </w:r>
            <w:r>
              <w:rPr>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625, 177, </w:t>
            </w:r>
            <w:r>
              <w:rPr>
                <w:color w:val="000000"/>
                <w:spacing w:val="0"/>
                <w:w w:val="100"/>
                <w:position w:val="0"/>
              </w:rPr>
              <w:t xml:space="preserve">481. </w:t>
            </w: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-35.</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主要系本期增加长期 股权投资所致。</w:t>
            </w: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交易性金融资产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253, 760, </w:t>
            </w:r>
            <w:r>
              <w:rPr>
                <w:color w:val="000000"/>
                <w:spacing w:val="0"/>
                <w:w w:val="100"/>
                <w:position w:val="0"/>
              </w:rPr>
              <w:t xml:space="preserve">054. </w:t>
            </w: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464, 245, </w:t>
            </w:r>
            <w:r>
              <w:rPr>
                <w:color w:val="000000"/>
                <w:spacing w:val="0"/>
                <w:w w:val="100"/>
                <w:position w:val="0"/>
              </w:rPr>
              <w:t xml:space="preserve">168. </w:t>
            </w: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-45. </w:t>
            </w:r>
            <w:r>
              <w:rPr>
                <w:color w:val="000000"/>
                <w:spacing w:val="0"/>
                <w:w w:val="100"/>
                <w:position w:val="0"/>
              </w:rPr>
              <w:t>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主要系本期增加长期 股权投资所致。</w:t>
            </w:r>
          </w:p>
        </w:tc>
      </w:tr>
    </w:tbl>
    <w:p>
      <w:pPr>
        <w:spacing w:lineRule="exact" w:line="1"/>
        <w:rPr>
          <w:sz w:val="2"/>
          <w:szCs w:val="2"/>
        </w:rPr>
      </w:pPr>
      <w:r>
        <w:br w:type="page"/>
      </w:r>
    </w:p>
    <w:tbl>
      <w:tblPr>
        <w:tblOverlap w:val="never"/>
        <w:jc w:val="center"/>
        <w:tblLayout w:type="fixed"/>
      </w:tblPr>
      <w:tblGrid>
        <w:gridCol w:w="1637"/>
        <w:gridCol w:w="1944"/>
        <w:gridCol w:w="1982"/>
        <w:gridCol w:w="1421"/>
        <w:gridCol w:w="2141"/>
      </w:tblGrid>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14, 786, </w:t>
            </w:r>
            <w:r>
              <w:rPr>
                <w:color w:val="000000"/>
                <w:spacing w:val="0"/>
                <w:w w:val="100"/>
                <w:position w:val="0"/>
              </w:rPr>
              <w:t xml:space="preserve">262. </w:t>
            </w: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主要系期初应收票据 到期承兑所致。</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14, 849, </w:t>
            </w:r>
            <w:r>
              <w:rPr>
                <w:color w:val="000000"/>
                <w:spacing w:val="0"/>
                <w:w w:val="100"/>
                <w:position w:val="0"/>
              </w:rPr>
              <w:t xml:space="preserve">053.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主要系本期将持有目 的具有融资性质的应 收票据重分类至“应收 款项融资”科目列示所 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20, </w:t>
            </w:r>
            <w:r>
              <w:rPr>
                <w:color w:val="000000"/>
                <w:spacing w:val="0"/>
                <w:w w:val="100"/>
                <w:position w:val="0"/>
              </w:rPr>
              <w:t xml:space="preserve">661,318. </w:t>
            </w:r>
            <w:r>
              <w:rPr>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11,153,866.83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主要系本期为项目备 货预付的采购款增加 所致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31, 258, </w:t>
            </w:r>
            <w:r>
              <w:rPr>
                <w:color w:val="000000"/>
                <w:spacing w:val="0"/>
                <w:w w:val="100"/>
                <w:position w:val="0"/>
              </w:rPr>
              <w:t xml:space="preserve">030. </w:t>
            </w: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45, 245, </w:t>
            </w:r>
            <w:r>
              <w:rPr>
                <w:color w:val="000000"/>
                <w:spacing w:val="0"/>
                <w:w w:val="100"/>
                <w:position w:val="0"/>
              </w:rPr>
              <w:t xml:space="preserve">672. </w:t>
            </w: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主要系本期收回的保 证金增加所致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rPr>
              <w:t>一年内到期的非</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267, 240, </w:t>
            </w:r>
            <w:r>
              <w:rPr>
                <w:color w:val="000000"/>
                <w:spacing w:val="0"/>
                <w:w w:val="100"/>
                <w:position w:val="0"/>
              </w:rPr>
              <w:t xml:space="preserve">600. </w:t>
            </w: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396, 000,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主要系本期部分债权 投资到期收回所致。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28, 740, </w:t>
            </w:r>
            <w:r>
              <w:rPr>
                <w:color w:val="000000"/>
                <w:spacing w:val="0"/>
                <w:w w:val="100"/>
                <w:position w:val="0"/>
              </w:rPr>
              <w:t xml:space="preserve">626. </w:t>
            </w: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44, 046, </w:t>
            </w:r>
            <w:r>
              <w:rPr>
                <w:color w:val="000000"/>
                <w:spacing w:val="0"/>
                <w:w w:val="100"/>
                <w:position w:val="0"/>
              </w:rPr>
              <w:t xml:space="preserve">368. </w:t>
            </w: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—34.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主要系本期收回部分 信托产品所致。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267, 300,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197, 980, </w:t>
            </w: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35.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主要系本期新增信托 产品投资所致。</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782,336,061.12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373,325,638.78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主要系本期新增对深 圳金源兴及上海惬昶 的股权投资所致。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62, 602, </w:t>
            </w:r>
            <w:r>
              <w:rPr>
                <w:color w:val="000000"/>
                <w:spacing w:val="0"/>
                <w:w w:val="100"/>
                <w:position w:val="0"/>
              </w:rPr>
              <w:t xml:space="preserve">124. </w:t>
            </w: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92, 541, </w:t>
            </w:r>
            <w:r>
              <w:rPr>
                <w:color w:val="000000"/>
                <w:spacing w:val="0"/>
                <w:w w:val="100"/>
                <w:position w:val="0"/>
              </w:rPr>
              <w:t xml:space="preserve">089. </w:t>
            </w: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主要系无形资产本期 正常计提摊销所致。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3,378,129.41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4328.53%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主要系本期公司搬迁 新址，装修费增加所 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67, 664, </w:t>
            </w:r>
            <w:r>
              <w:rPr>
                <w:color w:val="000000"/>
                <w:spacing w:val="0"/>
                <w:w w:val="100"/>
                <w:position w:val="0"/>
              </w:rPr>
              <w:t xml:space="preserve">896. </w:t>
            </w: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16, 421, </w:t>
            </w:r>
            <w:r>
              <w:rPr>
                <w:color w:val="000000"/>
                <w:spacing w:val="0"/>
                <w:w w:val="100"/>
                <w:position w:val="0"/>
              </w:rPr>
              <w:t xml:space="preserve">638. </w:t>
            </w: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312.</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主要系期末预付固定 资产购置款所致。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126,157,746.00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主要系本期取得的银 行借款较上期减少所 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主要系本期开具的银 行承兑汇票较上期增 加所致。</w:t>
            </w:r>
          </w:p>
        </w:tc>
      </w:tr>
      <w:tr>
        <w:trPr>
          <w:trHeight w:val="16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319, 061, </w:t>
            </w:r>
            <w:r>
              <w:rPr>
                <w:color w:val="000000"/>
                <w:spacing w:val="0"/>
                <w:w w:val="100"/>
                <w:position w:val="0"/>
              </w:rPr>
              <w:t xml:space="preserve">022. </w:t>
            </w:r>
            <w:r>
              <w:rPr>
                <w:color w:val="000000"/>
                <w:spacing w:val="0"/>
                <w:w w:val="100"/>
                <w:position w:val="0"/>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主要系本期执行新收 入准则，将符合合同负 债确认条件的预收款 项调整至“合同负债” 科目核算所致。</w:t>
            </w:r>
          </w:p>
        </w:tc>
      </w:tr>
    </w:tbl>
    <w:p>
      <w:pPr>
        <w:spacing w:lineRule="exact" w:line="1"/>
        <w:rPr>
          <w:sz w:val="2"/>
          <w:szCs w:val="2"/>
        </w:rPr>
      </w:pPr>
      <w:r>
        <w:br w:type="page"/>
      </w:r>
    </w:p>
    <w:tbl>
      <w:tblPr>
        <w:tblOverlap w:val="never"/>
        <w:jc w:val="center"/>
        <w:tblLayout w:type="fixed"/>
      </w:tblPr>
      <w:tblGrid>
        <w:gridCol w:w="1637"/>
        <w:gridCol w:w="1944"/>
        <w:gridCol w:w="1982"/>
        <w:gridCol w:w="1421"/>
        <w:gridCol w:w="2141"/>
      </w:tblGrid>
      <w:tr>
        <w:trPr>
          <w:trHeight w:val="16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389, 183, </w:t>
            </w:r>
            <w:r>
              <w:rPr>
                <w:color w:val="000000"/>
                <w:spacing w:val="0"/>
                <w:w w:val="100"/>
                <w:position w:val="0"/>
              </w:rPr>
              <w:t xml:space="preserve">581. </w:t>
            </w:r>
            <w:r>
              <w:rPr>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9"/>
                <w:szCs w:val="19"/>
              </w:rPr>
            </w:pPr>
            <w:r>
              <w:rPr>
                <w:color w:val="000000"/>
                <w:spacing w:val="0"/>
                <w:w w:val="100"/>
                <w:position w:val="0"/>
                <w:sz w:val="19"/>
                <w:szCs w:val="19"/>
              </w:rPr>
              <w:t>主要系本期执行新收 入准则，将符合合同负 债确认条件的预收款 项调整至“合同负债” 科目核算所致。</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9, 750, </w:t>
            </w:r>
            <w:r>
              <w:rPr>
                <w:color w:val="000000"/>
                <w:spacing w:val="0"/>
                <w:w w:val="100"/>
                <w:position w:val="0"/>
              </w:rPr>
              <w:t xml:space="preserve">677. </w:t>
            </w: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3,467,290.32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181.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主要系本期期末应交 增值税及所得税较上 期期末增加所致。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 </w:t>
            </w:r>
            <w:r>
              <w:rPr>
                <w:color w:val="000000"/>
                <w:spacing w:val="0"/>
                <w:w w:val="100"/>
                <w:position w:val="0"/>
              </w:rPr>
              <w:t>568,575.81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22, 783, </w:t>
            </w:r>
            <w:r>
              <w:rPr>
                <w:color w:val="000000"/>
                <w:spacing w:val="0"/>
                <w:w w:val="100"/>
                <w:position w:val="0"/>
              </w:rPr>
              <w:t xml:space="preserve">207. </w:t>
            </w: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主要系本期退回合作 方保证金增加所致。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一年内到期的非 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54, 485, </w:t>
            </w:r>
            <w:r>
              <w:rPr>
                <w:color w:val="000000"/>
                <w:spacing w:val="0"/>
                <w:w w:val="100"/>
                <w:position w:val="0"/>
              </w:rPr>
              <w:t xml:space="preserve">675. </w:t>
            </w: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主要系本期偿还融资 租赁借款所致。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3, 087, </w:t>
            </w:r>
            <w:r>
              <w:rPr>
                <w:color w:val="000000"/>
                <w:spacing w:val="0"/>
                <w:w w:val="100"/>
                <w:position w:val="0"/>
              </w:rPr>
              <w:t xml:space="preserve">039. </w:t>
            </w: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主要系本期待转销项 税额增加所致。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2,441,469. </w:t>
            </w: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268,295.70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主要系联营企业安粮 期货其他综合收益变 化所致。</w:t>
            </w: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50, </w:t>
            </w:r>
            <w:r>
              <w:rPr>
                <w:color w:val="000000"/>
                <w:spacing w:val="0"/>
                <w:w w:val="100"/>
                <w:position w:val="0"/>
              </w:rPr>
              <w:t xml:space="preserve">156. </w:t>
            </w: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873, </w:t>
            </w:r>
            <w:r>
              <w:rPr>
                <w:color w:val="000000"/>
                <w:spacing w:val="0"/>
                <w:w w:val="100"/>
                <w:position w:val="0"/>
              </w:rPr>
              <w:t xml:space="preserve">867. </w:t>
            </w: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—94. </w:t>
            </w:r>
            <w:r>
              <w:rPr>
                <w:color w:val="000000"/>
                <w:spacing w:val="0"/>
                <w:w w:val="100"/>
                <w:position w:val="0"/>
              </w:rPr>
              <w:t>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主要系本期合并范围 变更所致。</w:t>
            </w:r>
          </w:p>
        </w:tc>
      </w:tr>
    </w:tbl>
    <w:p>
      <w:pPr>
        <w:widowControl w:val="0"/>
        <w:spacing w:after="299" w:line="1" w:lineRule="exact"/>
      </w:pPr>
    </w:p>
    <w:tbl>
      <w:tblPr>
        <w:tblOverlap w:val="never"/>
        <w:jc w:val="center"/>
        <w:tblLayout w:type="fixed"/>
      </w:tblPr>
      <w:tblGrid>
        <w:gridCol w:w="1666"/>
        <w:gridCol w:w="1843"/>
        <w:gridCol w:w="2126"/>
        <w:gridCol w:w="1421"/>
        <w:gridCol w:w="2160"/>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b/>
                <w:bCs/>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变动比例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变动原因说明</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5,330,559.39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1,882,733.46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主要系本期应交城建 税及教育费附加较上 期增加所致。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9,213,401.74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20, 326, </w:t>
            </w:r>
            <w:r>
              <w:rPr>
                <w:color w:val="000000"/>
                <w:spacing w:val="0"/>
                <w:w w:val="100"/>
                <w:position w:val="0"/>
              </w:rPr>
              <w:t xml:space="preserve">869. </w:t>
            </w: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主要系本期利息费用 较上期减少所致。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2,177,793.77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7,674,283.45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主要系本期收到的政 府补助较上期减少所 致。</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71,643,872.2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165,940,500.19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主要系上期将大金所 调整出合并范围，所持 股权按公允价值重新 计量产生的利得较大 所致。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9"/>
                <w:szCs w:val="19"/>
              </w:rPr>
            </w:pPr>
            <w:r>
              <w:rPr>
                <w:color w:val="000000"/>
                <w:spacing w:val="0"/>
                <w:w w:val="100"/>
                <w:position w:val="0"/>
                <w:sz w:val="19"/>
                <w:szCs w:val="19"/>
              </w:rPr>
              <w:t>对联营企业和合 营企业的投资收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14,901,596.42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6,771,276.45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主要系本期新增确认 对大金所的投资收益 所致。</w:t>
            </w:r>
          </w:p>
        </w:tc>
      </w:tr>
      <w:tr>
        <w:trPr>
          <w:trHeight w:val="10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公允价值变动损</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760,054.51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—2,572,094.86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129.55%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主要系本期期末交易 性金融资产价值上升 所致。</w:t>
            </w:r>
          </w:p>
        </w:tc>
      </w:tr>
    </w:tbl>
    <w:p>
      <w:pPr>
        <w:spacing w:lineRule="exact" w:line="1"/>
        <w:rPr>
          <w:sz w:val="2"/>
          <w:szCs w:val="2"/>
        </w:rPr>
      </w:pPr>
      <w:r>
        <w:br w:type="page"/>
      </w:r>
    </w:p>
    <w:tbl>
      <w:tblPr>
        <w:tblOverlap w:val="never"/>
        <w:jc w:val="center"/>
        <w:tblLayout w:type="fixed"/>
      </w:tblPr>
      <w:tblGrid>
        <w:gridCol w:w="1666"/>
        <w:gridCol w:w="1843"/>
        <w:gridCol w:w="2126"/>
        <w:gridCol w:w="1421"/>
        <w:gridCol w:w="2160"/>
      </w:tblGrid>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-9, </w:t>
            </w:r>
            <w:r>
              <w:rPr>
                <w:color w:val="000000"/>
                <w:spacing w:val="0"/>
                <w:w w:val="100"/>
                <w:position w:val="0"/>
              </w:rPr>
              <w:t xml:space="preserve">703, </w:t>
            </w:r>
            <w:r>
              <w:rPr>
                <w:color w:val="000000"/>
                <w:spacing w:val="0"/>
                <w:w w:val="100"/>
                <w:position w:val="0"/>
              </w:rPr>
              <w:t xml:space="preserve">225. </w:t>
            </w: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-45,098,994.17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78.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主要系本期计提的债 权投资减值损失较上 期减少所致。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 </w:t>
            </w:r>
            <w:r>
              <w:rPr>
                <w:color w:val="000000"/>
                <w:spacing w:val="0"/>
                <w:w w:val="100"/>
                <w:position w:val="0"/>
              </w:rPr>
              <w:t xml:space="preserve">495, </w:t>
            </w:r>
            <w:r>
              <w:rPr>
                <w:color w:val="000000"/>
                <w:spacing w:val="0"/>
                <w:w w:val="100"/>
                <w:position w:val="0"/>
              </w:rPr>
              <w:t xml:space="preserve">825. </w:t>
            </w: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-334, </w:t>
            </w:r>
            <w:r>
              <w:rPr>
                <w:color w:val="000000"/>
                <w:spacing w:val="0"/>
                <w:w w:val="100"/>
                <w:position w:val="0"/>
              </w:rPr>
              <w:t xml:space="preserve">490, </w:t>
            </w:r>
            <w:r>
              <w:rPr>
                <w:color w:val="000000"/>
                <w:spacing w:val="0"/>
                <w:w w:val="100"/>
                <w:position w:val="0"/>
              </w:rPr>
              <w:t xml:space="preserve">312. </w:t>
            </w: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98.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主要系上期计提天津 中科商誉减值所致。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 </w:t>
            </w:r>
            <w:r>
              <w:rPr>
                <w:color w:val="000000"/>
                <w:spacing w:val="0"/>
                <w:w w:val="100"/>
                <w:position w:val="0"/>
              </w:rPr>
              <w:t xml:space="preserve">084, </w:t>
            </w:r>
            <w:r>
              <w:rPr>
                <w:color w:val="000000"/>
                <w:spacing w:val="0"/>
                <w:w w:val="100"/>
                <w:position w:val="0"/>
              </w:rPr>
              <w:t xml:space="preserve">657. </w:t>
            </w: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主要系本期处置固定 资产损失较上期增加 所致。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317, </w:t>
            </w:r>
            <w:r>
              <w:rPr>
                <w:color w:val="000000"/>
                <w:spacing w:val="0"/>
                <w:w w:val="100"/>
                <w:position w:val="0"/>
              </w:rPr>
              <w:t xml:space="preserve">222. </w:t>
            </w: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161, </w:t>
            </w:r>
            <w:r>
              <w:rPr>
                <w:color w:val="000000"/>
                <w:spacing w:val="0"/>
                <w:w w:val="100"/>
                <w:position w:val="0"/>
              </w:rPr>
              <w:t xml:space="preserve">070. </w:t>
            </w: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96.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主要系本期收到的合 同补偿金所致。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5, 022, </w:t>
            </w:r>
            <w:r>
              <w:rPr>
                <w:color w:val="000000"/>
                <w:spacing w:val="0"/>
                <w:w w:val="100"/>
                <w:position w:val="0"/>
              </w:rPr>
              <w:t>125.38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3, 117, </w:t>
            </w:r>
            <w:r>
              <w:rPr>
                <w:color w:val="000000"/>
                <w:spacing w:val="0"/>
                <w:w w:val="100"/>
                <w:position w:val="0"/>
              </w:rPr>
              <w:t xml:space="preserve">154. </w:t>
            </w: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61.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主要系本期缴纳税款 滞纳金所致。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9,850,894.41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-8,165,602.28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主要系本期应纳税额 所得额较上年同期增 加所致。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6, 900, </w:t>
            </w:r>
            <w:r>
              <w:rPr>
                <w:color w:val="000000"/>
                <w:spacing w:val="0"/>
                <w:w w:val="100"/>
                <w:position w:val="0"/>
              </w:rPr>
              <w:t>174.38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-283, </w:t>
            </w:r>
            <w:r>
              <w:rPr>
                <w:color w:val="000000"/>
                <w:spacing w:val="0"/>
                <w:w w:val="100"/>
                <w:position w:val="0"/>
              </w:rPr>
              <w:t xml:space="preserve">022, </w:t>
            </w:r>
            <w:r>
              <w:rPr>
                <w:color w:val="000000"/>
                <w:spacing w:val="0"/>
                <w:w w:val="100"/>
                <w:position w:val="0"/>
              </w:rPr>
              <w:t xml:space="preserve">412. </w:t>
            </w: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主要系上期计提天津 中科商誉减值所致。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归属于母公司所 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6, 900, </w:t>
            </w:r>
            <w:r>
              <w:rPr>
                <w:color w:val="000000"/>
                <w:spacing w:val="0"/>
                <w:w w:val="100"/>
                <w:position w:val="0"/>
              </w:rPr>
              <w:t xml:space="preserve">186. </w:t>
            </w:r>
            <w:r>
              <w:rPr>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-281, </w:t>
            </w:r>
            <w:r>
              <w:rPr>
                <w:color w:val="000000"/>
                <w:spacing w:val="0"/>
                <w:w w:val="100"/>
                <w:position w:val="0"/>
              </w:rPr>
              <w:t xml:space="preserve">841, </w:t>
            </w:r>
            <w:r>
              <w:rPr>
                <w:color w:val="000000"/>
                <w:spacing w:val="0"/>
                <w:w w:val="100"/>
                <w:position w:val="0"/>
              </w:rPr>
              <w:t xml:space="preserve">963. </w:t>
            </w: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主要系上期计提天津 中科商誉减值所致。</w:t>
            </w: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少数股东损益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-12. </w:t>
            </w:r>
            <w:r>
              <w:rPr>
                <w:color w:val="000000"/>
                <w:spacing w:val="0"/>
                <w:w w:val="100"/>
                <w:position w:val="0"/>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 </w:t>
            </w:r>
            <w:r>
              <w:rPr>
                <w:color w:val="000000"/>
                <w:spacing w:val="0"/>
                <w:w w:val="100"/>
                <w:position w:val="0"/>
              </w:rPr>
              <w:t xml:space="preserve">180, </w:t>
            </w:r>
            <w:r>
              <w:rPr>
                <w:color w:val="000000"/>
                <w:spacing w:val="0"/>
                <w:w w:val="100"/>
                <w:position w:val="0"/>
              </w:rPr>
              <w:t xml:space="preserve">448. </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主要系本期合并范围 变更所致。</w:t>
            </w:r>
          </w:p>
        </w:tc>
      </w:tr>
    </w:tbl>
    <w:p>
      <w:pPr>
        <w:widowControl w:val="0"/>
        <w:spacing w:after="299" w:line="1" w:lineRule="exact"/>
      </w:pPr>
    </w:p>
    <w:tbl>
      <w:tblPr>
        <w:tblOverlap w:val="never"/>
        <w:jc w:val="center"/>
        <w:tblLayout w:type="fixed"/>
      </w:tblPr>
      <w:tblGrid>
        <w:gridCol w:w="1675"/>
        <w:gridCol w:w="1982"/>
        <w:gridCol w:w="1982"/>
        <w:gridCol w:w="1560"/>
        <w:gridCol w:w="2141"/>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变动比例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变动原因说明</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404,396.21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167, </w:t>
            </w:r>
            <w:r>
              <w:rPr>
                <w:color w:val="000000"/>
                <w:spacing w:val="0"/>
                <w:w w:val="100"/>
                <w:position w:val="0"/>
              </w:rPr>
              <w:t xml:space="preserve">189. </w:t>
            </w: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主要系系本期收到的 增值税返还较上期增 加所致。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45,083,135.80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21,343,736.86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主要系本期支付的增 值税及所得税较上期 增加所致。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经营活动产生的 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31,768,305.49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-136,562,562.86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主要系本期因业务增 长收到的合同款较上 期增加所致。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收回投资收到的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3,694,793,060.66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6,482,548,082.99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主要系本期赎回的理 财产品较上期减少所 致</w:t>
            </w:r>
          </w:p>
        </w:tc>
      </w:tr>
      <w:tr>
        <w:trPr>
          <w:trHeight w:val="10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9"/>
                <w:szCs w:val="19"/>
              </w:rPr>
            </w:pPr>
            <w:r>
              <w:rPr>
                <w:color w:val="000000"/>
                <w:spacing w:val="0"/>
                <w:w w:val="100"/>
                <w:position w:val="0"/>
                <w:sz w:val="19"/>
                <w:szCs w:val="19"/>
              </w:rPr>
              <w:t>取得投资收益收 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58,863,023.61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94,826,131.65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主要系本期理财产品 产生的投资收益较上 期减少所致</w:t>
            </w:r>
          </w:p>
        </w:tc>
      </w:tr>
    </w:tbl>
    <w:p>
      <w:pPr>
        <w:spacing w:lineRule="exact" w:line="1"/>
        <w:rPr>
          <w:sz w:val="2"/>
          <w:szCs w:val="2"/>
        </w:rPr>
      </w:pPr>
      <w:r>
        <w:br w:type="page"/>
      </w:r>
    </w:p>
    <w:tbl>
      <w:tblPr>
        <w:tblOverlap w:val="never"/>
        <w:jc w:val="center"/>
        <w:tblLayout w:type="fixed"/>
      </w:tblPr>
      <w:tblGrid>
        <w:gridCol w:w="1675"/>
        <w:gridCol w:w="1982"/>
        <w:gridCol w:w="1982"/>
        <w:gridCol w:w="1560"/>
        <w:gridCol w:w="2141"/>
      </w:tblGrid>
      <w:tr>
        <w:trPr>
          <w:trHeight w:val="13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处置固定资产、 无形资产和其他 长期资产收回的 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158,300. </w:t>
            </w: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641, </w:t>
            </w:r>
            <w:r>
              <w:rPr>
                <w:color w:val="000000"/>
                <w:spacing w:val="0"/>
                <w:w w:val="100"/>
                <w:position w:val="0"/>
              </w:rPr>
              <w:t xml:space="preserve">394. </w:t>
            </w: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主要系本期处置固定 资产收到的现金较上 期减少所致。</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购建固定资产、 无形资产和其他 长期资产支付的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54, 930, </w:t>
            </w:r>
            <w:r>
              <w:rPr>
                <w:color w:val="000000"/>
                <w:spacing w:val="0"/>
                <w:w w:val="100"/>
                <w:position w:val="0"/>
              </w:rPr>
              <w:t xml:space="preserve">249.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9,656,793.64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468.</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9"/>
                <w:szCs w:val="19"/>
              </w:rPr>
            </w:pPr>
            <w:r>
              <w:rPr>
                <w:color w:val="000000"/>
                <w:spacing w:val="0"/>
                <w:w w:val="100"/>
                <w:position w:val="0"/>
                <w:sz w:val="19"/>
                <w:szCs w:val="19"/>
              </w:rPr>
              <w:t>主要系本期购置固定 资产支付的现金较上 期增加所致。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3, 802, 963,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5,669,972,411.00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主要系本期购买的理 财产品较上期减少所 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取得子公司及其 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226,630,742.90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19"/>
                <w:szCs w:val="19"/>
              </w:rPr>
              <w:t>主要系上期并购北京 志东方所致。</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支付其他与投资 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824, </w:t>
            </w:r>
            <w:r>
              <w:rPr>
                <w:color w:val="000000"/>
                <w:spacing w:val="0"/>
                <w:w w:val="100"/>
                <w:position w:val="0"/>
              </w:rPr>
              <w:t xml:space="preserve">602. </w:t>
            </w:r>
            <w:r>
              <w:rPr>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5,205,269.58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主要系本期合并范围 变更导致现金期末减 少金额较上期减少所 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9"/>
                <w:szCs w:val="19"/>
              </w:rPr>
            </w:pPr>
            <w:r>
              <w:rPr>
                <w:color w:val="000000"/>
                <w:spacing w:val="0"/>
                <w:w w:val="100"/>
                <w:position w:val="0"/>
                <w:sz w:val="19"/>
                <w:szCs w:val="19"/>
              </w:rPr>
              <w:t>投资活动现金流 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3, 858, 717, </w:t>
            </w:r>
            <w:r>
              <w:rPr>
                <w:color w:val="000000"/>
                <w:spacing w:val="0"/>
                <w:w w:val="100"/>
                <w:position w:val="0"/>
              </w:rPr>
              <w:t xml:space="preserve">851. </w:t>
            </w: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5,911,465,217.12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主要系本期购买的理 财产品较上期减少所 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投资活动产生的 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-104, </w:t>
            </w:r>
            <w:r>
              <w:rPr>
                <w:color w:val="000000"/>
                <w:spacing w:val="0"/>
                <w:w w:val="100"/>
                <w:position w:val="0"/>
              </w:rPr>
              <w:t xml:space="preserve">903, </w:t>
            </w:r>
            <w:r>
              <w:rPr>
                <w:color w:val="000000"/>
                <w:spacing w:val="0"/>
                <w:w w:val="100"/>
                <w:position w:val="0"/>
              </w:rPr>
              <w:t xml:space="preserve">466. </w:t>
            </w: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666,550,391.66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主要系本期投资理财 产品产生的现金流量 净额较上期减少所致。</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19"/>
                <w:szCs w:val="19"/>
              </w:rPr>
            </w:pPr>
            <w:r>
              <w:rPr>
                <w:color w:val="000000"/>
                <w:spacing w:val="0"/>
                <w:w w:val="100"/>
                <w:position w:val="0"/>
                <w:sz w:val="19"/>
                <w:szCs w:val="19"/>
              </w:rPr>
              <w:t>取得借款收到的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57,090,000.00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177, 157, </w:t>
            </w:r>
            <w:r>
              <w:rPr>
                <w:color w:val="000000"/>
                <w:spacing w:val="0"/>
                <w:w w:val="100"/>
                <w:position w:val="0"/>
              </w:rPr>
              <w:t xml:space="preserve">746. </w:t>
            </w: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主要系本期取得的银 行借款较上期减少所 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9"/>
                <w:szCs w:val="19"/>
              </w:rPr>
            </w:pPr>
            <w:r>
              <w:rPr>
                <w:color w:val="000000"/>
                <w:spacing w:val="0"/>
                <w:w w:val="100"/>
                <w:position w:val="0"/>
                <w:sz w:val="19"/>
                <w:szCs w:val="19"/>
              </w:rPr>
              <w:t>收到其他与筹资 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234,596.45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主要系上期募集资金 账户收到银行利息收 入所致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9"/>
                <w:szCs w:val="19"/>
              </w:rPr>
            </w:pPr>
            <w:r>
              <w:rPr>
                <w:color w:val="000000"/>
                <w:spacing w:val="0"/>
                <w:w w:val="100"/>
                <w:position w:val="0"/>
                <w:sz w:val="19"/>
                <w:szCs w:val="19"/>
              </w:rPr>
              <w:t>筹资活动现金流</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57, 090,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177,392, </w:t>
            </w:r>
            <w:r>
              <w:rPr>
                <w:color w:val="000000"/>
                <w:spacing w:val="0"/>
                <w:w w:val="100"/>
                <w:position w:val="0"/>
              </w:rPr>
              <w:t xml:space="preserve">342. </w:t>
            </w: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-67.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主要系本期新增银行 借款较上期减少所致。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19"/>
                <w:szCs w:val="19"/>
              </w:rPr>
            </w:pPr>
            <w:r>
              <w:rPr>
                <w:color w:val="000000"/>
                <w:spacing w:val="0"/>
                <w:w w:val="100"/>
                <w:position w:val="0"/>
                <w:sz w:val="19"/>
                <w:szCs w:val="19"/>
              </w:rPr>
              <w:t>偿还债务支付的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199,457,781.66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422,150,984.60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主要系本期偿还短期 借款金额较上期减少 所致。</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分配股利、利润 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7,997,991.42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20,022,367.95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主要系本期偿还短期 借款利息金额较上期 减少所致。</w:t>
            </w: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支付其他与筹资 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 </w:t>
            </w:r>
            <w:r>
              <w:rPr>
                <w:color w:val="000000"/>
                <w:spacing w:val="0"/>
                <w:w w:val="100"/>
                <w:position w:val="0"/>
              </w:rPr>
              <w:t xml:space="preserve">477.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主要系上期支付公司 分红款手续费所致。</w:t>
            </w:r>
          </w:p>
        </w:tc>
      </w:tr>
    </w:tbl>
    <w:p>
      <w:pPr>
        <w:spacing w:lineRule="exact" w:line="1"/>
        <w:rPr>
          <w:sz w:val="2"/>
          <w:szCs w:val="2"/>
        </w:rPr>
      </w:pPr>
      <w:r>
        <w:br w:type="page"/>
      </w:r>
    </w:p>
    <w:tbl>
      <w:tblPr>
        <w:tblOverlap w:val="never"/>
        <w:jc w:val="center"/>
        <w:tblLayout w:type="fixed"/>
      </w:tblPr>
      <w:tblGrid>
        <w:gridCol w:w="1675"/>
        <w:gridCol w:w="1982"/>
        <w:gridCol w:w="1982"/>
        <w:gridCol w:w="1560"/>
        <w:gridCol w:w="2141"/>
      </w:tblGrid>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筹资活动现金流 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207, 455, </w:t>
            </w:r>
            <w:r>
              <w:rPr>
                <w:color w:val="000000"/>
                <w:spacing w:val="0"/>
                <w:w w:val="100"/>
                <w:position w:val="0"/>
              </w:rPr>
              <w:t xml:space="preserve">773. </w:t>
            </w:r>
            <w:r>
              <w:rPr>
                <w:color w:val="000000"/>
                <w:spacing w:val="0"/>
                <w:w w:val="100"/>
                <w:position w:val="0"/>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442, 175, </w:t>
            </w:r>
            <w:r>
              <w:rPr>
                <w:color w:val="000000"/>
                <w:spacing w:val="0"/>
                <w:w w:val="100"/>
                <w:position w:val="0"/>
              </w:rPr>
              <w:t xml:space="preserve">829. </w:t>
            </w: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主要系本期偿还短期 借款金额较上期减少 所致。</w:t>
            </w:r>
          </w:p>
        </w:tc>
      </w:tr>
      <w:tr>
        <w:trPr>
          <w:trHeight w:val="10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筹资活动产生的 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-150, </w:t>
            </w:r>
            <w:r>
              <w:rPr>
                <w:color w:val="000000"/>
                <w:spacing w:val="0"/>
                <w:w w:val="100"/>
                <w:position w:val="0"/>
              </w:rPr>
              <w:t xml:space="preserve">365, </w:t>
            </w:r>
            <w:r>
              <w:rPr>
                <w:color w:val="000000"/>
                <w:spacing w:val="0"/>
                <w:w w:val="100"/>
                <w:position w:val="0"/>
              </w:rPr>
              <w:t>773.08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-264,783,487.21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 </w:t>
            </w:r>
            <w:r>
              <w:rPr>
                <w:color w:val="000000"/>
                <w:spacing w:val="0"/>
                <w:w w:val="100"/>
                <w:position w:val="0"/>
              </w:rPr>
              <w:t>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主要系本期偿还短期 借款金额较上期减少 所致。</w:t>
            </w:r>
          </w:p>
        </w:tc>
      </w:tr>
    </w:tbl>
    <w:p>
      <w:pPr>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304" w:right="1059" w:bottom="1496" w:left="1049" w:header="0" w:footer="3" w:gutter="0"/>
          <w:cols w:space="720"/>
          <w:noEndnote/>
          <w:titlePg/>
          <w:rtlGutter w:val="0"/>
          <w:docGrid w:linePitch="360"/>
        </w:sectPr>
      </w:pPr>
    </w:p>
    <w:p>
      <w:pPr>
        <w:pStyle w:val="Style13"/>
        <w:keepNext/>
        <w:keepLines/>
        <w:widowControl w:val="0"/>
        <w:shd w:val="clear" w:color="auto" w:fill="auto"/>
        <w:bidi w:val="0"/>
        <w:spacing w:before="0" w:after="660" w:line="240" w:lineRule="auto"/>
        <w:ind w:left="3140" w:right="0" w:firstLine="0"/>
        <w:jc w:val="left"/>
      </w:pPr>
      <w:bookmarkStart w:id="1528" w:name="bookmark1528"/>
      <w:bookmarkStart w:id="1529" w:name="bookmark1529"/>
      <w:bookmarkStart w:id="1530" w:name="bookmark1530"/>
      <w:r>
        <w:rPr>
          <w:color w:val="000000"/>
          <w:spacing w:val="0"/>
          <w:w w:val="100"/>
          <w:position w:val="0"/>
        </w:rPr>
        <w:t>第十三节备查文件目录</w:t>
      </w:r>
      <w:bookmarkEnd w:id="1528"/>
      <w:bookmarkEnd w:id="1529"/>
      <w:bookmarkEnd w:id="1530"/>
    </w:p>
    <w:p>
      <w:pPr>
        <w:pStyle w:val="Style25"/>
        <w:keepNext w:val="0"/>
        <w:keepLines w:val="0"/>
        <w:widowControl w:val="0"/>
        <w:numPr>
          <w:ilvl w:val="0"/>
          <w:numId w:val="53"/>
        </w:numPr>
        <w:shd w:val="clear" w:color="auto" w:fill="auto"/>
        <w:bidi w:val="0"/>
        <w:spacing w:before="0" w:after="220" w:line="240" w:lineRule="auto"/>
        <w:ind w:left="0" w:right="0" w:firstLine="0"/>
        <w:jc w:val="left"/>
      </w:pPr>
      <w:bookmarkStart w:id="1531" w:name="bookmark1531"/>
      <w:bookmarkEnd w:id="1531"/>
      <w:r>
        <w:rPr>
          <w:rFonts w:ascii="Times New Roman" w:eastAsia="Times New Roman" w:hAnsi="Times New Roman" w:cs="Times New Roman"/>
          <w:color w:val="000000"/>
          <w:spacing w:val="0"/>
          <w:w w:val="100"/>
          <w:position w:val="0"/>
        </w:rPr>
        <w:t xml:space="preserve"> </w:t>
      </w:r>
      <w:r>
        <w:rPr>
          <w:color w:val="000000"/>
          <w:spacing w:val="0"/>
          <w:w w:val="100"/>
          <w:position w:val="0"/>
        </w:rPr>
        <w:t>载有法定代表人、财务负责人、会计机构负责人签名并盖章的财务报表。</w:t>
      </w:r>
    </w:p>
    <w:p>
      <w:pPr>
        <w:pStyle w:val="Style25"/>
        <w:keepNext w:val="0"/>
        <w:keepLines w:val="0"/>
        <w:widowControl w:val="0"/>
        <w:numPr>
          <w:ilvl w:val="0"/>
          <w:numId w:val="53"/>
        </w:numPr>
        <w:shd w:val="clear" w:color="auto" w:fill="auto"/>
        <w:bidi w:val="0"/>
        <w:spacing w:before="0" w:after="220" w:line="240" w:lineRule="auto"/>
        <w:ind w:left="0" w:right="0" w:firstLine="0"/>
        <w:jc w:val="left"/>
      </w:pPr>
      <w:bookmarkStart w:id="1532" w:name="bookmark1532"/>
      <w:bookmarkEnd w:id="1532"/>
      <w:r>
        <w:rPr>
          <w:rFonts w:ascii="Times New Roman" w:eastAsia="Times New Roman" w:hAnsi="Times New Roman" w:cs="Times New Roman"/>
          <w:color w:val="000000"/>
          <w:spacing w:val="0"/>
          <w:w w:val="100"/>
          <w:position w:val="0"/>
        </w:rPr>
        <w:t xml:space="preserve"> </w:t>
      </w:r>
      <w:r>
        <w:rPr>
          <w:color w:val="000000"/>
          <w:spacing w:val="0"/>
          <w:w w:val="100"/>
          <w:position w:val="0"/>
        </w:rPr>
        <w:t>载有会计师事务所盖章、注册会计师签名并盖章的审计报告原件。</w:t>
      </w:r>
    </w:p>
    <w:p>
      <w:pPr>
        <w:pStyle w:val="Style25"/>
        <w:keepNext w:val="0"/>
        <w:keepLines w:val="0"/>
        <w:widowControl w:val="0"/>
        <w:numPr>
          <w:ilvl w:val="0"/>
          <w:numId w:val="53"/>
        </w:numPr>
        <w:shd w:val="clear" w:color="auto" w:fill="auto"/>
        <w:tabs>
          <w:tab w:pos="334" w:val="left"/>
        </w:tabs>
        <w:bidi w:val="0"/>
        <w:spacing w:before="0" w:after="220" w:line="240" w:lineRule="auto"/>
        <w:ind w:left="0" w:right="0" w:firstLine="0"/>
        <w:jc w:val="left"/>
      </w:pPr>
      <w:bookmarkStart w:id="1533" w:name="bookmark1533"/>
      <w:bookmarkEnd w:id="1533"/>
      <w:r>
        <w:rPr>
          <w:color w:val="000000"/>
          <w:spacing w:val="0"/>
          <w:w w:val="100"/>
          <w:position w:val="0"/>
        </w:rPr>
        <w:t>报告期内在中国证监会指定网站上公开披露过的所有公司文件的正本及公告原稿。</w:t>
      </w:r>
    </w:p>
    <w:p>
      <w:pPr>
        <w:pStyle w:val="Style25"/>
        <w:keepNext w:val="0"/>
        <w:keepLines w:val="0"/>
        <w:widowControl w:val="0"/>
        <w:numPr>
          <w:ilvl w:val="0"/>
          <w:numId w:val="53"/>
        </w:numPr>
        <w:shd w:val="clear" w:color="auto" w:fill="auto"/>
        <w:tabs>
          <w:tab w:pos="334" w:val="left"/>
        </w:tabs>
        <w:bidi w:val="0"/>
        <w:spacing w:before="0" w:after="220" w:line="240" w:lineRule="auto"/>
        <w:ind w:left="0" w:right="0" w:firstLine="0"/>
        <w:jc w:val="left"/>
      </w:pPr>
      <w:bookmarkStart w:id="1534" w:name="bookmark1534"/>
      <w:bookmarkEnd w:id="1534"/>
      <w:r>
        <w:rPr>
          <w:color w:val="000000"/>
          <w:spacing w:val="0"/>
          <w:w w:val="100"/>
          <w:position w:val="0"/>
        </w:rPr>
        <w:t>载有董事长签名的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年年度报告文本原件。</w:t>
      </w:r>
    </w:p>
    <w:p>
      <w:pPr>
        <w:pStyle w:val="Style25"/>
        <w:keepNext w:val="0"/>
        <w:keepLines w:val="0"/>
        <w:widowControl w:val="0"/>
        <w:numPr>
          <w:ilvl w:val="0"/>
          <w:numId w:val="53"/>
        </w:numPr>
        <w:shd w:val="clear" w:color="auto" w:fill="auto"/>
        <w:bidi w:val="0"/>
        <w:spacing w:before="0" w:after="220" w:line="240" w:lineRule="auto"/>
        <w:ind w:left="0" w:right="0" w:firstLine="0"/>
        <w:jc w:val="left"/>
      </w:pPr>
      <w:bookmarkStart w:id="1535" w:name="bookmark1535"/>
      <w:bookmarkEnd w:id="1535"/>
      <w:r>
        <w:rPr>
          <w:rFonts w:ascii="Times New Roman" w:eastAsia="Times New Roman" w:hAnsi="Times New Roman" w:cs="Times New Roman"/>
          <w:color w:val="000000"/>
          <w:spacing w:val="0"/>
          <w:w w:val="100"/>
          <w:position w:val="0"/>
        </w:rPr>
        <w:t xml:space="preserve"> </w:t>
      </w:r>
      <w:r>
        <w:rPr>
          <w:color w:val="000000"/>
          <w:spacing w:val="0"/>
          <w:w w:val="100"/>
          <w:position w:val="0"/>
        </w:rPr>
        <w:t>以上备查文件的备置地点：公司董事会办公室。</w:t>
      </w:r>
    </w:p>
    <w:sectPr>
      <w:footnotePr>
        <w:pos w:val="pageBottom"/>
        <w:numFmt w:val="decimal"/>
        <w:numRestart w:val="continuous"/>
      </w:footnotePr>
      <w:pgSz w:w="11900" w:h="16840"/>
      <w:pgMar w:top="1916" w:right="3029" w:bottom="1916"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6725920</wp:posOffset>
              </wp:positionH>
              <wp:positionV relativeFrom="page">
                <wp:posOffset>9955530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60000000000002pt;margin-top:783.89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6725920</wp:posOffset>
              </wp:positionH>
              <wp:positionV relativeFrom="page">
                <wp:posOffset>9955530</wp:posOffset>
              </wp:positionV>
              <wp:extent cx="97790" cy="79375"/>
              <wp:wrapNone/>
              <wp:docPr id="31" name="Shape 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29.60000000000002pt;margin-top:783.89999999999998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6384925</wp:posOffset>
              </wp:positionH>
              <wp:positionV relativeFrom="page">
                <wp:posOffset>9798050</wp:posOffset>
              </wp:positionV>
              <wp:extent cx="445135" cy="106680"/>
              <wp:wrapNone/>
              <wp:docPr id="36" name="Shape 3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2" type="#_x0000_t202" style="position:absolute;margin-left:502.75pt;margin-top:771.5pt;width:35.05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6674485</wp:posOffset>
              </wp:positionH>
              <wp:positionV relativeFrom="page">
                <wp:posOffset>10148570</wp:posOffset>
              </wp:positionV>
              <wp:extent cx="152400" cy="79375"/>
              <wp:wrapNone/>
              <wp:docPr id="38" name="Shape 3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25.54999999999995pt;margin-top:799.10000000000002pt;width:12.pt;height:6.25pt;z-index:-18874404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6725920</wp:posOffset>
              </wp:positionH>
              <wp:positionV relativeFrom="page">
                <wp:posOffset>9955530</wp:posOffset>
              </wp:positionV>
              <wp:extent cx="97790" cy="79375"/>
              <wp:wrapNone/>
              <wp:docPr id="43" name="Shape 4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529.60000000000002pt;margin-top:783.89999999999998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6384925</wp:posOffset>
              </wp:positionH>
              <wp:positionV relativeFrom="page">
                <wp:posOffset>9798050</wp:posOffset>
              </wp:positionV>
              <wp:extent cx="445135" cy="106680"/>
              <wp:wrapNone/>
              <wp:docPr id="48" name="Shape 4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4" type="#_x0000_t202" style="position:absolute;margin-left:502.75pt;margin-top:771.5pt;width:35.05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6674485</wp:posOffset>
              </wp:positionH>
              <wp:positionV relativeFrom="page">
                <wp:posOffset>10148570</wp:posOffset>
              </wp:positionV>
              <wp:extent cx="152400" cy="79375"/>
              <wp:wrapNone/>
              <wp:docPr id="50" name="Shape 5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525.54999999999995pt;margin-top:799.10000000000002pt;width:12.pt;height:6.25pt;z-index:-18874403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6725920</wp:posOffset>
              </wp:positionH>
              <wp:positionV relativeFrom="page">
                <wp:posOffset>9955530</wp:posOffset>
              </wp:positionV>
              <wp:extent cx="97790" cy="79375"/>
              <wp:wrapNone/>
              <wp:docPr id="55" name="Shape 5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29.60000000000002pt;margin-top:783.89999999999998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6384925</wp:posOffset>
              </wp:positionH>
              <wp:positionV relativeFrom="page">
                <wp:posOffset>9798050</wp:posOffset>
              </wp:positionV>
              <wp:extent cx="445135" cy="106680"/>
              <wp:wrapNone/>
              <wp:docPr id="60" name="Shape 60"/>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6" type="#_x0000_t202" style="position:absolute;margin-left:502.75pt;margin-top:771.5pt;width:35.050000000000004pt;height:8.4000000000000004pt;z-index:-18874402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6674485</wp:posOffset>
              </wp:positionH>
              <wp:positionV relativeFrom="page">
                <wp:posOffset>10148570</wp:posOffset>
              </wp:positionV>
              <wp:extent cx="152400" cy="79375"/>
              <wp:wrapNone/>
              <wp:docPr id="62" name="Shape 6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525.54999999999995pt;margin-top:799.10000000000002pt;width:12.pt;height:6.25pt;z-index:-18874402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4160520</wp:posOffset>
              </wp:positionH>
              <wp:positionV relativeFrom="page">
                <wp:posOffset>478790</wp:posOffset>
              </wp:positionV>
              <wp:extent cx="2673350" cy="106680"/>
              <wp:wrapNone/>
              <wp:docPr id="1" name="Shape 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60000000000002pt;margin-top:37.700000000000003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4110355</wp:posOffset>
              </wp:positionH>
              <wp:positionV relativeFrom="page">
                <wp:posOffset>518795</wp:posOffset>
              </wp:positionV>
              <wp:extent cx="2673350" cy="106680"/>
              <wp:wrapNone/>
              <wp:docPr id="6" name="Shape 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3.65000000000003pt;margin-top:40.850000000000001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645160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00000000000004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4110355</wp:posOffset>
              </wp:positionH>
              <wp:positionV relativeFrom="page">
                <wp:posOffset>518795</wp:posOffset>
              </wp:positionV>
              <wp:extent cx="2673350" cy="106680"/>
              <wp:wrapNone/>
              <wp:docPr id="28" name="Shape 28"/>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4" type="#_x0000_t202" style="position:absolute;margin-left:323.65000000000003pt;margin-top:40.850000000000001pt;width:210.5pt;height:8.4000000000000004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645160</wp:posOffset>
              </wp:positionH>
              <wp:positionV relativeFrom="page">
                <wp:posOffset>706120</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00000000000004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4156710</wp:posOffset>
              </wp:positionH>
              <wp:positionV relativeFrom="page">
                <wp:posOffset>709295</wp:posOffset>
              </wp:positionV>
              <wp:extent cx="2673350" cy="106680"/>
              <wp:wrapNone/>
              <wp:docPr id="33" name="Shape 3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9" type="#_x0000_t202" style="position:absolute;margin-left:327.30000000000001pt;margin-top:55.850000000000001pt;width:210.5pt;height:8.4000000000000004pt;z-index:-18874405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854075</wp:posOffset>
              </wp:positionV>
              <wp:extent cx="6163310" cy="0"/>
              <wp:wrapNone/>
              <wp:docPr id="35" name="Shape 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67.25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4110355</wp:posOffset>
              </wp:positionH>
              <wp:positionV relativeFrom="page">
                <wp:posOffset>518795</wp:posOffset>
              </wp:positionV>
              <wp:extent cx="2673350" cy="106680"/>
              <wp:wrapNone/>
              <wp:docPr id="40" name="Shape 40"/>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6" type="#_x0000_t202" style="position:absolute;margin-left:323.65000000000003pt;margin-top:40.850000000000001pt;width:210.5pt;height:8.4000000000000004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645160</wp:posOffset>
              </wp:positionH>
              <wp:positionV relativeFrom="page">
                <wp:posOffset>706120</wp:posOffset>
              </wp:positionV>
              <wp:extent cx="6163310" cy="0"/>
              <wp:wrapNone/>
              <wp:docPr id="42" name="Shape 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00000000000004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4156710</wp:posOffset>
              </wp:positionH>
              <wp:positionV relativeFrom="page">
                <wp:posOffset>709295</wp:posOffset>
              </wp:positionV>
              <wp:extent cx="2673350" cy="106680"/>
              <wp:wrapNone/>
              <wp:docPr id="45" name="Shape 45"/>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1" type="#_x0000_t202" style="position:absolute;margin-left:327.30000000000001pt;margin-top:55.850000000000001pt;width:210.5pt;height:8.4000000000000004pt;z-index:-18874404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854075</wp:posOffset>
              </wp:positionV>
              <wp:extent cx="6163310" cy="0"/>
              <wp:wrapNone/>
              <wp:docPr id="47" name="Shape 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67.25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4110355</wp:posOffset>
              </wp:positionH>
              <wp:positionV relativeFrom="page">
                <wp:posOffset>518795</wp:posOffset>
              </wp:positionV>
              <wp:extent cx="2673350" cy="106680"/>
              <wp:wrapNone/>
              <wp:docPr id="52" name="Shape 5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8" type="#_x0000_t202" style="position:absolute;margin-left:323.65000000000003pt;margin-top:40.850000000000001pt;width:210.5pt;height:8.4000000000000004pt;z-index:-18874403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645160</wp:posOffset>
              </wp:positionH>
              <wp:positionV relativeFrom="page">
                <wp:posOffset>706120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00000000000004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4156710</wp:posOffset>
              </wp:positionH>
              <wp:positionV relativeFrom="page">
                <wp:posOffset>709295</wp:posOffset>
              </wp:positionV>
              <wp:extent cx="2673350" cy="106680"/>
              <wp:wrapNone/>
              <wp:docPr id="57" name="Shape 5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3" type="#_x0000_t202" style="position:absolute;margin-left:327.30000000000001pt;margin-top:55.850000000000001pt;width:210.5pt;height:8.4000000000000004pt;z-index:-18874403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854075</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67.25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6"/>
      <w:szCs w:val="26"/>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正文文本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正文文本 (3)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1">
    <w:name w:val="表格标题_"/>
    <w:basedOn w:val="DefaultParagraphFont"/>
    <w:link w:val="Style40"/>
    <w:rPr>
      <w:rFonts w:ascii="SimSun" w:eastAsia="SimSun" w:hAnsi="SimSun" w:cs="SimSun"/>
      <w:b w:val="0"/>
      <w:bCs w:val="0"/>
      <w:i w:val="0"/>
      <w:iCs w:val="0"/>
      <w:smallCaps w:val="0"/>
      <w:strike w:val="0"/>
      <w:sz w:val="19"/>
      <w:szCs w:val="19"/>
      <w:u w:val="none"/>
      <w:shd w:val="clear" w:color="auto" w:fill="auto"/>
    </w:rPr>
  </w:style>
  <w:style w:type="character" w:customStyle="1" w:styleId="CharStyle60">
    <w:name w:val="正文文本 (6)_"/>
    <w:basedOn w:val="DefaultParagraphFont"/>
    <w:link w:val="Style5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7">
    <w:name w:val="标题 #5_"/>
    <w:basedOn w:val="DefaultParagraphFont"/>
    <w:link w:val="Style66"/>
    <w:rPr>
      <w:rFonts w:ascii="SimSun" w:eastAsia="SimSun" w:hAnsi="SimSun" w:cs="SimSun"/>
      <w:b/>
      <w:bCs/>
      <w:i w:val="0"/>
      <w:iCs w:val="0"/>
      <w:smallCaps w:val="0"/>
      <w:strike w:val="0"/>
      <w:sz w:val="20"/>
      <w:szCs w:val="20"/>
      <w:u w:val="none"/>
      <w:shd w:val="clear" w:color="auto" w:fill="auto"/>
    </w:rPr>
  </w:style>
  <w:style w:type="character" w:customStyle="1" w:styleId="CharStyle72">
    <w:name w:val="页眉或页脚_"/>
    <w:basedOn w:val="DefaultParagraphFont"/>
    <w:link w:val="Style71"/>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spacing w:after="8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before="5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7"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8">
    <w:name w:val="目录"/>
    <w:basedOn w:val="Normal"/>
    <w:link w:val="CharStyle19"/>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3">
    <w:name w:val="标题 #2"/>
    <w:basedOn w:val="Normal"/>
    <w:link w:val="CharStyle24"/>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5">
    <w:name w:val="正文文本"/>
    <w:basedOn w:val="Normal"/>
    <w:link w:val="CharStyle26"/>
    <w:pPr>
      <w:widowControl w:val="0"/>
      <w:shd w:val="clear" w:color="auto" w:fill="auto"/>
      <w:spacing w:after="8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标题 #3"/>
    <w:basedOn w:val="Normal"/>
    <w:link w:val="CharStyle32"/>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正文文本 (3)"/>
    <w:basedOn w:val="Normal"/>
    <w:link w:val="CharStyle35"/>
    <w:pPr>
      <w:widowControl w:val="0"/>
      <w:shd w:val="clear" w:color="auto" w:fill="auto"/>
      <w:spacing w:after="100"/>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标题 #4"/>
    <w:basedOn w:val="Normal"/>
    <w:link w:val="CharStyle38"/>
    <w:pPr>
      <w:widowControl w:val="0"/>
      <w:shd w:val="clear" w:color="auto" w:fill="auto"/>
      <w:spacing w:after="360" w:line="408"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0">
    <w:name w:val="表格标题"/>
    <w:basedOn w:val="Normal"/>
    <w:link w:val="CharStyle41"/>
    <w:pPr>
      <w:widowControl w:val="0"/>
      <w:shd w:val="clear" w:color="auto" w:fill="auto"/>
      <w:jc w:val="right"/>
    </w:pPr>
    <w:rPr>
      <w:rFonts w:ascii="SimSun" w:eastAsia="SimSun" w:hAnsi="SimSun" w:cs="SimSun"/>
      <w:b w:val="0"/>
      <w:bCs w:val="0"/>
      <w:i w:val="0"/>
      <w:iCs w:val="0"/>
      <w:smallCaps w:val="0"/>
      <w:strike w:val="0"/>
      <w:sz w:val="19"/>
      <w:szCs w:val="19"/>
      <w:u w:val="none"/>
      <w:shd w:val="clear" w:color="auto" w:fill="auto"/>
    </w:rPr>
  </w:style>
  <w:style w:type="paragraph" w:customStyle="1" w:styleId="Style59">
    <w:name w:val="正文文本 (6)"/>
    <w:basedOn w:val="Normal"/>
    <w:link w:val="CharStyle60"/>
    <w:pPr>
      <w:widowControl w:val="0"/>
      <w:shd w:val="clear" w:color="auto" w:fill="auto"/>
      <w:spacing w:after="660"/>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6">
    <w:name w:val="标题 #5"/>
    <w:basedOn w:val="Normal"/>
    <w:link w:val="CharStyle67"/>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1">
    <w:name w:val="页眉或页脚"/>
    <w:basedOn w:val="Normal"/>
    <w:link w:val="CharStyle7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北京中科金财科技股份有限公司2020年年度报告全文</dc:title>
  <dc:subject/>
  <dc:creator>北京中科金财科技股份有限公司</dc:creator>
  <cp:keywords/>
</cp:coreProperties>
</file>