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header12.xml" ContentType="application/vnd.openxmlformats-officedocument.wordprocessingml.head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word/header14.xml" ContentType="application/vnd.openxmlformats-officedocument.wordprocessingml.header+xml"/>
  <Override PartName="/word/footer23.xml" ContentType="application/vnd.openxmlformats-officedocument.wordprocessingml.footer+xml"/>
  <Override PartName="/word/header1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17.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8.xml" ContentType="application/vnd.openxmlformats-officedocument.wordprocessingml.header+xml"/>
  <Override PartName="/word/footer37.xml" ContentType="application/vnd.openxmlformats-officedocument.wordprocessingml.footer+xml"/>
  <Override PartName="/word/header19.xml" ContentType="application/vnd.openxmlformats-officedocument.wordprocessingml.header+xml"/>
  <Override PartName="/word/footer38.xml" ContentType="application/vnd.openxmlformats-officedocument.wordprocessingml.footer+xml"/>
  <Override PartName="/word/header2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21.xml" ContentType="application/vnd.openxmlformats-officedocument.wordprocessingml.header+xml"/>
  <Override PartName="/word/footer41.xml" ContentType="application/vnd.openxmlformats-officedocument.wordprocessingml.footer+xml"/>
  <Override PartName="/word/header22.xml" ContentType="application/vnd.openxmlformats-officedocument.wordprocessingml.header+xml"/>
  <Override PartName="/word/footer42.xml" ContentType="application/vnd.openxmlformats-officedocument.wordprocessingml.footer+xml"/>
  <Override PartName="/word/header2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24.xml" ContentType="application/vnd.openxmlformats-officedocument.wordprocessingml.header+xml"/>
  <Override PartName="/word/footer45.xml" ContentType="application/vnd.openxmlformats-officedocument.wordprocessingml.footer+xml"/>
  <Override PartName="/word/header25.xml" ContentType="application/vnd.openxmlformats-officedocument.wordprocessingml.header+xml"/>
  <Override PartName="/word/footer46.xml" ContentType="application/vnd.openxmlformats-officedocument.wordprocessingml.footer+xml"/>
  <Override PartName="/word/header26.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4"/>
          <w:szCs w:val="24"/>
        </w:rPr>
      </w:pPr>
    </w:p>
    <w:p>
      <w:pPr>
        <w:spacing w:line="1778" w:lineRule="exact"/>
        <w:ind w:left="21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6047705" cy="112937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6047705" cy="1129379"/>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2"/>
        <w:ind w:left="149" w:right="1130" w:firstLine="0"/>
        <w:jc w:val="center"/>
        <w:rPr>
          <w:rFonts w:ascii="宋体" w:hAnsi="宋体" w:cs="宋体" w:eastAsia="宋体" w:hint="default"/>
          <w:sz w:val="52"/>
          <w:szCs w:val="52"/>
        </w:rPr>
      </w:pPr>
      <w:r>
        <w:rPr>
          <w:rFonts w:ascii="宋体" w:hAnsi="宋体" w:cs="宋体" w:eastAsia="宋体" w:hint="default"/>
          <w:b/>
          <w:bCs/>
          <w:sz w:val="52"/>
          <w:szCs w:val="52"/>
        </w:rPr>
        <w:t>茂硕电源科技股份有限公司</w:t>
      </w:r>
      <w:r>
        <w:rPr>
          <w:rFonts w:ascii="宋体" w:hAnsi="宋体" w:cs="宋体" w:eastAsia="宋体" w:hint="default"/>
          <w:sz w:val="52"/>
          <w:szCs w:val="52"/>
        </w:rPr>
      </w:r>
    </w:p>
    <w:p>
      <w:pPr>
        <w:spacing w:before="392"/>
        <w:ind w:left="152" w:right="1130" w:firstLine="0"/>
        <w:jc w:val="center"/>
        <w:rPr>
          <w:rFonts w:ascii="宋体" w:hAnsi="宋体" w:cs="宋体" w:eastAsia="宋体" w:hint="default"/>
          <w:sz w:val="52"/>
          <w:szCs w:val="52"/>
        </w:rPr>
      </w:pPr>
      <w:r>
        <w:rPr>
          <w:rFonts w:ascii="Arial" w:hAnsi="Arial" w:cs="Arial" w:eastAsia="Arial" w:hint="default"/>
          <w:b/>
          <w:bCs/>
          <w:sz w:val="52"/>
          <w:szCs w:val="52"/>
        </w:rPr>
        <w:t>2012</w:t>
      </w:r>
      <w:r>
        <w:rPr>
          <w:rFonts w:ascii="Arial" w:hAnsi="Arial" w:cs="Arial" w:eastAsia="Arial" w:hint="default"/>
          <w:b/>
          <w:bCs/>
          <w:spacing w:val="-17"/>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10"/>
        <w:rPr>
          <w:rFonts w:ascii="宋体" w:hAnsi="宋体" w:cs="宋体" w:eastAsia="宋体" w:hint="default"/>
          <w:b/>
          <w:bCs/>
          <w:sz w:val="79"/>
          <w:szCs w:val="79"/>
        </w:rPr>
      </w:pPr>
    </w:p>
    <w:p>
      <w:pPr>
        <w:spacing w:before="0"/>
        <w:ind w:left="145" w:right="1130" w:firstLine="0"/>
        <w:jc w:val="center"/>
        <w:rPr>
          <w:rFonts w:ascii="宋体" w:hAnsi="宋体" w:cs="宋体" w:eastAsia="宋体" w:hint="default"/>
          <w:sz w:val="32"/>
          <w:szCs w:val="32"/>
        </w:rPr>
      </w:pPr>
      <w:r>
        <w:rPr>
          <w:rFonts w:ascii="Arial" w:hAnsi="Arial" w:cs="Arial" w:eastAsia="Arial" w:hint="default"/>
          <w:b/>
          <w:bCs/>
          <w:sz w:val="32"/>
          <w:szCs w:val="32"/>
        </w:rPr>
        <w:t>2013</w:t>
      </w:r>
      <w:r>
        <w:rPr>
          <w:rFonts w:ascii="Arial" w:hAnsi="Arial" w:cs="Arial" w:eastAsia="Arial" w:hint="default"/>
          <w:b/>
          <w:bCs/>
          <w:spacing w:val="-13"/>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Arial" w:hAnsi="Arial" w:cs="Arial" w:eastAsia="Arial" w:hint="default"/>
          <w:b/>
          <w:bCs/>
          <w:sz w:val="32"/>
          <w:szCs w:val="32"/>
        </w:rPr>
        <w:t>04</w:t>
      </w:r>
      <w:r>
        <w:rPr>
          <w:rFonts w:ascii="Arial" w:hAnsi="Arial" w:cs="Arial" w:eastAsia="Arial" w:hint="default"/>
          <w:b/>
          <w:bCs/>
          <w:spacing w:val="-1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21"/>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1"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8"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公司负责人顾永德、主管会计工作负责人秦传君及会计机构负责人</w:t>
      </w:r>
      <w:r>
        <w:rPr>
          <w:rFonts w:ascii="Arial" w:hAnsi="Arial" w:cs="Arial" w:eastAsia="Arial"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Arial" w:hAnsi="Arial" w:cs="Arial" w:eastAsia="Arial" w:hint="default"/>
          <w:b/>
          <w:bCs/>
          <w:sz w:val="28"/>
          <w:szCs w:val="28"/>
        </w:rPr>
        <w:t>)</w:t>
      </w:r>
      <w:r>
        <w:rPr>
          <w:rFonts w:ascii="宋体" w:hAnsi="宋体" w:cs="宋体" w:eastAsia="宋体" w:hint="default"/>
          <w:b/>
          <w:bCs/>
          <w:sz w:val="28"/>
          <w:szCs w:val="28"/>
        </w:rPr>
        <w:t>秦传君声明：保证年度报告中财务报告的真实、准确、完整。</w:t>
      </w:r>
      <w:r>
        <w:rPr>
          <w:rFonts w:ascii="宋体" w:hAnsi="宋体" w:cs="宋体" w:eastAsia="宋体" w:hint="default"/>
          <w:sz w:val="28"/>
          <w:szCs w:val="28"/>
        </w:rPr>
      </w:r>
    </w:p>
    <w:p>
      <w:pPr>
        <w:spacing w:line="472" w:lineRule="auto" w:before="144"/>
        <w:ind w:left="714" w:right="1121"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52"/>
          <w:sz w:val="28"/>
          <w:szCs w:val="28"/>
        </w:rPr>
        <w:t> </w:t>
      </w:r>
      <w:r>
        <w:rPr>
          <w:rFonts w:ascii="Arial" w:hAnsi="Arial" w:cs="Arial" w:eastAsia="Arial" w:hint="default"/>
          <w:b/>
          <w:bCs/>
          <w:sz w:val="28"/>
          <w:szCs w:val="28"/>
        </w:rPr>
        <w:t>2013</w:t>
      </w:r>
      <w:r>
        <w:rPr>
          <w:rFonts w:ascii="Arial" w:hAnsi="Arial" w:cs="Arial" w:eastAsia="Arial" w:hint="default"/>
          <w:b/>
          <w:bCs/>
          <w:spacing w:val="7"/>
          <w:sz w:val="28"/>
          <w:szCs w:val="28"/>
        </w:rPr>
        <w:t> </w:t>
      </w:r>
      <w:r>
        <w:rPr>
          <w:rFonts w:ascii="宋体" w:hAnsi="宋体" w:cs="宋体" w:eastAsia="宋体" w:hint="default"/>
          <w:b/>
          <w:bCs/>
          <w:sz w:val="28"/>
          <w:szCs w:val="28"/>
        </w:rPr>
        <w:t>年</w:t>
      </w:r>
      <w:r>
        <w:rPr>
          <w:rFonts w:ascii="宋体" w:hAnsi="宋体" w:cs="宋体" w:eastAsia="宋体" w:hint="default"/>
          <w:b/>
          <w:bCs/>
          <w:spacing w:val="-53"/>
          <w:sz w:val="28"/>
          <w:szCs w:val="28"/>
        </w:rPr>
        <w:t> </w:t>
      </w:r>
      <w:r>
        <w:rPr>
          <w:rFonts w:ascii="Arial" w:hAnsi="Arial" w:cs="Arial" w:eastAsia="Arial" w:hint="default"/>
          <w:b/>
          <w:bCs/>
          <w:sz w:val="28"/>
          <w:szCs w:val="28"/>
        </w:rPr>
        <w:t>05</w:t>
      </w:r>
      <w:r>
        <w:rPr>
          <w:rFonts w:ascii="Arial" w:hAnsi="Arial" w:cs="Arial" w:eastAsia="Arial" w:hint="default"/>
          <w:b/>
          <w:bCs/>
          <w:spacing w:val="7"/>
          <w:sz w:val="28"/>
          <w:szCs w:val="28"/>
        </w:rPr>
        <w:t> </w:t>
      </w:r>
      <w:r>
        <w:rPr>
          <w:rFonts w:ascii="宋体" w:hAnsi="宋体" w:cs="宋体" w:eastAsia="宋体" w:hint="default"/>
          <w:b/>
          <w:bCs/>
          <w:sz w:val="28"/>
          <w:szCs w:val="28"/>
        </w:rPr>
        <w:t>月</w:t>
      </w:r>
      <w:r>
        <w:rPr>
          <w:rFonts w:ascii="宋体" w:hAnsi="宋体" w:cs="宋体" w:eastAsia="宋体" w:hint="default"/>
          <w:b/>
          <w:bCs/>
          <w:spacing w:val="-54"/>
          <w:sz w:val="28"/>
          <w:szCs w:val="28"/>
        </w:rPr>
        <w:t> </w:t>
      </w:r>
      <w:r>
        <w:rPr>
          <w:rFonts w:ascii="Arial" w:hAnsi="Arial" w:cs="Arial" w:eastAsia="Arial" w:hint="default"/>
          <w:b/>
          <w:bCs/>
          <w:sz w:val="28"/>
          <w:szCs w:val="28"/>
        </w:rPr>
        <w:t>27</w:t>
      </w:r>
      <w:r>
        <w:rPr>
          <w:rFonts w:ascii="Arial" w:hAnsi="Arial" w:cs="Arial" w:eastAsia="Arial" w:hint="default"/>
          <w:b/>
          <w:bCs/>
          <w:spacing w:val="5"/>
          <w:sz w:val="28"/>
          <w:szCs w:val="28"/>
        </w:rPr>
        <w:t> </w:t>
      </w:r>
      <w:r>
        <w:rPr>
          <w:rFonts w:ascii="宋体" w:hAnsi="宋体" w:cs="宋体" w:eastAsia="宋体" w:hint="default"/>
          <w:b/>
          <w:bCs/>
          <w:sz w:val="28"/>
          <w:szCs w:val="28"/>
        </w:rPr>
        <w:t>日的</w:t>
      </w:r>
      <w:r>
        <w:rPr>
          <w:rFonts w:ascii="宋体" w:hAnsi="宋体" w:cs="宋体" w:eastAsia="宋体" w:hint="default"/>
          <w:sz w:val="28"/>
          <w:szCs w:val="28"/>
        </w:rPr>
      </w:r>
    </w:p>
    <w:p>
      <w:pPr>
        <w:spacing w:line="321" w:lineRule="exact" w:before="0"/>
        <w:ind w:left="152" w:right="0" w:firstLine="0"/>
        <w:jc w:val="left"/>
        <w:rPr>
          <w:rFonts w:ascii="Arial" w:hAnsi="Arial" w:cs="Arial" w:eastAsia="Arial" w:hint="default"/>
          <w:sz w:val="28"/>
          <w:szCs w:val="28"/>
        </w:rPr>
      </w:pPr>
      <w:r>
        <w:rPr>
          <w:rFonts w:ascii="宋体" w:hAnsi="宋体" w:cs="宋体" w:eastAsia="宋体" w:hint="default"/>
          <w:b/>
          <w:bCs/>
          <w:w w:val="99"/>
          <w:sz w:val="28"/>
          <w:szCs w:val="28"/>
        </w:rPr>
        <w:t>公司</w:t>
      </w:r>
      <w:r>
        <w:rPr>
          <w:rFonts w:ascii="宋体" w:hAnsi="宋体" w:cs="宋体" w:eastAsia="宋体" w:hint="default"/>
          <w:b/>
          <w:bCs/>
          <w:spacing w:val="2"/>
          <w:w w:val="99"/>
          <w:sz w:val="28"/>
          <w:szCs w:val="28"/>
        </w:rPr>
        <w:t>总</w:t>
      </w:r>
      <w:r>
        <w:rPr>
          <w:rFonts w:ascii="宋体" w:hAnsi="宋体" w:cs="宋体" w:eastAsia="宋体" w:hint="default"/>
          <w:b/>
          <w:bCs/>
          <w:w w:val="99"/>
          <w:sz w:val="28"/>
          <w:szCs w:val="28"/>
        </w:rPr>
        <w:t>股本为基数，向</w:t>
      </w:r>
      <w:r>
        <w:rPr>
          <w:rFonts w:ascii="宋体" w:hAnsi="宋体" w:cs="宋体" w:eastAsia="宋体" w:hint="default"/>
          <w:b/>
          <w:bCs/>
          <w:spacing w:val="2"/>
          <w:w w:val="99"/>
          <w:sz w:val="28"/>
          <w:szCs w:val="28"/>
        </w:rPr>
        <w:t>全</w:t>
      </w:r>
      <w:r>
        <w:rPr>
          <w:rFonts w:ascii="宋体" w:hAnsi="宋体" w:cs="宋体" w:eastAsia="宋体" w:hint="default"/>
          <w:b/>
          <w:bCs/>
          <w:w w:val="99"/>
          <w:sz w:val="28"/>
          <w:szCs w:val="28"/>
        </w:rPr>
        <w:t>体股东每</w:t>
      </w:r>
      <w:r>
        <w:rPr>
          <w:rFonts w:ascii="宋体" w:hAnsi="宋体" w:cs="宋体" w:eastAsia="宋体" w:hint="default"/>
          <w:b/>
          <w:bCs/>
          <w:spacing w:val="-49"/>
          <w:sz w:val="28"/>
          <w:szCs w:val="28"/>
        </w:rPr>
        <w:t> </w:t>
      </w:r>
      <w:r>
        <w:rPr>
          <w:rFonts w:ascii="Arial" w:hAnsi="Arial" w:cs="Arial" w:eastAsia="Arial" w:hint="default"/>
          <w:b/>
          <w:bCs/>
          <w:spacing w:val="-3"/>
          <w:w w:val="100"/>
          <w:sz w:val="28"/>
          <w:szCs w:val="28"/>
        </w:rPr>
        <w:t>1</w:t>
      </w:r>
      <w:r>
        <w:rPr>
          <w:rFonts w:ascii="Arial" w:hAnsi="Arial" w:cs="Arial" w:eastAsia="Arial" w:hint="default"/>
          <w:b/>
          <w:bCs/>
          <w:w w:val="100"/>
          <w:sz w:val="28"/>
          <w:szCs w:val="28"/>
        </w:rPr>
        <w:t>0</w:t>
      </w:r>
      <w:r>
        <w:rPr>
          <w:rFonts w:ascii="Arial" w:hAnsi="Arial" w:cs="Arial" w:eastAsia="Arial" w:hint="default"/>
          <w:b/>
          <w:bCs/>
          <w:spacing w:val="8"/>
          <w:sz w:val="28"/>
          <w:szCs w:val="28"/>
        </w:rPr>
        <w:t> </w:t>
      </w:r>
      <w:r>
        <w:rPr>
          <w:rFonts w:ascii="宋体" w:hAnsi="宋体" w:cs="宋体" w:eastAsia="宋体" w:hint="default"/>
          <w:b/>
          <w:bCs/>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w w:val="99"/>
          <w:sz w:val="28"/>
          <w:szCs w:val="28"/>
        </w:rPr>
        <w:t>现金红利</w:t>
      </w:r>
      <w:r>
        <w:rPr>
          <w:rFonts w:ascii="宋体" w:hAnsi="宋体" w:cs="宋体" w:eastAsia="宋体" w:hint="default"/>
          <w:b/>
          <w:bCs/>
          <w:spacing w:val="-52"/>
          <w:sz w:val="28"/>
          <w:szCs w:val="28"/>
        </w:rPr>
        <w:t> </w:t>
      </w:r>
      <w:r>
        <w:rPr>
          <w:rFonts w:ascii="Arial" w:hAnsi="Arial" w:cs="Arial" w:eastAsia="Arial" w:hint="default"/>
          <w:b/>
          <w:bCs/>
          <w:w w:val="100"/>
          <w:sz w:val="28"/>
          <w:szCs w:val="28"/>
        </w:rPr>
        <w:t>1</w:t>
      </w:r>
      <w:r>
        <w:rPr>
          <w:rFonts w:ascii="Arial" w:hAnsi="Arial" w:cs="Arial" w:eastAsia="Arial" w:hint="default"/>
          <w:b/>
          <w:bCs/>
          <w:spacing w:val="8"/>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50"/>
          <w:sz w:val="28"/>
          <w:szCs w:val="28"/>
        </w:rPr>
        <w:t> </w:t>
      </w:r>
      <w:r>
        <w:rPr>
          <w:rFonts w:ascii="Arial" w:hAnsi="Arial" w:cs="Arial" w:eastAsia="Arial" w:hint="default"/>
          <w:b/>
          <w:bCs/>
          <w:w w:val="100"/>
          <w:sz w:val="28"/>
          <w:szCs w:val="28"/>
        </w:rPr>
        <w:t>0</w:t>
      </w:r>
      <w:r>
        <w:rPr>
          <w:rFonts w:ascii="Arial" w:hAnsi="Arial" w:cs="Arial" w:eastAsia="Arial" w:hint="default"/>
          <w:w w:val="100"/>
          <w:sz w:val="28"/>
          <w:szCs w:val="28"/>
        </w:rPr>
      </w:r>
    </w:p>
    <w:p>
      <w:pPr>
        <w:spacing w:line="451" w:lineRule="auto" w:before="237"/>
        <w:ind w:left="714" w:right="1133" w:hanging="563"/>
        <w:jc w:val="left"/>
        <w:rPr>
          <w:rFonts w:ascii="宋体" w:hAnsi="宋体" w:cs="宋体" w:eastAsia="宋体" w:hint="default"/>
          <w:sz w:val="28"/>
          <w:szCs w:val="28"/>
        </w:rPr>
      </w:pPr>
      <w:r>
        <w:rPr>
          <w:rFonts w:ascii="宋体" w:hAnsi="宋体" w:cs="宋体" w:eastAsia="宋体" w:hint="default"/>
          <w:b/>
          <w:bCs/>
          <w:spacing w:val="-8"/>
          <w:w w:val="99"/>
          <w:sz w:val="28"/>
          <w:szCs w:val="28"/>
        </w:rPr>
        <w:t>股（含税），以资本公积金向全体股东每</w:t>
      </w:r>
      <w:r>
        <w:rPr>
          <w:rFonts w:ascii="宋体" w:hAnsi="宋体" w:cs="宋体" w:eastAsia="宋体" w:hint="default"/>
          <w:b/>
          <w:bCs/>
          <w:spacing w:val="-68"/>
          <w:w w:val="99"/>
          <w:sz w:val="28"/>
          <w:szCs w:val="28"/>
        </w:rPr>
        <w:t> </w:t>
      </w:r>
      <w:r>
        <w:rPr>
          <w:rFonts w:ascii="Arial" w:hAnsi="Arial" w:cs="Arial" w:eastAsia="Arial" w:hint="default"/>
          <w:b/>
          <w:bCs/>
          <w:spacing w:val="-1"/>
          <w:w w:val="100"/>
          <w:sz w:val="28"/>
          <w:szCs w:val="28"/>
        </w:rPr>
        <w:t>10</w:t>
      </w:r>
      <w:r>
        <w:rPr>
          <w:rFonts w:ascii="Arial" w:hAnsi="Arial" w:cs="Arial" w:eastAsia="Arial" w:hint="default"/>
          <w:b/>
          <w:bCs/>
          <w:spacing w:val="-8"/>
          <w:w w:val="100"/>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70"/>
          <w:w w:val="99"/>
          <w:sz w:val="28"/>
          <w:szCs w:val="28"/>
        </w:rPr>
        <w:t> </w:t>
      </w:r>
      <w:r>
        <w:rPr>
          <w:rFonts w:ascii="Arial" w:hAnsi="Arial" w:cs="Arial" w:eastAsia="Arial" w:hint="default"/>
          <w:b/>
          <w:bCs/>
          <w:spacing w:val="-1"/>
          <w:w w:val="100"/>
          <w:sz w:val="28"/>
          <w:szCs w:val="28"/>
        </w:rPr>
        <w:t>10</w:t>
      </w:r>
      <w:r>
        <w:rPr>
          <w:rFonts w:ascii="Arial" w:hAnsi="Arial" w:cs="Arial" w:eastAsia="Arial" w:hint="default"/>
          <w:b/>
          <w:bCs/>
          <w:spacing w:val="-11"/>
          <w:w w:val="100"/>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132"/>
          <w:w w:val="99"/>
          <w:sz w:val="28"/>
          <w:szCs w:val="28"/>
        </w:rPr>
        <w:t> </w:t>
      </w:r>
      <w:r>
        <w:rPr>
          <w:rFonts w:ascii="宋体" w:hAnsi="宋体" w:cs="宋体" w:eastAsia="宋体" w:hint="default"/>
          <w:b/>
          <w:bCs/>
          <w:spacing w:val="2"/>
          <w:sz w:val="28"/>
          <w:szCs w:val="28"/>
        </w:rPr>
        <w:t>本报告中涉及未来发展规划等事项的前瞻性陈述，不构成公司对投资者的</w:t>
      </w:r>
      <w:r>
        <w:rPr>
          <w:rFonts w:ascii="宋体" w:hAnsi="宋体" w:cs="宋体" w:eastAsia="宋体" w:hint="default"/>
          <w:spacing w:val="2"/>
          <w:sz w:val="28"/>
          <w:szCs w:val="28"/>
        </w:rPr>
      </w:r>
    </w:p>
    <w:p>
      <w:pPr>
        <w:spacing w:before="11"/>
        <w:ind w:left="152" w:right="1121" w:firstLine="0"/>
        <w:jc w:val="left"/>
        <w:rPr>
          <w:rFonts w:ascii="宋体" w:hAnsi="宋体" w:cs="宋体" w:eastAsia="宋体" w:hint="default"/>
          <w:sz w:val="28"/>
          <w:szCs w:val="28"/>
        </w:rPr>
      </w:pPr>
      <w:r>
        <w:rPr>
          <w:rFonts w:ascii="宋体" w:hAnsi="宋体" w:cs="宋体" w:eastAsia="宋体" w:hint="default"/>
          <w:b/>
          <w:bCs/>
          <w:sz w:val="28"/>
          <w:szCs w:val="28"/>
        </w:rPr>
        <w:t>实质承诺，请投资者注意投资风险。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340" w:header="745" w:top="1060" w:bottom="154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52" w:right="113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before="219"/>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
              </w:rPr>
              <w:t> </w:t>
            </w:r>
            <w:r>
              <w:rPr/>
              <w:t>重要事项</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5" w:val="right" w:leader="dot"/>
            </w:tabs>
            <w:spacing w:line="240" w:lineRule="auto" w:before="219"/>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1"/>
              </w:rPr>
              <w:t> </w:t>
            </w:r>
            <w:r>
              <w:rPr/>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5" w:val="right" w:leader="dot"/>
            </w:tabs>
            <w:spacing w:line="240" w:lineRule="auto" w:before="219"/>
            <w:ind w:right="0"/>
            <w:jc w:val="left"/>
            <w:rPr>
              <w:rFonts w:ascii="Times New Roman" w:hAnsi="Times New Roman" w:cs="Times New Roman" w:eastAsia="Times New Roman" w:hint="default"/>
              <w:b w:val="0"/>
              <w:bCs w:val="0"/>
            </w:rPr>
          </w:pPr>
          <w:hyperlink w:history="true" w:anchor="_TOC_250002">
            <w:r>
              <w:rPr/>
              <w:t>第九节</w:t>
            </w:r>
            <w:r>
              <w:rPr>
                <w:spacing w:val="1"/>
              </w:rPr>
              <w:t> </w:t>
            </w:r>
            <w:r>
              <w:rPr/>
              <w:t>内部控制</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
              </w:rPr>
              <w:t> </w:t>
            </w:r>
            <w:r>
              <w:rPr/>
              <w:t>财务报告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1"/>
              </w:rPr>
              <w:t> </w:t>
            </w:r>
            <w:r>
              <w:rPr/>
              <w:t>备查文件目录</w:t>
            </w:r>
            <w:r>
              <w:rPr>
                <w:rFonts w:ascii="Times New Roman" w:hAnsi="Times New Roman" w:cs="Times New Roman" w:eastAsia="Times New Roman" w:hint="default"/>
              </w:rPr>
              <w:tab/>
              <w:t>165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1340" w:top="1060" w:bottom="1540" w:left="980" w:right="0"/>
        </w:sectPr>
      </w:pPr>
    </w:p>
    <w:p>
      <w:pPr>
        <w:spacing w:before="945"/>
        <w:ind w:left="152" w:right="113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2012 </w:t>
            </w:r>
            <w:r>
              <w:rPr>
                <w:rFonts w:ascii="宋体" w:hAnsi="宋体" w:cs="宋体" w:eastAsia="宋体" w:hint="default"/>
                <w:sz w:val="18"/>
                <w:szCs w:val="18"/>
              </w:rPr>
              <w:t>年 </w:t>
            </w:r>
            <w:r>
              <w:rPr>
                <w:rFonts w:ascii="Arial" w:hAnsi="Arial" w:cs="Arial" w:eastAsia="Arial" w:hint="default"/>
                <w:sz w:val="18"/>
                <w:szCs w:val="18"/>
              </w:rPr>
              <w:t>1 </w:t>
            </w:r>
            <w:r>
              <w:rPr>
                <w:rFonts w:ascii="宋体" w:hAnsi="宋体" w:cs="宋体" w:eastAsia="宋体" w:hint="default"/>
                <w:sz w:val="18"/>
                <w:szCs w:val="18"/>
              </w:rPr>
              <w:t>月 </w:t>
            </w:r>
            <w:r>
              <w:rPr>
                <w:rFonts w:ascii="Arial" w:hAnsi="Arial" w:cs="Arial" w:eastAsia="Arial" w:hint="default"/>
                <w:sz w:val="18"/>
                <w:szCs w:val="18"/>
              </w:rPr>
              <w:t>1 </w:t>
            </w:r>
            <w:r>
              <w:rPr>
                <w:rFonts w:ascii="宋体" w:hAnsi="宋体" w:cs="宋体" w:eastAsia="宋体" w:hint="default"/>
                <w:sz w:val="18"/>
                <w:szCs w:val="18"/>
              </w:rPr>
              <w:t>日至 </w:t>
            </w:r>
            <w:r>
              <w:rPr>
                <w:rFonts w:ascii="Arial" w:hAnsi="Arial" w:cs="Arial" w:eastAsia="Arial" w:hint="default"/>
                <w:sz w:val="18"/>
                <w:szCs w:val="18"/>
              </w:rPr>
              <w:t>2012 </w:t>
            </w:r>
            <w:r>
              <w:rPr>
                <w:rFonts w:ascii="宋体" w:hAnsi="宋体" w:cs="宋体" w:eastAsia="宋体" w:hint="default"/>
                <w:sz w:val="18"/>
                <w:szCs w:val="18"/>
              </w:rPr>
              <w:t>年 </w:t>
            </w:r>
            <w:r>
              <w:rPr>
                <w:rFonts w:ascii="Arial" w:hAnsi="Arial" w:cs="Arial" w:eastAsia="Arial" w:hint="default"/>
                <w:sz w:val="18"/>
                <w:szCs w:val="18"/>
              </w:rPr>
              <w:t>12 </w:t>
            </w:r>
            <w:r>
              <w:rPr>
                <w:rFonts w:ascii="宋体" w:hAnsi="宋体" w:cs="宋体" w:eastAsia="宋体" w:hint="default"/>
                <w:sz w:val="18"/>
                <w:szCs w:val="18"/>
              </w:rPr>
              <w:t>月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Arial" w:hAnsi="Arial" w:cs="Arial" w:eastAsia="Arial" w:hint="default"/>
                <w:sz w:val="18"/>
                <w:szCs w:val="18"/>
              </w:rPr>
              <w:t>/</w:t>
            </w:r>
            <w:r>
              <w:rPr>
                <w:rFonts w:ascii="宋体" w:hAnsi="宋体" w:cs="宋体" w:eastAsia="宋体" w:hint="default"/>
                <w:sz w:val="18"/>
                <w:szCs w:val="18"/>
              </w:rPr>
              <w:t>公司</w:t>
            </w:r>
            <w:r>
              <w:rPr>
                <w:rFonts w:ascii="Arial" w:hAnsi="Arial" w:cs="Arial" w:eastAsia="Arial" w:hint="default"/>
                <w:sz w:val="18"/>
                <w:szCs w:val="18"/>
              </w:rPr>
              <w:t>/</w:t>
            </w:r>
            <w:r>
              <w:rPr>
                <w:rFonts w:ascii="宋体" w:hAnsi="宋体" w:cs="宋体" w:eastAsia="宋体" w:hint="default"/>
                <w:sz w:val="18"/>
                <w:szCs w:val="18"/>
              </w:rPr>
              <w:t>母公司</w:t>
            </w:r>
            <w:r>
              <w:rPr>
                <w:rFonts w:ascii="Arial" w:hAnsi="Arial" w:cs="Arial" w:eastAsia="Arial" w:hint="default"/>
                <w:sz w:val="18"/>
                <w:szCs w:val="18"/>
              </w:rPr>
              <w:t>/</w:t>
            </w:r>
            <w:r>
              <w:rPr>
                <w:rFonts w:ascii="宋体" w:hAnsi="宋体" w:cs="宋体" w:eastAsia="宋体" w:hint="default"/>
                <w:sz w:val="18"/>
                <w:szCs w:val="18"/>
              </w:rPr>
              <w:t>茂硕电源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2" w:lineRule="auto" w:before="49"/>
              <w:ind w:left="28" w:right="19"/>
              <w:jc w:val="left"/>
              <w:rPr>
                <w:rFonts w:ascii="宋体" w:hAnsi="宋体" w:cs="宋体" w:eastAsia="宋体" w:hint="default"/>
                <w:sz w:val="18"/>
                <w:szCs w:val="18"/>
              </w:rPr>
            </w:pPr>
            <w:r>
              <w:rPr>
                <w:rFonts w:ascii="宋体" w:hAnsi="宋体" w:cs="宋体" w:eastAsia="宋体" w:hint="default"/>
                <w:spacing w:val="-3"/>
                <w:w w:val="100"/>
                <w:sz w:val="18"/>
                <w:szCs w:val="18"/>
              </w:rPr>
              <w:t>深圳茂硕电子科技有限公司，茂硕电源的全资子公司之一</w:t>
            </w:r>
            <w:r>
              <w:rPr>
                <w:rFonts w:ascii="Arial" w:hAnsi="Arial" w:cs="Arial" w:eastAsia="Arial" w:hint="default"/>
                <w:spacing w:val="-3"/>
                <w:w w:val="100"/>
                <w:sz w:val="18"/>
                <w:szCs w:val="18"/>
              </w:rPr>
              <w:t>,</w:t>
            </w:r>
            <w:r>
              <w:rPr>
                <w:rFonts w:ascii="宋体" w:hAnsi="宋体" w:cs="宋体" w:eastAsia="宋体" w:hint="default"/>
                <w:spacing w:val="-3"/>
                <w:w w:val="100"/>
                <w:sz w:val="18"/>
                <w:szCs w:val="18"/>
              </w:rPr>
              <w:t>曾用名深圳</w:t>
            </w:r>
            <w:r>
              <w:rPr>
                <w:rFonts w:ascii="宋体" w:hAnsi="宋体" w:cs="宋体" w:eastAsia="宋体" w:hint="default"/>
                <w:spacing w:val="-80"/>
                <w:w w:val="100"/>
                <w:sz w:val="18"/>
                <w:szCs w:val="18"/>
              </w:rPr>
              <w:t> </w:t>
            </w:r>
            <w:r>
              <w:rPr>
                <w:rFonts w:ascii="宋体" w:hAnsi="宋体" w:cs="宋体" w:eastAsia="宋体" w:hint="default"/>
                <w:sz w:val="18"/>
                <w:szCs w:val="18"/>
              </w:rPr>
              <w:t>茂硕磁性元件技术有限公司</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香港茂硕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茂硕能源科技（香港）国际有限公司，茂硕电源的全资子公司之一</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北京茂硕</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北京茂硕新能源科技有限公司，茂硕电源的控股子公司，茂硕电源拥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有该公司</w:t>
            </w:r>
            <w:r>
              <w:rPr>
                <w:rFonts w:ascii="宋体" w:hAnsi="宋体" w:cs="宋体" w:eastAsia="宋体" w:hint="default"/>
                <w:spacing w:val="-45"/>
                <w:sz w:val="18"/>
                <w:szCs w:val="18"/>
              </w:rPr>
              <w:t> </w:t>
            </w:r>
            <w:r>
              <w:rPr>
                <w:rFonts w:ascii="Arial" w:hAnsi="Arial" w:cs="Arial" w:eastAsia="Arial" w:hint="default"/>
                <w:sz w:val="18"/>
                <w:szCs w:val="18"/>
              </w:rPr>
              <w:t>99%</w:t>
            </w:r>
            <w:r>
              <w:rPr>
                <w:rFonts w:ascii="宋体" w:hAnsi="宋体" w:cs="宋体" w:eastAsia="宋体" w:hint="default"/>
                <w:sz w:val="18"/>
                <w:szCs w:val="18"/>
              </w:rPr>
              <w:t>的股份</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华智测控</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2" w:lineRule="auto" w:before="49"/>
              <w:ind w:left="28" w:right="19"/>
              <w:jc w:val="left"/>
              <w:rPr>
                <w:rFonts w:ascii="宋体" w:hAnsi="宋体" w:cs="宋体" w:eastAsia="宋体" w:hint="default"/>
                <w:sz w:val="18"/>
                <w:szCs w:val="18"/>
              </w:rPr>
            </w:pPr>
            <w:r>
              <w:rPr>
                <w:rFonts w:ascii="宋体" w:hAnsi="宋体" w:cs="宋体" w:eastAsia="宋体" w:hint="default"/>
                <w:spacing w:val="-3"/>
                <w:w w:val="100"/>
                <w:sz w:val="18"/>
                <w:szCs w:val="18"/>
              </w:rPr>
              <w:t>深圳华智测控技术有限公司，茂硕电源的控股子公司之一</w:t>
            </w:r>
            <w:r>
              <w:rPr>
                <w:rFonts w:ascii="Arial" w:hAnsi="Arial" w:cs="Arial" w:eastAsia="Arial" w:hint="default"/>
                <w:spacing w:val="-3"/>
                <w:w w:val="100"/>
                <w:sz w:val="18"/>
                <w:szCs w:val="18"/>
              </w:rPr>
              <w:t>,</w:t>
            </w:r>
            <w:r>
              <w:rPr>
                <w:rFonts w:ascii="宋体" w:hAnsi="宋体" w:cs="宋体" w:eastAsia="宋体" w:hint="default"/>
                <w:spacing w:val="-3"/>
                <w:w w:val="100"/>
                <w:sz w:val="18"/>
                <w:szCs w:val="18"/>
              </w:rPr>
              <w:t>茂硕电源拥</w:t>
            </w:r>
            <w:r>
              <w:rPr>
                <w:rFonts w:ascii="宋体" w:hAnsi="宋体" w:cs="宋体" w:eastAsia="宋体" w:hint="default"/>
                <w:spacing w:val="-80"/>
                <w:w w:val="100"/>
                <w:sz w:val="18"/>
                <w:szCs w:val="18"/>
              </w:rPr>
              <w:t> </w:t>
            </w:r>
            <w:r>
              <w:rPr>
                <w:rFonts w:ascii="宋体" w:hAnsi="宋体" w:cs="宋体" w:eastAsia="宋体" w:hint="default"/>
                <w:sz w:val="18"/>
                <w:szCs w:val="18"/>
              </w:rPr>
              <w:t>有该公司</w:t>
            </w:r>
            <w:r>
              <w:rPr>
                <w:rFonts w:ascii="宋体" w:hAnsi="宋体" w:cs="宋体" w:eastAsia="宋体" w:hint="default"/>
                <w:spacing w:val="-47"/>
                <w:sz w:val="18"/>
                <w:szCs w:val="18"/>
              </w:rPr>
              <w:t> </w:t>
            </w:r>
            <w:r>
              <w:rPr>
                <w:rFonts w:ascii="Arial" w:hAnsi="Arial" w:cs="Arial" w:eastAsia="Arial" w:hint="default"/>
                <w:sz w:val="18"/>
                <w:szCs w:val="18"/>
              </w:rPr>
              <w:t>50.93%</w:t>
            </w:r>
            <w:r>
              <w:rPr>
                <w:rFonts w:ascii="宋体" w:hAnsi="宋体" w:cs="宋体" w:eastAsia="宋体" w:hint="default"/>
                <w:sz w:val="18"/>
                <w:szCs w:val="18"/>
              </w:rPr>
              <w:t>的股份</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2"/>
              <w:jc w:val="left"/>
              <w:rPr>
                <w:rFonts w:ascii="宋体" w:hAnsi="宋体" w:cs="宋体" w:eastAsia="宋体" w:hint="default"/>
                <w:sz w:val="18"/>
                <w:szCs w:val="18"/>
              </w:rPr>
            </w:pPr>
            <w:r>
              <w:rPr>
                <w:rFonts w:ascii="宋体" w:hAnsi="宋体" w:cs="宋体" w:eastAsia="宋体" w:hint="default"/>
                <w:spacing w:val="-2"/>
                <w:sz w:val="18"/>
                <w:szCs w:val="18"/>
              </w:rPr>
              <w:t>惠州茂硕能源科技有限公司，茂硕电源的控股子公司，茂硕电源拥有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该公司</w:t>
            </w:r>
            <w:r>
              <w:rPr>
                <w:rFonts w:ascii="宋体" w:hAnsi="宋体" w:cs="宋体" w:eastAsia="宋体" w:hint="default"/>
                <w:spacing w:val="-47"/>
                <w:sz w:val="18"/>
                <w:szCs w:val="18"/>
              </w:rPr>
              <w:t> </w:t>
            </w:r>
            <w:r>
              <w:rPr>
                <w:rFonts w:ascii="Arial" w:hAnsi="Arial" w:cs="Arial" w:eastAsia="Arial" w:hint="default"/>
                <w:sz w:val="18"/>
                <w:szCs w:val="18"/>
              </w:rPr>
              <w:t>99.6%</w:t>
            </w:r>
            <w:r>
              <w:rPr>
                <w:rFonts w:ascii="宋体" w:hAnsi="宋体" w:cs="宋体" w:eastAsia="宋体" w:hint="default"/>
                <w:sz w:val="18"/>
                <w:szCs w:val="18"/>
              </w:rPr>
              <w:t>的股份</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茂硕研究院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深圳茂硕新能源技术研究院有限公司，茂硕电源的全资子公司之一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德旺投资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深圳德旺投资发展有限公司（公司控股股东）</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蓝石创业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浙江蓝石创业投资有限公司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英飞特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英飞特电子</w:t>
            </w:r>
            <w:r>
              <w:rPr>
                <w:rFonts w:ascii="Arial" w:hAnsi="Arial" w:cs="Arial" w:eastAsia="Arial" w:hint="default"/>
                <w:sz w:val="18"/>
                <w:szCs w:val="18"/>
              </w:rPr>
              <w:t>(</w:t>
            </w:r>
            <w:r>
              <w:rPr>
                <w:rFonts w:ascii="宋体" w:hAnsi="宋体" w:cs="宋体" w:eastAsia="宋体" w:hint="default"/>
                <w:sz w:val="18"/>
                <w:szCs w:val="18"/>
              </w:rPr>
              <w:t>杭州</w:t>
            </w:r>
            <w:r>
              <w:rPr>
                <w:rFonts w:ascii="Arial" w:hAnsi="Arial" w:cs="Arial" w:eastAsia="Arial" w:hint="default"/>
                <w:sz w:val="18"/>
                <w:szCs w:val="18"/>
              </w:rPr>
              <w:t>)</w:t>
            </w:r>
            <w:r>
              <w:rPr>
                <w:rFonts w:ascii="宋体" w:hAnsi="宋体" w:cs="宋体" w:eastAsia="宋体" w:hint="default"/>
                <w:sz w:val="18"/>
                <w:szCs w:val="18"/>
              </w:rPr>
              <w:t>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泰银创业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浙江泰银创业投资有限公司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南海成长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深圳市南海成长创科投资合伙企业（有限合伙）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民生证券股份有限公司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国浩律师（深圳）事务所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会计师、审计机构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郑龙兴、侯立勋、国富浩华会计师事务所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茂硕电源科技股份有限公司公司章程</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152" w:right="1130"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403" w:lineRule="auto" w:before="0"/>
        <w:ind w:left="152" w:right="1132"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本公司请投资者认真阅读本年度报告全文，并特别注意下列风险因素：可</w:t>
      </w:r>
      <w:r>
        <w:rPr>
          <w:rFonts w:ascii="宋体" w:hAnsi="宋体" w:cs="宋体" w:eastAsia="宋体" w:hint="default"/>
          <w:b/>
          <w:bCs/>
          <w:w w:val="99"/>
          <w:sz w:val="28"/>
          <w:szCs w:val="28"/>
        </w:rPr>
        <w:t> </w:t>
      </w:r>
      <w:r>
        <w:rPr>
          <w:rFonts w:ascii="宋体" w:hAnsi="宋体" w:cs="宋体" w:eastAsia="宋体" w:hint="default"/>
          <w:b/>
          <w:bCs/>
          <w:sz w:val="28"/>
          <w:szCs w:val="28"/>
        </w:rPr>
        <w:t>能存在市场竞争加剧及毛利率下降风险</w:t>
      </w:r>
      <w:r>
        <w:rPr>
          <w:rFonts w:ascii="宋体" w:hAnsi="宋体" w:cs="宋体" w:eastAsia="宋体" w:hint="default"/>
          <w:b/>
          <w:bCs/>
          <w:spacing w:val="6"/>
          <w:sz w:val="28"/>
          <w:szCs w:val="28"/>
        </w:rPr>
        <w:t> </w:t>
      </w:r>
      <w:r>
        <w:rPr>
          <w:rFonts w:ascii="宋体" w:hAnsi="宋体" w:cs="宋体" w:eastAsia="宋体" w:hint="default"/>
          <w:b/>
          <w:bCs/>
          <w:spacing w:val="-4"/>
          <w:sz w:val="28"/>
          <w:szCs w:val="28"/>
        </w:rPr>
        <w:t>、技术及产品研发风险、应收账款发生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坏账的风险、人力资源流失风险，有关风险因素内容与对策措施已在本报告中</w:t>
      </w:r>
      <w:r>
        <w:rPr>
          <w:rFonts w:ascii="宋体" w:hAnsi="宋体" w:cs="宋体" w:eastAsia="宋体" w:hint="default"/>
          <w:b/>
          <w:bCs/>
          <w:w w:val="99"/>
          <w:sz w:val="28"/>
          <w:szCs w:val="28"/>
        </w:rPr>
        <w:t> </w:t>
      </w:r>
      <w:r>
        <w:rPr>
          <w:rFonts w:ascii="宋体" w:hAnsi="宋体" w:cs="宋体" w:eastAsia="宋体" w:hint="default"/>
          <w:b/>
          <w:bCs/>
          <w:sz w:val="28"/>
          <w:szCs w:val="28"/>
        </w:rPr>
        <w:t>第四节</w:t>
      </w:r>
      <w:r>
        <w:rPr>
          <w:rFonts w:ascii="Arial" w:hAnsi="Arial" w:cs="Arial" w:eastAsia="Arial" w:hint="default"/>
          <w:b/>
          <w:bCs/>
          <w:sz w:val="28"/>
          <w:szCs w:val="28"/>
        </w:rPr>
        <w:t>“</w:t>
      </w:r>
      <w:r>
        <w:rPr>
          <w:rFonts w:ascii="宋体" w:hAnsi="宋体" w:cs="宋体" w:eastAsia="宋体" w:hint="default"/>
          <w:b/>
          <w:bCs/>
          <w:sz w:val="28"/>
          <w:szCs w:val="28"/>
        </w:rPr>
        <w:t>董事会报告</w:t>
      </w:r>
      <w:r>
        <w:rPr>
          <w:rFonts w:ascii="宋体" w:hAnsi="宋体" w:cs="宋体" w:eastAsia="宋体" w:hint="default"/>
          <w:b/>
          <w:bCs/>
          <w:spacing w:val="12"/>
          <w:sz w:val="28"/>
          <w:szCs w:val="28"/>
        </w:rPr>
        <w:t> </w:t>
      </w:r>
      <w:r>
        <w:rPr>
          <w:rFonts w:ascii="宋体" w:hAnsi="宋体" w:cs="宋体" w:eastAsia="宋体" w:hint="default"/>
          <w:b/>
          <w:bCs/>
          <w:spacing w:val="-3"/>
          <w:sz w:val="28"/>
          <w:szCs w:val="28"/>
        </w:rPr>
        <w:t>七、公司未来发展的展望</w:t>
      </w:r>
      <w:r>
        <w:rPr>
          <w:rFonts w:ascii="Arial" w:hAnsi="Arial" w:cs="Arial" w:eastAsia="Arial" w:hint="default"/>
          <w:b/>
          <w:bCs/>
          <w:spacing w:val="-3"/>
          <w:sz w:val="28"/>
          <w:szCs w:val="28"/>
        </w:rPr>
        <w:t>”</w:t>
      </w:r>
      <w:r>
        <w:rPr>
          <w:rFonts w:ascii="宋体" w:hAnsi="宋体" w:cs="宋体" w:eastAsia="宋体" w:hint="default"/>
          <w:b/>
          <w:bCs/>
          <w:spacing w:val="-3"/>
          <w:sz w:val="28"/>
          <w:szCs w:val="28"/>
        </w:rPr>
        <w:t>部分予以描述。敬请广大投资者</w:t>
      </w:r>
      <w:r>
        <w:rPr>
          <w:rFonts w:ascii="宋体" w:hAnsi="宋体" w:cs="宋体" w:eastAsia="宋体" w:hint="default"/>
          <w:b/>
          <w:bCs/>
          <w:w w:val="99"/>
          <w:sz w:val="28"/>
          <w:szCs w:val="28"/>
        </w:rPr>
        <w:t> </w:t>
      </w:r>
      <w:r>
        <w:rPr>
          <w:rFonts w:ascii="宋体" w:hAnsi="宋体" w:cs="宋体" w:eastAsia="宋体" w:hint="default"/>
          <w:b/>
          <w:bCs/>
          <w:sz w:val="28"/>
          <w:szCs w:val="28"/>
        </w:rPr>
        <w:t>注意投资风险。</w:t>
      </w:r>
      <w:r>
        <w:rPr>
          <w:rFonts w:ascii="宋体" w:hAnsi="宋体" w:cs="宋体" w:eastAsia="宋体" w:hint="default"/>
          <w:sz w:val="28"/>
          <w:szCs w:val="28"/>
        </w:rPr>
      </w:r>
    </w:p>
    <w:p>
      <w:pPr>
        <w:spacing w:after="0" w:line="403" w:lineRule="auto"/>
        <w:jc w:val="both"/>
        <w:rPr>
          <w:rFonts w:ascii="宋体" w:hAnsi="宋体" w:cs="宋体" w:eastAsia="宋体" w:hint="default"/>
          <w:sz w:val="28"/>
          <w:szCs w:val="2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r>
        <w:rPr/>
        <w:pict>
          <v:shape style="position:absolute;margin-left:137.883011pt;margin-top:269.809998pt;width:396pt;height:19.6pt;mso-position-horizontal-relative:page;mso-position-vertical-relative:page;z-index:-1034872" type="#_x0000_t202" filled="false" stroked="false">
            <v:textbox inset="0,0,0,0">
              <w:txbxContent>
                <w:p>
                  <w:pPr>
                    <w:pStyle w:val="BodyText"/>
                    <w:spacing w:line="240" w:lineRule="auto" w:before="49"/>
                    <w:ind w:left="0" w:right="0"/>
                    <w:jc w:val="left"/>
                  </w:pPr>
                  <w:r>
                    <w:rPr/>
                    <w:t>（如有）</w:t>
                  </w:r>
                </w:p>
              </w:txbxContent>
            </v:textbox>
            <w10:wrap type="none"/>
          </v:shape>
        </w:pict>
      </w:r>
      <w:r>
        <w:rPr/>
        <w:pict>
          <v:group style="position:absolute;margin-left:171.020004pt;margin-top:269.209991pt;width:362.85pt;height:20.8pt;mso-position-horizontal-relative:page;mso-position-vertical-relative:page;z-index:-1034824" coordorigin="3420,5384" coordsize="7257,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3;height:392" coordorigin="3444,5396" coordsize="7233,392">
              <v:shape style="position:absolute;left:3444;top:5396;width:7233;height:392" coordorigin="3444,5396" coordsize="7233,392" path="m3444,5787l10677,5787,10677,5396,3444,5396,3444,5787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1130"/>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1"/>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茂硕电源</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sz w:val="18"/>
              </w:rPr>
              <w:t>002660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茂硕电源</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left="28" w:right="0"/>
              <w:jc w:val="left"/>
              <w:rPr>
                <w:rFonts w:ascii="Arial" w:hAnsi="Arial" w:cs="Arial" w:eastAsia="Arial" w:hint="default"/>
                <w:sz w:val="18"/>
                <w:szCs w:val="18"/>
              </w:rPr>
            </w:pPr>
            <w:r>
              <w:rPr>
                <w:rFonts w:ascii="Arial"/>
                <w:sz w:val="18"/>
              </w:rPr>
              <w:t>Moso Power Supply </w:t>
            </w:r>
            <w:r>
              <w:rPr>
                <w:rFonts w:ascii="Arial"/>
                <w:spacing w:val="-3"/>
                <w:sz w:val="18"/>
              </w:rPr>
              <w:t>Technology </w:t>
            </w:r>
            <w:r>
              <w:rPr>
                <w:rFonts w:ascii="Arial"/>
                <w:sz w:val="18"/>
              </w:rPr>
              <w:t>Co.,</w:t>
            </w:r>
            <w:r>
              <w:rPr>
                <w:rFonts w:ascii="Arial"/>
                <w:spacing w:val="-7"/>
                <w:sz w:val="18"/>
              </w:rPr>
              <w:t> </w:t>
            </w:r>
            <w:r>
              <w:rPr>
                <w:rFonts w:ascii="Arial"/>
                <w:sz w:val="18"/>
              </w:rPr>
              <w:t>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left="28" w:right="0"/>
              <w:jc w:val="left"/>
              <w:rPr>
                <w:rFonts w:ascii="Arial" w:hAnsi="Arial" w:cs="Arial" w:eastAsia="Arial" w:hint="default"/>
                <w:sz w:val="18"/>
                <w:szCs w:val="18"/>
              </w:rPr>
            </w:pPr>
            <w:r>
              <w:rPr>
                <w:rFonts w:ascii="Arial"/>
                <w:sz w:val="18"/>
              </w:rPr>
              <w:t>Moso</w:t>
            </w:r>
            <w:r>
              <w:rPr>
                <w:rFonts w:ascii="Arial"/>
                <w:spacing w:val="-7"/>
                <w:sz w:val="18"/>
              </w:rPr>
              <w:t> </w:t>
            </w:r>
            <w:r>
              <w:rPr>
                <w:rFonts w:ascii="Arial"/>
                <w:sz w:val="18"/>
              </w:rPr>
              <w:t>Power</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顾永德</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深圳市南山区松白路关外小白芒桑泰工业园</w:t>
            </w:r>
            <w:r>
              <w:rPr>
                <w:rFonts w:ascii="宋体" w:hAnsi="宋体" w:cs="宋体" w:eastAsia="宋体" w:hint="default"/>
                <w:spacing w:val="-44"/>
                <w:sz w:val="18"/>
                <w:szCs w:val="18"/>
              </w:rPr>
              <w:t> </w:t>
            </w:r>
            <w:r>
              <w:rPr>
                <w:rFonts w:ascii="Arial" w:hAnsi="Arial" w:cs="Arial" w:eastAsia="Arial" w:hint="default"/>
                <w:sz w:val="18"/>
                <w:szCs w:val="18"/>
              </w:rPr>
              <w:t>6</w:t>
            </w:r>
            <w:r>
              <w:rPr>
                <w:rFonts w:ascii="Arial" w:hAnsi="Arial" w:cs="Arial" w:eastAsia="Arial" w:hint="default"/>
                <w:spacing w:val="-4"/>
                <w:sz w:val="18"/>
                <w:szCs w:val="18"/>
              </w:rPr>
              <w:t> </w:t>
            </w:r>
            <w:r>
              <w:rPr>
                <w:rFonts w:ascii="宋体" w:hAnsi="宋体" w:cs="宋体" w:eastAsia="宋体" w:hint="default"/>
                <w:sz w:val="18"/>
                <w:szCs w:val="18"/>
              </w:rPr>
              <w:t>层</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left="28" w:right="0"/>
              <w:jc w:val="left"/>
              <w:rPr>
                <w:rFonts w:ascii="Arial" w:hAnsi="Arial" w:cs="Arial" w:eastAsia="Arial" w:hint="default"/>
                <w:sz w:val="18"/>
                <w:szCs w:val="18"/>
              </w:rPr>
            </w:pPr>
            <w:r>
              <w:rPr>
                <w:rFonts w:ascii="Arial"/>
                <w:sz w:val="18"/>
              </w:rPr>
              <w:t>518055</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深圳市南山区科技园中区科发路</w:t>
            </w:r>
            <w:r>
              <w:rPr>
                <w:rFonts w:ascii="宋体" w:hAnsi="宋体" w:cs="宋体" w:eastAsia="宋体" w:hint="default"/>
                <w:spacing w:val="-45"/>
                <w:sz w:val="18"/>
                <w:szCs w:val="18"/>
              </w:rPr>
              <w:t> </w:t>
            </w:r>
            <w:r>
              <w:rPr>
                <w:rFonts w:ascii="Arial" w:hAnsi="Arial" w:cs="Arial" w:eastAsia="Arial" w:hint="default"/>
                <w:sz w:val="18"/>
                <w:szCs w:val="18"/>
              </w:rPr>
              <w:t>8</w:t>
            </w:r>
            <w:r>
              <w:rPr>
                <w:rFonts w:ascii="Arial" w:hAnsi="Arial" w:cs="Arial" w:eastAsia="Arial" w:hint="default"/>
                <w:spacing w:val="-5"/>
                <w:sz w:val="18"/>
                <w:szCs w:val="18"/>
              </w:rPr>
              <w:t> </w:t>
            </w:r>
            <w:r>
              <w:rPr>
                <w:rFonts w:ascii="宋体" w:hAnsi="宋体" w:cs="宋体" w:eastAsia="宋体" w:hint="default"/>
                <w:sz w:val="18"/>
                <w:szCs w:val="18"/>
              </w:rPr>
              <w:t>号金融服务技术创新基地</w:t>
            </w:r>
            <w:r>
              <w:rPr>
                <w:rFonts w:ascii="宋体" w:hAnsi="宋体" w:cs="宋体" w:eastAsia="宋体" w:hint="default"/>
                <w:spacing w:val="-48"/>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Arial" w:hAnsi="Arial" w:cs="Arial" w:eastAsia="Arial" w:hint="default"/>
                <w:sz w:val="18"/>
                <w:szCs w:val="18"/>
              </w:rPr>
              <w:t>A</w:t>
            </w:r>
            <w:r>
              <w:rPr>
                <w:rFonts w:ascii="宋体" w:hAnsi="宋体" w:cs="宋体" w:eastAsia="宋体" w:hint="default"/>
                <w:sz w:val="18"/>
                <w:szCs w:val="18"/>
              </w:rPr>
              <w:t>、</w:t>
            </w:r>
            <w:r>
              <w:rPr>
                <w:rFonts w:ascii="Arial" w:hAnsi="Arial" w:cs="Arial" w:eastAsia="Arial" w:hint="default"/>
                <w:sz w:val="18"/>
                <w:szCs w:val="18"/>
              </w:rPr>
              <w:t>B</w:t>
            </w:r>
            <w:r>
              <w:rPr>
                <w:rFonts w:ascii="宋体" w:hAnsi="宋体" w:cs="宋体" w:eastAsia="宋体" w:hint="default"/>
                <w:sz w:val="18"/>
                <w:szCs w:val="18"/>
              </w:rPr>
              <w:t>、</w:t>
            </w:r>
            <w:r>
              <w:rPr>
                <w:rFonts w:ascii="Arial" w:hAnsi="Arial" w:cs="Arial" w:eastAsia="Arial" w:hint="default"/>
                <w:sz w:val="18"/>
                <w:szCs w:val="18"/>
              </w:rPr>
              <w:t>C</w:t>
            </w:r>
            <w:r>
              <w:rPr>
                <w:rFonts w:ascii="宋体" w:hAnsi="宋体" w:cs="宋体" w:eastAsia="宋体" w:hint="default"/>
                <w:sz w:val="18"/>
                <w:szCs w:val="18"/>
              </w:rPr>
              <w:t>、</w:t>
            </w:r>
            <w:r>
              <w:rPr>
                <w:rFonts w:ascii="Arial" w:hAnsi="Arial" w:cs="Arial" w:eastAsia="Arial" w:hint="default"/>
                <w:sz w:val="18"/>
                <w:szCs w:val="18"/>
              </w:rPr>
              <w:t>D</w:t>
            </w:r>
            <w:r>
              <w:rPr>
                <w:rFonts w:ascii="Arial" w:hAnsi="Arial" w:cs="Arial" w:eastAsia="Arial" w:hint="default"/>
                <w:spacing w:val="-6"/>
                <w:sz w:val="18"/>
                <w:szCs w:val="18"/>
              </w:rPr>
              <w:t> </w:t>
            </w:r>
            <w:r>
              <w:rPr>
                <w:rFonts w:ascii="宋体" w:hAnsi="宋体" w:cs="宋体" w:eastAsia="宋体" w:hint="default"/>
                <w:sz w:val="18"/>
                <w:szCs w:val="18"/>
              </w:rPr>
              <w:t>单元</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left="28" w:right="0"/>
              <w:jc w:val="left"/>
              <w:rPr>
                <w:rFonts w:ascii="Arial" w:hAnsi="Arial" w:cs="Arial" w:eastAsia="Arial" w:hint="default"/>
                <w:sz w:val="18"/>
                <w:szCs w:val="18"/>
              </w:rPr>
            </w:pPr>
            <w:r>
              <w:rPr>
                <w:rFonts w:ascii="Arial"/>
                <w:sz w:val="18"/>
              </w:rPr>
              <w:t>518057</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left="28" w:right="0"/>
              <w:jc w:val="left"/>
              <w:rPr>
                <w:rFonts w:ascii="Arial" w:hAnsi="Arial" w:cs="Arial" w:eastAsia="Arial" w:hint="default"/>
                <w:sz w:val="18"/>
                <w:szCs w:val="18"/>
              </w:rPr>
            </w:pPr>
            <w:hyperlink r:id="rId9">
              <w:r>
                <w:rPr>
                  <w:rFonts w:ascii="Arial"/>
                  <w:sz w:val="18"/>
                </w:rPr>
                <w:t>www.mosopower.com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left="28" w:right="0"/>
              <w:jc w:val="left"/>
              <w:rPr>
                <w:rFonts w:ascii="Arial" w:hAnsi="Arial" w:cs="Arial" w:eastAsia="Arial" w:hint="default"/>
                <w:sz w:val="18"/>
                <w:szCs w:val="18"/>
              </w:rPr>
            </w:pPr>
            <w:hyperlink r:id="rId10">
              <w:r>
                <w:rPr>
                  <w:rFonts w:ascii="Arial"/>
                  <w:sz w:val="18"/>
                </w:rPr>
                <w:t>GYD@mosopower.com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1"/>
        <w:jc w:val="left"/>
        <w:rPr>
          <w:b w:val="0"/>
          <w:bCs w:val="0"/>
        </w:rPr>
      </w:pPr>
      <w:r>
        <w:rPr/>
        <w:pict>
          <v:shape style="position:absolute;margin-left:369.790009pt;margin-top:90.075638pt;width:164.1pt;height:19.7pt;mso-position-horizontal-relative:page;mso-position-vertical-relative:paragraph;z-index:-1034848" type="#_x0000_t202" filled="false" stroked="false">
            <v:textbox inset="0,0,0,0">
              <w:txbxContent>
                <w:p>
                  <w:pPr>
                    <w:pStyle w:val="BodyText"/>
                    <w:spacing w:line="240" w:lineRule="auto" w:before="49"/>
                    <w:ind w:left="0" w:right="0"/>
                    <w:jc w:val="left"/>
                  </w:pPr>
                  <w:r>
                    <w:rPr/>
                    <w:t>、</w:t>
                  </w:r>
                </w:p>
              </w:txbxContent>
            </v:textbox>
            <w10:wrap type="none"/>
          </v:shape>
        </w:pict>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10" w:space="0" w:color="FFFFFF"/>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深圳市南山区科技园中区科发路</w:t>
            </w:r>
            <w:r>
              <w:rPr>
                <w:rFonts w:ascii="宋体" w:hAnsi="宋体" w:cs="宋体" w:eastAsia="宋体" w:hint="default"/>
                <w:spacing w:val="-44"/>
                <w:sz w:val="18"/>
                <w:szCs w:val="18"/>
              </w:rPr>
              <w:t> </w:t>
            </w:r>
            <w:r>
              <w:rPr>
                <w:rFonts w:ascii="Arial" w:hAnsi="Arial" w:cs="Arial" w:eastAsia="Arial" w:hint="default"/>
                <w:sz w:val="18"/>
                <w:szCs w:val="18"/>
              </w:rPr>
              <w:t>8</w:t>
            </w:r>
            <w:r>
              <w:rPr>
                <w:rFonts w:ascii="Arial" w:hAnsi="Arial" w:cs="Arial" w:eastAsia="Arial" w:hint="default"/>
                <w:spacing w:val="-4"/>
                <w:sz w:val="18"/>
                <w:szCs w:val="18"/>
              </w:rPr>
              <w:t> </w:t>
            </w:r>
            <w:r>
              <w:rPr>
                <w:rFonts w:ascii="宋体" w:hAnsi="宋体" w:cs="宋体" w:eastAsia="宋体" w:hint="default"/>
                <w:sz w:val="18"/>
                <w:szCs w:val="18"/>
              </w:rPr>
              <w:t>号金</w:t>
            </w:r>
          </w:p>
          <w:p>
            <w:pPr>
              <w:pStyle w:val="TableParagraph"/>
              <w:spacing w:line="302" w:lineRule="auto" w:before="63"/>
              <w:ind w:left="17" w:right="103"/>
              <w:jc w:val="left"/>
              <w:rPr>
                <w:rFonts w:ascii="宋体" w:hAnsi="宋体" w:cs="宋体" w:eastAsia="宋体" w:hint="default"/>
                <w:sz w:val="18"/>
                <w:szCs w:val="18"/>
              </w:rPr>
            </w:pPr>
            <w:r>
              <w:rPr>
                <w:rFonts w:ascii="宋体" w:hAnsi="宋体" w:cs="宋体" w:eastAsia="宋体" w:hint="default"/>
                <w:sz w:val="18"/>
                <w:szCs w:val="18"/>
              </w:rPr>
              <w:t>融服务技术创新基地</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Arial" w:hAnsi="Arial" w:cs="Arial" w:eastAsia="Arial" w:hint="default"/>
                <w:sz w:val="18"/>
                <w:szCs w:val="18"/>
              </w:rPr>
              <w:t>9</w:t>
            </w:r>
            <w:r>
              <w:rPr>
                <w:rFonts w:ascii="Arial" w:hAnsi="Arial" w:cs="Arial" w:eastAsia="Arial" w:hint="default"/>
                <w:spacing w:val="-4"/>
                <w:sz w:val="18"/>
                <w:szCs w:val="18"/>
              </w:rPr>
              <w:t> </w:t>
            </w: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Arial" w:hAnsi="Arial" w:cs="Arial" w:eastAsia="Arial" w:hint="default"/>
                <w:spacing w:val="-19"/>
                <w:sz w:val="18"/>
                <w:szCs w:val="18"/>
              </w:rPr>
              <w:t>A</w:t>
            </w:r>
            <w:r>
              <w:rPr>
                <w:rFonts w:ascii="宋体" w:hAnsi="宋体" w:cs="宋体" w:eastAsia="宋体" w:hint="default"/>
                <w:spacing w:val="-19"/>
                <w:sz w:val="18"/>
                <w:szCs w:val="18"/>
              </w:rPr>
              <w:t>、</w:t>
            </w:r>
            <w:r>
              <w:rPr>
                <w:rFonts w:ascii="Arial" w:hAnsi="Arial" w:cs="Arial" w:eastAsia="Arial" w:hint="default"/>
                <w:spacing w:val="-19"/>
                <w:sz w:val="18"/>
                <w:szCs w:val="18"/>
              </w:rPr>
              <w:t>B</w:t>
            </w:r>
            <w:r>
              <w:rPr>
                <w:rFonts w:ascii="宋体" w:hAnsi="宋体" w:cs="宋体" w:eastAsia="宋体" w:hint="default"/>
                <w:spacing w:val="-19"/>
                <w:sz w:val="18"/>
                <w:szCs w:val="18"/>
              </w:rPr>
              <w:t>、</w:t>
            </w:r>
            <w:r>
              <w:rPr>
                <w:rFonts w:ascii="Arial" w:hAnsi="Arial" w:cs="Arial" w:eastAsia="Arial" w:hint="default"/>
                <w:spacing w:val="-19"/>
                <w:sz w:val="18"/>
                <w:szCs w:val="18"/>
              </w:rPr>
              <w:t>C</w:t>
            </w:r>
            <w:r>
              <w:rPr>
                <w:rFonts w:ascii="Arial" w:hAnsi="Arial" w:cs="Arial" w:eastAsia="Arial" w:hint="default"/>
                <w:w w:val="99"/>
                <w:sz w:val="18"/>
                <w:szCs w:val="18"/>
              </w:rPr>
              <w:t> </w:t>
            </w:r>
            <w:r>
              <w:rPr>
                <w:rFonts w:ascii="Arial" w:hAnsi="Arial" w:cs="Arial" w:eastAsia="Arial" w:hint="default"/>
                <w:sz w:val="18"/>
                <w:szCs w:val="18"/>
              </w:rPr>
              <w:t>D</w:t>
            </w:r>
            <w:r>
              <w:rPr>
                <w:rFonts w:ascii="Arial" w:hAnsi="Arial" w:cs="Arial" w:eastAsia="Arial" w:hint="default"/>
                <w:spacing w:val="-6"/>
                <w:sz w:val="18"/>
                <w:szCs w:val="18"/>
              </w:rPr>
              <w:t> </w:t>
            </w:r>
            <w:r>
              <w:rPr>
                <w:rFonts w:ascii="宋体" w:hAnsi="宋体" w:cs="宋体" w:eastAsia="宋体" w:hint="default"/>
                <w:sz w:val="18"/>
                <w:szCs w:val="18"/>
              </w:rPr>
              <w:t>单元</w:t>
            </w:r>
          </w:p>
        </w:tc>
        <w:tc>
          <w:tcPr>
            <w:tcW w:w="3190" w:type="dxa"/>
            <w:vMerge w:val="restart"/>
            <w:tcBorders>
              <w:top w:val="single" w:sz="4" w:space="0" w:color="000000"/>
              <w:left w:val="single" w:sz="10" w:space="0" w:color="FFFFFF"/>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393" w:lineRule="exact"/>
              <w:ind w:left="16" w:right="-29"/>
              <w:jc w:val="left"/>
              <w:rPr>
                <w:rFonts w:ascii="宋体" w:hAnsi="宋体" w:cs="宋体" w:eastAsia="宋体" w:hint="default"/>
                <w:sz w:val="20"/>
                <w:szCs w:val="20"/>
              </w:rPr>
            </w:pPr>
            <w:r>
              <w:rPr>
                <w:rFonts w:ascii="宋体" w:hAnsi="宋体" w:cs="宋体" w:eastAsia="宋体" w:hint="default"/>
                <w:position w:val="-7"/>
                <w:sz w:val="20"/>
                <w:szCs w:val="20"/>
              </w:rPr>
              <w:pict>
                <v:group style="width:156.75pt;height:19.7pt;mso-position-horizontal-relative:char;mso-position-vertical-relative:line" coordorigin="0,0" coordsize="3135,394">
                  <v:group style="position:absolute;left:0;top:0;width:3135;height:394" coordorigin="0,0" coordsize="3135,394">
                    <v:shape style="position:absolute;left:0;top:0;width:3135;height:394" coordorigin="0,0" coordsize="3135,394" path="m0,394l3135,394,3135,0,0,0,0,394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before="12"/>
              <w:ind w:right="0"/>
              <w:jc w:val="left"/>
              <w:rPr>
                <w:rFonts w:ascii="宋体" w:hAnsi="宋体" w:cs="宋体" w:eastAsia="宋体" w:hint="default"/>
                <w:b/>
                <w:bCs/>
                <w:sz w:val="23"/>
                <w:szCs w:val="23"/>
              </w:rPr>
            </w:pP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10" w:space="0" w:color="FFFFFF"/>
            </w:tcBorders>
          </w:tcPr>
          <w:p>
            <w:pPr/>
          </w:p>
        </w:tc>
        <w:tc>
          <w:tcPr>
            <w:tcW w:w="3190" w:type="dxa"/>
            <w:vMerge/>
            <w:tcBorders>
              <w:left w:val="single" w:sz="10" w:space="0" w:color="FFFFFF"/>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10" w:space="0" w:color="FFFFFF"/>
            </w:tcBorders>
          </w:tcPr>
          <w:p>
            <w:pPr/>
          </w:p>
        </w:tc>
        <w:tc>
          <w:tcPr>
            <w:tcW w:w="3190" w:type="dxa"/>
            <w:vMerge/>
            <w:tcBorders>
              <w:left w:val="single" w:sz="10" w:space="0" w:color="FFFFFF"/>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left="13" w:right="0"/>
              <w:jc w:val="left"/>
              <w:rPr>
                <w:rFonts w:ascii="Arial" w:hAnsi="Arial" w:cs="Arial" w:eastAsia="Arial" w:hint="default"/>
                <w:sz w:val="18"/>
                <w:szCs w:val="18"/>
              </w:rPr>
            </w:pPr>
            <w:r>
              <w:rPr>
                <w:rFonts w:ascii="Arial"/>
                <w:sz w:val="18"/>
              </w:rPr>
              <w:t>0755-27659888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left="13" w:right="0"/>
              <w:jc w:val="left"/>
              <w:rPr>
                <w:rFonts w:ascii="Arial" w:hAnsi="Arial" w:cs="Arial" w:eastAsia="Arial" w:hint="default"/>
                <w:sz w:val="18"/>
                <w:szCs w:val="18"/>
              </w:rPr>
            </w:pPr>
            <w:r>
              <w:rPr>
                <w:rFonts w:ascii="Arial"/>
                <w:sz w:val="18"/>
              </w:rPr>
              <w:t>0755-27659888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left="13" w:right="0"/>
              <w:jc w:val="left"/>
              <w:rPr>
                <w:rFonts w:ascii="Arial" w:hAnsi="Arial" w:cs="Arial" w:eastAsia="Arial" w:hint="default"/>
                <w:sz w:val="18"/>
                <w:szCs w:val="18"/>
              </w:rPr>
            </w:pPr>
            <w:hyperlink r:id="rId11">
              <w:r>
                <w:rPr>
                  <w:rFonts w:ascii="Arial"/>
                  <w:sz w:val="18"/>
                </w:rPr>
                <w:t>jibin.fang@mosopower.com</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1121"/>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hyperlink r:id="rId12">
              <w:r>
                <w:rPr>
                  <w:rFonts w:ascii="Arial"/>
                  <w:sz w:val="18"/>
                </w:rPr>
                <w:t>www.cninfo.com.cn</w:t>
              </w:r>
            </w:hyperlink>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21"/>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03</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27</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深圳市南山区松白 路关外小白芒桑泰 工业园</w:t>
            </w:r>
            <w:r>
              <w:rPr>
                <w:rFonts w:ascii="宋体" w:hAnsi="宋体" w:cs="宋体" w:eastAsia="宋体" w:hint="default"/>
                <w:spacing w:val="-45"/>
                <w:sz w:val="18"/>
                <w:szCs w:val="18"/>
              </w:rPr>
              <w:t> </w:t>
            </w:r>
            <w:r>
              <w:rPr>
                <w:rFonts w:ascii="Arial" w:hAnsi="Arial" w:cs="Arial" w:eastAsia="Arial" w:hint="default"/>
                <w:sz w:val="18"/>
                <w:szCs w:val="18"/>
              </w:rPr>
              <w:t>6</w:t>
            </w:r>
            <w:r>
              <w:rPr>
                <w:rFonts w:ascii="Arial" w:hAnsi="Arial" w:cs="Arial" w:eastAsia="Arial" w:hint="default"/>
                <w:spacing w:val="-4"/>
                <w:sz w:val="18"/>
                <w:szCs w:val="18"/>
              </w:rPr>
              <w:t> </w:t>
            </w:r>
            <w:r>
              <w:rPr>
                <w:rFonts w:ascii="宋体" w:hAnsi="宋体" w:cs="宋体" w:eastAsia="宋体" w:hint="default"/>
                <w:sz w:val="18"/>
                <w:szCs w:val="18"/>
              </w:rPr>
              <w:t>层</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Arial" w:hAnsi="Arial" w:cs="Arial" w:eastAsia="Arial" w:hint="default"/>
                <w:sz w:val="18"/>
                <w:szCs w:val="18"/>
              </w:rPr>
            </w:pPr>
            <w:r>
              <w:rPr>
                <w:rFonts w:ascii="Arial"/>
                <w:sz w:val="18"/>
              </w:rPr>
              <w:t>440301102798218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Arial" w:hAnsi="Arial" w:cs="Arial" w:eastAsia="Arial" w:hint="default"/>
                <w:sz w:val="18"/>
                <w:szCs w:val="18"/>
              </w:rPr>
            </w:pPr>
            <w:r>
              <w:rPr>
                <w:rFonts w:ascii="Arial"/>
                <w:sz w:val="18"/>
              </w:rPr>
              <w:t>440301786559921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Arial" w:hAnsi="Arial" w:cs="Arial" w:eastAsia="Arial" w:hint="default"/>
                <w:sz w:val="18"/>
                <w:szCs w:val="18"/>
              </w:rPr>
            </w:pPr>
            <w:r>
              <w:rPr>
                <w:rFonts w:ascii="Arial"/>
                <w:sz w:val="18"/>
              </w:rPr>
              <w:t>78655992-1</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07</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09</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深圳市南山区松白 路关外小白芒桑泰 工业园</w:t>
            </w:r>
            <w:r>
              <w:rPr>
                <w:rFonts w:ascii="宋体" w:hAnsi="宋体" w:cs="宋体" w:eastAsia="宋体" w:hint="default"/>
                <w:spacing w:val="-45"/>
                <w:sz w:val="18"/>
                <w:szCs w:val="18"/>
              </w:rPr>
              <w:t> </w:t>
            </w:r>
            <w:r>
              <w:rPr>
                <w:rFonts w:ascii="Arial" w:hAnsi="Arial" w:cs="Arial" w:eastAsia="Arial" w:hint="default"/>
                <w:sz w:val="18"/>
                <w:szCs w:val="18"/>
              </w:rPr>
              <w:t>6</w:t>
            </w:r>
            <w:r>
              <w:rPr>
                <w:rFonts w:ascii="Arial" w:hAnsi="Arial" w:cs="Arial" w:eastAsia="Arial" w:hint="default"/>
                <w:spacing w:val="-4"/>
                <w:sz w:val="18"/>
                <w:szCs w:val="18"/>
              </w:rPr>
              <w:t> </w:t>
            </w:r>
            <w:r>
              <w:rPr>
                <w:rFonts w:ascii="宋体" w:hAnsi="宋体" w:cs="宋体" w:eastAsia="宋体" w:hint="default"/>
                <w:sz w:val="18"/>
                <w:szCs w:val="18"/>
              </w:rPr>
              <w:t>层</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Arial" w:hAnsi="Arial" w:cs="Arial" w:eastAsia="Arial" w:hint="default"/>
                <w:sz w:val="18"/>
                <w:szCs w:val="18"/>
              </w:rPr>
            </w:pPr>
            <w:r>
              <w:rPr>
                <w:rFonts w:ascii="Arial"/>
                <w:sz w:val="18"/>
              </w:rPr>
              <w:t>440301102798218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Arial" w:hAnsi="Arial" w:cs="Arial" w:eastAsia="Arial" w:hint="default"/>
                <w:sz w:val="18"/>
                <w:szCs w:val="18"/>
              </w:rPr>
            </w:pPr>
            <w:r>
              <w:rPr>
                <w:rFonts w:ascii="Arial"/>
                <w:sz w:val="18"/>
              </w:rPr>
              <w:t>440301786559921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Arial" w:hAnsi="Arial" w:cs="Arial" w:eastAsia="Arial" w:hint="default"/>
                <w:sz w:val="18"/>
                <w:szCs w:val="18"/>
              </w:rPr>
            </w:pPr>
            <w:r>
              <w:rPr>
                <w:rFonts w:ascii="Arial"/>
                <w:sz w:val="18"/>
              </w:rPr>
              <w:t>78655992-1</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6"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121"/>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1"/>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Arial" w:hAnsi="Arial" w:cs="Arial" w:eastAsia="Arial" w:hint="default"/>
                <w:sz w:val="18"/>
                <w:szCs w:val="18"/>
              </w:rPr>
            </w:pPr>
            <w:r>
              <w:rPr>
                <w:rFonts w:ascii="宋体" w:hAnsi="宋体" w:cs="宋体" w:eastAsia="宋体" w:hint="default"/>
                <w:sz w:val="18"/>
                <w:szCs w:val="18"/>
              </w:rPr>
              <w:t>国富浩华会计师事务所</w:t>
            </w:r>
            <w:r>
              <w:rPr>
                <w:rFonts w:ascii="Arial" w:hAnsi="Arial" w:cs="Arial" w:eastAsia="Arial" w:hint="default"/>
                <w:sz w:val="18"/>
                <w:szCs w:val="18"/>
              </w:rPr>
              <w:t>(</w:t>
            </w:r>
            <w:r>
              <w:rPr>
                <w:rFonts w:ascii="宋体" w:hAnsi="宋体" w:cs="宋体" w:eastAsia="宋体" w:hint="default"/>
                <w:sz w:val="18"/>
                <w:szCs w:val="18"/>
              </w:rPr>
              <w:t>特殊普通合伙</w:t>
            </w:r>
            <w:r>
              <w:rPr>
                <w:rFonts w:ascii="Arial" w:hAnsi="Arial" w:cs="Arial" w:eastAsia="Arial"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46"/>
                <w:sz w:val="18"/>
                <w:szCs w:val="18"/>
              </w:rPr>
              <w:t> </w:t>
            </w:r>
            <w:r>
              <w:rPr>
                <w:rFonts w:ascii="Arial" w:hAnsi="Arial" w:cs="Arial" w:eastAsia="Arial" w:hint="default"/>
                <w:sz w:val="18"/>
                <w:szCs w:val="18"/>
              </w:rPr>
              <w:t>5022</w:t>
            </w:r>
            <w:r>
              <w:rPr>
                <w:rFonts w:ascii="Arial" w:hAnsi="Arial" w:cs="Arial" w:eastAsia="Arial" w:hint="default"/>
                <w:spacing w:val="-7"/>
                <w:sz w:val="18"/>
                <w:szCs w:val="18"/>
              </w:rPr>
              <w:t> </w:t>
            </w:r>
            <w:r>
              <w:rPr>
                <w:rFonts w:ascii="宋体" w:hAnsi="宋体" w:cs="宋体" w:eastAsia="宋体" w:hint="default"/>
                <w:sz w:val="18"/>
                <w:szCs w:val="18"/>
              </w:rPr>
              <w:t>号联合广场</w:t>
            </w:r>
            <w:r>
              <w:rPr>
                <w:rFonts w:ascii="宋体" w:hAnsi="宋体" w:cs="宋体" w:eastAsia="宋体" w:hint="default"/>
                <w:spacing w:val="-45"/>
                <w:sz w:val="18"/>
                <w:szCs w:val="18"/>
              </w:rPr>
              <w:t> </w:t>
            </w:r>
            <w:r>
              <w:rPr>
                <w:rFonts w:ascii="Arial" w:hAnsi="Arial" w:cs="Arial" w:eastAsia="Arial" w:hint="default"/>
                <w:sz w:val="18"/>
                <w:szCs w:val="18"/>
              </w:rPr>
              <w:t>A</w:t>
            </w:r>
            <w:r>
              <w:rPr>
                <w:rFonts w:ascii="Arial" w:hAnsi="Arial" w:cs="Arial" w:eastAsia="Arial" w:hint="default"/>
                <w:spacing w:val="-6"/>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5"/>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郑龙兴、侯立勋</w:t>
            </w:r>
          </w:p>
        </w:tc>
      </w:tr>
    </w:tbl>
    <w:p>
      <w:pPr>
        <w:pStyle w:val="BodyText"/>
        <w:spacing w:line="240" w:lineRule="auto" w:before="49"/>
        <w:ind w:right="1121"/>
        <w:jc w:val="left"/>
      </w:pPr>
      <w:r>
        <w:rPr/>
        <w:t>公司聘请的报告期内履行持续督导职责的保荐机构</w:t>
      </w:r>
    </w:p>
    <w:p>
      <w:pPr>
        <w:pStyle w:val="BodyText"/>
        <w:spacing w:line="240" w:lineRule="auto" w:before="115"/>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民生证券股份有限公司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北京市东城区建国门内大街</w:t>
            </w:r>
          </w:p>
          <w:p>
            <w:pPr>
              <w:pStyle w:val="TableParagraph"/>
              <w:spacing w:line="240" w:lineRule="auto" w:before="74"/>
              <w:ind w:left="23" w:right="0"/>
              <w:jc w:val="left"/>
              <w:rPr>
                <w:rFonts w:ascii="宋体" w:hAnsi="宋体" w:cs="宋体" w:eastAsia="宋体" w:hint="default"/>
                <w:sz w:val="18"/>
                <w:szCs w:val="18"/>
              </w:rPr>
            </w:pPr>
            <w:r>
              <w:rPr>
                <w:rFonts w:ascii="Arial" w:hAnsi="Arial" w:cs="Arial" w:eastAsia="Arial" w:hint="default"/>
                <w:sz w:val="18"/>
                <w:szCs w:val="18"/>
              </w:rPr>
              <w:t>28</w:t>
            </w:r>
            <w:r>
              <w:rPr>
                <w:rFonts w:ascii="Arial" w:hAnsi="Arial" w:cs="Arial" w:eastAsia="Arial" w:hint="default"/>
                <w:spacing w:val="-11"/>
                <w:sz w:val="18"/>
                <w:szCs w:val="18"/>
              </w:rPr>
              <w:t> </w:t>
            </w:r>
            <w:r>
              <w:rPr>
                <w:rFonts w:ascii="宋体" w:hAnsi="宋体" w:cs="宋体" w:eastAsia="宋体" w:hint="default"/>
                <w:sz w:val="18"/>
                <w:szCs w:val="18"/>
              </w:rPr>
              <w:t>号民生金融中心</w:t>
            </w:r>
            <w:r>
              <w:rPr>
                <w:rFonts w:ascii="宋体" w:hAnsi="宋体" w:cs="宋体" w:eastAsia="宋体" w:hint="default"/>
                <w:spacing w:val="-52"/>
                <w:sz w:val="18"/>
                <w:szCs w:val="18"/>
              </w:rPr>
              <w:t> </w:t>
            </w:r>
            <w:r>
              <w:rPr>
                <w:rFonts w:ascii="Arial" w:hAnsi="Arial" w:cs="Arial" w:eastAsia="Arial" w:hint="default"/>
                <w:sz w:val="18"/>
                <w:szCs w:val="18"/>
              </w:rPr>
              <w:t>A</w:t>
            </w:r>
            <w:r>
              <w:rPr>
                <w:rFonts w:ascii="Arial" w:hAnsi="Arial" w:cs="Arial" w:eastAsia="Arial" w:hint="default"/>
                <w:spacing w:val="-12"/>
                <w:sz w:val="18"/>
                <w:szCs w:val="18"/>
              </w:rPr>
              <w:t> </w:t>
            </w:r>
            <w:r>
              <w:rPr>
                <w:rFonts w:ascii="宋体" w:hAnsi="宋体" w:cs="宋体" w:eastAsia="宋体" w:hint="default"/>
                <w:sz w:val="18"/>
                <w:szCs w:val="18"/>
              </w:rPr>
              <w:t>座</w:t>
            </w:r>
            <w:r>
              <w:rPr>
                <w:rFonts w:ascii="宋体" w:hAnsi="宋体" w:cs="宋体" w:eastAsia="宋体" w:hint="default"/>
                <w:spacing w:val="-52"/>
                <w:sz w:val="18"/>
                <w:szCs w:val="18"/>
              </w:rPr>
              <w:t> </w:t>
            </w:r>
            <w:r>
              <w:rPr>
                <w:rFonts w:ascii="Arial" w:hAnsi="Arial" w:cs="Arial" w:eastAsia="Arial" w:hint="default"/>
                <w:sz w:val="18"/>
                <w:szCs w:val="18"/>
              </w:rPr>
              <w:t>18</w:t>
            </w:r>
            <w:r>
              <w:rPr>
                <w:rFonts w:ascii="Arial" w:hAnsi="Arial" w:cs="Arial" w:eastAsia="Arial" w:hint="default"/>
                <w:spacing w:val="-1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贺骞、余华为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3</w:t>
            </w:r>
            <w:r>
              <w:rPr>
                <w:rFonts w:ascii="Arial" w:hAnsi="Arial" w:cs="Arial" w:eastAsia="Arial"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16-2014</w:t>
            </w:r>
            <w:r>
              <w:rPr>
                <w:rFonts w:ascii="Arial" w:hAnsi="Arial" w:cs="Arial" w:eastAsia="Arial"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12</w:t>
            </w:r>
            <w:r>
              <w:rPr>
                <w:rFonts w:ascii="Arial" w:hAnsi="Arial" w:cs="Arial" w:eastAsia="Arial" w:hint="default"/>
                <w:spacing w:val="-15"/>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bl>
    <w:p>
      <w:pPr>
        <w:pStyle w:val="BodyText"/>
        <w:spacing w:line="240" w:lineRule="auto" w:before="49"/>
        <w:ind w:right="1121"/>
        <w:jc w:val="left"/>
      </w:pPr>
      <w:r>
        <w:rPr/>
        <w:t>公司聘请的报告期内履行持续督导职责的财务顾问</w:t>
      </w:r>
    </w:p>
    <w:p>
      <w:pPr>
        <w:pStyle w:val="BodyText"/>
        <w:spacing w:line="240" w:lineRule="auto" w:before="117"/>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21"/>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1"/>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1"/>
        <w:jc w:val="left"/>
      </w:pPr>
      <w:r>
        <w:rPr/>
        <w:t>公司是否因会计政策变更及会计差错更正等追溯调整或重述以前年度会计数据</w:t>
      </w:r>
    </w:p>
    <w:p>
      <w:pPr>
        <w:pStyle w:val="BodyText"/>
        <w:spacing w:line="240" w:lineRule="auto" w:before="117"/>
        <w:ind w:right="1121"/>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1"/>
        </w:rPr>
        <w:t> </w:t>
      </w:r>
      <w:r>
        <w:rPr/>
        <w:t>否</w:t>
      </w:r>
    </w:p>
    <w:p>
      <w:pPr>
        <w:spacing w:line="240" w:lineRule="auto" w:before="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Arial" w:hAnsi="Arial" w:cs="Arial" w:eastAsia="Arial" w:hint="default"/>
                <w:sz w:val="18"/>
                <w:szCs w:val="18"/>
              </w:rPr>
            </w:pPr>
            <w:r>
              <w:rPr>
                <w:rFonts w:ascii="宋体" w:hAnsi="宋体" w:cs="宋体" w:eastAsia="宋体" w:hint="default"/>
                <w:sz w:val="18"/>
                <w:szCs w:val="18"/>
              </w:rPr>
              <w:t>本年比上年增减</w:t>
            </w:r>
            <w:r>
              <w:rPr>
                <w:rFonts w:ascii="Arial" w:hAnsi="Arial" w:cs="Arial" w:eastAsia="Arial"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9"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550,030,672.59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554,571,711.43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-0.82%</w:t>
            </w:r>
            <w:r>
              <w:rPr>
                <w:rFonts w:ascii="Arial"/>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487,152,574.35</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47,516,095.88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53,725,493.21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2"/>
                <w:w w:val="95"/>
                <w:sz w:val="18"/>
              </w:rPr>
              <w:t>-11.56%</w:t>
            </w:r>
            <w:r>
              <w:rPr>
                <w:rFonts w:ascii="Arial"/>
                <w:spacing w:val="-2"/>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47,098,719.66</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41,646,212.81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51,142,512.84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-18.57%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50,020,614.46</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4,675,781.45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35,414,125.17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w w:val="95"/>
                <w:sz w:val="18"/>
              </w:rPr>
              <w:t>-86.8%</w:t>
            </w:r>
            <w:r>
              <w:rPr>
                <w:rFonts w:ascii="Arial"/>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41,526,546.13</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0.52</w:t>
            </w:r>
            <w:r>
              <w:rPr>
                <w:rFonts w:ascii="Arial"/>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0.74</w:t>
            </w:r>
            <w:r>
              <w:rPr>
                <w:rFonts w:ascii="Arial"/>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0.65</w:t>
            </w:r>
            <w:r>
              <w:rPr>
                <w:rFonts w:ascii="Arial"/>
                <w:sz w:val="18"/>
              </w:rPr>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0.52</w:t>
            </w:r>
            <w:r>
              <w:rPr>
                <w:rFonts w:ascii="Arial"/>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0.74</w:t>
            </w:r>
            <w:r>
              <w:rPr>
                <w:rFonts w:ascii="Arial"/>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-29.73%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0.65</w:t>
            </w:r>
            <w:r>
              <w:rPr>
                <w:rFonts w:ascii="Arial"/>
                <w:sz w:val="18"/>
              </w:rPr>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Arial" w:hAnsi="Arial" w:cs="Arial" w:eastAsia="Arial"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z w:val="18"/>
              </w:rPr>
              <w:t>7.57%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-18.4%</w:t>
            </w:r>
            <w:r>
              <w:rPr>
                <w:rFonts w:ascii="Arial"/>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29.41%</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5"/>
              <w:ind w:left="1" w:right="0"/>
              <w:jc w:val="center"/>
              <w:rPr>
                <w:rFonts w:ascii="Arial" w:hAnsi="Arial" w:cs="Arial" w:eastAsia="Arial" w:hint="default"/>
                <w:sz w:val="18"/>
                <w:szCs w:val="18"/>
              </w:rPr>
            </w:pPr>
            <w:r>
              <w:rPr>
                <w:rFonts w:ascii="Arial"/>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72"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2"/>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917,115,605.48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437,962,575.89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109.41%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414,950,571.40</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682,343,695.67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223,893,783.22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204.76%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170,057,794.90</w:t>
            </w:r>
          </w:p>
        </w:tc>
      </w:tr>
    </w:tbl>
    <w:p>
      <w:pPr>
        <w:spacing w:line="240" w:lineRule="auto" w:before="1"/>
        <w:rPr>
          <w:rFonts w:ascii="宋体" w:hAnsi="宋体" w:cs="宋体" w:eastAsia="宋体" w:hint="default"/>
          <w:sz w:val="18"/>
          <w:szCs w:val="18"/>
        </w:rPr>
      </w:pPr>
    </w:p>
    <w:p>
      <w:pPr>
        <w:pStyle w:val="Heading2"/>
        <w:spacing w:line="240" w:lineRule="auto" w:before="26"/>
        <w:ind w:right="1121"/>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、同时按照国际会计准则与按中国会计准则披露的财务报告中净利润和净资产差异情况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1"/>
      </w:tblGrid>
      <w:tr>
        <w:trPr>
          <w:trHeight w:val="207"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left="548" w:right="0"/>
              <w:jc w:val="left"/>
              <w:rPr>
                <w:rFonts w:ascii="Arial" w:hAnsi="Arial" w:cs="Arial" w:eastAsia="Arial" w:hint="default"/>
                <w:sz w:val="18"/>
                <w:szCs w:val="18"/>
              </w:rPr>
            </w:pPr>
            <w:r>
              <w:rPr>
                <w:rFonts w:ascii="Arial"/>
                <w:sz w:val="18"/>
              </w:rPr>
              <w:t>47,516,095.88</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20" w:right="0"/>
              <w:jc w:val="left"/>
              <w:rPr>
                <w:rFonts w:ascii="Arial" w:hAnsi="Arial" w:cs="Arial" w:eastAsia="Arial" w:hint="default"/>
                <w:sz w:val="18"/>
                <w:szCs w:val="18"/>
              </w:rPr>
            </w:pPr>
            <w:r>
              <w:rPr>
                <w:rFonts w:ascii="Arial"/>
                <w:sz w:val="18"/>
              </w:rPr>
              <w:t>53,725,493.21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87" w:right="0"/>
              <w:jc w:val="left"/>
              <w:rPr>
                <w:rFonts w:ascii="Arial" w:hAnsi="Arial" w:cs="Arial" w:eastAsia="Arial" w:hint="default"/>
                <w:sz w:val="18"/>
                <w:szCs w:val="18"/>
              </w:rPr>
            </w:pPr>
            <w:r>
              <w:rPr>
                <w:rFonts w:ascii="Arial"/>
                <w:sz w:val="18"/>
              </w:rPr>
              <w:t>682,343,695.67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87" w:right="0"/>
              <w:jc w:val="left"/>
              <w:rPr>
                <w:rFonts w:ascii="Arial" w:hAnsi="Arial" w:cs="Arial" w:eastAsia="Arial" w:hint="default"/>
                <w:sz w:val="18"/>
                <w:szCs w:val="18"/>
              </w:rPr>
            </w:pPr>
            <w:r>
              <w:rPr>
                <w:rFonts w:ascii="Arial"/>
                <w:sz w:val="18"/>
              </w:rPr>
              <w:t>223,893,783.22</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rFonts w:ascii="Arial" w:hAnsi="Arial" w:cs="Arial" w:eastAsia="Arial" w:hint="default"/>
        </w:rPr>
        <w:t>2</w:t>
      </w:r>
      <w:r>
        <w:rPr/>
        <w:t>、同时按照境外会计准则与按中国会计准则披露的财务报告中净利润和净资产差异情况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1"/>
      </w:tblGrid>
      <w:tr>
        <w:trPr>
          <w:trHeight w:val="206"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left="548" w:right="0"/>
              <w:jc w:val="left"/>
              <w:rPr>
                <w:rFonts w:ascii="Arial" w:hAnsi="Arial" w:cs="Arial" w:eastAsia="Arial" w:hint="default"/>
                <w:sz w:val="18"/>
                <w:szCs w:val="18"/>
              </w:rPr>
            </w:pPr>
            <w:r>
              <w:rPr>
                <w:rFonts w:ascii="Arial"/>
                <w:sz w:val="18"/>
              </w:rPr>
              <w:t>47,516,095.88</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20" w:right="0"/>
              <w:jc w:val="left"/>
              <w:rPr>
                <w:rFonts w:ascii="Arial" w:hAnsi="Arial" w:cs="Arial" w:eastAsia="Arial" w:hint="default"/>
                <w:sz w:val="18"/>
                <w:szCs w:val="18"/>
              </w:rPr>
            </w:pPr>
            <w:r>
              <w:rPr>
                <w:rFonts w:ascii="Arial"/>
                <w:sz w:val="18"/>
              </w:rPr>
              <w:t>53,725,493.21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87" w:right="0"/>
              <w:jc w:val="left"/>
              <w:rPr>
                <w:rFonts w:ascii="Arial" w:hAnsi="Arial" w:cs="Arial" w:eastAsia="Arial" w:hint="default"/>
                <w:sz w:val="18"/>
                <w:szCs w:val="18"/>
              </w:rPr>
            </w:pPr>
            <w:r>
              <w:rPr>
                <w:rFonts w:ascii="Arial"/>
                <w:sz w:val="18"/>
              </w:rPr>
              <w:t>682,343,695.67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87" w:right="0"/>
              <w:jc w:val="left"/>
              <w:rPr>
                <w:rFonts w:ascii="Arial" w:hAnsi="Arial" w:cs="Arial" w:eastAsia="Arial" w:hint="default"/>
                <w:sz w:val="18"/>
                <w:szCs w:val="18"/>
              </w:rPr>
            </w:pPr>
            <w:r>
              <w:rPr>
                <w:rFonts w:ascii="Arial"/>
                <w:sz w:val="18"/>
              </w:rPr>
              <w:t>223,893,783.22</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rFonts w:ascii="Arial" w:hAnsi="Arial" w:cs="Arial" w:eastAsia="Arial" w:hint="default"/>
        </w:rPr>
        <w:t>3</w:t>
      </w:r>
      <w:r>
        <w:rPr/>
        <w:t>、境内外会计准则下会计数据差异原因说明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1"/>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1121"/>
        <w:jc w:val="left"/>
        <w:rPr>
          <w:b w:val="0"/>
          <w:bCs w:val="0"/>
        </w:rPr>
      </w:pPr>
      <w:r>
        <w:rPr/>
        <w:t>三、非经常性损益项目及金额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2"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-29,552.38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8.03</w:t>
            </w:r>
            <w:r>
              <w:rPr>
                <w:rFonts w:ascii="Arial"/>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32,266.42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2,156,936.40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6,826,165.72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2,667,489.69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383,818.00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-237,178.64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404,086.45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-653,167.41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-4,887,500.00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685,871.38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464,341.30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-26,389.69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3,680.25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24,262.50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-19,362.10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5,869,883.07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2,582,980.37</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-2,921,894.80</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bl>
    <w:p>
      <w:pPr>
        <w:pStyle w:val="BodyText"/>
        <w:spacing w:line="240" w:lineRule="auto" w:before="49"/>
        <w:ind w:right="1121"/>
        <w:jc w:val="left"/>
      </w:pPr>
      <w:r>
        <w:rPr/>
        <w:t>对公司根据《公开发行证券的公司信息披露解释性公告第</w:t>
      </w:r>
      <w:r>
        <w:rPr>
          <w:spacing w:val="-44"/>
        </w:rPr>
        <w:t> </w:t>
      </w:r>
      <w:r>
        <w:rPr>
          <w:rFonts w:ascii="Arial" w:hAnsi="Arial" w:cs="Arial" w:eastAsia="Arial" w:hint="default"/>
        </w:rPr>
        <w:t>1</w:t>
      </w:r>
      <w:r>
        <w:rPr>
          <w:rFonts w:ascii="Arial" w:hAnsi="Arial" w:cs="Arial" w:eastAsia="Arial" w:hint="default"/>
          <w:spacing w:val="-7"/>
        </w:rPr>
        <w:t> </w:t>
      </w:r>
      <w:r>
        <w:rPr/>
        <w:t>号</w:t>
      </w:r>
      <w:r>
        <w:rPr>
          <w:rFonts w:ascii="Arial" w:hAnsi="Arial" w:cs="Arial" w:eastAsia="Arial" w:hint="default"/>
        </w:rPr>
        <w:t>——</w:t>
      </w:r>
      <w:r>
        <w:rPr/>
        <w:t>非经常性损益》定义界定的非经常性损益项目，以及把</w:t>
      </w:r>
    </w:p>
    <w:p>
      <w:pPr>
        <w:pStyle w:val="BodyText"/>
        <w:spacing w:line="302" w:lineRule="auto" w:before="61"/>
        <w:ind w:right="1206"/>
        <w:jc w:val="left"/>
      </w:pPr>
      <w:r>
        <w:rPr/>
        <w:t>《公开发行证券的公司信息披露解释性公告第</w:t>
      </w:r>
      <w:r>
        <w:rPr>
          <w:spacing w:val="-46"/>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非经常性损益》中列举的非经常性损益项目界定为经常性损益的项 目，应说明原因</w:t>
      </w:r>
    </w:p>
    <w:p>
      <w:pPr>
        <w:pStyle w:val="BodyText"/>
        <w:spacing w:line="240" w:lineRule="auto" w:before="70"/>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50" w:right="4571"/>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12" w:right="1192"/>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left="212" w:right="1131" w:firstLine="396"/>
        <w:jc w:val="both"/>
      </w:pPr>
      <w:r>
        <w:rPr/>
        <w:t>公司于</w:t>
      </w:r>
      <w:r>
        <w:rPr>
          <w:spacing w:val="-48"/>
        </w:rPr>
        <w:t> </w:t>
      </w:r>
      <w:r>
        <w:rPr>
          <w:rFonts w:ascii="Arial" w:hAnsi="Arial" w:cs="Arial" w:eastAsia="Arial" w:hint="default"/>
        </w:rPr>
        <w:t>2012</w:t>
      </w:r>
      <w:r>
        <w:rPr>
          <w:rFonts w:ascii="Arial" w:hAnsi="Arial" w:cs="Arial" w:eastAsia="Arial" w:hint="default"/>
          <w:spacing w:val="-7"/>
        </w:rPr>
        <w:t> </w:t>
      </w:r>
      <w:r>
        <w:rPr/>
        <w:t>年</w:t>
      </w:r>
      <w:r>
        <w:rPr>
          <w:spacing w:val="-50"/>
        </w:rPr>
        <w:t> </w:t>
      </w:r>
      <w:r>
        <w:rPr>
          <w:rFonts w:ascii="Arial" w:hAnsi="Arial" w:cs="Arial" w:eastAsia="Arial" w:hint="default"/>
        </w:rPr>
        <w:t>3</w:t>
      </w:r>
      <w:r>
        <w:rPr>
          <w:rFonts w:ascii="Arial" w:hAnsi="Arial" w:cs="Arial" w:eastAsia="Arial" w:hint="default"/>
          <w:spacing w:val="-7"/>
        </w:rPr>
        <w:t> </w:t>
      </w:r>
      <w:r>
        <w:rPr/>
        <w:t>月</w:t>
      </w:r>
      <w:r>
        <w:rPr>
          <w:spacing w:val="-48"/>
        </w:rPr>
        <w:t> </w:t>
      </w:r>
      <w:r>
        <w:rPr>
          <w:rFonts w:ascii="Arial" w:hAnsi="Arial" w:cs="Arial" w:eastAsia="Arial" w:hint="default"/>
        </w:rPr>
        <w:t>16</w:t>
      </w:r>
      <w:r>
        <w:rPr>
          <w:rFonts w:ascii="Arial" w:hAnsi="Arial" w:cs="Arial" w:eastAsia="Arial" w:hint="default"/>
          <w:spacing w:val="-7"/>
        </w:rPr>
        <w:t> </w:t>
      </w:r>
      <w:r>
        <w:rPr/>
        <w:t>日在深圳证券交易所中小板成功上市，标志着公司从此迈上了一个新的台阶。公司管理层秉持 </w:t>
      </w:r>
      <w:r>
        <w:rPr>
          <w:rFonts w:ascii="Arial" w:hAnsi="Arial" w:cs="Arial" w:eastAsia="Arial" w:hint="default"/>
          <w:spacing w:val="-1"/>
        </w:rPr>
        <w:t>“</w:t>
      </w:r>
      <w:r>
        <w:rPr>
          <w:spacing w:val="-1"/>
        </w:rPr>
        <w:t>创新、服务、诚信、卓越</w:t>
      </w:r>
      <w:r>
        <w:rPr>
          <w:rFonts w:ascii="Arial" w:hAnsi="Arial" w:cs="Arial" w:eastAsia="Arial" w:hint="default"/>
          <w:spacing w:val="-1"/>
        </w:rPr>
        <w:t>”</w:t>
      </w:r>
      <w:r>
        <w:rPr>
          <w:spacing w:val="-1"/>
        </w:rPr>
        <w:t>的经营理念，发扬茂硕人：认真、严谨、实干、高效的工作作风，重点围绕提高企业经营效益和</w:t>
      </w:r>
      <w:r>
        <w:rPr>
          <w:spacing w:val="-61"/>
        </w:rPr>
        <w:t> </w:t>
      </w:r>
      <w:r>
        <w:rPr>
          <w:spacing w:val="-61"/>
        </w:rPr>
      </w:r>
      <w:r>
        <w:rPr>
          <w:spacing w:val="-2"/>
        </w:rPr>
        <w:t>提升企业经营管理效率。公司积极开拓国际、国内市场，持续加大新技术的研发以保持技术优势，深入贯彻执行董事会的各</w:t>
      </w:r>
      <w:r>
        <w:rPr>
          <w:spacing w:val="-64"/>
        </w:rPr>
        <w:t> </w:t>
      </w:r>
      <w:r>
        <w:rPr>
          <w:spacing w:val="-64"/>
        </w:rPr>
      </w:r>
      <w:r>
        <w:rPr>
          <w:spacing w:val="-2"/>
        </w:rPr>
        <w:t>项决议与决定。全体经营管理团队坚持以客户为中心，以销售业绩为导向，团结协作、勤勉尽责，但由于受到全球经济环境</w:t>
      </w:r>
      <w:r>
        <w:rPr>
          <w:spacing w:val="-66"/>
        </w:rPr>
        <w:t> </w:t>
      </w:r>
      <w:r>
        <w:rPr>
          <w:spacing w:val="-66"/>
        </w:rPr>
      </w:r>
      <w:r>
        <w:rPr/>
        <w:t>持续低迷影响，电子行业整体表现仍然不佳，</w:t>
      </w:r>
      <w:r>
        <w:rPr>
          <w:rFonts w:ascii="Arial" w:hAnsi="Arial" w:cs="Arial" w:eastAsia="Arial" w:hint="default"/>
        </w:rPr>
        <w:t>2012</w:t>
      </w:r>
      <w:r>
        <w:rPr>
          <w:rFonts w:ascii="Arial" w:hAnsi="Arial" w:cs="Arial" w:eastAsia="Arial" w:hint="default"/>
          <w:spacing w:val="-7"/>
        </w:rPr>
        <w:t> </w:t>
      </w:r>
      <w:r>
        <w:rPr/>
        <w:t>年公司整体业绩增长有所放缓，毛利率和净利率同比都有所下滑。</w:t>
      </w:r>
    </w:p>
    <w:p>
      <w:pPr>
        <w:pStyle w:val="BodyText"/>
        <w:spacing w:line="319" w:lineRule="auto" w:before="46"/>
        <w:ind w:left="212" w:right="1051" w:firstLine="362"/>
        <w:jc w:val="both"/>
      </w:pPr>
      <w:r>
        <w:rPr>
          <w:spacing w:val="-2"/>
        </w:rPr>
        <w:t>公司将通过有效落实相关措施以及结合公司中长期发展的推动计划，在巩固原有市场的同时，进一步加大市场开拓、供</w:t>
      </w:r>
      <w:r>
        <w:rPr/>
        <w:t> </w:t>
      </w:r>
      <w:r>
        <w:rPr>
          <w:spacing w:val="-2"/>
        </w:rPr>
        <w:t>应链整合以及成本管控的力度，加强内部控制，提高各类风险防范和风险控制意识，并积极探索从横向和纵向拓展公司的电</w:t>
      </w:r>
      <w:r>
        <w:rPr>
          <w:spacing w:val="-66"/>
        </w:rPr>
        <w:t> </w:t>
      </w:r>
      <w:r>
        <w:rPr>
          <w:spacing w:val="-66"/>
        </w:rPr>
      </w:r>
      <w:r>
        <w:rPr/>
        <w:t>源主业。通过技术与服务创新赢得更多优质客户的认可，提升企业长期竞争力，务求带动销售收入及经营利润的稳步增长。</w:t>
      </w:r>
    </w:p>
    <w:p>
      <w:pPr>
        <w:pStyle w:val="BodyText"/>
        <w:spacing w:line="302" w:lineRule="auto" w:before="55"/>
        <w:ind w:left="212" w:right="1131" w:firstLine="362"/>
        <w:jc w:val="both"/>
      </w:pPr>
      <w:r>
        <w:rPr/>
        <w:t>报告期内，受国际经济形势不利因素的影响，公司全年销售接单未达到预期，整体销售收入略有下降，</w:t>
      </w:r>
      <w:r>
        <w:rPr>
          <w:rFonts w:ascii="Arial" w:hAnsi="Arial" w:cs="Arial" w:eastAsia="Arial" w:hint="default"/>
        </w:rPr>
        <w:t>2012</w:t>
      </w:r>
      <w:r>
        <w:rPr>
          <w:rFonts w:ascii="Arial" w:hAnsi="Arial" w:cs="Arial" w:eastAsia="Arial" w:hint="default"/>
          <w:spacing w:val="3"/>
        </w:rPr>
        <w:t> </w:t>
      </w:r>
      <w:r>
        <w:rPr/>
        <w:t>年度公司 实现营业总收入</w:t>
      </w:r>
      <w:r>
        <w:rPr>
          <w:spacing w:val="-49"/>
        </w:rPr>
        <w:t> </w:t>
      </w:r>
      <w:r>
        <w:rPr>
          <w:rFonts w:ascii="Arial" w:hAnsi="Arial" w:cs="Arial" w:eastAsia="Arial" w:hint="default"/>
        </w:rPr>
        <w:t>55003.07</w:t>
      </w:r>
      <w:r>
        <w:rPr>
          <w:rFonts w:ascii="Arial" w:hAnsi="Arial" w:cs="Arial" w:eastAsia="Arial" w:hint="default"/>
          <w:spacing w:val="-9"/>
        </w:rPr>
        <w:t> </w:t>
      </w:r>
      <w:r>
        <w:rPr>
          <w:spacing w:val="-3"/>
        </w:rPr>
        <w:t>万元，较上年同期略有下降，利润总额</w:t>
      </w:r>
      <w:r>
        <w:rPr>
          <w:spacing w:val="-49"/>
        </w:rPr>
        <w:t> </w:t>
      </w:r>
      <w:r>
        <w:rPr>
          <w:rFonts w:ascii="Arial" w:hAnsi="Arial" w:cs="Arial" w:eastAsia="Arial" w:hint="default"/>
        </w:rPr>
        <w:t>5420</w:t>
      </w:r>
      <w:r>
        <w:rPr>
          <w:rFonts w:ascii="Arial" w:hAnsi="Arial" w:cs="Arial" w:eastAsia="Arial" w:hint="default"/>
          <w:spacing w:val="-9"/>
        </w:rPr>
        <w:t> </w:t>
      </w:r>
      <w:r>
        <w:rPr>
          <w:spacing w:val="-3"/>
        </w:rPr>
        <w:t>万元，较上年同期减少</w:t>
      </w:r>
      <w:r>
        <w:rPr>
          <w:spacing w:val="-50"/>
        </w:rPr>
        <w:t> </w:t>
      </w:r>
      <w:r>
        <w:rPr>
          <w:rFonts w:ascii="Arial" w:hAnsi="Arial" w:cs="Arial" w:eastAsia="Arial" w:hint="default"/>
        </w:rPr>
        <w:t>16.12%</w:t>
      </w:r>
      <w:r>
        <w:rPr/>
        <w:t>，归属于上市公司股 东的净利润</w:t>
      </w:r>
      <w:r>
        <w:rPr>
          <w:spacing w:val="-51"/>
        </w:rPr>
        <w:t> </w:t>
      </w:r>
      <w:r>
        <w:rPr>
          <w:rFonts w:ascii="Arial" w:hAnsi="Arial" w:cs="Arial" w:eastAsia="Arial" w:hint="default"/>
        </w:rPr>
        <w:t>4751.61</w:t>
      </w:r>
      <w:r>
        <w:rPr>
          <w:rFonts w:ascii="Arial" w:hAnsi="Arial" w:cs="Arial" w:eastAsia="Arial" w:hint="default"/>
          <w:spacing w:val="-11"/>
        </w:rPr>
        <w:t> </w:t>
      </w:r>
      <w:r>
        <w:rPr/>
        <w:t>万元，较上年同期减少</w:t>
      </w:r>
      <w:r>
        <w:rPr>
          <w:spacing w:val="-51"/>
        </w:rPr>
        <w:t> </w:t>
      </w:r>
      <w:r>
        <w:rPr>
          <w:rFonts w:ascii="Arial" w:hAnsi="Arial" w:cs="Arial" w:eastAsia="Arial" w:hint="default"/>
        </w:rPr>
        <w:t>11.56%</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7"/>
        <w:ind w:left="212" w:right="1192"/>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2" w:right="1192"/>
        <w:jc w:val="left"/>
        <w:rPr>
          <w:b w:val="0"/>
          <w:bCs w:val="0"/>
        </w:rPr>
      </w:pPr>
      <w:r>
        <w:rPr>
          <w:rFonts w:ascii="Arial" w:hAnsi="Arial" w:cs="Arial" w:eastAsia="Arial" w:hint="default"/>
        </w:rPr>
        <w:t>1</w:t>
      </w:r>
      <w:r>
        <w:rPr/>
        <w:t>、概述</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0" w:right="1227"/>
        <w:jc w:val="right"/>
      </w:pPr>
      <w:r>
        <w:rPr/>
        <w:t>单位：元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3116"/>
        <w:gridCol w:w="2199"/>
        <w:gridCol w:w="1985"/>
        <w:gridCol w:w="2437"/>
      </w:tblGrid>
      <w:tr>
        <w:trPr>
          <w:trHeight w:val="403" w:hRule="exact"/>
        </w:trPr>
        <w:tc>
          <w:tcPr>
            <w:tcW w:w="3116" w:type="dxa"/>
            <w:tcBorders>
              <w:top w:val="single" w:sz="4" w:space="0" w:color="000000"/>
              <w:left w:val="single" w:sz="4" w:space="0" w:color="000000"/>
              <w:bottom w:val="single" w:sz="6" w:space="0" w:color="000000"/>
              <w:right w:val="single" w:sz="6" w:space="0" w:color="000000"/>
            </w:tcBorders>
            <w:shd w:val="clear" w:color="auto" w:fill="C0C0C0"/>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99" w:type="dxa"/>
            <w:tcBorders>
              <w:top w:val="single" w:sz="4"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5" w:type="dxa"/>
            <w:tcBorders>
              <w:top w:val="single" w:sz="4"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437" w:type="dxa"/>
            <w:tcBorders>
              <w:top w:val="single" w:sz="4" w:space="0" w:color="000000"/>
              <w:left w:val="single" w:sz="6" w:space="0" w:color="000000"/>
              <w:bottom w:val="single" w:sz="6" w:space="0" w:color="000000"/>
              <w:right w:val="single" w:sz="4" w:space="0" w:color="000000"/>
            </w:tcBorders>
            <w:shd w:val="clear" w:color="auto" w:fill="C0C0C0"/>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Arial" w:hAnsi="Arial" w:cs="Arial" w:eastAsia="Arial" w:hint="default"/>
                <w:sz w:val="18"/>
                <w:szCs w:val="18"/>
              </w:rPr>
              <w:t>%</w:t>
            </w:r>
            <w:r>
              <w:rPr>
                <w:rFonts w:ascii="宋体" w:hAnsi="宋体" w:cs="宋体" w:eastAsia="宋体" w:hint="default"/>
                <w:sz w:val="18"/>
                <w:szCs w:val="18"/>
              </w:rPr>
              <w:t>）</w:t>
            </w:r>
          </w:p>
        </w:tc>
      </w:tr>
      <w:tr>
        <w:trPr>
          <w:trHeight w:val="408" w:hRule="exact"/>
        </w:trPr>
        <w:tc>
          <w:tcPr>
            <w:tcW w:w="3116" w:type="dxa"/>
            <w:tcBorders>
              <w:top w:val="single" w:sz="6" w:space="0" w:color="000000"/>
              <w:left w:val="single" w:sz="4" w:space="0" w:color="000000"/>
              <w:bottom w:val="single" w:sz="6" w:space="0" w:color="000000"/>
              <w:right w:val="single" w:sz="6"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550,030,672.59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554,571,711.43</w:t>
            </w:r>
          </w:p>
        </w:tc>
        <w:tc>
          <w:tcPr>
            <w:tcW w:w="243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w w:val="95"/>
                <w:sz w:val="18"/>
              </w:rPr>
              <w:t>-0.82%</w:t>
            </w:r>
            <w:r>
              <w:rPr>
                <w:rFonts w:ascii="Arial"/>
                <w:sz w:val="18"/>
              </w:rPr>
            </w:r>
          </w:p>
        </w:tc>
      </w:tr>
      <w:tr>
        <w:trPr>
          <w:trHeight w:val="408" w:hRule="exact"/>
        </w:trPr>
        <w:tc>
          <w:tcPr>
            <w:tcW w:w="3116" w:type="dxa"/>
            <w:tcBorders>
              <w:top w:val="single" w:sz="6" w:space="0" w:color="000000"/>
              <w:left w:val="single" w:sz="4" w:space="0" w:color="000000"/>
              <w:bottom w:val="single" w:sz="6" w:space="0" w:color="000000"/>
              <w:right w:val="single" w:sz="6"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428,643,049.00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402,480,411.72</w:t>
            </w:r>
          </w:p>
        </w:tc>
        <w:tc>
          <w:tcPr>
            <w:tcW w:w="243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w w:val="95"/>
                <w:sz w:val="18"/>
              </w:rPr>
              <w:t>6.50%</w:t>
            </w:r>
            <w:r>
              <w:rPr>
                <w:rFonts w:ascii="Arial"/>
                <w:sz w:val="18"/>
              </w:rPr>
            </w:r>
          </w:p>
        </w:tc>
      </w:tr>
      <w:tr>
        <w:trPr>
          <w:trHeight w:val="406" w:hRule="exact"/>
        </w:trPr>
        <w:tc>
          <w:tcPr>
            <w:tcW w:w="3116" w:type="dxa"/>
            <w:tcBorders>
              <w:top w:val="single" w:sz="6" w:space="0" w:color="000000"/>
              <w:left w:val="single" w:sz="4" w:space="0" w:color="000000"/>
              <w:bottom w:val="single" w:sz="6" w:space="0" w:color="000000"/>
              <w:right w:val="single" w:sz="6"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26,086,145.41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30,078,162.59</w:t>
            </w:r>
          </w:p>
        </w:tc>
        <w:tc>
          <w:tcPr>
            <w:tcW w:w="243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-13.27%</w:t>
            </w:r>
          </w:p>
        </w:tc>
      </w:tr>
      <w:tr>
        <w:trPr>
          <w:trHeight w:val="408" w:hRule="exact"/>
        </w:trPr>
        <w:tc>
          <w:tcPr>
            <w:tcW w:w="3116" w:type="dxa"/>
            <w:tcBorders>
              <w:top w:val="single" w:sz="6" w:space="0" w:color="000000"/>
              <w:left w:val="single" w:sz="4" w:space="0" w:color="000000"/>
              <w:bottom w:val="single" w:sz="6" w:space="0" w:color="000000"/>
              <w:right w:val="single" w:sz="6"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46,908,907.23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50,961,970.29</w:t>
            </w:r>
          </w:p>
        </w:tc>
        <w:tc>
          <w:tcPr>
            <w:tcW w:w="243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w w:val="95"/>
                <w:sz w:val="18"/>
              </w:rPr>
              <w:t>-7.95%</w:t>
            </w:r>
            <w:r>
              <w:rPr>
                <w:rFonts w:ascii="Arial"/>
                <w:sz w:val="18"/>
              </w:rPr>
            </w:r>
          </w:p>
        </w:tc>
      </w:tr>
      <w:tr>
        <w:trPr>
          <w:trHeight w:val="406" w:hRule="exact"/>
        </w:trPr>
        <w:tc>
          <w:tcPr>
            <w:tcW w:w="3116" w:type="dxa"/>
            <w:tcBorders>
              <w:top w:val="single" w:sz="6" w:space="0" w:color="000000"/>
              <w:left w:val="single" w:sz="4" w:space="0" w:color="000000"/>
              <w:bottom w:val="single" w:sz="6" w:space="0" w:color="000000"/>
              <w:right w:val="single" w:sz="6"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-8,455,607.12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6,389,524.47</w:t>
            </w:r>
          </w:p>
        </w:tc>
        <w:tc>
          <w:tcPr>
            <w:tcW w:w="243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-232.34%</w:t>
            </w:r>
          </w:p>
        </w:tc>
      </w:tr>
      <w:tr>
        <w:trPr>
          <w:trHeight w:val="408" w:hRule="exact"/>
        </w:trPr>
        <w:tc>
          <w:tcPr>
            <w:tcW w:w="3116" w:type="dxa"/>
            <w:tcBorders>
              <w:top w:val="single" w:sz="6" w:space="0" w:color="000000"/>
              <w:left w:val="single" w:sz="4" w:space="0" w:color="000000"/>
              <w:bottom w:val="single" w:sz="6" w:space="0" w:color="000000"/>
              <w:right w:val="single" w:sz="6"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17,366,877.67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24,105,476.29</w:t>
            </w:r>
          </w:p>
        </w:tc>
        <w:tc>
          <w:tcPr>
            <w:tcW w:w="243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-27.95%</w:t>
            </w:r>
          </w:p>
        </w:tc>
      </w:tr>
      <w:tr>
        <w:trPr>
          <w:trHeight w:val="406" w:hRule="exact"/>
        </w:trPr>
        <w:tc>
          <w:tcPr>
            <w:tcW w:w="3116" w:type="dxa"/>
            <w:tcBorders>
              <w:top w:val="single" w:sz="6" w:space="0" w:color="000000"/>
              <w:left w:val="single" w:sz="4" w:space="0" w:color="000000"/>
              <w:bottom w:val="single" w:sz="4" w:space="0" w:color="000000"/>
              <w:right w:val="single" w:sz="6"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9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4,675,781.45</w:t>
            </w:r>
          </w:p>
        </w:tc>
        <w:tc>
          <w:tcPr>
            <w:tcW w:w="198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35,414,125.17</w:t>
            </w:r>
          </w:p>
        </w:tc>
        <w:tc>
          <w:tcPr>
            <w:tcW w:w="2437"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-86.80%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302" w:lineRule="auto" w:before="44"/>
        <w:ind w:left="212" w:right="1192" w:firstLine="360"/>
        <w:jc w:val="left"/>
      </w:pPr>
      <w:r>
        <w:rPr>
          <w:rFonts w:ascii="Arial" w:hAnsi="Arial" w:cs="Arial" w:eastAsia="Arial" w:hint="default"/>
        </w:rPr>
        <w:t>1</w:t>
      </w:r>
      <w:r>
        <w:rPr/>
        <w:t>、财务费用：报告期发生财务费用</w:t>
      </w:r>
      <w:r>
        <w:rPr>
          <w:rFonts w:ascii="Arial" w:hAnsi="Arial" w:cs="Arial" w:eastAsia="Arial" w:hint="default"/>
        </w:rPr>
        <w:t>-8455607.12</w:t>
      </w:r>
      <w:r>
        <w:rPr/>
        <w:t>元，较上年同期下降</w:t>
      </w:r>
      <w:r>
        <w:rPr>
          <w:rFonts w:ascii="Arial" w:hAnsi="Arial" w:cs="Arial" w:eastAsia="Arial" w:hint="default"/>
        </w:rPr>
        <w:t>232.34%</w:t>
      </w:r>
      <w:r>
        <w:rPr/>
        <w:t>，主要原因系本期利息支出减少及货币 资金增加导致利息收入增加所致；</w:t>
      </w:r>
    </w:p>
    <w:p>
      <w:pPr>
        <w:pStyle w:val="BodyText"/>
        <w:spacing w:line="302" w:lineRule="auto" w:before="29"/>
        <w:ind w:left="212" w:right="1122" w:firstLine="360"/>
        <w:jc w:val="left"/>
      </w:pPr>
      <w:r>
        <w:rPr>
          <w:rFonts w:ascii="Arial" w:hAnsi="Arial" w:cs="Arial" w:eastAsia="Arial" w:hint="default"/>
          <w:spacing w:val="-1"/>
        </w:rPr>
        <w:t>2</w:t>
      </w:r>
      <w:r>
        <w:rPr>
          <w:spacing w:val="-1"/>
        </w:rPr>
        <w:t>、经营活动产生的现金流量净额：报告期经营活动产生的现金流量净额</w:t>
      </w:r>
      <w:r>
        <w:rPr>
          <w:rFonts w:ascii="Arial" w:hAnsi="Arial" w:cs="Arial" w:eastAsia="Arial" w:hint="default"/>
          <w:spacing w:val="-1"/>
        </w:rPr>
        <w:t>4675781.45</w:t>
      </w:r>
      <w:r>
        <w:rPr>
          <w:spacing w:val="-1"/>
        </w:rPr>
        <w:t>元，较上年同期下降</w:t>
      </w:r>
      <w:r>
        <w:rPr>
          <w:rFonts w:ascii="Arial" w:hAnsi="Arial" w:cs="Arial" w:eastAsia="Arial" w:hint="default"/>
          <w:spacing w:val="-1"/>
        </w:rPr>
        <w:t>86.8%</w:t>
      </w:r>
      <w:r>
        <w:rPr>
          <w:spacing w:val="-1"/>
        </w:rPr>
        <w:t>，主要</w:t>
      </w:r>
      <w:r>
        <w:rPr/>
        <w:t> 原因系大客户占款较集中且收款周期较长，应收票据增加。</w:t>
      </w:r>
    </w:p>
    <w:p>
      <w:pPr>
        <w:spacing w:after="0" w:line="302" w:lineRule="auto"/>
        <w:jc w:val="left"/>
        <w:sectPr>
          <w:pgSz w:w="11910" w:h="16840"/>
          <w:pgMar w:header="745" w:footer="1340" w:top="1060" w:bottom="1540" w:left="920" w:right="0"/>
        </w:sectPr>
      </w:pPr>
    </w:p>
    <w:p>
      <w:pPr>
        <w:spacing w:line="240" w:lineRule="auto" w:before="9"/>
        <w:rPr>
          <w:rFonts w:ascii="宋体" w:hAnsi="宋体" w:cs="宋体" w:eastAsia="宋体" w:hint="default"/>
          <w:sz w:val="25"/>
          <w:szCs w:val="25"/>
        </w:rPr>
      </w:pPr>
    </w:p>
    <w:p>
      <w:pPr>
        <w:pStyle w:val="BodyText"/>
        <w:spacing w:line="240" w:lineRule="auto" w:before="44"/>
        <w:ind w:right="1121"/>
        <w:jc w:val="left"/>
      </w:pPr>
      <w:r>
        <w:rPr/>
        <w:t>公司回顾总结前期披露的发展战略和经营计划在报告期内的进展情况</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60" w:lineRule="auto"/>
        <w:ind w:left="470" w:right="1121" w:hanging="318"/>
        <w:jc w:val="left"/>
      </w:pPr>
      <w:r>
        <w:rPr/>
        <w:t>公司的发展战略和经营计划在报告期内的进展情况： </w:t>
      </w:r>
      <w:r>
        <w:rPr>
          <w:spacing w:val="-1"/>
        </w:rPr>
        <w:t>公司本着以客户价值为导向的经营理念，基于不断创新的国际领先电源技术，为全球性品牌消费类电子及</w:t>
      </w:r>
      <w:r>
        <w:rPr>
          <w:rFonts w:ascii="Arial" w:hAnsi="Arial" w:cs="Arial" w:eastAsia="Arial" w:hint="default"/>
          <w:spacing w:val="-1"/>
        </w:rPr>
        <w:t>LED</w:t>
      </w:r>
      <w:r>
        <w:rPr>
          <w:spacing w:val="-1"/>
        </w:rPr>
        <w:t>照明知名</w:t>
      </w:r>
    </w:p>
    <w:p>
      <w:pPr>
        <w:pStyle w:val="BodyText"/>
        <w:spacing w:line="199" w:lineRule="exact"/>
        <w:ind w:right="0"/>
        <w:jc w:val="left"/>
      </w:pPr>
      <w:r>
        <w:rPr/>
        <w:t>企业提供全方位的高可靠、智能化、高效节能开关电源解决方案，以帮助客户得到安全可靠、智能化、高性价比的产品与服</w:t>
      </w:r>
    </w:p>
    <w:p>
      <w:pPr>
        <w:pStyle w:val="BodyText"/>
        <w:spacing w:line="309" w:lineRule="auto" w:before="76"/>
        <w:ind w:right="1131"/>
        <w:jc w:val="both"/>
      </w:pPr>
      <w:r>
        <w:rPr>
          <w:spacing w:val="-2"/>
        </w:rPr>
        <w:t>务，从而满足客户实现更加可靠、节能环保的诉求，并达成降低企业运营成本的目标。进一步增强公司具有自主创新的技术</w:t>
      </w:r>
      <w:r>
        <w:rPr>
          <w:spacing w:val="-64"/>
        </w:rPr>
        <w:t> </w:t>
      </w:r>
      <w:r>
        <w:rPr>
          <w:spacing w:val="-64"/>
        </w:rPr>
      </w:r>
      <w:r>
        <w:rPr/>
        <w:t>优势和系统解决方案能力，用</w:t>
      </w:r>
      <w:r>
        <w:rPr>
          <w:rFonts w:ascii="Arial" w:hAnsi="Arial" w:cs="Arial" w:eastAsia="Arial" w:hint="default"/>
        </w:rPr>
        <w:t>5</w:t>
      </w:r>
      <w:r>
        <w:rPr/>
        <w:t>年左右的时间成为全球领先的具有较强国际竞争力的全方位大功率</w:t>
      </w:r>
      <w:r>
        <w:rPr>
          <w:rFonts w:ascii="Arial" w:hAnsi="Arial" w:cs="Arial" w:eastAsia="Arial" w:hint="default"/>
        </w:rPr>
        <w:t>LED</w:t>
      </w:r>
      <w:r>
        <w:rPr/>
        <w:t>驱动系统解决方案供 应商以及国内领先的消费电子类电源产品提供商。</w:t>
      </w:r>
    </w:p>
    <w:p>
      <w:pPr>
        <w:pStyle w:val="BodyText"/>
        <w:spacing w:line="240" w:lineRule="auto" w:before="65"/>
        <w:ind w:left="513" w:right="1121"/>
        <w:jc w:val="left"/>
      </w:pPr>
      <w:r>
        <w:rPr/>
        <w:t>（一）市场拓展方面</w:t>
      </w:r>
    </w:p>
    <w:p>
      <w:pPr>
        <w:pStyle w:val="BodyText"/>
        <w:spacing w:line="340" w:lineRule="auto" w:before="115"/>
        <w:ind w:left="352" w:right="1121" w:firstLine="160"/>
        <w:jc w:val="left"/>
      </w:pPr>
      <w:r>
        <w:rPr>
          <w:rFonts w:ascii="Arial" w:hAnsi="Arial" w:cs="Arial" w:eastAsia="Arial" w:hint="default"/>
        </w:rPr>
        <w:t>1</w:t>
      </w:r>
      <w:r>
        <w:rPr/>
        <w:t>、深化现有营销网络 公司一直专注于围绕不同客户群建设相对应的高效直销体系。目前，公司产品在现有客户采购量中的占比还是相对较小</w:t>
      </w:r>
    </w:p>
    <w:p>
      <w:pPr>
        <w:pStyle w:val="BodyText"/>
        <w:spacing w:line="319" w:lineRule="auto" w:before="1"/>
        <w:ind w:right="1028"/>
        <w:jc w:val="left"/>
      </w:pPr>
      <w:r>
        <w:rPr>
          <w:spacing w:val="-4"/>
        </w:rPr>
        <w:t>的，有很大的提升空间。因此，公司将持续做好现有客户的经营与保有工作，拓展现有客户的需求，增加现有客户的采购量。</w:t>
      </w:r>
      <w:r>
        <w:rPr>
          <w:spacing w:val="-42"/>
        </w:rPr>
        <w:t> </w:t>
      </w:r>
      <w:r>
        <w:rPr>
          <w:spacing w:val="-42"/>
        </w:rPr>
      </w:r>
      <w:r>
        <w:rPr>
          <w:spacing w:val="-2"/>
        </w:rPr>
        <w:t>并且在进一步完善国内市场覆盖网络的基础上，继续加强海外市场拓展，优化客户结构，增强海外物流配送及本土化的客户</w:t>
      </w:r>
      <w:r>
        <w:rPr>
          <w:spacing w:val="-65"/>
        </w:rPr>
        <w:t> </w:t>
      </w:r>
      <w:r>
        <w:rPr>
          <w:spacing w:val="-65"/>
        </w:rPr>
      </w:r>
      <w:r>
        <w:rPr/>
        <w:t>服务能力。</w:t>
      </w:r>
    </w:p>
    <w:p>
      <w:pPr>
        <w:pStyle w:val="BodyText"/>
        <w:spacing w:line="302" w:lineRule="auto" w:before="17"/>
        <w:ind w:left="352" w:right="1121" w:firstLine="160"/>
        <w:jc w:val="left"/>
      </w:pPr>
      <w:r>
        <w:rPr>
          <w:rFonts w:ascii="Arial" w:hAnsi="Arial" w:cs="Arial" w:eastAsia="Arial" w:hint="default"/>
        </w:rPr>
        <w:t>2</w:t>
      </w:r>
      <w:r>
        <w:rPr/>
        <w:t>、培育和开发新的增量市场 国内市场：针对未来几年国内</w:t>
      </w:r>
      <w:r>
        <w:rPr>
          <w:rFonts w:ascii="Arial" w:hAnsi="Arial" w:cs="Arial" w:eastAsia="Arial" w:hint="default"/>
        </w:rPr>
        <w:t>LED</w:t>
      </w:r>
      <w:r>
        <w:rPr/>
        <w:t>照明市场的高速发展和消费电子类电源市场的持续稳定发展的预期，</w:t>
      </w:r>
      <w:r>
        <w:rPr>
          <w:rFonts w:ascii="Arial" w:hAnsi="Arial" w:cs="Arial" w:eastAsia="Arial" w:hint="default"/>
        </w:rPr>
        <w:t>2012</w:t>
      </w:r>
      <w:r>
        <w:rPr/>
        <w:t>年本公司增</w:t>
      </w:r>
    </w:p>
    <w:p>
      <w:pPr>
        <w:pStyle w:val="BodyText"/>
        <w:spacing w:line="302" w:lineRule="auto" w:before="11"/>
        <w:ind w:right="1114"/>
        <w:jc w:val="left"/>
      </w:pPr>
      <w:r>
        <w:rPr/>
        <w:t>加</w:t>
      </w:r>
      <w:r>
        <w:rPr>
          <w:rFonts w:ascii="Arial" w:hAnsi="Arial" w:cs="Arial" w:eastAsia="Arial" w:hint="default"/>
        </w:rPr>
        <w:t>8</w:t>
      </w:r>
      <w:r>
        <w:rPr/>
        <w:t>个国内营销部门，利用现有资源，加大与各个区域内的龙头企业的合作力度，根据实际的需要设立办事处或分公司，实 行就近服务，方便客户。</w:t>
      </w:r>
    </w:p>
    <w:p>
      <w:pPr>
        <w:pStyle w:val="BodyText"/>
        <w:spacing w:line="302" w:lineRule="auto" w:before="29"/>
        <w:ind w:right="1095" w:firstLine="199"/>
        <w:jc w:val="left"/>
      </w:pPr>
      <w:r>
        <w:rPr/>
        <w:t>国外市场：公司增加</w:t>
      </w:r>
      <w:r>
        <w:rPr>
          <w:rFonts w:ascii="Arial" w:hAnsi="Arial" w:cs="Arial" w:eastAsia="Arial" w:hint="default"/>
        </w:rPr>
        <w:t>2</w:t>
      </w:r>
      <w:r>
        <w:rPr/>
        <w:t>个国际营销部门，积极拓展新兴市场，加大台湾、东南亚、美洲、欧洲、非洲等市场的营销投入， 充分利用当地资源，巩固及扩大优势市场，加强售后服务。</w:t>
      </w:r>
    </w:p>
    <w:p>
      <w:pPr>
        <w:pStyle w:val="BodyText"/>
        <w:spacing w:line="302" w:lineRule="auto" w:before="29"/>
        <w:ind w:left="352" w:right="1121"/>
        <w:jc w:val="left"/>
      </w:pPr>
      <w:r>
        <w:rPr>
          <w:rFonts w:ascii="Arial" w:hAnsi="Arial" w:cs="Arial" w:eastAsia="Arial" w:hint="default"/>
        </w:rPr>
        <w:t>3</w:t>
      </w:r>
      <w:r>
        <w:rPr/>
        <w:t>、增值服务策略 公司通过延伸产品服务范围，为客户提供产品以外的增值服务，从战略层面开展与重要客户的合作。如积极参与客户采</w:t>
      </w:r>
    </w:p>
    <w:p>
      <w:pPr>
        <w:pStyle w:val="BodyText"/>
        <w:spacing w:line="240" w:lineRule="auto" w:before="29"/>
        <w:ind w:right="1121"/>
        <w:jc w:val="left"/>
      </w:pPr>
      <w:r>
        <w:rPr/>
        <w:t>购行为的标准制定及协助等。</w:t>
      </w:r>
    </w:p>
    <w:p>
      <w:pPr>
        <w:pStyle w:val="BodyText"/>
        <w:spacing w:line="240" w:lineRule="auto" w:before="117"/>
        <w:ind w:left="513" w:right="1121"/>
        <w:jc w:val="left"/>
      </w:pPr>
      <w:r>
        <w:rPr/>
        <w:t>（二）经营管理方面</w:t>
      </w:r>
    </w:p>
    <w:p>
      <w:pPr>
        <w:pStyle w:val="BodyText"/>
        <w:spacing w:line="302" w:lineRule="auto" w:before="115"/>
        <w:ind w:right="1028" w:firstLine="360"/>
        <w:jc w:val="left"/>
      </w:pPr>
      <w:r>
        <w:rPr>
          <w:rFonts w:ascii="Arial" w:hAnsi="Arial" w:cs="Arial" w:eastAsia="Arial" w:hint="default"/>
        </w:rPr>
        <w:t>1</w:t>
      </w:r>
      <w:r>
        <w:rPr/>
        <w:t>、</w:t>
      </w:r>
      <w:r>
        <w:rPr>
          <w:rFonts w:ascii="Arial" w:hAnsi="Arial" w:cs="Arial" w:eastAsia="Arial" w:hint="default"/>
        </w:rPr>
        <w:t>LED</w:t>
      </w:r>
      <w:r>
        <w:rPr/>
        <w:t>驱动电源营业额全年共完成</w:t>
      </w:r>
      <w:r>
        <w:rPr>
          <w:rFonts w:ascii="Arial" w:hAnsi="Arial" w:cs="Arial" w:eastAsia="Arial" w:hint="default"/>
        </w:rPr>
        <w:t>1.85</w:t>
      </w:r>
      <w:r>
        <w:rPr/>
        <w:t>亿元，较去年同期增长</w:t>
      </w:r>
      <w:r>
        <w:rPr>
          <w:rFonts w:ascii="Arial" w:hAnsi="Arial" w:cs="Arial" w:eastAsia="Arial" w:hint="default"/>
        </w:rPr>
        <w:t>24.49%</w:t>
      </w:r>
      <w:r>
        <w:rPr/>
        <w:t>；</w:t>
      </w:r>
      <w:r>
        <w:rPr>
          <w:rFonts w:ascii="Arial" w:hAnsi="Arial" w:cs="Arial" w:eastAsia="Arial" w:hint="default"/>
        </w:rPr>
        <w:t>SPS</w:t>
      </w:r>
      <w:r>
        <w:rPr/>
        <w:t>消费类电源销售额全年共完成</w:t>
      </w:r>
      <w:r>
        <w:rPr>
          <w:spacing w:val="-46"/>
        </w:rPr>
        <w:t> </w:t>
      </w:r>
      <w:r>
        <w:rPr>
          <w:rFonts w:ascii="Arial" w:hAnsi="Arial" w:cs="Arial" w:eastAsia="Arial" w:hint="default"/>
        </w:rPr>
        <w:t>3.49</w:t>
      </w:r>
      <w:r>
        <w:rPr/>
        <w:t>亿元， 较去年同期减少</w:t>
      </w:r>
      <w:r>
        <w:rPr>
          <w:rFonts w:ascii="Arial" w:hAnsi="Arial" w:cs="Arial" w:eastAsia="Arial" w:hint="default"/>
        </w:rPr>
        <w:t>12.66</w:t>
      </w:r>
      <w:r>
        <w:rPr/>
        <w:t>％，</w:t>
      </w:r>
      <w:r>
        <w:rPr>
          <w:rFonts w:ascii="Arial" w:hAnsi="Arial" w:cs="Arial" w:eastAsia="Arial" w:hint="default"/>
        </w:rPr>
        <w:t>SPS</w:t>
      </w:r>
      <w:r>
        <w:rPr/>
        <w:t>销售额上升幅度未达成既定目标，主要是受国际经济形势不利因素的影响，整个消费类市场 需求下降，导致公司</w:t>
      </w:r>
      <w:r>
        <w:rPr>
          <w:rFonts w:ascii="Arial" w:hAnsi="Arial" w:cs="Arial" w:eastAsia="Arial" w:hint="default"/>
        </w:rPr>
        <w:t>SPS</w:t>
      </w:r>
      <w:r>
        <w:rPr/>
        <w:t>消费类电源的总体销售业务受到影响。</w:t>
      </w:r>
    </w:p>
    <w:p>
      <w:pPr>
        <w:pStyle w:val="BodyText"/>
        <w:spacing w:line="302" w:lineRule="auto" w:before="52"/>
        <w:ind w:right="1114" w:firstLine="360"/>
        <w:jc w:val="left"/>
      </w:pPr>
      <w:r>
        <w:rPr>
          <w:rFonts w:ascii="Arial" w:hAnsi="Arial" w:cs="Arial" w:eastAsia="Arial" w:hint="default"/>
        </w:rPr>
        <w:t>2</w:t>
      </w:r>
      <w:r>
        <w:rPr/>
        <w:t>、供应链资源整合未达预期，原材料成本上升、供应商来料品质异常、相关原器件备料不足严重制约着公司的营运效 率，并直接影响公司</w:t>
      </w:r>
      <w:r>
        <w:rPr>
          <w:rFonts w:ascii="Arial" w:hAnsi="Arial" w:cs="Arial" w:eastAsia="Arial" w:hint="default"/>
        </w:rPr>
        <w:t>2012</w:t>
      </w:r>
      <w:r>
        <w:rPr/>
        <w:t>年度的利润率。</w:t>
      </w:r>
    </w:p>
    <w:p>
      <w:pPr>
        <w:pStyle w:val="BodyText"/>
        <w:spacing w:line="302" w:lineRule="auto" w:before="52"/>
        <w:ind w:right="1127" w:firstLine="360"/>
        <w:jc w:val="left"/>
      </w:pPr>
      <w:r>
        <w:rPr>
          <w:rFonts w:ascii="Arial" w:hAnsi="Arial" w:cs="Arial" w:eastAsia="Arial" w:hint="default"/>
          <w:spacing w:val="-1"/>
        </w:rPr>
        <w:t>3</w:t>
      </w:r>
      <w:r>
        <w:rPr>
          <w:spacing w:val="-1"/>
        </w:rPr>
        <w:t>、精益生产在自动化流水线导入后还在试运行阶段，致使整个精益化生产所带来的利润增长未达预期，</w:t>
      </w:r>
      <w:r>
        <w:rPr>
          <w:rFonts w:ascii="Arial" w:hAnsi="Arial" w:cs="Arial" w:eastAsia="Arial" w:hint="default"/>
          <w:spacing w:val="-1"/>
        </w:rPr>
        <w:t>2013</w:t>
      </w:r>
      <w:r>
        <w:rPr>
          <w:spacing w:val="-1"/>
        </w:rPr>
        <w:t>年会显现</w:t>
      </w:r>
      <w:r>
        <w:rPr/>
        <w:t> 良好的成本效率优势。</w:t>
      </w:r>
    </w:p>
    <w:p>
      <w:pPr>
        <w:pStyle w:val="BodyText"/>
        <w:spacing w:line="240" w:lineRule="auto" w:before="68"/>
        <w:ind w:left="352" w:right="1121"/>
        <w:jc w:val="left"/>
      </w:pPr>
      <w:r>
        <w:rPr/>
        <w:t>（三）信息化方面：</w:t>
      </w:r>
    </w:p>
    <w:p>
      <w:pPr>
        <w:pStyle w:val="BodyText"/>
        <w:spacing w:line="240" w:lineRule="auto" w:before="76"/>
        <w:ind w:left="352" w:right="1121"/>
        <w:jc w:val="left"/>
      </w:pPr>
      <w:r>
        <w:rPr>
          <w:rFonts w:ascii="Arial" w:hAnsi="Arial" w:cs="Arial" w:eastAsia="Arial" w:hint="default"/>
        </w:rPr>
        <w:t>1</w:t>
      </w:r>
      <w:r>
        <w:rPr/>
        <w:t>、制造执行系统</w:t>
      </w:r>
      <w:r>
        <w:rPr>
          <w:rFonts w:ascii="Arial" w:hAnsi="Arial" w:cs="Arial" w:eastAsia="Arial" w:hint="default"/>
        </w:rPr>
        <w:t>MES</w:t>
      </w:r>
      <w:r>
        <w:rPr/>
        <w:t>二期启动的成功导入和上线使用，全面提升制程管理效率、有效性及可追溯性。</w:t>
      </w:r>
    </w:p>
    <w:p>
      <w:pPr>
        <w:pStyle w:val="BodyText"/>
        <w:spacing w:line="302" w:lineRule="auto" w:before="63"/>
        <w:ind w:right="1121" w:firstLine="199"/>
        <w:jc w:val="left"/>
      </w:pPr>
      <w:r>
        <w:rPr>
          <w:rFonts w:ascii="Arial" w:hAnsi="Arial" w:cs="Arial" w:eastAsia="Arial" w:hint="default"/>
        </w:rPr>
        <w:t>2</w:t>
      </w:r>
      <w:r>
        <w:rPr/>
        <w:t>、研发产品开发管理系统</w:t>
      </w:r>
      <w:r>
        <w:rPr>
          <w:rFonts w:ascii="Arial" w:hAnsi="Arial" w:cs="Arial" w:eastAsia="Arial" w:hint="default"/>
        </w:rPr>
        <w:t>PLM/PDM</w:t>
      </w:r>
      <w:r>
        <w:rPr/>
        <w:t>的导入，让公司对产品研发到使用到最终报废等实现过程和数据化管理，为提升公 司产品质量作出了很好的铺垫。</w:t>
      </w:r>
    </w:p>
    <w:p>
      <w:pPr>
        <w:pStyle w:val="BodyText"/>
        <w:spacing w:line="309" w:lineRule="auto" w:before="29"/>
        <w:ind w:right="0" w:firstLine="199"/>
        <w:jc w:val="left"/>
      </w:pPr>
      <w:r>
        <w:rPr>
          <w:rFonts w:ascii="Arial" w:hAnsi="Arial" w:cs="Arial" w:eastAsia="Arial" w:hint="default"/>
          <w:spacing w:val="-2"/>
        </w:rPr>
        <w:t>3</w:t>
      </w:r>
      <w:r>
        <w:rPr>
          <w:spacing w:val="-2"/>
        </w:rPr>
        <w:t>、客户管理软件</w:t>
      </w:r>
      <w:r>
        <w:rPr>
          <w:rFonts w:ascii="Arial" w:hAnsi="Arial" w:cs="Arial" w:eastAsia="Arial" w:hint="default"/>
          <w:spacing w:val="-2"/>
        </w:rPr>
        <w:t>CRM</w:t>
      </w:r>
      <w:r>
        <w:rPr>
          <w:spacing w:val="-2"/>
        </w:rPr>
        <w:t>的导入，为公司最大限度地挖掘和协调企业的资源，全面整合企业的市场营销业务流程，降低经营</w:t>
      </w:r>
      <w:r>
        <w:rPr>
          <w:w w:val="99"/>
        </w:rPr>
        <w:t> </w:t>
      </w:r>
      <w:r>
        <w:rPr>
          <w:spacing w:val="-4"/>
        </w:rPr>
        <w:t>成本，提高效率，在拓展市场和营销渠道的同时能够更加有效地处理客户关系，吸引和保持更多的客户，并真实全面地收集、</w:t>
      </w:r>
      <w:r>
        <w:rPr>
          <w:spacing w:val="-47"/>
        </w:rPr>
        <w:t> </w:t>
      </w:r>
      <w:r>
        <w:rPr>
          <w:spacing w:val="-47"/>
        </w:rPr>
      </w:r>
      <w:r>
        <w:rPr/>
        <w:t>分析研究客户的信息资料，为客户多角度、全方位的服务提供有利条件。</w:t>
      </w:r>
    </w:p>
    <w:p>
      <w:pPr>
        <w:pStyle w:val="BodyText"/>
        <w:spacing w:line="240" w:lineRule="auto" w:before="24"/>
        <w:ind w:left="352" w:right="1121"/>
        <w:jc w:val="left"/>
      </w:pPr>
      <w:r>
        <w:rPr/>
        <w:t>（四）研发方面</w:t>
      </w:r>
    </w:p>
    <w:p>
      <w:pPr>
        <w:pStyle w:val="BodyText"/>
        <w:spacing w:line="302" w:lineRule="auto" w:before="76"/>
        <w:ind w:right="1121" w:firstLine="199"/>
        <w:jc w:val="left"/>
      </w:pPr>
      <w:r>
        <w:rPr>
          <w:rFonts w:ascii="Arial" w:hAnsi="Arial" w:cs="Arial" w:eastAsia="Arial" w:hint="default"/>
        </w:rPr>
        <w:t>1</w:t>
      </w:r>
      <w:r>
        <w:rPr/>
        <w:t>、</w:t>
      </w:r>
      <w:r>
        <w:rPr>
          <w:rFonts w:ascii="Arial" w:hAnsi="Arial" w:cs="Arial" w:eastAsia="Arial" w:hint="default"/>
        </w:rPr>
        <w:t>SPS</w:t>
      </w:r>
      <w:r>
        <w:rPr/>
        <w:t>消费类电源共完成新产品开发</w:t>
      </w:r>
      <w:r>
        <w:rPr>
          <w:rFonts w:ascii="Arial" w:hAnsi="Arial" w:cs="Arial" w:eastAsia="Arial" w:hint="default"/>
        </w:rPr>
        <w:t>75</w:t>
      </w:r>
      <w:r>
        <w:rPr/>
        <w:t>款，共</w:t>
      </w:r>
      <w:r>
        <w:rPr>
          <w:rFonts w:ascii="Arial" w:hAnsi="Arial" w:cs="Arial" w:eastAsia="Arial" w:hint="default"/>
        </w:rPr>
        <w:t>8</w:t>
      </w:r>
      <w:r>
        <w:rPr/>
        <w:t>个标准系列，</w:t>
      </w:r>
      <w:r>
        <w:rPr>
          <w:rFonts w:ascii="Arial" w:hAnsi="Arial" w:cs="Arial" w:eastAsia="Arial" w:hint="default"/>
        </w:rPr>
        <w:t>65</w:t>
      </w:r>
      <w:r>
        <w:rPr/>
        <w:t>个定制系列；</w:t>
      </w:r>
      <w:r>
        <w:rPr>
          <w:rFonts w:ascii="Arial" w:hAnsi="Arial" w:cs="Arial" w:eastAsia="Arial" w:hint="default"/>
        </w:rPr>
        <w:t>LED</w:t>
      </w:r>
      <w:r>
        <w:rPr/>
        <w:t>驱动电源共完成新产品开发</w:t>
      </w:r>
      <w:r>
        <w:rPr>
          <w:rFonts w:ascii="Arial" w:hAnsi="Arial" w:cs="Arial" w:eastAsia="Arial" w:hint="default"/>
        </w:rPr>
        <w:t>197</w:t>
      </w:r>
      <w:r>
        <w:rPr/>
        <w:t>款出 样，共</w:t>
      </w:r>
      <w:r>
        <w:rPr>
          <w:rFonts w:ascii="Arial" w:hAnsi="Arial" w:cs="Arial" w:eastAsia="Arial" w:hint="default"/>
        </w:rPr>
        <w:t>62</w:t>
      </w:r>
      <w:r>
        <w:rPr/>
        <w:t>个系列</w:t>
      </w:r>
      <w:r>
        <w:rPr>
          <w:rFonts w:ascii="Arial" w:hAnsi="Arial" w:cs="Arial" w:eastAsia="Arial" w:hint="default"/>
        </w:rPr>
        <w:t>176</w:t>
      </w:r>
      <w:r>
        <w:rPr/>
        <w:t>个型号。</w:t>
      </w:r>
    </w:p>
    <w:p>
      <w:pPr>
        <w:pStyle w:val="BodyText"/>
        <w:spacing w:line="240" w:lineRule="auto" w:before="11"/>
        <w:ind w:left="352" w:right="1121"/>
        <w:jc w:val="left"/>
      </w:pPr>
      <w:r>
        <w:rPr>
          <w:rFonts w:ascii="Arial" w:hAnsi="Arial" w:cs="Arial" w:eastAsia="Arial" w:hint="default"/>
        </w:rPr>
        <w:t>2</w:t>
      </w:r>
      <w:r>
        <w:rPr/>
        <w:t>、</w:t>
      </w:r>
      <w:r>
        <w:rPr>
          <w:rFonts w:ascii="Arial" w:hAnsi="Arial" w:cs="Arial" w:eastAsia="Arial" w:hint="default"/>
        </w:rPr>
        <w:t>2012</w:t>
      </w:r>
      <w:r>
        <w:rPr/>
        <w:t>年度</w:t>
      </w:r>
      <w:r>
        <w:rPr>
          <w:rFonts w:ascii="Arial" w:hAnsi="Arial" w:cs="Arial" w:eastAsia="Arial" w:hint="default"/>
        </w:rPr>
        <w:t>LED</w:t>
      </w:r>
      <w:r>
        <w:rPr/>
        <w:t>驱动电源共完成知识产权保护申请受理</w:t>
      </w:r>
      <w:r>
        <w:rPr>
          <w:rFonts w:ascii="Arial" w:hAnsi="Arial" w:cs="Arial" w:eastAsia="Arial" w:hint="default"/>
        </w:rPr>
        <w:t>25</w:t>
      </w:r>
      <w:r>
        <w:rPr/>
        <w:t>件，其中发明专利</w:t>
      </w:r>
      <w:r>
        <w:rPr>
          <w:rFonts w:ascii="Arial" w:hAnsi="Arial" w:cs="Arial" w:eastAsia="Arial" w:hint="default"/>
        </w:rPr>
        <w:t>6</w:t>
      </w:r>
      <w:r>
        <w:rPr/>
        <w:t>件，实用新型专利</w:t>
      </w:r>
      <w:r>
        <w:rPr>
          <w:rFonts w:ascii="Arial" w:hAnsi="Arial" w:cs="Arial" w:eastAsia="Arial" w:hint="default"/>
        </w:rPr>
        <w:t>17</w:t>
      </w:r>
      <w:r>
        <w:rPr/>
        <w:t>件，外观专利</w:t>
      </w:r>
      <w:r>
        <w:rPr>
          <w:rFonts w:ascii="Arial" w:hAnsi="Arial" w:cs="Arial" w:eastAsia="Arial" w:hint="default"/>
        </w:rPr>
        <w:t>2</w:t>
      </w:r>
      <w:r>
        <w:rPr/>
        <w:t>件；</w:t>
      </w:r>
    </w:p>
    <w:p>
      <w:pPr>
        <w:pStyle w:val="BodyText"/>
        <w:spacing w:line="240" w:lineRule="auto" w:before="63"/>
        <w:ind w:left="352" w:right="1121"/>
        <w:jc w:val="left"/>
      </w:pPr>
      <w:r>
        <w:rPr>
          <w:rFonts w:ascii="Arial" w:hAnsi="Arial" w:cs="Arial" w:eastAsia="Arial" w:hint="default"/>
        </w:rPr>
        <w:t>2012</w:t>
      </w:r>
      <w:r>
        <w:rPr/>
        <w:t>年度共获得专利授权</w:t>
      </w:r>
      <w:r>
        <w:rPr>
          <w:rFonts w:ascii="Arial" w:hAnsi="Arial" w:cs="Arial" w:eastAsia="Arial" w:hint="default"/>
        </w:rPr>
        <w:t>26</w:t>
      </w:r>
      <w:r>
        <w:rPr/>
        <w:t>件，其中发明专利</w:t>
      </w:r>
      <w:r>
        <w:rPr>
          <w:rFonts w:ascii="Arial" w:hAnsi="Arial" w:cs="Arial" w:eastAsia="Arial" w:hint="default"/>
        </w:rPr>
        <w:t>3</w:t>
      </w:r>
      <w:r>
        <w:rPr/>
        <w:t>件，实用新型专利</w:t>
      </w:r>
      <w:r>
        <w:rPr>
          <w:rFonts w:ascii="Arial" w:hAnsi="Arial" w:cs="Arial" w:eastAsia="Arial" w:hint="default"/>
        </w:rPr>
        <w:t>22</w:t>
      </w:r>
      <w:r>
        <w:rPr/>
        <w:t>件，外观专利</w:t>
      </w:r>
      <w:r>
        <w:rPr>
          <w:rFonts w:ascii="Arial" w:hAnsi="Arial" w:cs="Arial" w:eastAsia="Arial" w:hint="default"/>
        </w:rPr>
        <w:t>1</w:t>
      </w:r>
      <w:r>
        <w:rPr/>
        <w:t>件。</w:t>
      </w:r>
    </w:p>
    <w:p>
      <w:pPr>
        <w:spacing w:after="0" w:line="240" w:lineRule="auto"/>
        <w:jc w:val="left"/>
        <w:sectPr>
          <w:pgSz w:w="11910" w:h="16840"/>
          <w:pgMar w:header="745" w:footer="1340" w:top="1060" w:bottom="1540" w:left="980" w:right="0"/>
        </w:sectPr>
      </w:pPr>
    </w:p>
    <w:p>
      <w:pPr>
        <w:spacing w:line="240" w:lineRule="auto" w:before="9"/>
        <w:rPr>
          <w:rFonts w:ascii="宋体" w:hAnsi="宋体" w:cs="宋体" w:eastAsia="宋体" w:hint="default"/>
          <w:sz w:val="25"/>
          <w:szCs w:val="25"/>
        </w:rPr>
      </w:pPr>
    </w:p>
    <w:p>
      <w:pPr>
        <w:pStyle w:val="BodyText"/>
        <w:spacing w:line="302" w:lineRule="auto" w:before="44"/>
        <w:ind w:right="1121" w:firstLine="199"/>
        <w:jc w:val="left"/>
      </w:pPr>
      <w:r>
        <w:rPr>
          <w:rFonts w:ascii="Arial" w:hAnsi="Arial" w:cs="Arial" w:eastAsia="Arial" w:hint="default"/>
          <w:spacing w:val="-2"/>
        </w:rPr>
        <w:t>3</w:t>
      </w:r>
      <w:r>
        <w:rPr>
          <w:spacing w:val="-2"/>
        </w:rPr>
        <w:t>、</w:t>
      </w:r>
      <w:r>
        <w:rPr>
          <w:rFonts w:ascii="Arial" w:hAnsi="Arial" w:cs="Arial" w:eastAsia="Arial" w:hint="default"/>
          <w:spacing w:val="-2"/>
        </w:rPr>
        <w:t>2012</w:t>
      </w:r>
      <w:r>
        <w:rPr>
          <w:spacing w:val="-2"/>
        </w:rPr>
        <w:t>年</w:t>
      </w:r>
      <w:r>
        <w:rPr>
          <w:rFonts w:ascii="Arial" w:hAnsi="Arial" w:cs="Arial" w:eastAsia="Arial" w:hint="default"/>
          <w:spacing w:val="-2"/>
        </w:rPr>
        <w:t>LED</w:t>
      </w:r>
      <w:r>
        <w:rPr>
          <w:spacing w:val="-2"/>
        </w:rPr>
        <w:t>驱动电源完成安规认证取证共</w:t>
      </w:r>
      <w:r>
        <w:rPr>
          <w:rFonts w:ascii="Arial" w:hAnsi="Arial" w:cs="Arial" w:eastAsia="Arial" w:hint="default"/>
          <w:spacing w:val="-2"/>
        </w:rPr>
        <w:t>72</w:t>
      </w:r>
      <w:r>
        <w:rPr>
          <w:spacing w:val="-2"/>
        </w:rPr>
        <w:t>个系列，与去年同比上升</w:t>
      </w:r>
      <w:r>
        <w:rPr>
          <w:rFonts w:ascii="Arial" w:hAnsi="Arial" w:cs="Arial" w:eastAsia="Arial" w:hint="default"/>
          <w:spacing w:val="-2"/>
        </w:rPr>
        <w:t>89%</w:t>
      </w:r>
      <w:r>
        <w:rPr>
          <w:spacing w:val="-2"/>
        </w:rPr>
        <w:t>，逐步完善了公司单个功能电源到智能系统</w:t>
      </w:r>
      <w:r>
        <w:rPr/>
        <w:t> 的整个产品线。</w:t>
      </w:r>
    </w:p>
    <w:p>
      <w:pPr>
        <w:pStyle w:val="BodyText"/>
        <w:spacing w:line="240" w:lineRule="auto" w:before="29"/>
        <w:ind w:left="352" w:right="1121"/>
        <w:jc w:val="left"/>
      </w:pPr>
      <w:r>
        <w:rPr/>
        <w:t>（五）生产方面</w:t>
      </w:r>
    </w:p>
    <w:p>
      <w:pPr>
        <w:pStyle w:val="BodyText"/>
        <w:spacing w:line="240" w:lineRule="auto" w:before="76"/>
        <w:ind w:left="352" w:right="1121"/>
        <w:jc w:val="left"/>
      </w:pPr>
      <w:r>
        <w:rPr>
          <w:rFonts w:ascii="Arial" w:hAnsi="Arial" w:cs="Arial" w:eastAsia="Arial" w:hint="default"/>
        </w:rPr>
        <w:t>1</w:t>
      </w:r>
      <w:r>
        <w:rPr/>
        <w:t>、</w:t>
      </w:r>
      <w:r>
        <w:rPr>
          <w:rFonts w:ascii="Arial" w:hAnsi="Arial" w:cs="Arial" w:eastAsia="Arial" w:hint="default"/>
        </w:rPr>
        <w:t>2012</w:t>
      </w:r>
      <w:r>
        <w:rPr/>
        <w:t>年公司进行资源整合，成立了专门的制造中心，大幅度提升营运效率，缩短生产时间；</w:t>
      </w:r>
    </w:p>
    <w:p>
      <w:pPr>
        <w:pStyle w:val="BodyText"/>
        <w:spacing w:line="240" w:lineRule="auto" w:before="63"/>
        <w:ind w:left="352" w:right="1121"/>
        <w:jc w:val="left"/>
      </w:pPr>
      <w:r>
        <w:rPr>
          <w:rFonts w:ascii="Arial" w:hAnsi="Arial" w:cs="Arial" w:eastAsia="Arial" w:hint="default"/>
        </w:rPr>
        <w:t>2</w:t>
      </w:r>
      <w:r>
        <w:rPr/>
        <w:t>、加工原材料自动化设备的导入，以及合理化建议的改善完成，为公司制造成本的节约奠定良好的基础。</w:t>
      </w:r>
    </w:p>
    <w:p>
      <w:pPr>
        <w:pStyle w:val="BodyText"/>
        <w:spacing w:line="240" w:lineRule="auto" w:before="63"/>
        <w:ind w:left="352" w:right="1121"/>
        <w:jc w:val="left"/>
      </w:pPr>
      <w:r>
        <w:rPr/>
        <w:t>（六）公共关系方面</w:t>
      </w:r>
    </w:p>
    <w:p>
      <w:pPr>
        <w:pStyle w:val="BodyText"/>
        <w:spacing w:line="302" w:lineRule="auto" w:before="76"/>
        <w:ind w:right="1121" w:firstLine="199"/>
        <w:jc w:val="left"/>
      </w:pPr>
      <w:r>
        <w:rPr>
          <w:rFonts w:ascii="Arial" w:hAnsi="Arial" w:cs="Arial" w:eastAsia="Arial" w:hint="default"/>
        </w:rPr>
        <w:t>1</w:t>
      </w:r>
      <w:r>
        <w:rPr/>
        <w:t>、</w:t>
      </w:r>
      <w:r>
        <w:rPr>
          <w:rFonts w:ascii="Arial" w:hAnsi="Arial" w:cs="Arial" w:eastAsia="Arial" w:hint="default"/>
        </w:rPr>
        <w:t>1</w:t>
      </w:r>
      <w:r>
        <w:rPr/>
        <w:t>月份获得了国家半导体照明工程研发及产业联盟的</w:t>
      </w:r>
      <w:r>
        <w:rPr>
          <w:rFonts w:ascii="Arial" w:hAnsi="Arial" w:cs="Arial" w:eastAsia="Arial" w:hint="default"/>
        </w:rPr>
        <w:t>“2011</w:t>
      </w:r>
      <w:r>
        <w:rPr/>
        <w:t>年度中国半导体照明行业最具成长性企业</w:t>
      </w:r>
      <w:r>
        <w:rPr>
          <w:rFonts w:ascii="Arial" w:hAnsi="Arial" w:cs="Arial" w:eastAsia="Arial" w:hint="default"/>
        </w:rPr>
        <w:t>”</w:t>
      </w:r>
      <w:r>
        <w:rPr/>
        <w:t>称号以及由深圳 市照明学会颁发的</w:t>
      </w:r>
      <w:r>
        <w:rPr>
          <w:rFonts w:ascii="Arial" w:hAnsi="Arial" w:cs="Arial" w:eastAsia="Arial" w:hint="default"/>
        </w:rPr>
        <w:t>“2011</w:t>
      </w:r>
      <w:r>
        <w:rPr/>
        <w:t>年度</w:t>
      </w:r>
      <w:r>
        <w:rPr>
          <w:rFonts w:ascii="Arial" w:hAnsi="Arial" w:cs="Arial" w:eastAsia="Arial" w:hint="default"/>
        </w:rPr>
        <w:t>„</w:t>
      </w:r>
      <w:r>
        <w:rPr/>
        <w:t>深照奖照明行业优秀企业奖</w:t>
      </w:r>
      <w:r>
        <w:rPr>
          <w:rFonts w:ascii="Arial" w:hAnsi="Arial" w:cs="Arial" w:eastAsia="Arial" w:hint="default"/>
        </w:rPr>
        <w:t>‟”</w:t>
      </w:r>
      <w:r>
        <w:rPr/>
        <w:t>；</w:t>
      </w:r>
    </w:p>
    <w:p>
      <w:pPr>
        <w:pStyle w:val="BodyText"/>
        <w:spacing w:line="240" w:lineRule="auto" w:before="11"/>
        <w:ind w:left="352" w:right="1121"/>
        <w:jc w:val="left"/>
      </w:pPr>
      <w:r>
        <w:rPr>
          <w:rFonts w:ascii="Arial" w:hAnsi="Arial" w:cs="Arial" w:eastAsia="Arial" w:hint="default"/>
        </w:rPr>
        <w:t>2</w:t>
      </w:r>
      <w:r>
        <w:rPr/>
        <w:t>、</w:t>
      </w:r>
      <w:r>
        <w:rPr>
          <w:rFonts w:ascii="Arial" w:hAnsi="Arial" w:cs="Arial" w:eastAsia="Arial" w:hint="default"/>
        </w:rPr>
        <w:t>7</w:t>
      </w:r>
      <w:r>
        <w:rPr/>
        <w:t>月份获得了深圳市人民政府办公厅</w:t>
      </w:r>
      <w:r>
        <w:rPr>
          <w:rFonts w:ascii="Arial" w:hAnsi="Arial" w:cs="Arial" w:eastAsia="Arial" w:hint="default"/>
        </w:rPr>
        <w:t>“</w:t>
      </w:r>
      <w:r>
        <w:rPr/>
        <w:t>深圳市大企业直通车服务企业</w:t>
      </w:r>
      <w:r>
        <w:rPr>
          <w:rFonts w:ascii="Arial" w:hAnsi="Arial" w:cs="Arial" w:eastAsia="Arial" w:hint="default"/>
        </w:rPr>
        <w:t>”</w:t>
      </w:r>
      <w:r>
        <w:rPr/>
        <w:t>称号；</w:t>
      </w:r>
    </w:p>
    <w:p>
      <w:pPr>
        <w:pStyle w:val="BodyText"/>
        <w:spacing w:line="240" w:lineRule="auto" w:before="63"/>
        <w:ind w:left="352" w:right="1121"/>
        <w:jc w:val="left"/>
      </w:pPr>
      <w:r>
        <w:rPr>
          <w:rFonts w:ascii="Arial" w:hAnsi="Arial" w:cs="Arial" w:eastAsia="Arial" w:hint="default"/>
        </w:rPr>
        <w:t>3</w:t>
      </w:r>
      <w:r>
        <w:rPr/>
        <w:t>、</w:t>
      </w:r>
      <w:r>
        <w:rPr>
          <w:rFonts w:ascii="Arial" w:hAnsi="Arial" w:cs="Arial" w:eastAsia="Arial" w:hint="default"/>
        </w:rPr>
        <w:t>9</w:t>
      </w:r>
      <w:r>
        <w:rPr/>
        <w:t>月份获得了中国质量检验协会颁发的</w:t>
      </w:r>
      <w:r>
        <w:rPr>
          <w:rFonts w:ascii="Arial" w:hAnsi="Arial" w:cs="Arial" w:eastAsia="Arial" w:hint="default"/>
        </w:rPr>
        <w:t>“</w:t>
      </w:r>
      <w:r>
        <w:rPr/>
        <w:t>全国质量诚信倡议先进典型企业</w:t>
      </w:r>
      <w:r>
        <w:rPr>
          <w:rFonts w:ascii="Arial" w:hAnsi="Arial" w:cs="Arial" w:eastAsia="Arial" w:hint="default"/>
        </w:rPr>
        <w:t>”</w:t>
      </w:r>
      <w:r>
        <w:rPr/>
        <w:t>称号；</w:t>
      </w:r>
    </w:p>
    <w:p>
      <w:pPr>
        <w:pStyle w:val="BodyText"/>
        <w:spacing w:line="240" w:lineRule="auto" w:before="63"/>
        <w:ind w:left="352" w:right="1121"/>
        <w:jc w:val="left"/>
      </w:pPr>
      <w:r>
        <w:rPr>
          <w:rFonts w:ascii="Arial" w:hAnsi="Arial" w:cs="Arial" w:eastAsia="Arial" w:hint="default"/>
        </w:rPr>
        <w:t>4</w:t>
      </w:r>
      <w:r>
        <w:rPr/>
        <w:t>、</w:t>
      </w:r>
      <w:r>
        <w:rPr>
          <w:rFonts w:ascii="Arial" w:hAnsi="Arial" w:cs="Arial" w:eastAsia="Arial" w:hint="default"/>
        </w:rPr>
        <w:t>12</w:t>
      </w:r>
      <w:r>
        <w:rPr/>
        <w:t>月份获得了美国</w:t>
      </w:r>
      <w:r>
        <w:rPr>
          <w:rFonts w:ascii="Arial" w:hAnsi="Arial" w:cs="Arial" w:eastAsia="Arial" w:hint="default"/>
        </w:rPr>
        <w:t>CEC</w:t>
      </w:r>
      <w:r>
        <w:rPr/>
        <w:t>能效实验室资格认可。</w:t>
      </w:r>
    </w:p>
    <w:p>
      <w:pPr>
        <w:pStyle w:val="BodyText"/>
        <w:spacing w:line="240" w:lineRule="auto" w:before="63"/>
        <w:ind w:left="352" w:right="1121"/>
        <w:jc w:val="left"/>
      </w:pPr>
      <w:r>
        <w:rPr/>
        <w:t>（七）安全生产方面</w:t>
      </w:r>
    </w:p>
    <w:p>
      <w:pPr>
        <w:pStyle w:val="BodyText"/>
        <w:spacing w:line="240" w:lineRule="auto" w:before="77"/>
        <w:ind w:left="352" w:right="1121"/>
        <w:jc w:val="left"/>
      </w:pPr>
      <w:r>
        <w:rPr>
          <w:rFonts w:ascii="Arial" w:hAnsi="Arial" w:cs="Arial" w:eastAsia="Arial" w:hint="default"/>
        </w:rPr>
        <w:t>1</w:t>
      </w:r>
      <w:r>
        <w:rPr/>
        <w:t>、</w:t>
      </w:r>
      <w:r>
        <w:rPr>
          <w:rFonts w:ascii="Arial" w:hAnsi="Arial" w:cs="Arial" w:eastAsia="Arial" w:hint="default"/>
        </w:rPr>
        <w:t>2012</w:t>
      </w:r>
      <w:r>
        <w:rPr/>
        <w:t>年度安全生产零事故，无违法违规事件或政府责令整改，无红、黄牌敬告等情况出现；</w:t>
      </w:r>
    </w:p>
    <w:p>
      <w:pPr>
        <w:pStyle w:val="BodyText"/>
        <w:spacing w:line="240" w:lineRule="auto" w:before="63"/>
        <w:ind w:left="352" w:right="1121"/>
        <w:jc w:val="left"/>
      </w:pPr>
      <w:r>
        <w:rPr>
          <w:rFonts w:ascii="Arial" w:hAnsi="Arial" w:cs="Arial" w:eastAsia="Arial" w:hint="default"/>
        </w:rPr>
        <w:t>2</w:t>
      </w:r>
      <w:r>
        <w:rPr/>
        <w:t>、</w:t>
      </w:r>
      <w:r>
        <w:rPr>
          <w:rFonts w:ascii="Arial" w:hAnsi="Arial" w:cs="Arial" w:eastAsia="Arial" w:hint="default"/>
        </w:rPr>
        <w:t>2012</w:t>
      </w:r>
      <w:r>
        <w:rPr/>
        <w:t>年</w:t>
      </w:r>
      <w:r>
        <w:rPr>
          <w:rFonts w:ascii="Arial" w:hAnsi="Arial" w:cs="Arial" w:eastAsia="Arial" w:hint="default"/>
        </w:rPr>
        <w:t>5</w:t>
      </w:r>
      <w:r>
        <w:rPr/>
        <w:t>月份荣获南山区安全生产标杆创建企业的称号。</w:t>
      </w:r>
    </w:p>
    <w:p>
      <w:pPr>
        <w:pStyle w:val="BodyText"/>
        <w:spacing w:line="240" w:lineRule="auto" w:before="63"/>
        <w:ind w:left="352" w:right="1121"/>
        <w:jc w:val="left"/>
      </w:pPr>
      <w:r>
        <w:rPr/>
        <w:t>（八）品牌建设方面</w:t>
      </w:r>
    </w:p>
    <w:p>
      <w:pPr>
        <w:pStyle w:val="BodyText"/>
        <w:spacing w:line="240" w:lineRule="auto" w:before="76"/>
        <w:ind w:left="352" w:right="1121"/>
        <w:jc w:val="left"/>
      </w:pPr>
      <w:r>
        <w:rPr>
          <w:rFonts w:ascii="Arial" w:hAnsi="Arial" w:cs="Arial" w:eastAsia="Arial" w:hint="default"/>
        </w:rPr>
        <w:t>1</w:t>
      </w:r>
      <w:r>
        <w:rPr/>
        <w:t>、</w:t>
      </w:r>
      <w:r>
        <w:rPr>
          <w:rFonts w:ascii="Arial" w:hAnsi="Arial" w:cs="Arial" w:eastAsia="Arial" w:hint="default"/>
        </w:rPr>
        <w:t>2012</w:t>
      </w:r>
      <w:r>
        <w:rPr/>
        <w:t>年</w:t>
      </w:r>
      <w:r>
        <w:rPr>
          <w:rFonts w:ascii="Arial" w:hAnsi="Arial" w:cs="Arial" w:eastAsia="Arial" w:hint="default"/>
        </w:rPr>
        <w:t>1</w:t>
      </w:r>
      <w:r>
        <w:rPr/>
        <w:t>月份，参加了印度最大的消费类电子展会，客户市场反应强烈；</w:t>
      </w:r>
    </w:p>
    <w:p>
      <w:pPr>
        <w:pStyle w:val="BodyText"/>
        <w:spacing w:line="240" w:lineRule="auto" w:before="63"/>
        <w:ind w:left="352" w:right="1121"/>
        <w:jc w:val="left"/>
      </w:pPr>
      <w:r>
        <w:rPr>
          <w:rFonts w:ascii="Arial" w:hAnsi="Arial" w:cs="Arial" w:eastAsia="Arial" w:hint="default"/>
        </w:rPr>
        <w:t>2</w:t>
      </w:r>
      <w:r>
        <w:rPr/>
        <w:t>、</w:t>
      </w:r>
      <w:r>
        <w:rPr>
          <w:rFonts w:ascii="Arial" w:hAnsi="Arial" w:cs="Arial" w:eastAsia="Arial" w:hint="default"/>
        </w:rPr>
        <w:t>2012</w:t>
      </w:r>
      <w:r>
        <w:rPr/>
        <w:t>年</w:t>
      </w:r>
      <w:r>
        <w:rPr>
          <w:rFonts w:ascii="Arial" w:hAnsi="Arial" w:cs="Arial" w:eastAsia="Arial" w:hint="default"/>
        </w:rPr>
        <w:t>3</w:t>
      </w:r>
      <w:r>
        <w:rPr/>
        <w:t>月份，参加了德国汉诺威电子展，在欧洲成功登入并顺利打开市场；</w:t>
      </w:r>
    </w:p>
    <w:p>
      <w:pPr>
        <w:pStyle w:val="BodyText"/>
        <w:spacing w:line="302" w:lineRule="auto" w:before="63"/>
        <w:ind w:right="1121" w:firstLine="199"/>
        <w:jc w:val="left"/>
      </w:pPr>
      <w:r>
        <w:rPr>
          <w:rFonts w:ascii="Arial" w:hAnsi="Arial" w:cs="Arial" w:eastAsia="Arial" w:hint="default"/>
        </w:rPr>
        <w:t>3</w:t>
      </w:r>
      <w:r>
        <w:rPr/>
        <w:t>、</w:t>
      </w:r>
      <w:r>
        <w:rPr>
          <w:rFonts w:ascii="Arial" w:hAnsi="Arial" w:cs="Arial" w:eastAsia="Arial" w:hint="default"/>
        </w:rPr>
        <w:t>2012</w:t>
      </w:r>
      <w:r>
        <w:rPr/>
        <w:t>年</w:t>
      </w:r>
      <w:r>
        <w:rPr>
          <w:rFonts w:ascii="Arial" w:hAnsi="Arial" w:cs="Arial" w:eastAsia="Arial" w:hint="default"/>
        </w:rPr>
        <w:t>4</w:t>
      </w:r>
      <w:r>
        <w:rPr/>
        <w:t>月份，参加全球最大的照明展</w:t>
      </w:r>
      <w:r>
        <w:rPr>
          <w:rFonts w:ascii="Arial" w:hAnsi="Arial" w:cs="Arial" w:eastAsia="Arial" w:hint="default"/>
        </w:rPr>
        <w:t>——</w:t>
      </w:r>
      <w:r>
        <w:rPr/>
        <w:t>德国法兰克福照明展，为茂硕电源品牌知名度继续扩张，增强企业在国际 市场上的竞争力；</w:t>
      </w:r>
    </w:p>
    <w:p>
      <w:pPr>
        <w:pStyle w:val="BodyText"/>
        <w:spacing w:line="240" w:lineRule="auto" w:before="29"/>
        <w:ind w:left="352" w:right="1121"/>
        <w:jc w:val="left"/>
      </w:pPr>
      <w:r>
        <w:rPr>
          <w:rFonts w:ascii="Arial" w:hAnsi="Arial" w:cs="Arial" w:eastAsia="Arial" w:hint="default"/>
        </w:rPr>
        <w:t>4</w:t>
      </w:r>
      <w:r>
        <w:rPr/>
        <w:t>、</w:t>
      </w:r>
      <w:r>
        <w:rPr>
          <w:rFonts w:ascii="Arial" w:hAnsi="Arial" w:cs="Arial" w:eastAsia="Arial" w:hint="default"/>
        </w:rPr>
        <w:t>2012</w:t>
      </w:r>
      <w:r>
        <w:rPr/>
        <w:t>年</w:t>
      </w:r>
      <w:r>
        <w:rPr>
          <w:rFonts w:ascii="Arial" w:hAnsi="Arial" w:cs="Arial" w:eastAsia="Arial" w:hint="default"/>
        </w:rPr>
        <w:t>6</w:t>
      </w:r>
      <w:r>
        <w:rPr/>
        <w:t>月份，参加亚洲最大的照明展</w:t>
      </w:r>
      <w:r>
        <w:rPr>
          <w:rFonts w:ascii="Arial" w:hAnsi="Arial" w:cs="Arial" w:eastAsia="Arial" w:hint="default"/>
        </w:rPr>
        <w:t>——</w:t>
      </w:r>
      <w:r>
        <w:rPr/>
        <w:t>广州光亚照明展，继续树立国内行业标杆；</w:t>
      </w:r>
    </w:p>
    <w:p>
      <w:pPr>
        <w:pStyle w:val="BodyText"/>
        <w:spacing w:line="240" w:lineRule="auto" w:before="63"/>
        <w:ind w:left="352" w:right="1121"/>
        <w:jc w:val="left"/>
      </w:pPr>
      <w:r>
        <w:rPr>
          <w:rFonts w:ascii="Arial" w:hAnsi="Arial" w:cs="Arial" w:eastAsia="Arial" w:hint="default"/>
        </w:rPr>
        <w:t>5</w:t>
      </w:r>
      <w:r>
        <w:rPr/>
        <w:t>、</w:t>
      </w:r>
      <w:r>
        <w:rPr>
          <w:rFonts w:ascii="Arial" w:hAnsi="Arial" w:cs="Arial" w:eastAsia="Arial" w:hint="default"/>
        </w:rPr>
        <w:t>2012</w:t>
      </w:r>
      <w:r>
        <w:rPr/>
        <w:t>年</w:t>
      </w:r>
      <w:r>
        <w:rPr>
          <w:rFonts w:ascii="Arial" w:hAnsi="Arial" w:cs="Arial" w:eastAsia="Arial" w:hint="default"/>
        </w:rPr>
        <w:t>6</w:t>
      </w:r>
      <w:r>
        <w:rPr/>
        <w:t>月份，参加深圳国际</w:t>
      </w:r>
      <w:r>
        <w:rPr>
          <w:rFonts w:ascii="Arial" w:hAnsi="Arial" w:cs="Arial" w:eastAsia="Arial" w:hint="default"/>
        </w:rPr>
        <w:t>LED</w:t>
      </w:r>
      <w:r>
        <w:rPr/>
        <w:t>照明展，进一步巩固了茂硕品牌在行业中的地位；</w:t>
      </w:r>
    </w:p>
    <w:p>
      <w:pPr>
        <w:pStyle w:val="BodyText"/>
        <w:spacing w:line="240" w:lineRule="auto" w:before="63"/>
        <w:ind w:left="352" w:right="1121"/>
        <w:jc w:val="left"/>
      </w:pPr>
      <w:r>
        <w:rPr>
          <w:rFonts w:ascii="Arial" w:hAnsi="Arial" w:cs="Arial" w:eastAsia="Arial" w:hint="default"/>
        </w:rPr>
        <w:t>6</w:t>
      </w:r>
      <w:r>
        <w:rPr/>
        <w:t>、</w:t>
      </w:r>
      <w:r>
        <w:rPr>
          <w:rFonts w:ascii="Arial" w:hAnsi="Arial" w:cs="Arial" w:eastAsia="Arial" w:hint="default"/>
        </w:rPr>
        <w:t>2012</w:t>
      </w:r>
      <w:r>
        <w:rPr/>
        <w:t>年</w:t>
      </w:r>
      <w:r>
        <w:rPr>
          <w:rFonts w:ascii="Arial" w:hAnsi="Arial" w:cs="Arial" w:eastAsia="Arial" w:hint="default"/>
        </w:rPr>
        <w:t>6</w:t>
      </w:r>
      <w:r>
        <w:rPr/>
        <w:t>月份，参加了台湾国际</w:t>
      </w:r>
      <w:r>
        <w:rPr>
          <w:rFonts w:ascii="Arial" w:hAnsi="Arial" w:cs="Arial" w:eastAsia="Arial" w:hint="default"/>
        </w:rPr>
        <w:t>LED</w:t>
      </w:r>
      <w:r>
        <w:rPr/>
        <w:t>照明展，成功提高茂硕品牌在台湾市场的知名度；</w:t>
      </w:r>
    </w:p>
    <w:p>
      <w:pPr>
        <w:pStyle w:val="BodyText"/>
        <w:spacing w:line="240" w:lineRule="auto" w:before="63"/>
        <w:ind w:left="352" w:right="1121"/>
        <w:jc w:val="left"/>
      </w:pPr>
      <w:r>
        <w:rPr>
          <w:rFonts w:ascii="Arial" w:hAnsi="Arial" w:cs="Arial" w:eastAsia="Arial" w:hint="default"/>
        </w:rPr>
        <w:t>7</w:t>
      </w:r>
      <w:r>
        <w:rPr/>
        <w:t>、</w:t>
      </w:r>
      <w:r>
        <w:rPr>
          <w:rFonts w:ascii="Arial" w:hAnsi="Arial" w:cs="Arial" w:eastAsia="Arial" w:hint="default"/>
        </w:rPr>
        <w:t>2012</w:t>
      </w:r>
      <w:r>
        <w:rPr/>
        <w:t>年</w:t>
      </w:r>
      <w:r>
        <w:rPr>
          <w:rFonts w:ascii="Arial" w:hAnsi="Arial" w:cs="Arial" w:eastAsia="Arial" w:hint="default"/>
        </w:rPr>
        <w:t>7</w:t>
      </w:r>
      <w:r>
        <w:rPr/>
        <w:t>月份，被广东</w:t>
      </w:r>
      <w:r>
        <w:rPr>
          <w:rFonts w:ascii="Arial" w:hAnsi="Arial" w:cs="Arial" w:eastAsia="Arial" w:hint="default"/>
        </w:rPr>
        <w:t>LED</w:t>
      </w:r>
      <w:r>
        <w:rPr/>
        <w:t>评为</w:t>
      </w:r>
      <w:r>
        <w:rPr>
          <w:rFonts w:ascii="Arial" w:hAnsi="Arial" w:cs="Arial" w:eastAsia="Arial" w:hint="default"/>
        </w:rPr>
        <w:t>2012</w:t>
      </w:r>
      <w:r>
        <w:rPr/>
        <w:t>年度中国</w:t>
      </w:r>
      <w:r>
        <w:rPr>
          <w:rFonts w:ascii="Arial" w:hAnsi="Arial" w:cs="Arial" w:eastAsia="Arial" w:hint="default"/>
        </w:rPr>
        <w:t>LED</w:t>
      </w:r>
      <w:r>
        <w:rPr/>
        <w:t>行业最具影响力品牌，使茂硕品牌的美誉度进一步提高；</w:t>
      </w:r>
    </w:p>
    <w:p>
      <w:pPr>
        <w:pStyle w:val="BodyText"/>
        <w:spacing w:line="240" w:lineRule="auto" w:before="63"/>
        <w:ind w:left="352" w:right="1121"/>
        <w:jc w:val="left"/>
      </w:pPr>
      <w:r>
        <w:rPr>
          <w:rFonts w:ascii="Arial" w:hAnsi="Arial" w:cs="Arial" w:eastAsia="Arial" w:hint="default"/>
        </w:rPr>
        <w:t>8</w:t>
      </w:r>
      <w:r>
        <w:rPr/>
        <w:t>、</w:t>
      </w:r>
      <w:r>
        <w:rPr>
          <w:rFonts w:ascii="Arial" w:hAnsi="Arial" w:cs="Arial" w:eastAsia="Arial" w:hint="default"/>
        </w:rPr>
        <w:t>2012</w:t>
      </w:r>
      <w:r>
        <w:rPr/>
        <w:t>年</w:t>
      </w:r>
      <w:r>
        <w:rPr>
          <w:rFonts w:ascii="Arial" w:hAnsi="Arial" w:cs="Arial" w:eastAsia="Arial" w:hint="default"/>
        </w:rPr>
        <w:t>8</w:t>
      </w:r>
      <w:r>
        <w:rPr/>
        <w:t>－</w:t>
      </w:r>
      <w:r>
        <w:rPr>
          <w:rFonts w:ascii="Arial" w:hAnsi="Arial" w:cs="Arial" w:eastAsia="Arial" w:hint="default"/>
        </w:rPr>
        <w:t>9</w:t>
      </w:r>
      <w:r>
        <w:rPr/>
        <w:t>月份，茂硕电源全国十个大城市巡讲，茂硕的产品和服务得到客户的充分认可；</w:t>
      </w:r>
    </w:p>
    <w:p>
      <w:pPr>
        <w:pStyle w:val="BodyText"/>
        <w:spacing w:line="240" w:lineRule="auto" w:before="64"/>
        <w:ind w:left="352" w:right="1121"/>
        <w:jc w:val="left"/>
      </w:pPr>
      <w:r>
        <w:rPr>
          <w:rFonts w:ascii="Arial" w:hAnsi="Arial" w:cs="Arial" w:eastAsia="Arial" w:hint="default"/>
        </w:rPr>
        <w:t>9</w:t>
      </w:r>
      <w:r>
        <w:rPr/>
        <w:t>、</w:t>
      </w:r>
      <w:r>
        <w:rPr>
          <w:rFonts w:ascii="Arial" w:hAnsi="Arial" w:cs="Arial" w:eastAsia="Arial" w:hint="default"/>
        </w:rPr>
        <w:t>2012</w:t>
      </w:r>
      <w:r>
        <w:rPr/>
        <w:t>年</w:t>
      </w:r>
      <w:r>
        <w:rPr>
          <w:rFonts w:ascii="Arial" w:hAnsi="Arial" w:cs="Arial" w:eastAsia="Arial" w:hint="default"/>
        </w:rPr>
        <w:t>11</w:t>
      </w:r>
      <w:r>
        <w:rPr/>
        <w:t>月份，被</w:t>
      </w:r>
      <w:r>
        <w:rPr>
          <w:rFonts w:ascii="Arial" w:hAnsi="Arial" w:cs="Arial" w:eastAsia="Arial" w:hint="default"/>
        </w:rPr>
        <w:t>OFweek</w:t>
      </w:r>
      <w:r>
        <w:rPr/>
        <w:t>半导体照明评选为最具有创新精神奖的企业；</w:t>
      </w:r>
    </w:p>
    <w:p>
      <w:pPr>
        <w:pStyle w:val="BodyText"/>
        <w:spacing w:line="240" w:lineRule="auto" w:before="63"/>
        <w:ind w:left="352" w:right="1121"/>
        <w:jc w:val="left"/>
      </w:pPr>
      <w:r>
        <w:rPr>
          <w:rFonts w:ascii="Arial" w:hAnsi="Arial" w:cs="Arial" w:eastAsia="Arial" w:hint="default"/>
        </w:rPr>
        <w:t>10</w:t>
      </w:r>
      <w:r>
        <w:rPr/>
        <w:t>、</w:t>
      </w:r>
      <w:r>
        <w:rPr>
          <w:rFonts w:ascii="Arial" w:hAnsi="Arial" w:cs="Arial" w:eastAsia="Arial" w:hint="default"/>
        </w:rPr>
        <w:t>2012</w:t>
      </w:r>
      <w:r>
        <w:rPr/>
        <w:t>年</w:t>
      </w:r>
      <w:r>
        <w:rPr>
          <w:rFonts w:ascii="Arial" w:hAnsi="Arial" w:cs="Arial" w:eastAsia="Arial" w:hint="default"/>
        </w:rPr>
        <w:t>12</w:t>
      </w:r>
      <w:r>
        <w:rPr/>
        <w:t>月份，被高工</w:t>
      </w:r>
      <w:r>
        <w:rPr>
          <w:rFonts w:ascii="Arial" w:hAnsi="Arial" w:cs="Arial" w:eastAsia="Arial" w:hint="default"/>
        </w:rPr>
        <w:t>LED</w:t>
      </w:r>
      <w:r>
        <w:rPr/>
        <w:t>评选为</w:t>
      </w:r>
      <w:r>
        <w:rPr>
          <w:rFonts w:ascii="Arial" w:hAnsi="Arial" w:cs="Arial" w:eastAsia="Arial" w:hint="default"/>
        </w:rPr>
        <w:t>LED</w:t>
      </w:r>
      <w:r>
        <w:rPr/>
        <w:t>金球奖，使茂硕品牌进一步提升。</w:t>
      </w:r>
    </w:p>
    <w:p>
      <w:pPr>
        <w:pStyle w:val="BodyText"/>
        <w:spacing w:line="316" w:lineRule="auto" w:before="63"/>
        <w:ind w:left="352" w:right="1121"/>
        <w:jc w:val="left"/>
      </w:pPr>
      <w:r>
        <w:rPr/>
        <w:t>（九）完善企业内部控制管理制度方面 报告期内，公司严格按照《公司法》、《证券法》、《深圳证券交易所股票上市规则》、《深圳证券交易所中小企业板</w:t>
      </w:r>
    </w:p>
    <w:p>
      <w:pPr>
        <w:pStyle w:val="BodyText"/>
        <w:spacing w:line="314" w:lineRule="auto" w:before="19"/>
        <w:ind w:right="1131"/>
        <w:jc w:val="both"/>
      </w:pPr>
      <w:r>
        <w:rPr>
          <w:spacing w:val="-2"/>
        </w:rPr>
        <w:t>上市公司规范运作指引》和其他相关法律、法规的有关规定，不断完善法人治理结构，健全内部控制体系。不断加强公司内</w:t>
      </w:r>
      <w:r>
        <w:rPr>
          <w:spacing w:val="-67"/>
        </w:rPr>
        <w:t> </w:t>
      </w:r>
      <w:r>
        <w:rPr>
          <w:spacing w:val="-67"/>
        </w:rPr>
      </w:r>
      <w:r>
        <w:rPr>
          <w:spacing w:val="-2"/>
        </w:rPr>
        <w:t>控管理，防范风险，规范公司运作，提高运作效率。报告期内，公司按照证监会、深交所的有关规则指引的要求，通过开展</w:t>
      </w:r>
      <w:r>
        <w:rPr>
          <w:spacing w:val="-72"/>
        </w:rPr>
        <w:t> </w:t>
      </w:r>
      <w:r>
        <w:rPr>
          <w:spacing w:val="-72"/>
        </w:rPr>
      </w:r>
      <w:r>
        <w:rPr/>
        <w:t>内控规范专项治理活动等工作并结合公司实际情况，进一步健全和完善内控制度，确保公司各项工作都有章可循。</w:t>
      </w:r>
      <w:r>
        <w:rPr>
          <w:rFonts w:ascii="Arial" w:hAnsi="Arial" w:cs="Arial" w:eastAsia="Arial" w:hint="default"/>
        </w:rPr>
        <w:t>2012</w:t>
      </w:r>
      <w:r>
        <w:rPr/>
        <w:t>年</w:t>
      </w:r>
      <w:r>
        <w:rPr>
          <w:spacing w:val="-37"/>
        </w:rPr>
        <w:t> </w:t>
      </w:r>
      <w:r>
        <w:rPr>
          <w:spacing w:val="-2"/>
        </w:rPr>
        <w:t>度，公司根据监管部门要求或公司实际情况增加及修订了《公司章程》、《内幕信息知情人登记管理制度》、《投资者关系</w:t>
      </w:r>
      <w:r>
        <w:rPr>
          <w:spacing w:val="-68"/>
        </w:rPr>
        <w:t> </w:t>
      </w:r>
      <w:r>
        <w:rPr>
          <w:spacing w:val="-68"/>
        </w:rPr>
      </w:r>
      <w:r>
        <w:rPr/>
        <w:t>管理制度》等公司治理与内控文件。公司各项内控制度建立之后均能得到有效的贯彻执行。</w:t>
      </w:r>
    </w:p>
    <w:p>
      <w:pPr>
        <w:pStyle w:val="BodyText"/>
        <w:spacing w:line="316" w:lineRule="auto" w:before="20"/>
        <w:ind w:left="352" w:right="1121"/>
        <w:jc w:val="left"/>
      </w:pPr>
      <w:r>
        <w:rPr/>
        <w:t>（十）人力资源、激励机制方面 公司员工是公司最重要的资源之一，是公司可持续发展的基础。公司积极探索和不断完善绩效评价体系和相应的激励机</w:t>
      </w:r>
    </w:p>
    <w:p>
      <w:pPr>
        <w:pStyle w:val="BodyText"/>
        <w:spacing w:line="302" w:lineRule="auto" w:before="19"/>
        <w:ind w:right="1134"/>
        <w:jc w:val="both"/>
      </w:pPr>
      <w:r>
        <w:rPr/>
        <w:t>制，实现人力资源的可持续发展。</w:t>
      </w:r>
      <w:r>
        <w:rPr>
          <w:rFonts w:ascii="Arial" w:hAnsi="Arial" w:cs="Arial" w:eastAsia="Arial" w:hint="default"/>
        </w:rPr>
        <w:t>2012</w:t>
      </w:r>
      <w:r>
        <w:rPr/>
        <w:t>年，公司通过多次岗位培训，着重培养复合型人才和专业岗位人才，并提高员工综</w:t>
      </w:r>
      <w:r>
        <w:rPr>
          <w:spacing w:val="-42"/>
        </w:rPr>
        <w:t> </w:t>
      </w:r>
      <w:r>
        <w:rPr>
          <w:spacing w:val="-42"/>
        </w:rPr>
      </w:r>
      <w:r>
        <w:rPr/>
        <w:t>合技能和专业技能，员工的管理能力与管理水平不断成长。在</w:t>
      </w:r>
      <w:r>
        <w:rPr>
          <w:rFonts w:ascii="Arial" w:hAnsi="Arial" w:cs="Arial" w:eastAsia="Arial" w:hint="default"/>
        </w:rPr>
        <w:t>2012</w:t>
      </w:r>
      <w:r>
        <w:rPr/>
        <w:t>年，公司实施了第一期的股权激励计划，开展长效激励</w:t>
      </w:r>
      <w:r>
        <w:rPr>
          <w:spacing w:val="-41"/>
        </w:rPr>
        <w:t> </w:t>
      </w:r>
      <w:r>
        <w:rPr>
          <w:spacing w:val="-41"/>
        </w:rPr>
      </w:r>
      <w:r>
        <w:rPr/>
        <w:t>机制，鼓励核心员工努力拼博，共创辉煌。</w:t>
      </w:r>
    </w:p>
    <w:p>
      <w:pPr>
        <w:spacing w:line="240" w:lineRule="auto" w:before="0"/>
        <w:rPr>
          <w:rFonts w:ascii="宋体" w:hAnsi="宋体" w:cs="宋体" w:eastAsia="宋体" w:hint="default"/>
          <w:sz w:val="18"/>
          <w:szCs w:val="18"/>
        </w:rPr>
      </w:pPr>
    </w:p>
    <w:p>
      <w:pPr>
        <w:pStyle w:val="BodyText"/>
        <w:spacing w:line="240" w:lineRule="auto" w:before="147"/>
        <w:ind w:right="0"/>
        <w:jc w:val="both"/>
      </w:pPr>
      <w:r>
        <w:rPr/>
        <w:t>公司实际经营业绩较曾公开披露过的本年度盈利预测低于或高于</w:t>
      </w:r>
      <w:r>
        <w:rPr>
          <w:spacing w:val="-44"/>
        </w:rPr>
        <w:t> </w:t>
      </w:r>
      <w:r>
        <w:rPr>
          <w:rFonts w:ascii="Arial" w:hAnsi="Arial" w:cs="Arial" w:eastAsia="Arial" w:hint="default"/>
        </w:rPr>
        <w:t>20%</w:t>
      </w:r>
      <w:r>
        <w:rPr/>
        <w:t>以上的差异原因</w:t>
      </w:r>
    </w:p>
    <w:p>
      <w:pPr>
        <w:pStyle w:val="BodyText"/>
        <w:spacing w:line="240" w:lineRule="auto" w:before="102"/>
        <w:ind w:right="0"/>
        <w:jc w:val="both"/>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after="0" w:line="240" w:lineRule="auto"/>
        <w:jc w:val="both"/>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1"/>
        <w:jc w:val="left"/>
        <w:rPr>
          <w:b w:val="0"/>
          <w:bCs w:val="0"/>
        </w:rPr>
      </w:pPr>
      <w:r>
        <w:rPr>
          <w:rFonts w:ascii="Arial" w:hAnsi="Arial" w:cs="Arial" w:eastAsia="Arial" w:hint="default"/>
        </w:rPr>
        <w:t>2</w:t>
      </w:r>
      <w:r>
        <w:rPr/>
        <w:t>、收入</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right="1121"/>
        <w:jc w:val="left"/>
      </w:pPr>
      <w:r>
        <w:rPr/>
        <w:t>说明</w:t>
      </w:r>
    </w:p>
    <w:p>
      <w:pPr>
        <w:pStyle w:val="BodyText"/>
        <w:spacing w:line="240" w:lineRule="auto" w:before="115"/>
        <w:ind w:left="0" w:right="1361"/>
        <w:jc w:val="right"/>
      </w:pPr>
      <w:r>
        <w:rPr/>
        <w:t>单位：元</w:t>
      </w:r>
    </w:p>
    <w:p>
      <w:pPr>
        <w:spacing w:line="240" w:lineRule="auto" w:before="4"/>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1947"/>
        <w:gridCol w:w="2379"/>
        <w:gridCol w:w="2520"/>
        <w:gridCol w:w="2717"/>
      </w:tblGrid>
      <w:tr>
        <w:trPr>
          <w:trHeight w:val="403" w:hRule="exact"/>
        </w:trPr>
        <w:tc>
          <w:tcPr>
            <w:tcW w:w="1947" w:type="dxa"/>
            <w:tcBorders>
              <w:top w:val="single" w:sz="4" w:space="0" w:color="000000"/>
              <w:left w:val="single" w:sz="4" w:space="0" w:color="000000"/>
              <w:bottom w:val="single" w:sz="6" w:space="0" w:color="000000"/>
              <w:right w:val="single" w:sz="6" w:space="0" w:color="000000"/>
            </w:tcBorders>
            <w:shd w:val="clear" w:color="auto" w:fill="C0C0C0"/>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9" w:type="dxa"/>
            <w:tcBorders>
              <w:top w:val="single" w:sz="4"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半年数</w:t>
            </w:r>
          </w:p>
        </w:tc>
        <w:tc>
          <w:tcPr>
            <w:tcW w:w="2520" w:type="dxa"/>
            <w:tcBorders>
              <w:top w:val="single" w:sz="4"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上年数</w:t>
            </w:r>
          </w:p>
        </w:tc>
        <w:tc>
          <w:tcPr>
            <w:tcW w:w="2717" w:type="dxa"/>
            <w:tcBorders>
              <w:top w:val="single" w:sz="4" w:space="0" w:color="000000"/>
              <w:left w:val="single" w:sz="6" w:space="0" w:color="000000"/>
              <w:bottom w:val="single" w:sz="6" w:space="0" w:color="000000"/>
              <w:right w:val="single" w:sz="4" w:space="0" w:color="000000"/>
            </w:tcBorders>
            <w:shd w:val="clear" w:color="auto" w:fill="C0C0C0"/>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08" w:hRule="exact"/>
        </w:trPr>
        <w:tc>
          <w:tcPr>
            <w:tcW w:w="19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宋体" w:hAnsi="宋体" w:cs="宋体" w:eastAsia="宋体" w:hint="default"/>
                <w:sz w:val="18"/>
                <w:szCs w:val="18"/>
              </w:rPr>
            </w:pPr>
            <w:r>
              <w:rPr>
                <w:rFonts w:ascii="宋体"/>
                <w:spacing w:val="-1"/>
                <w:sz w:val="18"/>
              </w:rPr>
              <w:t>549,577,597.96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pacing w:val="-1"/>
                <w:sz w:val="18"/>
              </w:rPr>
              <w:t>552,423,043.87</w:t>
            </w:r>
          </w:p>
        </w:tc>
        <w:tc>
          <w:tcPr>
            <w:tcW w:w="27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-0.52%</w:t>
            </w:r>
          </w:p>
        </w:tc>
      </w:tr>
      <w:tr>
        <w:trPr>
          <w:trHeight w:val="408" w:hRule="exact"/>
        </w:trPr>
        <w:tc>
          <w:tcPr>
            <w:tcW w:w="19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宋体" w:hAnsi="宋体" w:cs="宋体" w:eastAsia="宋体" w:hint="default"/>
                <w:sz w:val="18"/>
                <w:szCs w:val="18"/>
              </w:rPr>
            </w:pPr>
            <w:r>
              <w:rPr>
                <w:rFonts w:ascii="宋体"/>
                <w:spacing w:val="-1"/>
                <w:sz w:val="18"/>
              </w:rPr>
              <w:t>453,074.63</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2,148,667.56</w:t>
            </w:r>
          </w:p>
        </w:tc>
        <w:tc>
          <w:tcPr>
            <w:tcW w:w="27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-78.91%</w:t>
            </w:r>
          </w:p>
        </w:tc>
      </w:tr>
      <w:tr>
        <w:trPr>
          <w:trHeight w:val="403" w:hRule="exact"/>
        </w:trPr>
        <w:tc>
          <w:tcPr>
            <w:tcW w:w="1947"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7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9"/>
              <w:ind w:right="96"/>
              <w:jc w:val="right"/>
              <w:rPr>
                <w:rFonts w:ascii="宋体" w:hAnsi="宋体" w:cs="宋体" w:eastAsia="宋体" w:hint="default"/>
                <w:sz w:val="18"/>
                <w:szCs w:val="18"/>
              </w:rPr>
            </w:pPr>
            <w:r>
              <w:rPr>
                <w:rFonts w:ascii="宋体"/>
                <w:spacing w:val="-1"/>
                <w:sz w:val="18"/>
              </w:rPr>
              <w:t>550,030,672.59</w:t>
            </w:r>
          </w:p>
        </w:tc>
        <w:tc>
          <w:tcPr>
            <w:tcW w:w="252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554,571,711.43</w:t>
            </w:r>
          </w:p>
        </w:tc>
        <w:tc>
          <w:tcPr>
            <w:tcW w:w="2717"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-0.82%</w:t>
            </w:r>
          </w:p>
        </w:tc>
      </w:tr>
    </w:tbl>
    <w:p>
      <w:pPr>
        <w:spacing w:line="240" w:lineRule="auto" w:before="2"/>
        <w:rPr>
          <w:rFonts w:ascii="宋体" w:hAnsi="宋体" w:cs="宋体" w:eastAsia="宋体" w:hint="default"/>
          <w:sz w:val="24"/>
          <w:szCs w:val="24"/>
        </w:rPr>
      </w:pPr>
    </w:p>
    <w:p>
      <w:pPr>
        <w:pStyle w:val="BodyText"/>
        <w:spacing w:line="240" w:lineRule="auto" w:before="44"/>
        <w:ind w:right="1121"/>
        <w:jc w:val="left"/>
      </w:pPr>
      <w:r>
        <w:rPr/>
        <w:t>公司实物销售收入是否大于劳务收入</w:t>
      </w:r>
    </w:p>
    <w:p>
      <w:pPr>
        <w:pStyle w:val="BodyText"/>
        <w:spacing w:line="240" w:lineRule="auto" w:before="117"/>
        <w:ind w:right="1121"/>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2"/>
        </w:rPr>
        <w:t> </w:t>
      </w:r>
      <w:r>
        <w:rPr/>
        <w:t>否</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3"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Arial" w:hAnsi="Arial" w:cs="Arial" w:eastAsia="Arial" w:hint="default"/>
                <w:sz w:val="18"/>
                <w:szCs w:val="18"/>
              </w:rPr>
              <w:t>%</w:t>
            </w:r>
            <w:r>
              <w:rPr>
                <w:rFonts w:ascii="宋体" w:hAnsi="宋体" w:cs="宋体" w:eastAsia="宋体" w:hint="default"/>
                <w:sz w:val="18"/>
                <w:szCs w:val="18"/>
              </w:rPr>
              <w:t>）</w:t>
            </w:r>
          </w:p>
        </w:tc>
      </w:tr>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消费电子类电源</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19,981,054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19,115,349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4.53%</w:t>
            </w:r>
            <w:r>
              <w:rPr>
                <w:rFonts w:ascii="Arial"/>
                <w:sz w:val="18"/>
              </w:rPr>
            </w:r>
          </w:p>
        </w:tc>
      </w:tr>
      <w:tr>
        <w:trPr>
          <w:trHeight w:val="403"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18,535,449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19,752,389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-6.16%</w:t>
            </w:r>
            <w:r>
              <w:rPr>
                <w:rFonts w:ascii="Arial"/>
                <w:sz w:val="18"/>
              </w:rPr>
            </w:r>
          </w:p>
        </w:tc>
      </w:tr>
      <w:tr>
        <w:trPr>
          <w:trHeight w:val="401"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301,093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1,109,658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-72.87%</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LED</w:t>
            </w:r>
            <w:r>
              <w:rPr>
                <w:rFonts w:ascii="Arial" w:hAnsi="Arial" w:cs="Arial" w:eastAsia="Arial" w:hint="default"/>
                <w:spacing w:val="-6"/>
                <w:sz w:val="18"/>
                <w:szCs w:val="18"/>
              </w:rPr>
              <w:t> </w:t>
            </w:r>
            <w:r>
              <w:rPr>
                <w:rFonts w:ascii="宋体" w:hAnsi="宋体" w:cs="宋体" w:eastAsia="宋体" w:hint="default"/>
                <w:sz w:val="18"/>
                <w:szCs w:val="18"/>
              </w:rPr>
              <w:t>驱动电源</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1,271,838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869,302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46.31%</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1,261,349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890,039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41.72%</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105,229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69,120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41.72%</w:t>
            </w:r>
          </w:p>
        </w:tc>
      </w:tr>
    </w:tbl>
    <w:p>
      <w:pPr>
        <w:pStyle w:val="BodyText"/>
        <w:spacing w:line="240" w:lineRule="auto" w:before="49"/>
        <w:ind w:right="1121"/>
        <w:jc w:val="left"/>
      </w:pPr>
      <w:r>
        <w:rPr/>
        <w:t>相关数据同比发生变动</w:t>
      </w:r>
      <w:r>
        <w:rPr>
          <w:spacing w:val="-48"/>
        </w:rPr>
        <w:t> </w:t>
      </w:r>
      <w:r>
        <w:rPr>
          <w:rFonts w:ascii="Arial" w:hAnsi="Arial" w:cs="Arial" w:eastAsia="Arial" w:hint="default"/>
        </w:rPr>
        <w:t>30%</w:t>
      </w:r>
      <w:r>
        <w:rPr/>
        <w:t>以上的原因说明</w:t>
      </w:r>
    </w:p>
    <w:p>
      <w:pPr>
        <w:pStyle w:val="BodyText"/>
        <w:spacing w:line="340" w:lineRule="auto" w:before="102"/>
        <w:ind w:right="87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公司重大的在手订单情况</w:t>
      </w:r>
    </w:p>
    <w:p>
      <w:pPr>
        <w:pStyle w:val="BodyText"/>
        <w:spacing w:line="338" w:lineRule="auto" w:before="41"/>
        <w:ind w:right="643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公司报告期内产品或服务发生重大变化或调整有关情况</w:t>
      </w:r>
    </w:p>
    <w:p>
      <w:pPr>
        <w:pStyle w:val="BodyText"/>
        <w:spacing w:line="340" w:lineRule="auto" w:before="43"/>
        <w:ind w:right="89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公司主要销售客户情况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181,564,788.93</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Arial" w:hAnsi="Arial" w:cs="Arial" w:eastAsia="Arial"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33.01%</w:t>
            </w:r>
          </w:p>
        </w:tc>
      </w:tr>
    </w:tbl>
    <w:p>
      <w:pPr>
        <w:pStyle w:val="BodyText"/>
        <w:spacing w:line="240" w:lineRule="auto" w:before="49"/>
        <w:ind w:right="1121"/>
        <w:jc w:val="left"/>
      </w:pPr>
      <w:r>
        <w:rPr/>
        <w:t>公司前</w:t>
      </w:r>
      <w:r>
        <w:rPr>
          <w:spacing w:val="-44"/>
        </w:rPr>
        <w:t> </w:t>
      </w:r>
      <w:r>
        <w:rPr>
          <w:rFonts w:ascii="Arial" w:hAnsi="Arial" w:cs="Arial" w:eastAsia="Arial" w:hint="default"/>
        </w:rPr>
        <w:t>5</w:t>
      </w:r>
      <w:r>
        <w:rPr>
          <w:rFonts w:ascii="Arial" w:hAnsi="Arial" w:cs="Arial" w:eastAsia="Arial" w:hint="default"/>
          <w:spacing w:val="-4"/>
        </w:rPr>
        <w:t> </w:t>
      </w:r>
      <w:r>
        <w:rPr/>
        <w:t>大客户资料</w:t>
      </w:r>
    </w:p>
    <w:p>
      <w:pPr>
        <w:pStyle w:val="BodyText"/>
        <w:spacing w:line="240" w:lineRule="auto" w:before="104"/>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w w:val="99"/>
                <w:sz w:val="18"/>
              </w:rPr>
              <w:t>1</w:t>
            </w:r>
            <w:r>
              <w:rPr>
                <w:rFonts w:ascii="Arial"/>
                <w:sz w:val="18"/>
              </w:rPr>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93,690,069.61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17.03%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Arial" w:hAnsi="Arial" w:cs="Arial" w:eastAsia="Arial" w:hint="default"/>
                <w:sz w:val="18"/>
                <w:szCs w:val="18"/>
              </w:rPr>
            </w:pPr>
            <w:r>
              <w:rPr>
                <w:rFonts w:ascii="Arial"/>
                <w:w w:val="99"/>
                <w:sz w:val="18"/>
              </w:rPr>
              <w:t>2</w:t>
            </w:r>
            <w:r>
              <w:rPr>
                <w:rFonts w:ascii="Arial"/>
                <w:sz w:val="18"/>
              </w:rPr>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24,813,432.76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4.51%</w:t>
            </w:r>
            <w:r>
              <w:rPr>
                <w:rFonts w:ascii="Arial"/>
                <w:sz w:val="18"/>
              </w:rPr>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w w:val="99"/>
                <w:sz w:val="18"/>
              </w:rPr>
              <w:t>3</w:t>
            </w:r>
            <w:r>
              <w:rPr>
                <w:rFonts w:ascii="Arial"/>
                <w:sz w:val="18"/>
              </w:rPr>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24,392,251.00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4.43%</w:t>
            </w:r>
            <w:r>
              <w:rPr>
                <w:rFonts w:ascii="Arial"/>
                <w:sz w:val="18"/>
              </w:rPr>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Arial" w:hAnsi="Arial" w:cs="Arial" w:eastAsia="Arial" w:hint="default"/>
                <w:sz w:val="18"/>
                <w:szCs w:val="18"/>
              </w:rPr>
            </w:pPr>
            <w:r>
              <w:rPr>
                <w:rFonts w:ascii="Arial"/>
                <w:w w:val="99"/>
                <w:sz w:val="18"/>
              </w:rPr>
              <w:t>4</w:t>
            </w:r>
            <w:r>
              <w:rPr>
                <w:rFonts w:ascii="Arial"/>
                <w:sz w:val="18"/>
              </w:rPr>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19,621,962.31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3.57%</w:t>
            </w:r>
            <w:r>
              <w:rPr>
                <w:rFonts w:ascii="Arial"/>
                <w:sz w:val="18"/>
              </w:rPr>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w w:val="99"/>
                <w:sz w:val="18"/>
              </w:rPr>
              <w:t>5</w:t>
            </w:r>
            <w:r>
              <w:rPr>
                <w:rFonts w:ascii="Arial"/>
                <w:sz w:val="18"/>
              </w:rPr>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19,047,073.25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3.46%</w:t>
            </w:r>
            <w:r>
              <w:rPr>
                <w:rFonts w:ascii="Arial"/>
                <w:sz w:val="18"/>
              </w:rPr>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Arial" w:hAnsi="Arial" w:cs="Arial" w:eastAsia="Arial" w:hint="default"/>
                <w:sz w:val="18"/>
                <w:szCs w:val="18"/>
              </w:rPr>
            </w:pPr>
            <w:r>
              <w:rPr>
                <w:rFonts w:ascii="Arial" w:hAnsi="Arial" w:cs="Arial" w:eastAsia="Arial"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181,564,788.93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33.01%</w:t>
            </w:r>
          </w:p>
        </w:tc>
      </w:tr>
    </w:tbl>
    <w:p>
      <w:pPr>
        <w:spacing w:after="0" w:line="240" w:lineRule="auto"/>
        <w:jc w:val="right"/>
        <w:rPr>
          <w:rFonts w:ascii="Arial" w:hAnsi="Arial" w:cs="Arial" w:eastAsia="Arial" w:hint="default"/>
          <w:sz w:val="18"/>
          <w:szCs w:val="18"/>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1"/>
        <w:jc w:val="left"/>
        <w:rPr>
          <w:b w:val="0"/>
          <w:bCs w:val="0"/>
        </w:rPr>
      </w:pPr>
      <w:r>
        <w:rPr>
          <w:rFonts w:ascii="Arial" w:hAnsi="Arial" w:cs="Arial" w:eastAsia="Arial" w:hint="default"/>
        </w:rPr>
        <w:t>3</w:t>
      </w:r>
      <w:r>
        <w:rPr/>
        <w:t>、成本</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right="1121"/>
        <w:jc w:val="left"/>
      </w:pPr>
      <w:r>
        <w:rPr/>
        <w:t>行业分类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7" w:right="0"/>
              <w:jc w:val="left"/>
              <w:rPr>
                <w:rFonts w:ascii="Arial" w:hAnsi="Arial" w:cs="Arial" w:eastAsia="Arial" w:hint="default"/>
                <w:sz w:val="18"/>
                <w:szCs w:val="18"/>
              </w:rPr>
            </w:pPr>
            <w:r>
              <w:rPr>
                <w:rFonts w:ascii="宋体" w:hAnsi="宋体" w:cs="宋体" w:eastAsia="宋体" w:hint="default"/>
                <w:sz w:val="18"/>
                <w:szCs w:val="18"/>
              </w:rPr>
              <w:t>同比增减</w:t>
            </w:r>
            <w:r>
              <w:rPr>
                <w:rFonts w:ascii="Arial" w:hAnsi="Arial" w:cs="Arial" w:eastAsia="Arial" w:hint="default"/>
                <w:sz w:val="18"/>
                <w:szCs w:val="18"/>
              </w:rPr>
              <w:t>(%)</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计算机、通信和 其他电子设备制 造业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 w:right="0"/>
              <w:jc w:val="center"/>
              <w:rPr>
                <w:rFonts w:ascii="Arial" w:hAnsi="Arial" w:cs="Arial" w:eastAsia="Arial" w:hint="default"/>
                <w:sz w:val="18"/>
                <w:szCs w:val="18"/>
              </w:rPr>
            </w:pPr>
            <w:r>
              <w:rPr>
                <w:rFonts w:ascii="Arial"/>
                <w:sz w:val="18"/>
              </w:rPr>
              <w:t>428,643,049.00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73" w:right="0"/>
              <w:jc w:val="left"/>
              <w:rPr>
                <w:rFonts w:ascii="Arial" w:hAnsi="Arial" w:cs="Arial" w:eastAsia="Arial" w:hint="default"/>
                <w:sz w:val="18"/>
                <w:szCs w:val="18"/>
              </w:rPr>
            </w:pPr>
            <w:r>
              <w:rPr>
                <w:rFonts w:ascii="Arial"/>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2" w:right="0"/>
              <w:jc w:val="center"/>
              <w:rPr>
                <w:rFonts w:ascii="Arial" w:hAnsi="Arial" w:cs="Arial" w:eastAsia="Arial" w:hint="default"/>
                <w:sz w:val="18"/>
                <w:szCs w:val="18"/>
              </w:rPr>
            </w:pPr>
            <w:r>
              <w:rPr>
                <w:rFonts w:ascii="Arial"/>
                <w:sz w:val="18"/>
              </w:rPr>
              <w:t>402,480,411.72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74" w:right="0"/>
              <w:jc w:val="left"/>
              <w:rPr>
                <w:rFonts w:ascii="Arial" w:hAnsi="Arial" w:cs="Arial" w:eastAsia="Arial" w:hint="default"/>
                <w:sz w:val="18"/>
                <w:szCs w:val="18"/>
              </w:rPr>
            </w:pPr>
            <w:r>
              <w:rPr>
                <w:rFonts w:ascii="Arial"/>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23" w:right="0"/>
              <w:jc w:val="left"/>
              <w:rPr>
                <w:rFonts w:ascii="Arial" w:hAnsi="Arial" w:cs="Arial" w:eastAsia="Arial" w:hint="default"/>
                <w:sz w:val="18"/>
                <w:szCs w:val="18"/>
              </w:rPr>
            </w:pPr>
            <w:r>
              <w:rPr>
                <w:rFonts w:ascii="Arial"/>
                <w:sz w:val="18"/>
              </w:rPr>
              <w:t>6.50%</w:t>
            </w:r>
          </w:p>
        </w:tc>
      </w:tr>
    </w:tbl>
    <w:p>
      <w:pPr>
        <w:pStyle w:val="BodyText"/>
        <w:spacing w:line="240" w:lineRule="auto" w:before="49"/>
        <w:ind w:right="1121"/>
        <w:jc w:val="left"/>
      </w:pPr>
      <w:r>
        <w:rPr/>
        <w:t>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7" w:right="0"/>
              <w:jc w:val="left"/>
              <w:rPr>
                <w:rFonts w:ascii="Arial" w:hAnsi="Arial" w:cs="Arial" w:eastAsia="Arial" w:hint="default"/>
                <w:sz w:val="18"/>
                <w:szCs w:val="18"/>
              </w:rPr>
            </w:pPr>
            <w:r>
              <w:rPr>
                <w:rFonts w:ascii="宋体" w:hAnsi="宋体" w:cs="宋体" w:eastAsia="宋体" w:hint="default"/>
                <w:sz w:val="18"/>
                <w:szCs w:val="18"/>
              </w:rPr>
              <w:t>同比增减</w:t>
            </w:r>
            <w:r>
              <w:rPr>
                <w:rFonts w:ascii="Arial" w:hAnsi="Arial" w:cs="Arial" w:eastAsia="Arial" w:hint="default"/>
                <w:sz w:val="18"/>
                <w:szCs w:val="18"/>
              </w:rPr>
              <w:t>(%)</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消费电子类电源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295,966,624.81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69.1%</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304,171,005.85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75.71%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-6.61%</w:t>
            </w:r>
            <w:r>
              <w:rPr>
                <w:rFonts w:ascii="Arial"/>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LED</w:t>
            </w:r>
            <w:r>
              <w:rPr>
                <w:rFonts w:ascii="Arial" w:hAnsi="Arial" w:cs="Arial" w:eastAsia="Arial" w:hint="default"/>
                <w:spacing w:val="-6"/>
                <w:sz w:val="18"/>
                <w:szCs w:val="18"/>
              </w:rPr>
              <w:t> </w:t>
            </w:r>
            <w:r>
              <w:rPr>
                <w:rFonts w:ascii="宋体" w:hAnsi="宋体" w:cs="宋体" w:eastAsia="宋体" w:hint="default"/>
                <w:sz w:val="18"/>
                <w:szCs w:val="18"/>
              </w:rPr>
              <w:t>驱动电源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124,517,200.75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94,836,584.97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5.47%</w:t>
            </w:r>
            <w:r>
              <w:rPr>
                <w:rFonts w:ascii="Arial"/>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智能模块</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1,311,872.70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0.31%</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0%</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0.31%</w:t>
            </w:r>
            <w:r>
              <w:rPr>
                <w:rFonts w:ascii="Arial"/>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6,527,892.84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1.52%</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2,744,528.32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0.68%</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0.84%</w:t>
            </w:r>
            <w:r>
              <w:rPr>
                <w:rFonts w:ascii="Arial"/>
                <w:sz w:val="18"/>
              </w:rPr>
            </w:r>
          </w:p>
        </w:tc>
      </w:tr>
    </w:tbl>
    <w:p>
      <w:pPr>
        <w:pStyle w:val="BodyText"/>
        <w:spacing w:line="240" w:lineRule="auto" w:before="49"/>
        <w:ind w:right="1121"/>
        <w:jc w:val="left"/>
      </w:pPr>
      <w:r>
        <w:rPr/>
        <w:t>说明</w:t>
      </w:r>
    </w:p>
    <w:p>
      <w:pPr>
        <w:pStyle w:val="BodyText"/>
        <w:spacing w:line="240" w:lineRule="auto" w:before="115"/>
        <w:ind w:left="0" w:right="1361"/>
        <w:jc w:val="right"/>
      </w:pPr>
      <w:r>
        <w:rPr/>
        <w:t>单位：元</w:t>
      </w:r>
    </w:p>
    <w:p>
      <w:pPr>
        <w:spacing w:line="240" w:lineRule="auto" w:before="4"/>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301"/>
        <w:gridCol w:w="1973"/>
        <w:gridCol w:w="1826"/>
        <w:gridCol w:w="1752"/>
        <w:gridCol w:w="1779"/>
        <w:gridCol w:w="1030"/>
      </w:tblGrid>
      <w:tr>
        <w:trPr>
          <w:trHeight w:val="401" w:hRule="exact"/>
        </w:trPr>
        <w:tc>
          <w:tcPr>
            <w:tcW w:w="1301"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00"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531"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03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715" w:hRule="exact"/>
        </w:trPr>
        <w:tc>
          <w:tcPr>
            <w:tcW w:w="1301" w:type="dxa"/>
            <w:vMerge/>
            <w:tcBorders>
              <w:left w:val="single" w:sz="4" w:space="0" w:color="000000"/>
              <w:bottom w:val="single" w:sz="4" w:space="0" w:color="000000"/>
              <w:right w:val="single" w:sz="4" w:space="0" w:color="000000"/>
            </w:tcBorders>
            <w:shd w:val="clear" w:color="auto" w:fill="C0C0C0"/>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8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49"/>
              <w:ind w:left="595" w:right="185" w:hanging="406"/>
              <w:jc w:val="left"/>
              <w:rPr>
                <w:rFonts w:ascii="宋体" w:hAnsi="宋体" w:cs="宋体" w:eastAsia="宋体" w:hint="default"/>
                <w:sz w:val="18"/>
                <w:szCs w:val="18"/>
              </w:rPr>
            </w:pPr>
            <w:r>
              <w:rPr>
                <w:rFonts w:ascii="宋体" w:hAnsi="宋体" w:cs="宋体" w:eastAsia="宋体" w:hint="default"/>
                <w:sz w:val="18"/>
                <w:szCs w:val="18"/>
              </w:rPr>
              <w:t>占主营业务成本比 重（</w:t>
            </w:r>
            <w:r>
              <w:rPr>
                <w:rFonts w:ascii="宋体" w:hAnsi="宋体" w:cs="宋体" w:eastAsia="宋体" w:hint="default"/>
                <w:sz w:val="18"/>
                <w:szCs w:val="18"/>
              </w:rPr>
              <w:t>%</w:t>
            </w:r>
            <w:r>
              <w:rPr>
                <w:rFonts w:ascii="宋体" w:hAnsi="宋体" w:cs="宋体" w:eastAsia="宋体" w:hint="default"/>
                <w:sz w:val="18"/>
                <w:szCs w:val="18"/>
              </w:rPr>
              <w:t>）</w:t>
            </w:r>
          </w:p>
        </w:tc>
        <w:tc>
          <w:tcPr>
            <w:tcW w:w="175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49"/>
              <w:ind w:left="568" w:right="164" w:hanging="406"/>
              <w:jc w:val="left"/>
              <w:rPr>
                <w:rFonts w:ascii="宋体" w:hAnsi="宋体" w:cs="宋体" w:eastAsia="宋体" w:hint="default"/>
                <w:sz w:val="18"/>
                <w:szCs w:val="18"/>
              </w:rPr>
            </w:pPr>
            <w:r>
              <w:rPr>
                <w:rFonts w:ascii="宋体" w:hAnsi="宋体" w:cs="宋体" w:eastAsia="宋体" w:hint="default"/>
                <w:sz w:val="18"/>
                <w:szCs w:val="18"/>
              </w:rPr>
              <w:t>占主营业务成本比 重（</w:t>
            </w:r>
            <w:r>
              <w:rPr>
                <w:rFonts w:ascii="宋体" w:hAnsi="宋体" w:cs="宋体" w:eastAsia="宋体" w:hint="default"/>
                <w:sz w:val="18"/>
                <w:szCs w:val="18"/>
              </w:rPr>
              <w:t>%</w:t>
            </w:r>
            <w:r>
              <w:rPr>
                <w:rFonts w:ascii="宋体" w:hAnsi="宋体" w:cs="宋体" w:eastAsia="宋体" w:hint="default"/>
                <w:sz w:val="18"/>
                <w:szCs w:val="18"/>
              </w:rPr>
              <w:t>）</w:t>
            </w:r>
          </w:p>
        </w:tc>
        <w:tc>
          <w:tcPr>
            <w:tcW w:w="1030" w:type="dxa"/>
            <w:vMerge/>
            <w:tcBorders>
              <w:left w:val="single" w:sz="4" w:space="0" w:color="000000"/>
              <w:bottom w:val="single" w:sz="4" w:space="0" w:color="000000"/>
              <w:right w:val="single" w:sz="4" w:space="0" w:color="000000"/>
            </w:tcBorders>
            <w:shd w:val="clear" w:color="auto" w:fill="C0C0C0"/>
          </w:tcPr>
          <w:p>
            <w:pPr/>
          </w:p>
        </w:tc>
      </w:tr>
      <w:tr>
        <w:trPr>
          <w:trHeight w:val="401"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4" w:right="0"/>
              <w:jc w:val="left"/>
              <w:rPr>
                <w:rFonts w:ascii="Times New Roman" w:hAnsi="Times New Roman" w:cs="Times New Roman" w:eastAsia="Times New Roman" w:hint="default"/>
                <w:sz w:val="18"/>
                <w:szCs w:val="18"/>
              </w:rPr>
            </w:pPr>
            <w:r>
              <w:rPr>
                <w:rFonts w:ascii="Times New Roman"/>
                <w:sz w:val="18"/>
              </w:rPr>
              <w:t>356,358,830.53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83.20%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339,297,412.48</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84.45%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5" w:right="0"/>
              <w:jc w:val="left"/>
              <w:rPr>
                <w:rFonts w:ascii="Times New Roman" w:hAnsi="Times New Roman" w:cs="Times New Roman" w:eastAsia="Times New Roman" w:hint="default"/>
                <w:sz w:val="18"/>
                <w:szCs w:val="18"/>
              </w:rPr>
            </w:pPr>
            <w:r>
              <w:rPr>
                <w:rFonts w:ascii="Times New Roman"/>
                <w:sz w:val="18"/>
              </w:rPr>
              <w:t>45,727,516.12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10.68%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39,744,254.32</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9.89%</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0.79%</w:t>
            </w:r>
          </w:p>
        </w:tc>
      </w:tr>
      <w:tr>
        <w:trPr>
          <w:trHeight w:val="401"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5" w:right="0"/>
              <w:jc w:val="left"/>
              <w:rPr>
                <w:rFonts w:ascii="Times New Roman" w:hAnsi="Times New Roman" w:cs="Times New Roman" w:eastAsia="Times New Roman" w:hint="default"/>
                <w:sz w:val="18"/>
                <w:szCs w:val="18"/>
              </w:rPr>
            </w:pPr>
            <w:r>
              <w:rPr>
                <w:rFonts w:ascii="Times New Roman"/>
                <w:sz w:val="18"/>
              </w:rPr>
              <w:t>26,237,244.45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6.13%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22,710,452.34</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0.48%</w:t>
            </w:r>
          </w:p>
        </w:tc>
      </w:tr>
    </w:tbl>
    <w:p>
      <w:pPr>
        <w:spacing w:line="240" w:lineRule="auto" w:before="2"/>
        <w:rPr>
          <w:rFonts w:ascii="宋体" w:hAnsi="宋体" w:cs="宋体" w:eastAsia="宋体" w:hint="default"/>
          <w:sz w:val="24"/>
          <w:szCs w:val="24"/>
        </w:rPr>
      </w:pPr>
    </w:p>
    <w:p>
      <w:pPr>
        <w:pStyle w:val="BodyText"/>
        <w:spacing w:line="240" w:lineRule="auto" w:before="44"/>
        <w:ind w:right="1121"/>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61,112,302.90</w:t>
            </w:r>
          </w:p>
        </w:tc>
      </w:tr>
      <w:tr>
        <w:trPr>
          <w:trHeight w:val="403"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Arial" w:hAnsi="Arial" w:cs="Arial" w:eastAsia="Arial" w:hint="default"/>
                <w:sz w:val="18"/>
                <w:szCs w:val="18"/>
              </w:rPr>
            </w:pPr>
            <w:r>
              <w:rPr>
                <w:rFonts w:ascii="宋体" w:hAnsi="宋体" w:cs="宋体" w:eastAsia="宋体" w:hint="default"/>
                <w:sz w:val="18"/>
                <w:szCs w:val="18"/>
              </w:rPr>
              <w:t>前五名供应商合计采购金额占年度采购总额比例（</w:t>
            </w:r>
            <w:r>
              <w:rPr>
                <w:rFonts w:ascii="Arial" w:hAnsi="Arial" w:cs="Arial" w:eastAsia="Arial"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16.58%</w:t>
            </w:r>
          </w:p>
        </w:tc>
      </w:tr>
    </w:tbl>
    <w:p>
      <w:pPr>
        <w:pStyle w:val="BodyText"/>
        <w:spacing w:line="240" w:lineRule="auto" w:before="49"/>
        <w:ind w:right="1121"/>
        <w:jc w:val="left"/>
      </w:pPr>
      <w:r>
        <w:rPr/>
        <w:pict>
          <v:shape style="position:absolute;margin-left:263.690002pt;margin-top:-20.158283pt;width:270.05pt;height:19.7pt;mso-position-horizontal-relative:page;mso-position-vertical-relative:paragraph;z-index:-1034800"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20.158283pt;width:262.75pt;height:19.7pt;mso-position-horizontal-relative:page;mso-position-vertical-relative:paragraph;z-index:-1034776" coordorigin="5420,-403" coordsize="5255,394">
            <v:shape style="position:absolute;left:5420;top:-403;width:5255;height:394" coordorigin="5420,-403" coordsize="5255,394" path="m5420,-10l10675,-10,10675,-403,5420,-403,5420,-10xe" filled="true" fillcolor="#ffffff" stroked="false">
              <v:path arrowok="t"/>
              <v:fill type="solid"/>
            </v:shape>
            <w10:wrap type="none"/>
          </v:group>
        </w:pict>
      </w:r>
      <w:r>
        <w:rPr/>
        <w:t>公司前</w:t>
      </w:r>
      <w:r>
        <w:rPr>
          <w:spacing w:val="-44"/>
        </w:rPr>
        <w:t> </w:t>
      </w:r>
      <w:r>
        <w:rPr>
          <w:rFonts w:ascii="Arial" w:hAnsi="Arial" w:cs="Arial" w:eastAsia="Arial" w:hint="default"/>
        </w:rPr>
        <w:t>5</w:t>
      </w:r>
      <w:r>
        <w:rPr>
          <w:rFonts w:ascii="Arial" w:hAnsi="Arial" w:cs="Arial" w:eastAsia="Arial" w:hint="default"/>
          <w:spacing w:val="-4"/>
        </w:rPr>
        <w:t> </w:t>
      </w:r>
      <w:r>
        <w:rPr/>
        <w:t>名供应商资料</w:t>
      </w:r>
    </w:p>
    <w:p>
      <w:pPr>
        <w:pStyle w:val="BodyText"/>
        <w:spacing w:line="240" w:lineRule="auto" w:before="102"/>
        <w:ind w:right="1121"/>
        <w:jc w:val="left"/>
      </w:pPr>
      <w:r>
        <w:rPr/>
        <w:pict>
          <v:group style="position:absolute;margin-left:460.320007pt;margin-top:100.871712pt;width:135pt;height:77pt;mso-position-horizontal-relative:page;mso-position-vertical-relative:paragraph;z-index:-1034728" coordorigin="9206,2017" coordsize="2700,1540">
            <v:shape style="position:absolute;left:9206;top:2017;width:2700;height:1540" type="#_x0000_t75" stroked="false">
              <v:imagedata r:id="rId15" o:title=""/>
            </v:shape>
            <v:shape style="position:absolute;left:10593;top:2378;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w:t>
                    </w:r>
                  </w:p>
                </w:txbxContent>
              </v:textbox>
              <w10:wrap type="none"/>
            </v:shape>
            <w10:wrap type="none"/>
          </v:group>
        </w:pict>
      </w: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5"/>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w w:val="99"/>
                <w:sz w:val="18"/>
              </w:rPr>
              <w:t>1</w:t>
            </w:r>
            <w:r>
              <w:rPr>
                <w:rFonts w:ascii="Arial"/>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23,406,462.26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6.35%</w:t>
            </w:r>
            <w:r>
              <w:rPr>
                <w:rFonts w:ascii="Arial"/>
                <w:sz w:val="18"/>
              </w:rPr>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w w:val="99"/>
                <w:sz w:val="18"/>
              </w:rPr>
              <w:t>2</w:t>
            </w:r>
            <w:r>
              <w:rPr>
                <w:rFonts w:ascii="Arial"/>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12,053,209.24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3.27%</w:t>
            </w:r>
            <w:r>
              <w:rPr>
                <w:rFonts w:ascii="Arial"/>
                <w:sz w:val="18"/>
              </w:rPr>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w w:val="99"/>
                <w:sz w:val="18"/>
              </w:rPr>
              <w:t>3</w:t>
            </w:r>
            <w:r>
              <w:rPr>
                <w:rFonts w:ascii="Arial"/>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9,675,184.05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2.63%</w:t>
            </w:r>
            <w:r>
              <w:rPr>
                <w:rFonts w:ascii="Arial"/>
                <w:sz w:val="18"/>
              </w:rPr>
            </w:r>
          </w:p>
        </w:tc>
      </w:tr>
    </w:tbl>
    <w:p>
      <w:pPr>
        <w:spacing w:after="0" w:line="240" w:lineRule="auto"/>
        <w:jc w:val="right"/>
        <w:rPr>
          <w:rFonts w:ascii="Arial" w:hAnsi="Arial" w:cs="Arial" w:eastAsia="Arial" w:hint="default"/>
          <w:sz w:val="18"/>
          <w:szCs w:val="18"/>
        </w:rPr>
        <w:sectPr>
          <w:headerReference w:type="default" r:id="rId13"/>
          <w:footerReference w:type="default" r:id="rId14"/>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w w:val="99"/>
                <w:sz w:val="18"/>
              </w:rPr>
              <w:t>4</w:t>
            </w:r>
            <w:r>
              <w:rPr>
                <w:rFonts w:ascii="Arial"/>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8,119,963.16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2.2%</w:t>
            </w:r>
            <w:r>
              <w:rPr>
                <w:rFonts w:ascii="Arial"/>
                <w:sz w:val="18"/>
              </w:rPr>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w w:val="99"/>
                <w:sz w:val="18"/>
              </w:rPr>
              <w:t>5</w:t>
            </w:r>
            <w:r>
              <w:rPr>
                <w:rFonts w:ascii="Arial"/>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7,857,484.19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2.13%</w:t>
            </w:r>
            <w:r>
              <w:rPr>
                <w:rFonts w:ascii="Arial"/>
                <w:sz w:val="18"/>
              </w:rPr>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1" w:right="0"/>
              <w:jc w:val="center"/>
              <w:rPr>
                <w:rFonts w:ascii="Arial" w:hAnsi="Arial" w:cs="Arial" w:eastAsia="Arial" w:hint="default"/>
                <w:sz w:val="18"/>
                <w:szCs w:val="18"/>
              </w:rPr>
            </w:pPr>
            <w:r>
              <w:rPr>
                <w:rFonts w:ascii="Arial" w:hAnsi="Arial" w:cs="Arial" w:eastAsia="Arial"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61,112,302.90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16.58%</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rFonts w:ascii="Arial" w:hAnsi="Arial" w:cs="Arial" w:eastAsia="Arial" w:hint="default"/>
        </w:rPr>
        <w:t>4</w:t>
      </w:r>
      <w:r>
        <w:rPr/>
        <w:t>、费用</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316"/>
        <w:jc w:val="right"/>
      </w:pPr>
      <w:r>
        <w:rPr/>
        <w:t>单位：元</w:t>
      </w:r>
    </w:p>
    <w:p>
      <w:pPr>
        <w:spacing w:line="240" w:lineRule="auto" w:before="4"/>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2016"/>
        <w:gridCol w:w="2525"/>
        <w:gridCol w:w="2150"/>
        <w:gridCol w:w="2867"/>
      </w:tblGrid>
      <w:tr>
        <w:trPr>
          <w:trHeight w:val="396" w:hRule="exact"/>
        </w:trPr>
        <w:tc>
          <w:tcPr>
            <w:tcW w:w="2016" w:type="dxa"/>
            <w:tcBorders>
              <w:top w:val="single" w:sz="4" w:space="0" w:color="000000"/>
              <w:left w:val="single" w:sz="4" w:space="0" w:color="000000"/>
              <w:bottom w:val="nil" w:sz="6" w:space="0" w:color="auto"/>
              <w:right w:val="nil" w:sz="6" w:space="0" w:color="auto"/>
            </w:tcBorders>
            <w:shd w:val="clear" w:color="auto" w:fill="C0C0C0"/>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nil" w:sz="6" w:space="0" w:color="auto"/>
              <w:bottom w:val="nil" w:sz="6" w:space="0" w:color="auto"/>
              <w:right w:val="nil" w:sz="6" w:space="0" w:color="auto"/>
            </w:tcBorders>
            <w:shd w:val="clear" w:color="auto" w:fill="C0C0C0"/>
          </w:tcPr>
          <w:p>
            <w:pPr>
              <w:pStyle w:val="TableParagraph"/>
              <w:spacing w:line="240" w:lineRule="auto" w:before="49"/>
              <w:ind w:left="797"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50" w:type="dxa"/>
            <w:tcBorders>
              <w:top w:val="single" w:sz="4" w:space="0" w:color="000000"/>
              <w:left w:val="nil" w:sz="6" w:space="0" w:color="auto"/>
              <w:bottom w:val="nil" w:sz="6" w:space="0" w:color="auto"/>
              <w:right w:val="nil" w:sz="6" w:space="0" w:color="auto"/>
            </w:tcBorders>
            <w:shd w:val="clear" w:color="auto" w:fill="C0C0C0"/>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867" w:type="dxa"/>
            <w:tcBorders>
              <w:top w:val="single" w:sz="4" w:space="0" w:color="000000"/>
              <w:left w:val="nil" w:sz="6" w:space="0" w:color="auto"/>
              <w:bottom w:val="nil" w:sz="6" w:space="0" w:color="auto"/>
              <w:right w:val="single" w:sz="4" w:space="0" w:color="000000"/>
            </w:tcBorders>
            <w:shd w:val="clear" w:color="auto" w:fill="C0C0C0"/>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391" w:hRule="exact"/>
        </w:trPr>
        <w:tc>
          <w:tcPr>
            <w:tcW w:w="2016" w:type="dxa"/>
            <w:tcBorders>
              <w:top w:val="nil" w:sz="6" w:space="0" w:color="auto"/>
              <w:left w:val="single" w:sz="4" w:space="0" w:color="000000"/>
              <w:bottom w:val="nil" w:sz="6" w:space="0" w:color="auto"/>
              <w:right w:val="nil" w:sz="6" w:space="0" w:color="auto"/>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49"/>
              <w:jc w:val="right"/>
              <w:rPr>
                <w:rFonts w:ascii="宋体" w:hAnsi="宋体" w:cs="宋体" w:eastAsia="宋体" w:hint="default"/>
                <w:sz w:val="18"/>
                <w:szCs w:val="18"/>
              </w:rPr>
            </w:pPr>
            <w:r>
              <w:rPr>
                <w:rFonts w:ascii="宋体"/>
                <w:spacing w:val="-1"/>
                <w:sz w:val="18"/>
              </w:rPr>
              <w:t>26,086,145.41</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19"/>
              <w:jc w:val="right"/>
              <w:rPr>
                <w:rFonts w:ascii="宋体" w:hAnsi="宋体" w:cs="宋体" w:eastAsia="宋体" w:hint="default"/>
                <w:sz w:val="18"/>
                <w:szCs w:val="18"/>
              </w:rPr>
            </w:pPr>
            <w:r>
              <w:rPr>
                <w:rFonts w:ascii="宋体"/>
                <w:spacing w:val="-1"/>
                <w:sz w:val="18"/>
              </w:rPr>
              <w:t>30,078,162.59</w:t>
            </w:r>
          </w:p>
        </w:tc>
        <w:tc>
          <w:tcPr>
            <w:tcW w:w="2867"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-13.27%</w:t>
            </w:r>
          </w:p>
        </w:tc>
      </w:tr>
      <w:tr>
        <w:trPr>
          <w:trHeight w:val="393" w:hRule="exact"/>
        </w:trPr>
        <w:tc>
          <w:tcPr>
            <w:tcW w:w="2016" w:type="dxa"/>
            <w:tcBorders>
              <w:top w:val="nil" w:sz="6" w:space="0" w:color="auto"/>
              <w:left w:val="single" w:sz="4" w:space="0" w:color="000000"/>
              <w:bottom w:val="nil" w:sz="6" w:space="0" w:color="auto"/>
              <w:right w:val="nil" w:sz="6" w:space="0" w:color="auto"/>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49"/>
              <w:jc w:val="right"/>
              <w:rPr>
                <w:rFonts w:ascii="宋体" w:hAnsi="宋体" w:cs="宋体" w:eastAsia="宋体" w:hint="default"/>
                <w:sz w:val="18"/>
                <w:szCs w:val="18"/>
              </w:rPr>
            </w:pPr>
            <w:r>
              <w:rPr>
                <w:rFonts w:ascii="宋体"/>
                <w:spacing w:val="-1"/>
                <w:sz w:val="18"/>
              </w:rPr>
              <w:t>46,908,907.23</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19"/>
              <w:jc w:val="right"/>
              <w:rPr>
                <w:rFonts w:ascii="宋体" w:hAnsi="宋体" w:cs="宋体" w:eastAsia="宋体" w:hint="default"/>
                <w:sz w:val="18"/>
                <w:szCs w:val="18"/>
              </w:rPr>
            </w:pPr>
            <w:r>
              <w:rPr>
                <w:rFonts w:ascii="宋体"/>
                <w:spacing w:val="-1"/>
                <w:sz w:val="18"/>
              </w:rPr>
              <w:t>50,961,970.29</w:t>
            </w:r>
          </w:p>
        </w:tc>
        <w:tc>
          <w:tcPr>
            <w:tcW w:w="2867"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-7.95%</w:t>
            </w:r>
          </w:p>
        </w:tc>
      </w:tr>
      <w:tr>
        <w:trPr>
          <w:trHeight w:val="392" w:hRule="exact"/>
        </w:trPr>
        <w:tc>
          <w:tcPr>
            <w:tcW w:w="2016" w:type="dxa"/>
            <w:tcBorders>
              <w:top w:val="nil" w:sz="6" w:space="0" w:color="auto"/>
              <w:left w:val="single" w:sz="4" w:space="0" w:color="000000"/>
              <w:bottom w:val="nil" w:sz="6" w:space="0" w:color="auto"/>
              <w:right w:val="nil" w:sz="6" w:space="0" w:color="auto"/>
            </w:tcBorders>
            <w:shd w:val="clear" w:color="auto" w:fill="C0C0C0"/>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9"/>
              <w:jc w:val="right"/>
              <w:rPr>
                <w:rFonts w:ascii="宋体" w:hAnsi="宋体" w:cs="宋体" w:eastAsia="宋体" w:hint="default"/>
                <w:sz w:val="18"/>
                <w:szCs w:val="18"/>
              </w:rPr>
            </w:pPr>
            <w:r>
              <w:rPr>
                <w:rFonts w:ascii="宋体"/>
                <w:spacing w:val="-1"/>
                <w:sz w:val="18"/>
              </w:rPr>
              <w:t>-8,455,607.12</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9"/>
              <w:jc w:val="right"/>
              <w:rPr>
                <w:rFonts w:ascii="宋体" w:hAnsi="宋体" w:cs="宋体" w:eastAsia="宋体" w:hint="default"/>
                <w:sz w:val="18"/>
                <w:szCs w:val="18"/>
              </w:rPr>
            </w:pPr>
            <w:r>
              <w:rPr>
                <w:rFonts w:ascii="宋体"/>
                <w:spacing w:val="-1"/>
                <w:sz w:val="18"/>
              </w:rPr>
              <w:t>6,389,524.47</w:t>
            </w:r>
          </w:p>
        </w:tc>
        <w:tc>
          <w:tcPr>
            <w:tcW w:w="2867"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-232.34%</w:t>
            </w:r>
          </w:p>
        </w:tc>
      </w:tr>
      <w:tr>
        <w:trPr>
          <w:trHeight w:val="392" w:hRule="exact"/>
        </w:trPr>
        <w:tc>
          <w:tcPr>
            <w:tcW w:w="2016" w:type="dxa"/>
            <w:tcBorders>
              <w:top w:val="nil" w:sz="6" w:space="0" w:color="auto"/>
              <w:left w:val="single" w:sz="4" w:space="0" w:color="000000"/>
              <w:bottom w:val="nil" w:sz="6" w:space="0" w:color="auto"/>
              <w:right w:val="nil" w:sz="6" w:space="0" w:color="auto"/>
            </w:tcBorders>
            <w:shd w:val="clear" w:color="auto" w:fill="C0C0C0"/>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9"/>
              <w:jc w:val="right"/>
              <w:rPr>
                <w:rFonts w:ascii="宋体" w:hAnsi="宋体" w:cs="宋体" w:eastAsia="宋体" w:hint="default"/>
                <w:sz w:val="18"/>
                <w:szCs w:val="18"/>
              </w:rPr>
            </w:pPr>
            <w:r>
              <w:rPr>
                <w:rFonts w:ascii="宋体"/>
                <w:spacing w:val="-1"/>
                <w:sz w:val="18"/>
              </w:rPr>
              <w:t>4,839,460.24</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9"/>
              <w:jc w:val="right"/>
              <w:rPr>
                <w:rFonts w:ascii="宋体" w:hAnsi="宋体" w:cs="宋体" w:eastAsia="宋体" w:hint="default"/>
                <w:sz w:val="18"/>
                <w:szCs w:val="18"/>
              </w:rPr>
            </w:pPr>
            <w:r>
              <w:rPr>
                <w:rFonts w:ascii="宋体"/>
                <w:spacing w:val="-1"/>
                <w:sz w:val="18"/>
              </w:rPr>
              <w:t>563,708.46</w:t>
            </w:r>
          </w:p>
        </w:tc>
        <w:tc>
          <w:tcPr>
            <w:tcW w:w="2867"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z w:val="18"/>
              </w:rPr>
              <w:t>758.50%</w:t>
            </w:r>
          </w:p>
        </w:tc>
      </w:tr>
      <w:tr>
        <w:trPr>
          <w:trHeight w:val="398" w:hRule="exact"/>
        </w:trPr>
        <w:tc>
          <w:tcPr>
            <w:tcW w:w="2016" w:type="dxa"/>
            <w:tcBorders>
              <w:top w:val="nil" w:sz="6" w:space="0" w:color="auto"/>
              <w:left w:val="single" w:sz="4" w:space="0" w:color="000000"/>
              <w:bottom w:val="single" w:sz="4" w:space="0" w:color="000000"/>
              <w:right w:val="nil" w:sz="6" w:space="0" w:color="auto"/>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52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449"/>
              <w:jc w:val="right"/>
              <w:rPr>
                <w:rFonts w:ascii="宋体" w:hAnsi="宋体" w:cs="宋体" w:eastAsia="宋体" w:hint="default"/>
                <w:sz w:val="18"/>
                <w:szCs w:val="18"/>
              </w:rPr>
            </w:pPr>
            <w:r>
              <w:rPr>
                <w:rFonts w:ascii="宋体"/>
                <w:spacing w:val="-1"/>
                <w:sz w:val="18"/>
              </w:rPr>
              <w:t>6,980,586.38</w:t>
            </w:r>
          </w:p>
        </w:tc>
        <w:tc>
          <w:tcPr>
            <w:tcW w:w="215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419"/>
              <w:jc w:val="right"/>
              <w:rPr>
                <w:rFonts w:ascii="宋体" w:hAnsi="宋体" w:cs="宋体" w:eastAsia="宋体" w:hint="default"/>
                <w:sz w:val="18"/>
                <w:szCs w:val="18"/>
              </w:rPr>
            </w:pPr>
            <w:r>
              <w:rPr>
                <w:rFonts w:ascii="宋体"/>
                <w:spacing w:val="-1"/>
                <w:sz w:val="18"/>
              </w:rPr>
              <w:t>10,828,198.09</w:t>
            </w:r>
          </w:p>
        </w:tc>
        <w:tc>
          <w:tcPr>
            <w:tcW w:w="2867" w:type="dxa"/>
            <w:tcBorders>
              <w:top w:val="nil" w:sz="6" w:space="0" w:color="auto"/>
              <w:left w:val="nil" w:sz="6" w:space="0" w:color="auto"/>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-35.53%</w:t>
            </w:r>
          </w:p>
        </w:tc>
      </w:tr>
    </w:tbl>
    <w:p>
      <w:pPr>
        <w:spacing w:line="240" w:lineRule="auto" w:before="1"/>
        <w:rPr>
          <w:rFonts w:ascii="宋体" w:hAnsi="宋体" w:cs="宋体" w:eastAsia="宋体" w:hint="default"/>
          <w:sz w:val="21"/>
          <w:szCs w:val="21"/>
        </w:rPr>
      </w:pPr>
    </w:p>
    <w:p>
      <w:pPr>
        <w:pStyle w:val="BodyText"/>
        <w:spacing w:line="302" w:lineRule="auto" w:before="44"/>
        <w:ind w:right="1121" w:firstLine="317"/>
        <w:jc w:val="left"/>
      </w:pPr>
      <w:r>
        <w:rPr>
          <w:rFonts w:ascii="Arial" w:hAnsi="Arial" w:cs="Arial" w:eastAsia="Arial" w:hint="default"/>
          <w:spacing w:val="-2"/>
        </w:rPr>
        <w:t>1</w:t>
      </w:r>
      <w:r>
        <w:rPr>
          <w:spacing w:val="-2"/>
        </w:rPr>
        <w:t>、财务费用：报告期发生财务费用</w:t>
      </w:r>
      <w:r>
        <w:rPr>
          <w:rFonts w:ascii="Arial" w:hAnsi="Arial" w:cs="Arial" w:eastAsia="Arial" w:hint="default"/>
          <w:spacing w:val="-2"/>
        </w:rPr>
        <w:t>-8455607.12</w:t>
      </w:r>
      <w:r>
        <w:rPr>
          <w:spacing w:val="-2"/>
        </w:rPr>
        <w:t>元，较上年同期下降</w:t>
      </w:r>
      <w:r>
        <w:rPr>
          <w:rFonts w:ascii="Arial" w:hAnsi="Arial" w:cs="Arial" w:eastAsia="Arial" w:hint="default"/>
          <w:spacing w:val="-2"/>
        </w:rPr>
        <w:t>232.34%</w:t>
      </w:r>
      <w:r>
        <w:rPr>
          <w:spacing w:val="-2"/>
        </w:rPr>
        <w:t>，主要原因系本期利息支出减少及货币资</w:t>
      </w:r>
      <w:r>
        <w:rPr/>
        <w:t> 金增加导致利息收入增加所致；</w:t>
      </w:r>
    </w:p>
    <w:p>
      <w:pPr>
        <w:pStyle w:val="BodyText"/>
        <w:spacing w:line="302" w:lineRule="auto" w:before="29"/>
        <w:ind w:right="1121" w:firstLine="317"/>
        <w:jc w:val="left"/>
      </w:pPr>
      <w:r>
        <w:rPr>
          <w:rFonts w:ascii="Arial" w:hAnsi="Arial" w:cs="Arial" w:eastAsia="Arial" w:hint="default"/>
          <w:spacing w:val="-2"/>
        </w:rPr>
        <w:t>2</w:t>
      </w:r>
      <w:r>
        <w:rPr>
          <w:spacing w:val="-2"/>
        </w:rPr>
        <w:t>、资产减值损失：报告期资产减值损失</w:t>
      </w:r>
      <w:r>
        <w:rPr>
          <w:rFonts w:ascii="Arial" w:hAnsi="Arial" w:cs="Arial" w:eastAsia="Arial" w:hint="default"/>
          <w:spacing w:val="-2"/>
        </w:rPr>
        <w:t>4839460.24</w:t>
      </w:r>
      <w:r>
        <w:rPr>
          <w:spacing w:val="-2"/>
        </w:rPr>
        <w:t>元，较上年同期增长</w:t>
      </w:r>
      <w:r>
        <w:rPr>
          <w:rFonts w:ascii="Arial" w:hAnsi="Arial" w:cs="Arial" w:eastAsia="Arial" w:hint="default"/>
          <w:spacing w:val="-2"/>
        </w:rPr>
        <w:t>758.5%</w:t>
      </w:r>
      <w:r>
        <w:rPr>
          <w:spacing w:val="-2"/>
        </w:rPr>
        <w:t>，主要原因系应收款项增加，账龄延长</w:t>
      </w:r>
      <w:r>
        <w:rPr/>
        <w:t> 所致；</w:t>
      </w:r>
    </w:p>
    <w:p>
      <w:pPr>
        <w:pStyle w:val="BodyText"/>
        <w:spacing w:line="302" w:lineRule="auto" w:before="29"/>
        <w:ind w:right="1121" w:firstLine="317"/>
        <w:jc w:val="left"/>
      </w:pPr>
      <w:r>
        <w:rPr>
          <w:rFonts w:ascii="Arial" w:hAnsi="Arial" w:cs="Arial" w:eastAsia="Arial" w:hint="default"/>
          <w:spacing w:val="-2"/>
        </w:rPr>
        <w:t>3</w:t>
      </w:r>
      <w:r>
        <w:rPr>
          <w:spacing w:val="-2"/>
        </w:rPr>
        <w:t>、所得税费用：报告期所得税费用</w:t>
      </w:r>
      <w:r>
        <w:rPr>
          <w:rFonts w:ascii="Arial" w:hAnsi="Arial" w:cs="Arial" w:eastAsia="Arial" w:hint="default"/>
          <w:spacing w:val="-2"/>
        </w:rPr>
        <w:t>6980586.38</w:t>
      </w:r>
      <w:r>
        <w:rPr>
          <w:spacing w:val="-2"/>
        </w:rPr>
        <w:t>元，较上年同期下降</w:t>
      </w:r>
      <w:r>
        <w:rPr>
          <w:rFonts w:ascii="Arial" w:hAnsi="Arial" w:cs="Arial" w:eastAsia="Arial" w:hint="default"/>
          <w:spacing w:val="-2"/>
        </w:rPr>
        <w:t>35.53%</w:t>
      </w:r>
      <w:r>
        <w:rPr>
          <w:spacing w:val="-2"/>
        </w:rPr>
        <w:t>，主要原因系利润下降，同时子公司茂硕电</w:t>
      </w:r>
      <w:r>
        <w:rPr/>
        <w:t> 子所得税税率降低。</w:t>
      </w:r>
    </w:p>
    <w:p>
      <w:pPr>
        <w:spacing w:line="240" w:lineRule="auto" w:before="8"/>
        <w:rPr>
          <w:rFonts w:ascii="宋体" w:hAnsi="宋体" w:cs="宋体" w:eastAsia="宋体" w:hint="default"/>
          <w:sz w:val="23"/>
          <w:szCs w:val="23"/>
        </w:rPr>
      </w:pPr>
    </w:p>
    <w:p>
      <w:pPr>
        <w:pStyle w:val="Heading3"/>
        <w:spacing w:line="240" w:lineRule="auto"/>
        <w:ind w:right="1121"/>
        <w:jc w:val="left"/>
        <w:rPr>
          <w:b w:val="0"/>
          <w:bCs w:val="0"/>
        </w:rPr>
      </w:pPr>
      <w:r>
        <w:rPr>
          <w:rFonts w:ascii="Arial" w:hAnsi="Arial" w:cs="Arial" w:eastAsia="Arial" w:hint="default"/>
        </w:rPr>
        <w:t>5</w:t>
      </w:r>
      <w:r>
        <w:rPr/>
        <w:t>、研发支出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316"/>
        <w:jc w:val="right"/>
      </w:pPr>
      <w:r>
        <w:rPr/>
        <w:t>单位：元</w:t>
      </w:r>
    </w:p>
    <w:p>
      <w:pPr>
        <w:spacing w:line="240" w:lineRule="auto" w:before="3"/>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2525"/>
        <w:gridCol w:w="2725"/>
        <w:gridCol w:w="2062"/>
        <w:gridCol w:w="2247"/>
      </w:tblGrid>
      <w:tr>
        <w:trPr>
          <w:trHeight w:val="397" w:hRule="exact"/>
        </w:trPr>
        <w:tc>
          <w:tcPr>
            <w:tcW w:w="2525" w:type="dxa"/>
            <w:tcBorders>
              <w:top w:val="single" w:sz="4" w:space="0" w:color="000000"/>
              <w:left w:val="single" w:sz="4" w:space="0" w:color="000000"/>
              <w:bottom w:val="nil" w:sz="6" w:space="0" w:color="auto"/>
              <w:right w:val="nil" w:sz="6" w:space="0" w:color="auto"/>
            </w:tcBorders>
            <w:shd w:val="clear" w:color="auto" w:fill="C0C0C0"/>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725" w:type="dxa"/>
            <w:tcBorders>
              <w:top w:val="single" w:sz="4" w:space="0" w:color="000000"/>
              <w:left w:val="nil" w:sz="6" w:space="0" w:color="auto"/>
              <w:bottom w:val="nil" w:sz="6" w:space="0" w:color="auto"/>
              <w:right w:val="nil" w:sz="6" w:space="0" w:color="auto"/>
            </w:tcBorders>
            <w:shd w:val="clear" w:color="auto" w:fill="C0C0C0"/>
          </w:tcPr>
          <w:p>
            <w:pPr>
              <w:pStyle w:val="TableParagraph"/>
              <w:spacing w:line="240" w:lineRule="auto" w:before="50"/>
              <w:ind w:left="87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062" w:type="dxa"/>
            <w:tcBorders>
              <w:top w:val="single" w:sz="4" w:space="0" w:color="000000"/>
              <w:left w:val="nil" w:sz="6" w:space="0" w:color="auto"/>
              <w:bottom w:val="nil" w:sz="6" w:space="0" w:color="auto"/>
              <w:right w:val="nil" w:sz="6" w:space="0" w:color="auto"/>
            </w:tcBorders>
            <w:shd w:val="clear" w:color="auto" w:fill="C0C0C0"/>
          </w:tcPr>
          <w:p>
            <w:pPr>
              <w:pStyle w:val="TableParagraph"/>
              <w:spacing w:line="240" w:lineRule="auto" w:before="50"/>
              <w:ind w:left="49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47" w:type="dxa"/>
            <w:tcBorders>
              <w:top w:val="single" w:sz="4" w:space="0" w:color="000000"/>
              <w:left w:val="nil" w:sz="6" w:space="0" w:color="auto"/>
              <w:bottom w:val="nil" w:sz="6" w:space="0" w:color="auto"/>
              <w:right w:val="single" w:sz="4" w:space="0" w:color="000000"/>
            </w:tcBorders>
            <w:shd w:val="clear" w:color="auto" w:fill="C0C0C0"/>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390" w:hRule="exact"/>
        </w:trPr>
        <w:tc>
          <w:tcPr>
            <w:tcW w:w="2525" w:type="dxa"/>
            <w:tcBorders>
              <w:top w:val="nil" w:sz="6" w:space="0" w:color="auto"/>
              <w:left w:val="single" w:sz="4" w:space="0" w:color="000000"/>
              <w:bottom w:val="nil" w:sz="6" w:space="0" w:color="auto"/>
              <w:right w:val="nil" w:sz="6" w:space="0" w:color="auto"/>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90"/>
              <w:jc w:val="right"/>
              <w:rPr>
                <w:rFonts w:ascii="宋体" w:hAnsi="宋体" w:cs="宋体" w:eastAsia="宋体" w:hint="default"/>
                <w:sz w:val="18"/>
                <w:szCs w:val="18"/>
              </w:rPr>
            </w:pPr>
            <w:r>
              <w:rPr>
                <w:rFonts w:ascii="宋体"/>
                <w:spacing w:val="-1"/>
                <w:sz w:val="18"/>
              </w:rPr>
              <w:t>17,366,877.67</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11"/>
              <w:jc w:val="right"/>
              <w:rPr>
                <w:rFonts w:ascii="宋体" w:hAnsi="宋体" w:cs="宋体" w:eastAsia="宋体" w:hint="default"/>
                <w:sz w:val="18"/>
                <w:szCs w:val="18"/>
              </w:rPr>
            </w:pPr>
            <w:r>
              <w:rPr>
                <w:rFonts w:ascii="宋体"/>
                <w:spacing w:val="-1"/>
                <w:sz w:val="18"/>
              </w:rPr>
              <w:t>24,105,476.29</w:t>
            </w:r>
          </w:p>
        </w:tc>
        <w:tc>
          <w:tcPr>
            <w:tcW w:w="2247"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-27.95%</w:t>
            </w:r>
          </w:p>
        </w:tc>
      </w:tr>
      <w:tr>
        <w:trPr>
          <w:trHeight w:val="392" w:hRule="exact"/>
        </w:trPr>
        <w:tc>
          <w:tcPr>
            <w:tcW w:w="2525" w:type="dxa"/>
            <w:tcBorders>
              <w:top w:val="nil" w:sz="6" w:space="0" w:color="auto"/>
              <w:left w:val="single" w:sz="4" w:space="0" w:color="000000"/>
              <w:bottom w:val="nil" w:sz="6" w:space="0" w:color="auto"/>
              <w:right w:val="nil" w:sz="6" w:space="0" w:color="auto"/>
            </w:tcBorders>
            <w:shd w:val="clear" w:color="auto" w:fill="C0C0C0"/>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研究开发费占净资产比例</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9"/>
              <w:jc w:val="right"/>
              <w:rPr>
                <w:rFonts w:ascii="宋体" w:hAnsi="宋体" w:cs="宋体" w:eastAsia="宋体" w:hint="default"/>
                <w:sz w:val="18"/>
                <w:szCs w:val="18"/>
              </w:rPr>
            </w:pPr>
            <w:r>
              <w:rPr>
                <w:rFonts w:ascii="宋体"/>
                <w:sz w:val="18"/>
              </w:rPr>
              <w:t>2.54%</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1"/>
              <w:jc w:val="right"/>
              <w:rPr>
                <w:rFonts w:ascii="宋体" w:hAnsi="宋体" w:cs="宋体" w:eastAsia="宋体" w:hint="default"/>
                <w:sz w:val="18"/>
                <w:szCs w:val="18"/>
              </w:rPr>
            </w:pPr>
            <w:r>
              <w:rPr>
                <w:rFonts w:ascii="宋体"/>
                <w:spacing w:val="-1"/>
                <w:sz w:val="18"/>
              </w:rPr>
              <w:t>10.74%</w:t>
            </w:r>
          </w:p>
        </w:tc>
        <w:tc>
          <w:tcPr>
            <w:tcW w:w="2247"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right="100"/>
              <w:jc w:val="right"/>
              <w:rPr>
                <w:rFonts w:ascii="宋体" w:hAnsi="宋体" w:cs="宋体" w:eastAsia="宋体" w:hint="default"/>
                <w:sz w:val="18"/>
                <w:szCs w:val="18"/>
              </w:rPr>
            </w:pPr>
            <w:r>
              <w:rPr>
                <w:rFonts w:ascii="宋体"/>
                <w:spacing w:val="-1"/>
                <w:sz w:val="18"/>
              </w:rPr>
              <w:t>-8.20%</w:t>
            </w:r>
          </w:p>
        </w:tc>
      </w:tr>
      <w:tr>
        <w:trPr>
          <w:trHeight w:val="398" w:hRule="exact"/>
        </w:trPr>
        <w:tc>
          <w:tcPr>
            <w:tcW w:w="2525" w:type="dxa"/>
            <w:tcBorders>
              <w:top w:val="nil" w:sz="6" w:space="0" w:color="auto"/>
              <w:left w:val="single" w:sz="4" w:space="0" w:color="000000"/>
              <w:bottom w:val="single" w:sz="4" w:space="0" w:color="000000"/>
              <w:right w:val="nil" w:sz="6" w:space="0" w:color="auto"/>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研究开发费占营业收入比例</w:t>
            </w:r>
          </w:p>
        </w:tc>
        <w:tc>
          <w:tcPr>
            <w:tcW w:w="272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489"/>
              <w:jc w:val="right"/>
              <w:rPr>
                <w:rFonts w:ascii="宋体" w:hAnsi="宋体" w:cs="宋体" w:eastAsia="宋体" w:hint="default"/>
                <w:sz w:val="18"/>
                <w:szCs w:val="18"/>
              </w:rPr>
            </w:pPr>
            <w:r>
              <w:rPr>
                <w:rFonts w:ascii="宋体"/>
                <w:sz w:val="18"/>
              </w:rPr>
              <w:t>3.16%</w:t>
            </w:r>
          </w:p>
        </w:tc>
        <w:tc>
          <w:tcPr>
            <w:tcW w:w="206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11"/>
              <w:jc w:val="right"/>
              <w:rPr>
                <w:rFonts w:ascii="宋体" w:hAnsi="宋体" w:cs="宋体" w:eastAsia="宋体" w:hint="default"/>
                <w:sz w:val="18"/>
                <w:szCs w:val="18"/>
              </w:rPr>
            </w:pPr>
            <w:r>
              <w:rPr>
                <w:rFonts w:ascii="宋体"/>
                <w:sz w:val="18"/>
              </w:rPr>
              <w:t>4.35%</w:t>
            </w:r>
          </w:p>
        </w:tc>
        <w:tc>
          <w:tcPr>
            <w:tcW w:w="2247" w:type="dxa"/>
            <w:tcBorders>
              <w:top w:val="nil" w:sz="6" w:space="0" w:color="auto"/>
              <w:left w:val="nil" w:sz="6" w:space="0" w:color="auto"/>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-1.19%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21"/>
        <w:jc w:val="left"/>
        <w:rPr>
          <w:b w:val="0"/>
          <w:bCs w:val="0"/>
        </w:rPr>
      </w:pPr>
      <w:r>
        <w:rPr>
          <w:rFonts w:ascii="Arial" w:hAnsi="Arial" w:cs="Arial" w:eastAsia="Arial" w:hint="default"/>
        </w:rPr>
        <w:t>6</w:t>
      </w:r>
      <w:r>
        <w:rPr/>
        <w:t>、现金流</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Arial" w:hAnsi="Arial" w:cs="Arial" w:eastAsia="Arial"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513,661,818.26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611,782,825.54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-16.04%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508,986,036.81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576,368,700.37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2"/>
                <w:w w:val="95"/>
                <w:sz w:val="18"/>
              </w:rPr>
              <w:t>-11.69%</w:t>
            </w:r>
            <w:r>
              <w:rPr>
                <w:rFonts w:ascii="Arial"/>
                <w:spacing w:val="-2"/>
                <w:sz w:val="18"/>
              </w:rPr>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4,675,781.45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35,414,125.17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-86.8%</w:t>
            </w:r>
            <w:r>
              <w:rPr>
                <w:rFonts w:ascii="Arial"/>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134,640.00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105,001.00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28.23%</w:t>
            </w:r>
          </w:p>
        </w:tc>
      </w:tr>
    </w:tbl>
    <w:p>
      <w:pPr>
        <w:spacing w:after="0" w:line="240" w:lineRule="auto"/>
        <w:jc w:val="right"/>
        <w:rPr>
          <w:rFonts w:ascii="Arial" w:hAnsi="Arial" w:cs="Arial" w:eastAsia="Arial" w:hint="default"/>
          <w:sz w:val="18"/>
          <w:szCs w:val="18"/>
        </w:rPr>
        <w:sectPr>
          <w:footerReference w:type="default" r:id="rId16"/>
          <w:pgSz w:w="11910" w:h="16840"/>
          <w:pgMar w:footer="1340" w:header="877" w:top="1060" w:bottom="1540" w:left="980" w:right="0"/>
          <w:pgNumType w:start="15"/>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82,575,757.38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14,015,080.10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489.19%</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2"/>
                <w:sz w:val="18"/>
              </w:rPr>
              <w:t>-82,441,117.38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-13,910,079.10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492.67%</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512,958,476.88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152,118,131.13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237.21%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135,954,356.79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155,495,471.16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-12.57%</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377,004,120.09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-3,377,340.03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2"/>
                <w:sz w:val="18"/>
              </w:rPr>
              <w:t>11,262.75%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299,098,251.12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17,718,198.35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1,588.09%</w:t>
            </w:r>
          </w:p>
        </w:tc>
      </w:tr>
    </w:tbl>
    <w:p>
      <w:pPr>
        <w:pStyle w:val="BodyText"/>
        <w:spacing w:line="240" w:lineRule="auto" w:before="49"/>
        <w:ind w:right="1121"/>
        <w:jc w:val="left"/>
      </w:pPr>
      <w:r>
        <w:rPr/>
        <w:t>相关数据同比发生变动</w:t>
      </w:r>
      <w:r>
        <w:rPr>
          <w:spacing w:val="-48"/>
        </w:rPr>
        <w:t> </w:t>
      </w:r>
      <w:r>
        <w:rPr>
          <w:rFonts w:ascii="Arial" w:hAnsi="Arial" w:cs="Arial" w:eastAsia="Arial" w:hint="default"/>
        </w:rPr>
        <w:t>30%</w:t>
      </w:r>
      <w:r>
        <w:rPr/>
        <w:t>以上的原因说明</w:t>
      </w:r>
    </w:p>
    <w:p>
      <w:pPr>
        <w:pStyle w:val="BodyText"/>
        <w:spacing w:line="240" w:lineRule="auto" w:before="102"/>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pStyle w:val="BodyText"/>
        <w:spacing w:line="302" w:lineRule="auto" w:before="105"/>
        <w:ind w:right="1123" w:firstLine="317"/>
        <w:jc w:val="left"/>
      </w:pPr>
      <w:r>
        <w:rPr>
          <w:rFonts w:ascii="Arial" w:hAnsi="Arial" w:cs="Arial" w:eastAsia="Arial" w:hint="default"/>
        </w:rPr>
        <w:t>1</w:t>
      </w:r>
      <w:r>
        <w:rPr/>
        <w:t>、投资活动现金流出小计：本报告期</w:t>
      </w:r>
      <w:r>
        <w:rPr>
          <w:rFonts w:ascii="Arial" w:hAnsi="Arial" w:cs="Arial" w:eastAsia="Arial" w:hint="default"/>
        </w:rPr>
        <w:t>“</w:t>
      </w:r>
      <w:r>
        <w:rPr/>
        <w:t>投资活动现金流出小计</w:t>
      </w:r>
      <w:r>
        <w:rPr>
          <w:rFonts w:ascii="Arial" w:hAnsi="Arial" w:cs="Arial" w:eastAsia="Arial" w:hint="default"/>
        </w:rPr>
        <w:t>”</w:t>
      </w:r>
      <w:r>
        <w:rPr>
          <w:rFonts w:ascii="Arial" w:hAnsi="Arial" w:cs="Arial" w:eastAsia="Arial" w:hint="default"/>
          <w:spacing w:val="-18"/>
        </w:rPr>
        <w:t> </w:t>
      </w:r>
      <w:r>
        <w:rPr>
          <w:rFonts w:ascii="Arial" w:hAnsi="Arial" w:cs="Arial" w:eastAsia="Arial" w:hint="default"/>
        </w:rPr>
        <w:t>82,575,757.38</w:t>
      </w:r>
      <w:r>
        <w:rPr/>
        <w:t>元，较上年同期增加</w:t>
      </w:r>
      <w:r>
        <w:rPr>
          <w:rFonts w:ascii="Arial" w:hAnsi="Arial" w:cs="Arial" w:eastAsia="Arial" w:hint="default"/>
        </w:rPr>
        <w:t>489.19%</w:t>
      </w:r>
      <w:r>
        <w:rPr/>
        <w:t>，主要原因 系子公司惠州茂硕募投项目建设；</w:t>
      </w:r>
    </w:p>
    <w:p>
      <w:pPr>
        <w:pStyle w:val="BodyText"/>
        <w:spacing w:line="302" w:lineRule="auto" w:before="29"/>
        <w:ind w:right="1192" w:firstLine="317"/>
        <w:jc w:val="left"/>
      </w:pPr>
      <w:r>
        <w:rPr>
          <w:rFonts w:ascii="Arial" w:hAnsi="Arial" w:cs="Arial" w:eastAsia="Arial" w:hint="default"/>
        </w:rPr>
        <w:t>2</w:t>
      </w:r>
      <w:r>
        <w:rPr/>
        <w:t>、筹资活动现金流入小计：本报告期</w:t>
      </w:r>
      <w:r>
        <w:rPr>
          <w:rFonts w:ascii="Arial" w:hAnsi="Arial" w:cs="Arial" w:eastAsia="Arial" w:hint="default"/>
        </w:rPr>
        <w:t>“</w:t>
      </w:r>
      <w:r>
        <w:rPr/>
        <w:t>筹资活动现金流入小计</w:t>
      </w:r>
      <w:r>
        <w:rPr>
          <w:rFonts w:ascii="Arial" w:hAnsi="Arial" w:cs="Arial" w:eastAsia="Arial" w:hint="default"/>
        </w:rPr>
        <w:t>”</w:t>
      </w:r>
      <w:r>
        <w:rPr>
          <w:rFonts w:ascii="Arial" w:hAnsi="Arial" w:cs="Arial" w:eastAsia="Arial" w:hint="default"/>
          <w:spacing w:val="-7"/>
        </w:rPr>
        <w:t> </w:t>
      </w:r>
      <w:r>
        <w:rPr>
          <w:rFonts w:ascii="Arial" w:hAnsi="Arial" w:cs="Arial" w:eastAsia="Arial" w:hint="default"/>
        </w:rPr>
        <w:t>512,958,476.88</w:t>
      </w:r>
      <w:r>
        <w:rPr/>
        <w:t>元，较上年同期增加</w:t>
      </w:r>
      <w:r>
        <w:rPr>
          <w:rFonts w:ascii="Arial" w:hAnsi="Arial" w:cs="Arial" w:eastAsia="Arial" w:hint="default"/>
        </w:rPr>
        <w:t>237.21%</w:t>
      </w:r>
      <w:r>
        <w:rPr/>
        <w:t>，主要原 因系公司在</w:t>
      </w:r>
      <w:r>
        <w:rPr>
          <w:rFonts w:ascii="Arial" w:hAnsi="Arial" w:cs="Arial" w:eastAsia="Arial" w:hint="default"/>
        </w:rPr>
        <w:t>2012</w:t>
      </w:r>
      <w:r>
        <w:rPr/>
        <w:t>年</w:t>
      </w:r>
      <w:r>
        <w:rPr>
          <w:rFonts w:ascii="Arial" w:hAnsi="Arial" w:cs="Arial" w:eastAsia="Arial" w:hint="default"/>
        </w:rPr>
        <w:t>3</w:t>
      </w:r>
      <w:r>
        <w:rPr/>
        <w:t>月公开发行股票募集资金及</w:t>
      </w:r>
      <w:r>
        <w:rPr>
          <w:rFonts w:ascii="Arial" w:hAnsi="Arial" w:cs="Arial" w:eastAsia="Arial" w:hint="default"/>
        </w:rPr>
        <w:t>12</w:t>
      </w:r>
      <w:r>
        <w:rPr/>
        <w:t>月份实施限制性股票激励计划而获得资金；</w:t>
      </w:r>
    </w:p>
    <w:p>
      <w:pPr>
        <w:pStyle w:val="BodyText"/>
        <w:spacing w:line="321" w:lineRule="auto" w:before="11"/>
        <w:ind w:right="1028" w:firstLine="317"/>
        <w:jc w:val="left"/>
      </w:pPr>
      <w:r>
        <w:rPr>
          <w:rFonts w:ascii="Arial" w:hAnsi="Arial" w:cs="Arial" w:eastAsia="Arial" w:hint="default"/>
          <w:spacing w:val="-3"/>
        </w:rPr>
        <w:t>3</w:t>
      </w:r>
      <w:r>
        <w:rPr>
          <w:spacing w:val="-3"/>
        </w:rPr>
        <w:t>、现金及现金等价物净增加额：本报告期</w:t>
      </w:r>
      <w:r>
        <w:rPr>
          <w:rFonts w:ascii="Arial" w:hAnsi="Arial" w:cs="Arial" w:eastAsia="Arial" w:hint="default"/>
          <w:spacing w:val="-3"/>
        </w:rPr>
        <w:t>“</w:t>
      </w:r>
      <w:r>
        <w:rPr>
          <w:spacing w:val="-3"/>
        </w:rPr>
        <w:t>现金及现金等价物净增加额</w:t>
      </w:r>
      <w:r>
        <w:rPr>
          <w:rFonts w:ascii="Arial" w:hAnsi="Arial" w:cs="Arial" w:eastAsia="Arial" w:hint="default"/>
          <w:spacing w:val="-3"/>
        </w:rPr>
        <w:t>”</w:t>
      </w:r>
      <w:r>
        <w:rPr>
          <w:rFonts w:ascii="Arial" w:hAnsi="Arial" w:cs="Arial" w:eastAsia="Arial" w:hint="default"/>
          <w:spacing w:val="-24"/>
        </w:rPr>
        <w:t> </w:t>
      </w:r>
      <w:r>
        <w:rPr>
          <w:rFonts w:ascii="Arial" w:hAnsi="Arial" w:cs="Arial" w:eastAsia="Arial" w:hint="default"/>
        </w:rPr>
        <w:t>299,098,251.12</w:t>
      </w:r>
      <w:r>
        <w:rPr/>
        <w:t>元，较上年同期增加</w:t>
      </w:r>
      <w:r>
        <w:rPr>
          <w:rFonts w:ascii="Arial" w:hAnsi="Arial" w:cs="Arial" w:eastAsia="Arial" w:hint="default"/>
        </w:rPr>
        <w:t>1588.09%</w:t>
      </w:r>
      <w:r>
        <w:rPr/>
        <w:t>， 主要原因系公司在</w:t>
      </w:r>
      <w:r>
        <w:rPr>
          <w:rFonts w:ascii="Arial" w:hAnsi="Arial" w:cs="Arial" w:eastAsia="Arial" w:hint="default"/>
        </w:rPr>
        <w:t>2012</w:t>
      </w:r>
      <w:r>
        <w:rPr/>
        <w:t>年</w:t>
      </w:r>
      <w:r>
        <w:rPr>
          <w:rFonts w:ascii="Arial" w:hAnsi="Arial" w:cs="Arial" w:eastAsia="Arial" w:hint="default"/>
        </w:rPr>
        <w:t>3</w:t>
      </w:r>
      <w:r>
        <w:rPr/>
        <w:t>月公开发行股票及</w:t>
      </w:r>
      <w:r>
        <w:rPr>
          <w:rFonts w:ascii="Arial" w:hAnsi="Arial" w:cs="Arial" w:eastAsia="Arial" w:hint="default"/>
        </w:rPr>
        <w:t>11</w:t>
      </w:r>
      <w:r>
        <w:rPr/>
        <w:t>月份发行限制性股票取得募集资金。 报告期内公司经营活动的现金流量与本年度净利润存在重大差异的原因说明</w:t>
      </w:r>
    </w:p>
    <w:p>
      <w:pPr>
        <w:pStyle w:val="BodyText"/>
        <w:spacing w:line="240" w:lineRule="auto" w:before="53"/>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left="0" w:right="1678"/>
        <w:jc w:val="right"/>
      </w:pPr>
      <w:r>
        <w:rPr/>
        <w:t>单位：元</w:t>
      </w:r>
    </w:p>
    <w:p>
      <w:pPr>
        <w:spacing w:line="240" w:lineRule="auto" w:before="10"/>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3123"/>
        <w:gridCol w:w="3129"/>
        <w:gridCol w:w="3126"/>
      </w:tblGrid>
      <w:tr>
        <w:trPr>
          <w:trHeight w:val="399" w:hRule="exact"/>
        </w:trPr>
        <w:tc>
          <w:tcPr>
            <w:tcW w:w="3123"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29" w:type="dxa"/>
            <w:tcBorders>
              <w:top w:val="nil" w:sz="6" w:space="0" w:color="auto"/>
              <w:left w:val="single" w:sz="4" w:space="0" w:color="000000"/>
              <w:bottom w:val="single" w:sz="4" w:space="0" w:color="000000"/>
              <w:right w:val="nil" w:sz="6" w:space="0" w:color="auto"/>
            </w:tcBorders>
            <w:shd w:val="clear" w:color="auto" w:fill="C0C0C0"/>
          </w:tcPr>
          <w:p>
            <w:pPr>
              <w:pStyle w:val="TableParagraph"/>
              <w:spacing w:line="240" w:lineRule="auto" w:before="49"/>
              <w:ind w:right="2"/>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3126" w:type="dxa"/>
            <w:tcBorders>
              <w:top w:val="nil" w:sz="6" w:space="0" w:color="auto"/>
              <w:left w:val="nil" w:sz="6" w:space="0" w:color="auto"/>
              <w:bottom w:val="single" w:sz="4" w:space="0" w:color="000000"/>
              <w:right w:val="single" w:sz="4" w:space="0" w:color="000000"/>
            </w:tcBorders>
            <w:shd w:val="clear" w:color="auto" w:fill="C0C0C0"/>
          </w:tcPr>
          <w:p>
            <w:pPr>
              <w:pStyle w:val="TableParagraph"/>
              <w:spacing w:line="240" w:lineRule="auto" w:before="49"/>
              <w:ind w:left="10"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p>
        </w:tc>
      </w:tr>
      <w:tr>
        <w:trPr>
          <w:trHeight w:val="401" w:hRule="exact"/>
        </w:trPr>
        <w:tc>
          <w:tcPr>
            <w:tcW w:w="312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业务收入</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left="933" w:right="0"/>
              <w:jc w:val="left"/>
              <w:rPr>
                <w:rFonts w:ascii="Arial" w:hAnsi="Arial" w:cs="Arial" w:eastAsia="Arial" w:hint="default"/>
                <w:sz w:val="18"/>
                <w:szCs w:val="18"/>
              </w:rPr>
            </w:pPr>
            <w:r>
              <w:rPr>
                <w:rFonts w:ascii="Arial"/>
                <w:sz w:val="18"/>
              </w:rPr>
              <w:t>550,030,672.59</w:t>
            </w:r>
          </w:p>
        </w:tc>
        <w:tc>
          <w:tcPr>
            <w:tcW w:w="3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8" w:right="0"/>
              <w:jc w:val="center"/>
              <w:rPr>
                <w:rFonts w:ascii="Arial" w:hAnsi="Arial" w:cs="Arial" w:eastAsia="Arial" w:hint="default"/>
                <w:sz w:val="18"/>
                <w:szCs w:val="18"/>
              </w:rPr>
            </w:pPr>
            <w:r>
              <w:rPr>
                <w:rFonts w:ascii="Arial"/>
                <w:sz w:val="18"/>
              </w:rPr>
              <w:t>554,571,711.43</w:t>
            </w:r>
          </w:p>
        </w:tc>
      </w:tr>
      <w:tr>
        <w:trPr>
          <w:trHeight w:val="403" w:hRule="exact"/>
        </w:trPr>
        <w:tc>
          <w:tcPr>
            <w:tcW w:w="312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3" w:right="0"/>
              <w:jc w:val="left"/>
              <w:rPr>
                <w:rFonts w:ascii="Arial" w:hAnsi="Arial" w:cs="Arial" w:eastAsia="Arial" w:hint="default"/>
                <w:sz w:val="18"/>
                <w:szCs w:val="18"/>
              </w:rPr>
            </w:pPr>
            <w:r>
              <w:rPr>
                <w:rFonts w:ascii="宋体" w:hAnsi="宋体" w:cs="宋体" w:eastAsia="宋体" w:hint="default"/>
                <w:sz w:val="18"/>
                <w:szCs w:val="18"/>
              </w:rPr>
              <w:t>本年比上年增减</w:t>
            </w:r>
            <w:r>
              <w:rPr>
                <w:rFonts w:ascii="Arial" w:hAnsi="Arial" w:cs="Arial" w:eastAsia="Arial" w:hint="default"/>
                <w:sz w:val="18"/>
                <w:szCs w:val="18"/>
              </w:rPr>
              <w:t>(%</w:t>
            </w:r>
          </w:p>
        </w:tc>
        <w:tc>
          <w:tcPr>
            <w:tcW w:w="6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-0.82%</w:t>
            </w:r>
          </w:p>
        </w:tc>
      </w:tr>
      <w:tr>
        <w:trPr>
          <w:trHeight w:val="401" w:hRule="exact"/>
        </w:trPr>
        <w:tc>
          <w:tcPr>
            <w:tcW w:w="312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第四季度业务收入</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left="933" w:right="0"/>
              <w:jc w:val="left"/>
              <w:rPr>
                <w:rFonts w:ascii="Arial" w:hAnsi="Arial" w:cs="Arial" w:eastAsia="Arial" w:hint="default"/>
                <w:sz w:val="18"/>
                <w:szCs w:val="18"/>
              </w:rPr>
            </w:pPr>
            <w:r>
              <w:rPr>
                <w:rFonts w:ascii="Arial"/>
                <w:sz w:val="18"/>
              </w:rPr>
              <w:t>176,567,482.22</w:t>
            </w:r>
          </w:p>
        </w:tc>
        <w:tc>
          <w:tcPr>
            <w:tcW w:w="3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8" w:right="0"/>
              <w:jc w:val="center"/>
              <w:rPr>
                <w:rFonts w:ascii="Arial" w:hAnsi="Arial" w:cs="Arial" w:eastAsia="Arial" w:hint="default"/>
                <w:sz w:val="18"/>
                <w:szCs w:val="18"/>
              </w:rPr>
            </w:pPr>
            <w:r>
              <w:rPr>
                <w:rFonts w:ascii="Arial"/>
                <w:sz w:val="18"/>
              </w:rPr>
              <w:t>125,693,384.93</w:t>
            </w:r>
          </w:p>
        </w:tc>
      </w:tr>
      <w:tr>
        <w:trPr>
          <w:trHeight w:val="403" w:hRule="exact"/>
        </w:trPr>
        <w:tc>
          <w:tcPr>
            <w:tcW w:w="312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3" w:right="0"/>
              <w:jc w:val="left"/>
              <w:rPr>
                <w:rFonts w:ascii="Arial" w:hAnsi="Arial" w:cs="Arial" w:eastAsia="Arial" w:hint="default"/>
                <w:sz w:val="18"/>
                <w:szCs w:val="18"/>
              </w:rPr>
            </w:pPr>
            <w:r>
              <w:rPr>
                <w:rFonts w:ascii="宋体" w:hAnsi="宋体" w:cs="宋体" w:eastAsia="宋体" w:hint="default"/>
                <w:sz w:val="18"/>
                <w:szCs w:val="18"/>
              </w:rPr>
              <w:t>本年比上年增减</w:t>
            </w:r>
            <w:r>
              <w:rPr>
                <w:rFonts w:ascii="Arial" w:hAnsi="Arial" w:cs="Arial" w:eastAsia="Arial" w:hint="default"/>
                <w:sz w:val="18"/>
                <w:szCs w:val="18"/>
              </w:rPr>
              <w:t>(%</w:t>
            </w:r>
          </w:p>
        </w:tc>
        <w:tc>
          <w:tcPr>
            <w:tcW w:w="6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40.47%</w:t>
            </w:r>
          </w:p>
        </w:tc>
      </w:tr>
      <w:tr>
        <w:trPr>
          <w:trHeight w:val="401" w:hRule="exact"/>
        </w:trPr>
        <w:tc>
          <w:tcPr>
            <w:tcW w:w="312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left="1032" w:right="0"/>
              <w:jc w:val="left"/>
              <w:rPr>
                <w:rFonts w:ascii="Arial" w:hAnsi="Arial" w:cs="Arial" w:eastAsia="Arial" w:hint="default"/>
                <w:sz w:val="18"/>
                <w:szCs w:val="18"/>
              </w:rPr>
            </w:pPr>
            <w:r>
              <w:rPr>
                <w:rFonts w:ascii="Arial"/>
                <w:sz w:val="18"/>
              </w:rPr>
              <w:t>4,675,781.45</w:t>
            </w:r>
          </w:p>
        </w:tc>
        <w:tc>
          <w:tcPr>
            <w:tcW w:w="3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sz w:val="18"/>
              </w:rPr>
              <w:t>35,414,125.17</w:t>
            </w:r>
          </w:p>
        </w:tc>
      </w:tr>
      <w:tr>
        <w:trPr>
          <w:trHeight w:val="403" w:hRule="exact"/>
        </w:trPr>
        <w:tc>
          <w:tcPr>
            <w:tcW w:w="312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left="981" w:right="0"/>
              <w:jc w:val="left"/>
              <w:rPr>
                <w:rFonts w:ascii="Arial" w:hAnsi="Arial" w:cs="Arial" w:eastAsia="Arial" w:hint="default"/>
                <w:sz w:val="18"/>
                <w:szCs w:val="18"/>
              </w:rPr>
            </w:pPr>
            <w:r>
              <w:rPr>
                <w:rFonts w:ascii="Arial"/>
                <w:sz w:val="18"/>
              </w:rPr>
              <w:t>47,219,388.18</w:t>
            </w:r>
          </w:p>
        </w:tc>
        <w:tc>
          <w:tcPr>
            <w:tcW w:w="3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sz w:val="18"/>
              </w:rPr>
              <w:t>53,790,158.59</w:t>
            </w:r>
          </w:p>
        </w:tc>
      </w:tr>
      <w:tr>
        <w:trPr>
          <w:trHeight w:val="401" w:hRule="exact"/>
        </w:trPr>
        <w:tc>
          <w:tcPr>
            <w:tcW w:w="312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占比（</w:t>
            </w:r>
            <w:r>
              <w:rPr>
                <w:rFonts w:ascii="Arial" w:hAnsi="Arial" w:cs="Arial" w:eastAsia="Arial" w:hint="default"/>
                <w:sz w:val="18"/>
                <w:szCs w:val="18"/>
              </w:rPr>
              <w:t>%</w:t>
            </w:r>
            <w:r>
              <w:rPr>
                <w:rFonts w:ascii="宋体" w:hAnsi="宋体" w:cs="宋体" w:eastAsia="宋体" w:hint="default"/>
                <w:sz w:val="18"/>
                <w:szCs w:val="18"/>
              </w:rPr>
              <w:t>）</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3"/>
              <w:jc w:val="center"/>
              <w:rPr>
                <w:rFonts w:ascii="Arial" w:hAnsi="Arial" w:cs="Arial" w:eastAsia="Arial" w:hint="default"/>
                <w:sz w:val="18"/>
                <w:szCs w:val="18"/>
              </w:rPr>
            </w:pPr>
            <w:r>
              <w:rPr>
                <w:rFonts w:ascii="Arial"/>
                <w:sz w:val="18"/>
              </w:rPr>
              <w:t>9.90%</w:t>
            </w:r>
          </w:p>
        </w:tc>
        <w:tc>
          <w:tcPr>
            <w:tcW w:w="3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6" w:right="0"/>
              <w:jc w:val="center"/>
              <w:rPr>
                <w:rFonts w:ascii="Arial" w:hAnsi="Arial" w:cs="Arial" w:eastAsia="Arial" w:hint="default"/>
                <w:sz w:val="18"/>
                <w:szCs w:val="18"/>
              </w:rPr>
            </w:pPr>
            <w:r>
              <w:rPr>
                <w:rFonts w:ascii="Arial"/>
                <w:sz w:val="18"/>
              </w:rPr>
              <w:t>65.84%</w:t>
            </w:r>
          </w:p>
        </w:tc>
      </w:tr>
      <w:tr>
        <w:trPr>
          <w:trHeight w:val="716" w:hRule="exact"/>
        </w:trPr>
        <w:tc>
          <w:tcPr>
            <w:tcW w:w="312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原因分析</w:t>
            </w:r>
          </w:p>
        </w:tc>
        <w:tc>
          <w:tcPr>
            <w:tcW w:w="6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103" w:right="99"/>
              <w:jc w:val="left"/>
              <w:rPr>
                <w:rFonts w:ascii="宋体" w:hAnsi="宋体" w:cs="宋体" w:eastAsia="宋体" w:hint="default"/>
                <w:sz w:val="18"/>
                <w:szCs w:val="18"/>
              </w:rPr>
            </w:pPr>
            <w:r>
              <w:rPr>
                <w:rFonts w:ascii="宋体" w:hAnsi="宋体" w:cs="宋体" w:eastAsia="宋体" w:hint="default"/>
                <w:sz w:val="18"/>
                <w:szCs w:val="18"/>
              </w:rPr>
              <w:t>主要是第四季度业务收入同比增长了</w:t>
            </w:r>
            <w:r>
              <w:rPr>
                <w:rFonts w:ascii="宋体" w:hAnsi="宋体" w:cs="宋体" w:eastAsia="宋体" w:hint="default"/>
                <w:spacing w:val="-59"/>
                <w:sz w:val="18"/>
                <w:szCs w:val="18"/>
              </w:rPr>
              <w:t> </w:t>
            </w:r>
            <w:r>
              <w:rPr>
                <w:rFonts w:ascii="Arial" w:hAnsi="Arial" w:cs="Arial" w:eastAsia="Arial" w:hint="default"/>
                <w:sz w:val="18"/>
                <w:szCs w:val="18"/>
              </w:rPr>
              <w:t>40.47%</w:t>
            </w:r>
            <w:r>
              <w:rPr>
                <w:rFonts w:ascii="宋体" w:hAnsi="宋体" w:cs="宋体" w:eastAsia="宋体" w:hint="default"/>
                <w:sz w:val="18"/>
                <w:szCs w:val="18"/>
              </w:rPr>
              <w:t>，期间大客户占款较集中且收款 周期较长，应收票据增加导致。</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121"/>
        <w:jc w:val="left"/>
        <w:rPr>
          <w:b w:val="0"/>
          <w:bCs w:val="0"/>
        </w:rPr>
      </w:pPr>
      <w:r>
        <w:rPr/>
        <w:t>三、主营业务构成情况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Arial" w:hAnsi="Arial" w:cs="Arial" w:eastAsia="Arial" w:hint="default"/>
                <w:sz w:val="18"/>
                <w:szCs w:val="18"/>
              </w:rPr>
            </w:pPr>
            <w:r>
              <w:rPr>
                <w:rFonts w:ascii="宋体" w:hAnsi="宋体" w:cs="宋体" w:eastAsia="宋体" w:hint="default"/>
                <w:sz w:val="18"/>
                <w:szCs w:val="18"/>
              </w:rPr>
              <w:t>毛利率</w:t>
            </w:r>
            <w:r>
              <w:rPr>
                <w:rFonts w:ascii="Arial" w:hAnsi="Arial" w:cs="Arial" w:eastAsia="Arial"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47" w:hanging="1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Arial" w:hAnsi="Arial" w:cs="Arial" w:eastAsia="Arial"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50" w:hanging="1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Arial" w:hAnsi="Arial" w:cs="Arial" w:eastAsia="Arial"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48" w:hanging="101"/>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Arial" w:hAnsi="Arial" w:cs="Arial" w:eastAsia="Arial" w:hint="default"/>
                <w:sz w:val="18"/>
                <w:szCs w:val="18"/>
              </w:rPr>
              <w:t>%</w:t>
            </w:r>
            <w:r>
              <w:rPr>
                <w:rFonts w:ascii="宋体" w:hAnsi="宋体" w:cs="宋体" w:eastAsia="宋体" w:hint="default"/>
                <w:sz w:val="18"/>
                <w:szCs w:val="18"/>
              </w:rPr>
              <w:t>）</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计算机、通信和 其他电子设备制 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549,577,597.96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428,323,591.10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22.06%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-0.52%</w:t>
            </w:r>
            <w:r>
              <w:rPr>
                <w:rFonts w:ascii="Arial"/>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w w:val="95"/>
                <w:sz w:val="18"/>
              </w:rPr>
              <w:t>6.61%</w:t>
            </w:r>
            <w:r>
              <w:rPr>
                <w:rFonts w:ascii="Arial"/>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-5.21%</w:t>
            </w:r>
            <w:r>
              <w:rPr>
                <w:rFonts w:ascii="Arial"/>
                <w:sz w:val="18"/>
              </w:rPr>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消费电子类电源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349,407,854.78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295,966,624.81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-2.7%</w:t>
            </w:r>
            <w:r>
              <w:rPr>
                <w:rFonts w:ascii="Arial"/>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-8.68%</w:t>
            </w:r>
            <w:r>
              <w:rPr>
                <w:rFonts w:ascii="Arial"/>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LED</w:t>
            </w:r>
            <w:r>
              <w:rPr>
                <w:rFonts w:ascii="Arial" w:hAnsi="Arial" w:cs="Arial" w:eastAsia="Arial" w:hint="default"/>
                <w:spacing w:val="-6"/>
                <w:sz w:val="18"/>
                <w:szCs w:val="18"/>
              </w:rPr>
              <w:t> </w:t>
            </w:r>
            <w:r>
              <w:rPr>
                <w:rFonts w:ascii="宋体" w:hAnsi="宋体" w:cs="宋体" w:eastAsia="宋体" w:hint="default"/>
                <w:sz w:val="18"/>
                <w:szCs w:val="18"/>
              </w:rPr>
              <w:t>驱动电源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185,262,247.43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124,517,200.75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24.49%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w w:val="95"/>
                <w:sz w:val="18"/>
              </w:rPr>
              <w:t>31.3%</w:t>
            </w:r>
            <w:r>
              <w:rPr>
                <w:rFonts w:ascii="Arial"/>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-3.48%</w:t>
            </w:r>
            <w:r>
              <w:rPr>
                <w:rFonts w:ascii="Arial"/>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智能模块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6,468,615.41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1,311,872.70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79.72%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8,438,880.34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6,527,892.84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138.15%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137.85%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0.1%</w:t>
            </w:r>
            <w:r>
              <w:rPr>
                <w:rFonts w:ascii="Arial"/>
                <w:sz w:val="18"/>
              </w:rPr>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327,788,928.71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248,463,909.39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w w:val="95"/>
                <w:sz w:val="18"/>
              </w:rPr>
              <w:t>24.2%</w:t>
            </w:r>
            <w:r>
              <w:rPr>
                <w:rFonts w:ascii="Arial"/>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14.01%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16.38%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-1.55%</w:t>
            </w:r>
            <w:r>
              <w:rPr>
                <w:rFonts w:ascii="Arial"/>
                <w:sz w:val="18"/>
              </w:rPr>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221,788,669.25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179,859,681.71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w w:val="95"/>
                <w:sz w:val="18"/>
              </w:rPr>
              <w:t>18.9%</w:t>
            </w:r>
            <w:r>
              <w:rPr>
                <w:rFonts w:ascii="Arial"/>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Arial" w:hAnsi="Arial" w:cs="Arial" w:eastAsia="Arial" w:hint="default"/>
                <w:sz w:val="18"/>
                <w:szCs w:val="18"/>
              </w:rPr>
            </w:pPr>
            <w:r>
              <w:rPr>
                <w:rFonts w:ascii="Arial"/>
                <w:spacing w:val="-1"/>
                <w:sz w:val="18"/>
              </w:rPr>
              <w:t>-16.28%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5"/>
                <w:sz w:val="18"/>
              </w:rPr>
              <w:t>-4.46%</w:t>
            </w:r>
            <w:r>
              <w:rPr>
                <w:rFonts w:ascii="Arial"/>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-10.03%</w:t>
            </w:r>
          </w:p>
        </w:tc>
      </w:tr>
    </w:tbl>
    <w:p>
      <w:pPr>
        <w:pStyle w:val="BodyText"/>
        <w:spacing w:line="240" w:lineRule="auto" w:before="49"/>
        <w:ind w:right="1121"/>
        <w:jc w:val="left"/>
      </w:pPr>
      <w:r>
        <w:rPr/>
        <w:t>公司主营业务数据统计口径在报告期发生调整的情况下，公司最近</w:t>
      </w:r>
      <w:r>
        <w:rPr>
          <w:spacing w:val="-45"/>
        </w:rPr>
        <w:t> </w:t>
      </w:r>
      <w:r>
        <w:rPr>
          <w:rFonts w:ascii="Arial" w:hAnsi="Arial" w:cs="Arial" w:eastAsia="Arial" w:hint="default"/>
        </w:rPr>
        <w:t>1</w:t>
      </w:r>
      <w:r>
        <w:rPr>
          <w:rFonts w:ascii="Arial" w:hAnsi="Arial" w:cs="Arial" w:eastAsia="Arial" w:hint="default"/>
          <w:spacing w:val="-6"/>
        </w:rPr>
        <w:t> </w:t>
      </w:r>
      <w:r>
        <w:rPr/>
        <w:t>年按报告期末口径调整后的主营业务数据</w:t>
      </w:r>
    </w:p>
    <w:p>
      <w:pPr>
        <w:pStyle w:val="BodyText"/>
        <w:spacing w:line="240" w:lineRule="auto" w:before="102"/>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1"/>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、资产项目重大变动情况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3"/>
        <w:gridCol w:w="1064"/>
        <w:gridCol w:w="799"/>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05"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年末</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9"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13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8" w:right="75" w:hanging="102"/>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Arial" w:hAnsi="Arial" w:cs="Arial" w:eastAsia="Arial"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9" w:right="72" w:hanging="101"/>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Arial" w:hAnsi="Arial" w:cs="Arial" w:eastAsia="Arial"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405,875,608.</w:t>
            </w:r>
          </w:p>
          <w:p>
            <w:pPr>
              <w:pStyle w:val="TableParagraph"/>
              <w:spacing w:line="240" w:lineRule="auto" w:before="105"/>
              <w:ind w:right="19"/>
              <w:jc w:val="right"/>
              <w:rPr>
                <w:rFonts w:ascii="Arial" w:hAnsi="Arial" w:cs="Arial" w:eastAsia="Arial" w:hint="default"/>
                <w:sz w:val="18"/>
                <w:szCs w:val="18"/>
              </w:rPr>
            </w:pPr>
            <w:r>
              <w:rPr>
                <w:rFonts w:ascii="Arial"/>
                <w:w w:val="95"/>
                <w:sz w:val="18"/>
              </w:rPr>
              <w:t>40</w:t>
            </w:r>
            <w:r>
              <w:rPr>
                <w:rFonts w:ascii="Arial"/>
                <w:sz w:val="18"/>
              </w:rPr>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23" w:right="0"/>
              <w:jc w:val="left"/>
              <w:rPr>
                <w:rFonts w:ascii="Arial" w:hAnsi="Arial" w:cs="Arial" w:eastAsia="Arial" w:hint="default"/>
                <w:sz w:val="18"/>
                <w:szCs w:val="18"/>
              </w:rPr>
            </w:pPr>
            <w:r>
              <w:rPr>
                <w:rFonts w:ascii="Arial"/>
                <w:sz w:val="18"/>
              </w:rPr>
              <w:t>44.26%</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3"/>
                <w:sz w:val="18"/>
              </w:rPr>
              <w:t>111,826,875.3</w:t>
            </w:r>
          </w:p>
          <w:p>
            <w:pPr>
              <w:pStyle w:val="TableParagraph"/>
              <w:spacing w:line="240" w:lineRule="auto" w:before="105"/>
              <w:ind w:right="17"/>
              <w:jc w:val="right"/>
              <w:rPr>
                <w:rFonts w:ascii="Arial" w:hAnsi="Arial" w:cs="Arial" w:eastAsia="Arial" w:hint="default"/>
                <w:sz w:val="18"/>
                <w:szCs w:val="18"/>
              </w:rPr>
            </w:pPr>
            <w:r>
              <w:rPr>
                <w:rFonts w:ascii="Arial"/>
                <w:w w:val="99"/>
                <w:sz w:val="18"/>
              </w:rPr>
              <w:t>2</w:t>
            </w:r>
            <w:r>
              <w:rPr>
                <w:rFonts w:ascii="Arial"/>
                <w:sz w:val="18"/>
              </w:rPr>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25" w:right="0"/>
              <w:jc w:val="left"/>
              <w:rPr>
                <w:rFonts w:ascii="Arial" w:hAnsi="Arial" w:cs="Arial" w:eastAsia="Arial" w:hint="default"/>
                <w:sz w:val="18"/>
                <w:szCs w:val="18"/>
              </w:rPr>
            </w:pPr>
            <w:r>
              <w:rPr>
                <w:rFonts w:ascii="Arial"/>
                <w:sz w:val="18"/>
              </w:rPr>
              <w:t>25.53%</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8" w:right="0"/>
              <w:jc w:val="left"/>
              <w:rPr>
                <w:rFonts w:ascii="Arial" w:hAnsi="Arial" w:cs="Arial" w:eastAsia="Arial" w:hint="default"/>
                <w:sz w:val="18"/>
                <w:szCs w:val="18"/>
              </w:rPr>
            </w:pPr>
            <w:r>
              <w:rPr>
                <w:rFonts w:ascii="Arial"/>
                <w:sz w:val="18"/>
              </w:rPr>
              <w:t>18.73%</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242,840,828.</w:t>
            </w:r>
          </w:p>
          <w:p>
            <w:pPr>
              <w:pStyle w:val="TableParagraph"/>
              <w:spacing w:line="240" w:lineRule="auto" w:before="105"/>
              <w:ind w:right="19"/>
              <w:jc w:val="right"/>
              <w:rPr>
                <w:rFonts w:ascii="Arial" w:hAnsi="Arial" w:cs="Arial" w:eastAsia="Arial" w:hint="default"/>
                <w:sz w:val="18"/>
                <w:szCs w:val="18"/>
              </w:rPr>
            </w:pPr>
            <w:r>
              <w:rPr>
                <w:rFonts w:ascii="Arial"/>
                <w:w w:val="95"/>
                <w:sz w:val="18"/>
              </w:rPr>
              <w:t>98</w:t>
            </w:r>
            <w:r>
              <w:rPr>
                <w:rFonts w:ascii="Arial"/>
                <w:sz w:val="18"/>
              </w:rPr>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23" w:right="0"/>
              <w:jc w:val="left"/>
              <w:rPr>
                <w:rFonts w:ascii="Arial" w:hAnsi="Arial" w:cs="Arial" w:eastAsia="Arial" w:hint="default"/>
                <w:sz w:val="18"/>
                <w:szCs w:val="18"/>
              </w:rPr>
            </w:pPr>
            <w:r>
              <w:rPr>
                <w:rFonts w:ascii="Arial"/>
                <w:sz w:val="18"/>
              </w:rPr>
              <w:t>26.48%</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152,426,060.</w:t>
            </w:r>
          </w:p>
          <w:p>
            <w:pPr>
              <w:pStyle w:val="TableParagraph"/>
              <w:spacing w:line="240" w:lineRule="auto" w:before="105"/>
              <w:ind w:right="14"/>
              <w:jc w:val="right"/>
              <w:rPr>
                <w:rFonts w:ascii="Arial" w:hAnsi="Arial" w:cs="Arial" w:eastAsia="Arial" w:hint="default"/>
                <w:sz w:val="18"/>
                <w:szCs w:val="18"/>
              </w:rPr>
            </w:pPr>
            <w:r>
              <w:rPr>
                <w:rFonts w:ascii="Arial"/>
                <w:w w:val="95"/>
                <w:sz w:val="18"/>
              </w:rPr>
              <w:t>41</w:t>
            </w:r>
            <w:r>
              <w:rPr>
                <w:rFonts w:ascii="Arial"/>
                <w:sz w:val="18"/>
              </w:rPr>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3" w:right="0"/>
              <w:jc w:val="left"/>
              <w:rPr>
                <w:rFonts w:ascii="Arial" w:hAnsi="Arial" w:cs="Arial" w:eastAsia="Arial" w:hint="default"/>
                <w:sz w:val="18"/>
                <w:szCs w:val="18"/>
              </w:rPr>
            </w:pPr>
            <w:r>
              <w:rPr>
                <w:rFonts w:ascii="Arial"/>
                <w:sz w:val="18"/>
              </w:rPr>
              <w:t>34.8%</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6" w:right="0"/>
              <w:jc w:val="left"/>
              <w:rPr>
                <w:rFonts w:ascii="Arial" w:hAnsi="Arial" w:cs="Arial" w:eastAsia="Arial" w:hint="default"/>
                <w:sz w:val="18"/>
                <w:szCs w:val="18"/>
              </w:rPr>
            </w:pPr>
            <w:r>
              <w:rPr>
                <w:rFonts w:ascii="Arial"/>
                <w:sz w:val="18"/>
              </w:rPr>
              <w:t>-8.32%</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82,751,631.1</w:t>
            </w:r>
          </w:p>
          <w:p>
            <w:pPr>
              <w:pStyle w:val="TableParagraph"/>
              <w:spacing w:line="240" w:lineRule="auto" w:before="105"/>
              <w:ind w:right="22"/>
              <w:jc w:val="right"/>
              <w:rPr>
                <w:rFonts w:ascii="Arial" w:hAnsi="Arial" w:cs="Arial" w:eastAsia="Arial" w:hint="default"/>
                <w:sz w:val="18"/>
                <w:szCs w:val="18"/>
              </w:rPr>
            </w:pPr>
            <w:r>
              <w:rPr>
                <w:rFonts w:ascii="Arial"/>
                <w:w w:val="99"/>
                <w:sz w:val="18"/>
              </w:rPr>
              <w:t>2</w:t>
            </w:r>
            <w:r>
              <w:rPr>
                <w:rFonts w:ascii="Arial"/>
                <w:sz w:val="18"/>
              </w:rPr>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1" w:right="0"/>
              <w:jc w:val="left"/>
              <w:rPr>
                <w:rFonts w:ascii="Arial" w:hAnsi="Arial" w:cs="Arial" w:eastAsia="Arial" w:hint="default"/>
                <w:sz w:val="18"/>
                <w:szCs w:val="18"/>
              </w:rPr>
            </w:pPr>
            <w:r>
              <w:rPr>
                <w:rFonts w:ascii="Arial"/>
                <w:sz w:val="18"/>
              </w:rPr>
              <w:t>9.02%</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85,059,569.3</w:t>
            </w:r>
          </w:p>
          <w:p>
            <w:pPr>
              <w:pStyle w:val="TableParagraph"/>
              <w:spacing w:line="240" w:lineRule="auto" w:before="105"/>
              <w:ind w:right="17"/>
              <w:jc w:val="right"/>
              <w:rPr>
                <w:rFonts w:ascii="Arial" w:hAnsi="Arial" w:cs="Arial" w:eastAsia="Arial" w:hint="default"/>
                <w:sz w:val="18"/>
                <w:szCs w:val="18"/>
              </w:rPr>
            </w:pPr>
            <w:r>
              <w:rPr>
                <w:rFonts w:ascii="Arial"/>
                <w:w w:val="99"/>
                <w:sz w:val="18"/>
              </w:rPr>
              <w:t>9</w:t>
            </w:r>
            <w:r>
              <w:rPr>
                <w:rFonts w:ascii="Arial"/>
                <w:sz w:val="18"/>
              </w:rPr>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25" w:right="0"/>
              <w:jc w:val="left"/>
              <w:rPr>
                <w:rFonts w:ascii="Arial" w:hAnsi="Arial" w:cs="Arial" w:eastAsia="Arial" w:hint="default"/>
                <w:sz w:val="18"/>
                <w:szCs w:val="18"/>
              </w:rPr>
            </w:pPr>
            <w:r>
              <w:rPr>
                <w:rFonts w:ascii="Arial"/>
                <w:sz w:val="18"/>
              </w:rPr>
              <w:t>19.42%</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6" w:right="0"/>
              <w:jc w:val="left"/>
              <w:rPr>
                <w:rFonts w:ascii="Arial" w:hAnsi="Arial" w:cs="Arial" w:eastAsia="Arial" w:hint="default"/>
                <w:sz w:val="18"/>
                <w:szCs w:val="18"/>
              </w:rPr>
            </w:pPr>
            <w:r>
              <w:rPr>
                <w:rFonts w:ascii="Arial"/>
                <w:sz w:val="18"/>
              </w:rPr>
              <w:t>-10.4%</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0%</w:t>
            </w:r>
            <w:r>
              <w:rPr>
                <w:rFonts w:ascii="Arial"/>
                <w:sz w:val="18"/>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4"/>
              <w:jc w:val="right"/>
              <w:rPr>
                <w:rFonts w:ascii="Arial" w:hAnsi="Arial" w:cs="Arial" w:eastAsia="Arial" w:hint="default"/>
                <w:sz w:val="18"/>
                <w:szCs w:val="18"/>
              </w:rPr>
            </w:pPr>
            <w:r>
              <w:rPr>
                <w:rFonts w:ascii="Arial"/>
                <w:w w:val="95"/>
                <w:sz w:val="18"/>
              </w:rPr>
              <w:t>0%</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0%</w:t>
            </w:r>
            <w:r>
              <w:rPr>
                <w:rFonts w:ascii="Arial"/>
                <w:sz w:val="18"/>
              </w:rPr>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0.33%</w:t>
            </w:r>
            <w:r>
              <w:rPr>
                <w:rFonts w:ascii="Arial"/>
                <w:sz w:val="18"/>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3,000,000.00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w w:val="95"/>
                <w:sz w:val="18"/>
              </w:rPr>
              <w:t>0.68%</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-0.35%</w:t>
            </w:r>
            <w:r>
              <w:rPr>
                <w:rFonts w:ascii="Arial"/>
                <w:sz w:val="18"/>
              </w:rPr>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24,605,852.7</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1" w:right="0"/>
              <w:jc w:val="left"/>
              <w:rPr>
                <w:rFonts w:ascii="Arial" w:hAnsi="Arial" w:cs="Arial" w:eastAsia="Arial" w:hint="default"/>
                <w:sz w:val="18"/>
                <w:szCs w:val="18"/>
              </w:rPr>
            </w:pPr>
            <w:r>
              <w:rPr>
                <w:rFonts w:ascii="Arial"/>
                <w:sz w:val="18"/>
              </w:rPr>
              <w:t>2.68%</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 w:right="0"/>
              <w:jc w:val="left"/>
              <w:rPr>
                <w:rFonts w:ascii="Arial" w:hAnsi="Arial" w:cs="Arial" w:eastAsia="Arial" w:hint="default"/>
                <w:sz w:val="18"/>
                <w:szCs w:val="18"/>
              </w:rPr>
            </w:pPr>
            <w:r>
              <w:rPr>
                <w:rFonts w:ascii="Arial"/>
                <w:sz w:val="18"/>
              </w:rPr>
              <w:t>24,993,465.11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3" w:right="0"/>
              <w:jc w:val="left"/>
              <w:rPr>
                <w:rFonts w:ascii="Arial" w:hAnsi="Arial" w:cs="Arial" w:eastAsia="Arial" w:hint="default"/>
                <w:sz w:val="18"/>
                <w:szCs w:val="18"/>
              </w:rPr>
            </w:pPr>
            <w:r>
              <w:rPr>
                <w:rFonts w:ascii="Arial"/>
                <w:sz w:val="18"/>
              </w:rPr>
              <w:t>5.71%</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6" w:right="0"/>
              <w:jc w:val="left"/>
              <w:rPr>
                <w:rFonts w:ascii="Arial" w:hAnsi="Arial" w:cs="Arial" w:eastAsia="Arial" w:hint="default"/>
                <w:sz w:val="18"/>
                <w:szCs w:val="18"/>
              </w:rPr>
            </w:pPr>
            <w:r>
              <w:rPr>
                <w:rFonts w:ascii="Arial"/>
                <w:sz w:val="18"/>
              </w:rPr>
              <w:t>-3.03%</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72,430,176.4</w:t>
            </w:r>
          </w:p>
          <w:p>
            <w:pPr>
              <w:pStyle w:val="TableParagraph"/>
              <w:spacing w:line="240" w:lineRule="auto" w:before="105"/>
              <w:ind w:right="22"/>
              <w:jc w:val="right"/>
              <w:rPr>
                <w:rFonts w:ascii="Arial" w:hAnsi="Arial" w:cs="Arial" w:eastAsia="Arial" w:hint="default"/>
                <w:sz w:val="18"/>
                <w:szCs w:val="18"/>
              </w:rPr>
            </w:pPr>
            <w:r>
              <w:rPr>
                <w:rFonts w:ascii="Arial"/>
                <w:w w:val="99"/>
                <w:sz w:val="18"/>
              </w:rPr>
              <w:t>7</w:t>
            </w:r>
            <w:r>
              <w:rPr>
                <w:rFonts w:ascii="Arial"/>
                <w:sz w:val="18"/>
              </w:rPr>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22" w:right="0"/>
              <w:jc w:val="left"/>
              <w:rPr>
                <w:rFonts w:ascii="Arial" w:hAnsi="Arial" w:cs="Arial" w:eastAsia="Arial" w:hint="default"/>
                <w:sz w:val="18"/>
                <w:szCs w:val="18"/>
              </w:rPr>
            </w:pPr>
            <w:r>
              <w:rPr>
                <w:rFonts w:ascii="Arial"/>
                <w:sz w:val="18"/>
              </w:rPr>
              <w:t>7.9%</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3" w:right="0"/>
              <w:jc w:val="left"/>
              <w:rPr>
                <w:rFonts w:ascii="Arial" w:hAnsi="Arial" w:cs="Arial" w:eastAsia="Arial" w:hint="default"/>
                <w:sz w:val="18"/>
                <w:szCs w:val="18"/>
              </w:rPr>
            </w:pPr>
            <w:r>
              <w:rPr>
                <w:rFonts w:ascii="Arial"/>
                <w:sz w:val="18"/>
              </w:rPr>
              <w:t>389,736.00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3" w:right="0"/>
              <w:jc w:val="left"/>
              <w:rPr>
                <w:rFonts w:ascii="Arial" w:hAnsi="Arial" w:cs="Arial" w:eastAsia="Arial" w:hint="default"/>
                <w:sz w:val="18"/>
                <w:szCs w:val="18"/>
              </w:rPr>
            </w:pPr>
            <w:r>
              <w:rPr>
                <w:rFonts w:ascii="Arial"/>
                <w:sz w:val="18"/>
              </w:rPr>
              <w:t>0.09%</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56" w:right="0"/>
              <w:jc w:val="left"/>
              <w:rPr>
                <w:rFonts w:ascii="Arial" w:hAnsi="Arial" w:cs="Arial" w:eastAsia="Arial" w:hint="default"/>
                <w:sz w:val="18"/>
                <w:szCs w:val="18"/>
              </w:rPr>
            </w:pPr>
            <w:r>
              <w:rPr>
                <w:rFonts w:ascii="Arial"/>
                <w:sz w:val="18"/>
              </w:rPr>
              <w:t>7.81%</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rFonts w:ascii="Arial" w:hAnsi="Arial" w:cs="Arial" w:eastAsia="Arial" w:hint="default"/>
        </w:rPr>
        <w:t>2</w:t>
      </w:r>
      <w:r>
        <w:rPr/>
        <w:t>、负债项目重大变动情况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3"/>
        <w:gridCol w:w="1064"/>
        <w:gridCol w:w="799"/>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13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78" w:right="75" w:hanging="102"/>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Arial" w:hAnsi="Arial" w:cs="Arial" w:eastAsia="Arial"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79" w:right="72" w:hanging="101"/>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Arial" w:hAnsi="Arial" w:cs="Arial" w:eastAsia="Arial"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3" w:right="0"/>
              <w:jc w:val="left"/>
              <w:rPr>
                <w:rFonts w:ascii="Arial" w:hAnsi="Arial" w:cs="Arial" w:eastAsia="Arial" w:hint="default"/>
                <w:sz w:val="18"/>
                <w:szCs w:val="18"/>
              </w:rPr>
            </w:pPr>
            <w:r>
              <w:rPr>
                <w:rFonts w:ascii="Arial"/>
                <w:sz w:val="18"/>
              </w:rPr>
              <w:t>5,740,000.00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1" w:right="0"/>
              <w:jc w:val="left"/>
              <w:rPr>
                <w:rFonts w:ascii="Arial" w:hAnsi="Arial" w:cs="Arial" w:eastAsia="Arial" w:hint="default"/>
                <w:sz w:val="18"/>
                <w:szCs w:val="18"/>
              </w:rPr>
            </w:pPr>
            <w:r>
              <w:rPr>
                <w:rFonts w:ascii="Arial"/>
                <w:sz w:val="18"/>
              </w:rPr>
              <w:t>0.63%</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16,405,038.1</w:t>
            </w:r>
          </w:p>
          <w:p>
            <w:pPr>
              <w:pStyle w:val="TableParagraph"/>
              <w:spacing w:line="240" w:lineRule="auto" w:before="105"/>
              <w:ind w:right="17"/>
              <w:jc w:val="right"/>
              <w:rPr>
                <w:rFonts w:ascii="Arial" w:hAnsi="Arial" w:cs="Arial" w:eastAsia="Arial" w:hint="default"/>
                <w:sz w:val="18"/>
                <w:szCs w:val="18"/>
              </w:rPr>
            </w:pPr>
            <w:r>
              <w:rPr>
                <w:rFonts w:ascii="Arial"/>
                <w:w w:val="99"/>
                <w:sz w:val="18"/>
              </w:rPr>
              <w:t>2</w:t>
            </w:r>
            <w:r>
              <w:rPr>
                <w:rFonts w:ascii="Arial"/>
                <w:sz w:val="18"/>
              </w:rPr>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3" w:right="0"/>
              <w:jc w:val="left"/>
              <w:rPr>
                <w:rFonts w:ascii="Arial" w:hAnsi="Arial" w:cs="Arial" w:eastAsia="Arial" w:hint="default"/>
                <w:sz w:val="18"/>
                <w:szCs w:val="18"/>
              </w:rPr>
            </w:pPr>
            <w:r>
              <w:rPr>
                <w:rFonts w:ascii="Arial"/>
                <w:sz w:val="18"/>
              </w:rPr>
              <w:t>3.75%</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6" w:right="0"/>
              <w:jc w:val="left"/>
              <w:rPr>
                <w:rFonts w:ascii="Arial" w:hAnsi="Arial" w:cs="Arial" w:eastAsia="Arial" w:hint="default"/>
                <w:sz w:val="18"/>
                <w:szCs w:val="18"/>
              </w:rPr>
            </w:pPr>
            <w:r>
              <w:rPr>
                <w:rFonts w:ascii="Arial"/>
                <w:sz w:val="18"/>
              </w:rPr>
              <w:t>-3.12%</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8"/>
                <w:szCs w:val="18"/>
              </w:rPr>
            </w:pPr>
            <w:r>
              <w:rPr>
                <w:rFonts w:ascii="Arial"/>
                <w:w w:val="95"/>
                <w:sz w:val="18"/>
              </w:rPr>
              <w:t>0%</w:t>
            </w:r>
            <w:r>
              <w:rPr>
                <w:rFonts w:ascii="Arial"/>
                <w:sz w:val="18"/>
              </w:rPr>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1"/>
                <w:sz w:val="18"/>
              </w:rPr>
              <w:t>30,000,000.0</w:t>
            </w:r>
          </w:p>
          <w:p>
            <w:pPr>
              <w:pStyle w:val="TableParagraph"/>
              <w:spacing w:line="240" w:lineRule="auto" w:before="102"/>
              <w:ind w:right="17"/>
              <w:jc w:val="right"/>
              <w:rPr>
                <w:rFonts w:ascii="Arial" w:hAnsi="Arial" w:cs="Arial" w:eastAsia="Arial" w:hint="default"/>
                <w:sz w:val="18"/>
                <w:szCs w:val="18"/>
              </w:rPr>
            </w:pPr>
            <w:r>
              <w:rPr>
                <w:rFonts w:ascii="Arial"/>
                <w:w w:val="99"/>
                <w:sz w:val="18"/>
              </w:rPr>
              <w:t>0</w:t>
            </w:r>
            <w:r>
              <w:rPr>
                <w:rFonts w:ascii="Arial"/>
                <w:sz w:val="18"/>
              </w:rPr>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23" w:right="0"/>
              <w:jc w:val="left"/>
              <w:rPr>
                <w:rFonts w:ascii="Arial" w:hAnsi="Arial" w:cs="Arial" w:eastAsia="Arial" w:hint="default"/>
                <w:sz w:val="18"/>
                <w:szCs w:val="18"/>
              </w:rPr>
            </w:pPr>
            <w:r>
              <w:rPr>
                <w:rFonts w:ascii="Arial"/>
                <w:sz w:val="18"/>
              </w:rPr>
              <w:t>6.85%</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96" w:right="0"/>
              <w:jc w:val="left"/>
              <w:rPr>
                <w:rFonts w:ascii="Arial" w:hAnsi="Arial" w:cs="Arial" w:eastAsia="Arial" w:hint="default"/>
                <w:sz w:val="18"/>
                <w:szCs w:val="18"/>
              </w:rPr>
            </w:pPr>
            <w:r>
              <w:rPr>
                <w:rFonts w:ascii="Arial"/>
                <w:sz w:val="18"/>
              </w:rPr>
              <w:t>-6.85%</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21"/>
        <w:jc w:val="left"/>
        <w:rPr>
          <w:b w:val="0"/>
          <w:bCs w:val="0"/>
        </w:rPr>
      </w:pPr>
      <w:r>
        <w:rPr/>
        <w:t>五、核心竞争力分析</w:t>
      </w:r>
      <w:r>
        <w:rPr>
          <w:b w:val="0"/>
          <w:bCs w:val="0"/>
        </w:rPr>
      </w:r>
    </w:p>
    <w:p>
      <w:pPr>
        <w:pStyle w:val="BodyText"/>
        <w:spacing w:line="430" w:lineRule="atLeast" w:before="164"/>
        <w:ind w:left="453" w:right="1121"/>
        <w:jc w:val="left"/>
      </w:pPr>
      <w:r>
        <w:rPr>
          <w:rFonts w:ascii="宋体" w:hAnsi="宋体" w:cs="宋体" w:eastAsia="宋体" w:hint="default"/>
          <w:b/>
          <w:bCs/>
        </w:rPr>
        <w:t>（</w:t>
      </w:r>
      <w:r>
        <w:rPr>
          <w:rFonts w:ascii="Arial" w:hAnsi="Arial" w:cs="Arial" w:eastAsia="Arial" w:hint="default"/>
          <w:b/>
          <w:bCs/>
        </w:rPr>
        <w:t>1</w:t>
      </w:r>
      <w:r>
        <w:rPr>
          <w:rFonts w:ascii="宋体" w:hAnsi="宋体" w:cs="宋体" w:eastAsia="宋体" w:hint="default"/>
          <w:b/>
          <w:bCs/>
        </w:rPr>
        <w:t>）产品技术及性能优势</w:t>
      </w:r>
      <w:r>
        <w:rPr>
          <w:rFonts w:ascii="宋体" w:hAnsi="宋体" w:cs="宋体" w:eastAsia="宋体" w:hint="default"/>
          <w:b/>
          <w:bCs/>
          <w:w w:val="99"/>
        </w:rPr>
        <w:t> </w:t>
      </w:r>
      <w:r>
        <w:rPr>
          <w:spacing w:val="-1"/>
        </w:rPr>
        <w:t>公司作为国家级高新技术企业，建立了完善的研发及激励机制，始终重视研发工作，坚持</w:t>
      </w:r>
      <w:r>
        <w:rPr>
          <w:rFonts w:ascii="Arial" w:hAnsi="Arial" w:cs="Arial" w:eastAsia="Arial" w:hint="default"/>
          <w:spacing w:val="-1"/>
        </w:rPr>
        <w:t>“</w:t>
      </w:r>
      <w:r>
        <w:rPr>
          <w:spacing w:val="-1"/>
        </w:rPr>
        <w:t>先走一步</w:t>
      </w:r>
      <w:r>
        <w:rPr>
          <w:rFonts w:ascii="Arial" w:hAnsi="Arial" w:cs="Arial" w:eastAsia="Arial" w:hint="default"/>
          <w:spacing w:val="-1"/>
        </w:rPr>
        <w:t>”</w:t>
      </w:r>
      <w:r>
        <w:rPr>
          <w:spacing w:val="-1"/>
        </w:rPr>
        <w:t>的研发理念和</w:t>
      </w:r>
      <w:r>
        <w:rPr>
          <w:rFonts w:ascii="Arial" w:hAnsi="Arial" w:cs="Arial" w:eastAsia="Arial" w:hint="default"/>
          <w:spacing w:val="-1"/>
        </w:rPr>
        <w:t>“</w:t>
      </w:r>
      <w:r>
        <w:rPr>
          <w:spacing w:val="-1"/>
        </w:rPr>
        <w:t>生产</w:t>
      </w:r>
    </w:p>
    <w:p>
      <w:pPr>
        <w:pStyle w:val="BodyText"/>
        <w:spacing w:line="302" w:lineRule="auto" w:before="63"/>
        <w:ind w:right="1042"/>
        <w:jc w:val="left"/>
      </w:pPr>
      <w:r>
        <w:rPr/>
        <w:t>一代、改进一代、构思一代</w:t>
      </w:r>
      <w:r>
        <w:rPr>
          <w:rFonts w:ascii="Arial" w:hAnsi="Arial" w:cs="Arial" w:eastAsia="Arial" w:hint="default"/>
        </w:rPr>
        <w:t>”</w:t>
      </w:r>
      <w:r>
        <w:rPr/>
        <w:t>的新产品开发方针，充分把握市场和产品方向，在产品研发方面取得较大成功。公司研发团队</w:t>
      </w:r>
      <w:r>
        <w:rPr>
          <w:spacing w:val="-58"/>
        </w:rPr>
        <w:t> </w:t>
      </w:r>
      <w:r>
        <w:rPr>
          <w:spacing w:val="-58"/>
        </w:rPr>
      </w:r>
      <w:r>
        <w:rPr>
          <w:spacing w:val="-3"/>
        </w:rPr>
        <w:t>通过不断的自主研发和技术创新，目前已经拥有谐振技术（零电压与零电流开关技术）、准谐振技术</w:t>
      </w:r>
      <w:r>
        <w:rPr>
          <w:rFonts w:ascii="Arial" w:hAnsi="Arial" w:cs="Arial" w:eastAsia="Arial" w:hint="default"/>
          <w:spacing w:val="-3"/>
        </w:rPr>
        <w:t>(</w:t>
      </w:r>
      <w:r>
        <w:rPr>
          <w:spacing w:val="-3"/>
        </w:rPr>
        <w:t>谷底</w:t>
      </w:r>
      <w:r>
        <w:rPr>
          <w:rFonts w:ascii="Arial" w:hAnsi="Arial" w:cs="Arial" w:eastAsia="Arial" w:hint="default"/>
          <w:spacing w:val="-3"/>
        </w:rPr>
        <w:t>/</w:t>
      </w:r>
      <w:r>
        <w:rPr>
          <w:spacing w:val="-3"/>
        </w:rPr>
        <w:t>零电压开关技术</w:t>
      </w:r>
      <w:r>
        <w:rPr>
          <w:rFonts w:ascii="Arial" w:hAnsi="Arial" w:cs="Arial" w:eastAsia="Arial" w:hint="default"/>
          <w:spacing w:val="-3"/>
        </w:rPr>
        <w:t>)</w:t>
      </w:r>
      <w:r>
        <w:rPr>
          <w:spacing w:val="-3"/>
        </w:rPr>
        <w:t>、</w:t>
      </w:r>
      <w:r>
        <w:rPr>
          <w:spacing w:val="-81"/>
        </w:rPr>
        <w:t> </w:t>
      </w:r>
      <w:r>
        <w:rPr/>
        <w:t>低功率频率反走技术、交错式主动</w:t>
      </w:r>
      <w:r>
        <w:rPr>
          <w:rFonts w:ascii="Arial" w:hAnsi="Arial" w:cs="Arial" w:eastAsia="Arial" w:hint="default"/>
        </w:rPr>
        <w:t>PFC</w:t>
      </w:r>
      <w:r>
        <w:rPr/>
        <w:t>谐振技术、</w:t>
      </w:r>
      <w:r>
        <w:rPr>
          <w:rFonts w:ascii="Arial" w:hAnsi="Arial" w:cs="Arial" w:eastAsia="Arial" w:hint="default"/>
        </w:rPr>
        <w:t>0-CV</w:t>
      </w:r>
      <w:r>
        <w:rPr/>
        <w:t>上限电压电流可调技术、集中冗余式智能控制技术、零光衰自动补</w:t>
      </w:r>
      <w:r>
        <w:rPr>
          <w:spacing w:val="-48"/>
        </w:rPr>
        <w:t> </w:t>
      </w:r>
      <w:r>
        <w:rPr>
          <w:spacing w:val="-48"/>
        </w:rPr>
      </w:r>
      <w:r>
        <w:rPr/>
        <w:t>偿技术等行业内领先的电源相关核心技术。截至披露日，公司已获国家知识产权局授权的专利</w:t>
      </w:r>
      <w:r>
        <w:rPr>
          <w:rFonts w:ascii="Arial" w:hAnsi="Arial" w:cs="Arial" w:eastAsia="Arial" w:hint="default"/>
        </w:rPr>
        <w:t>85</w:t>
      </w:r>
      <w:r>
        <w:rPr/>
        <w:t>项，其中发明专利</w:t>
      </w:r>
      <w:r>
        <w:rPr>
          <w:rFonts w:ascii="Arial" w:hAnsi="Arial" w:cs="Arial" w:eastAsia="Arial" w:hint="default"/>
        </w:rPr>
        <w:t>6</w:t>
      </w:r>
      <w:r>
        <w:rPr/>
        <w:t>项，实 用新型专利</w:t>
      </w:r>
      <w:r>
        <w:rPr>
          <w:spacing w:val="-14"/>
        </w:rPr>
        <w:t> </w:t>
      </w:r>
      <w:r>
        <w:rPr>
          <w:rFonts w:ascii="Arial" w:hAnsi="Arial" w:cs="Arial" w:eastAsia="Arial" w:hint="default"/>
        </w:rPr>
        <w:t>63</w:t>
      </w:r>
      <w:r>
        <w:rPr/>
        <w:t>项，外观专利</w:t>
      </w:r>
      <w:r>
        <w:rPr>
          <w:rFonts w:ascii="Arial" w:hAnsi="Arial" w:cs="Arial" w:eastAsia="Arial" w:hint="default"/>
        </w:rPr>
        <w:t>16</w:t>
      </w:r>
      <w:r>
        <w:rPr/>
        <w:t>项。</w:t>
      </w:r>
    </w:p>
    <w:p>
      <w:pPr>
        <w:pStyle w:val="BodyText"/>
        <w:spacing w:line="240" w:lineRule="auto" w:before="11"/>
        <w:ind w:left="453" w:right="1121"/>
        <w:jc w:val="left"/>
      </w:pPr>
      <w:r>
        <w:rPr/>
        <w:t>发明专利：</w:t>
      </w:r>
    </w:p>
    <w:p>
      <w:pPr>
        <w:spacing w:line="240" w:lineRule="auto" w:before="3"/>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879"/>
        <w:gridCol w:w="2547"/>
        <w:gridCol w:w="1080"/>
        <w:gridCol w:w="1815"/>
        <w:gridCol w:w="2326"/>
        <w:gridCol w:w="1080"/>
      </w:tblGrid>
      <w:tr>
        <w:trPr>
          <w:trHeight w:val="432" w:hRule="exact"/>
        </w:trPr>
        <w:tc>
          <w:tcPr>
            <w:tcW w:w="8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5"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25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专利名称</w:t>
            </w:r>
            <w:r>
              <w:rPr>
                <w:rFonts w:ascii="宋体" w:hAnsi="宋体" w:cs="宋体" w:eastAsia="宋体"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b/>
                <w:bCs/>
                <w:sz w:val="20"/>
                <w:szCs w:val="20"/>
              </w:rPr>
              <w:t>专利类型</w:t>
            </w:r>
            <w:r>
              <w:rPr>
                <w:rFonts w:ascii="宋体" w:hAnsi="宋体" w:cs="宋体" w:eastAsia="宋体" w:hint="default"/>
                <w:sz w:val="20"/>
                <w:szCs w:val="20"/>
              </w:rPr>
            </w:r>
          </w:p>
        </w:tc>
        <w:tc>
          <w:tcPr>
            <w:tcW w:w="18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124" w:right="0"/>
              <w:jc w:val="left"/>
              <w:rPr>
                <w:rFonts w:ascii="宋体" w:hAnsi="宋体" w:cs="宋体" w:eastAsia="宋体" w:hint="default"/>
                <w:sz w:val="20"/>
                <w:szCs w:val="20"/>
              </w:rPr>
            </w:pPr>
            <w:r>
              <w:rPr>
                <w:rFonts w:ascii="宋体" w:hAnsi="宋体" w:cs="宋体" w:eastAsia="宋体" w:hint="default"/>
                <w:b/>
                <w:bCs/>
                <w:sz w:val="20"/>
                <w:szCs w:val="20"/>
              </w:rPr>
              <w:t>ZL</w:t>
            </w:r>
            <w:r>
              <w:rPr>
                <w:rFonts w:ascii="宋体" w:hAnsi="宋体" w:cs="宋体" w:eastAsia="宋体" w:hint="default"/>
                <w:b/>
                <w:bCs/>
                <w:spacing w:val="-53"/>
                <w:sz w:val="20"/>
                <w:szCs w:val="20"/>
              </w:rPr>
              <w:t> </w:t>
            </w:r>
            <w:r>
              <w:rPr>
                <w:rFonts w:ascii="宋体" w:hAnsi="宋体" w:cs="宋体" w:eastAsia="宋体" w:hint="default"/>
                <w:b/>
                <w:bCs/>
                <w:sz w:val="20"/>
                <w:szCs w:val="20"/>
              </w:rPr>
              <w:t>专利号</w:t>
            </w:r>
            <w:r>
              <w:rPr>
                <w:rFonts w:ascii="宋体" w:hAnsi="宋体" w:cs="宋体" w:eastAsia="宋体" w:hint="default"/>
                <w:b/>
                <w:bCs/>
                <w:sz w:val="20"/>
                <w:szCs w:val="20"/>
              </w:rPr>
              <w:t>/</w:t>
            </w:r>
            <w:r>
              <w:rPr>
                <w:rFonts w:ascii="宋体" w:hAnsi="宋体" w:cs="宋体" w:eastAsia="宋体" w:hint="default"/>
                <w:b/>
                <w:bCs/>
                <w:sz w:val="20"/>
                <w:szCs w:val="20"/>
              </w:rPr>
              <w:t>申请号</w:t>
            </w:r>
            <w:r>
              <w:rPr>
                <w:rFonts w:ascii="宋体" w:hAnsi="宋体" w:cs="宋体" w:eastAsia="宋体" w:hint="default"/>
                <w:sz w:val="20"/>
                <w:szCs w:val="20"/>
              </w:rPr>
            </w:r>
          </w:p>
        </w:tc>
        <w:tc>
          <w:tcPr>
            <w:tcW w:w="23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756" w:right="0"/>
              <w:jc w:val="left"/>
              <w:rPr>
                <w:rFonts w:ascii="宋体" w:hAnsi="宋体" w:cs="宋体" w:eastAsia="宋体" w:hint="default"/>
                <w:sz w:val="20"/>
                <w:szCs w:val="20"/>
              </w:rPr>
            </w:pPr>
            <w:r>
              <w:rPr>
                <w:rFonts w:ascii="宋体" w:hAnsi="宋体" w:cs="宋体" w:eastAsia="宋体" w:hint="default"/>
                <w:b/>
                <w:bCs/>
                <w:sz w:val="20"/>
                <w:szCs w:val="20"/>
              </w:rPr>
              <w:t>取得日期</w:t>
            </w:r>
            <w:r>
              <w:rPr>
                <w:rFonts w:ascii="宋体" w:hAnsi="宋体" w:cs="宋体" w:eastAsia="宋体"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b/>
                <w:bCs/>
                <w:sz w:val="20"/>
                <w:szCs w:val="20"/>
              </w:rPr>
              <w:t>权利期限</w:t>
            </w:r>
            <w:r>
              <w:rPr>
                <w:rFonts w:ascii="宋体" w:hAnsi="宋体" w:cs="宋体" w:eastAsia="宋体" w:hint="default"/>
                <w:sz w:val="20"/>
                <w:szCs w:val="20"/>
              </w:rPr>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w w:val="99"/>
                <w:sz w:val="20"/>
              </w:rPr>
              <w:t>1</w:t>
            </w:r>
            <w:r>
              <w:rPr>
                <w:rFonts w:ascii="宋体"/>
                <w:sz w:val="20"/>
              </w:rPr>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五电平高频直流变换装置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65"/>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sz w:val="20"/>
              </w:rPr>
              <w:t>ZL200410073412.4</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946" w:hRule="exact"/>
        </w:trPr>
        <w:tc>
          <w:tcPr>
            <w:tcW w:w="8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w w:val="99"/>
                <w:sz w:val="20"/>
              </w:rPr>
              <w:t>2</w:t>
            </w:r>
            <w:r>
              <w:rPr>
                <w:rFonts w:ascii="宋体"/>
                <w:sz w:val="20"/>
              </w:rPr>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232"/>
              <w:jc w:val="both"/>
              <w:rPr>
                <w:rFonts w:ascii="宋体" w:hAnsi="宋体" w:cs="宋体" w:eastAsia="宋体" w:hint="default"/>
                <w:sz w:val="20"/>
                <w:szCs w:val="20"/>
              </w:rPr>
            </w:pPr>
            <w:r>
              <w:rPr>
                <w:rFonts w:ascii="宋体" w:hAnsi="宋体" w:cs="宋体" w:eastAsia="宋体" w:hint="default"/>
                <w:sz w:val="20"/>
                <w:szCs w:val="20"/>
              </w:rPr>
              <w:t>一种无变压器的串联有源</w:t>
            </w:r>
            <w:r>
              <w:rPr>
                <w:rFonts w:ascii="宋体" w:hAnsi="宋体" w:cs="宋体" w:eastAsia="宋体" w:hint="default"/>
                <w:w w:val="99"/>
                <w:sz w:val="20"/>
                <w:szCs w:val="20"/>
              </w:rPr>
              <w:t> </w:t>
            </w:r>
            <w:r>
              <w:rPr>
                <w:rFonts w:ascii="宋体" w:hAnsi="宋体" w:cs="宋体" w:eastAsia="宋体" w:hint="default"/>
                <w:sz w:val="20"/>
                <w:szCs w:val="20"/>
              </w:rPr>
              <w:t>交流电压质量调节器及控</w:t>
            </w:r>
            <w:r>
              <w:rPr>
                <w:rFonts w:ascii="宋体" w:hAnsi="宋体" w:cs="宋体" w:eastAsia="宋体" w:hint="default"/>
                <w:w w:val="99"/>
                <w:sz w:val="20"/>
                <w:szCs w:val="20"/>
              </w:rPr>
              <w:t> </w:t>
            </w:r>
            <w:r>
              <w:rPr>
                <w:rFonts w:ascii="宋体" w:hAnsi="宋体" w:cs="宋体" w:eastAsia="宋体" w:hint="default"/>
                <w:sz w:val="20"/>
                <w:szCs w:val="20"/>
              </w:rPr>
              <w:t>制方法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65"/>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sz w:val="20"/>
              </w:rPr>
              <w:t>ZL200610041914.8</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10</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8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0"/>
              <w:jc w:val="center"/>
              <w:rPr>
                <w:rFonts w:ascii="宋体" w:hAnsi="宋体" w:cs="宋体" w:eastAsia="宋体" w:hint="default"/>
                <w:sz w:val="20"/>
                <w:szCs w:val="20"/>
              </w:rPr>
            </w:pPr>
            <w:r>
              <w:rPr>
                <w:rFonts w:ascii="宋体"/>
                <w:w w:val="99"/>
                <w:sz w:val="20"/>
              </w:rPr>
              <w:t>3</w:t>
            </w:r>
            <w:r>
              <w:rPr>
                <w:rFonts w:ascii="宋体"/>
                <w:sz w:val="20"/>
              </w:rPr>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231"/>
              <w:jc w:val="left"/>
              <w:rPr>
                <w:rFonts w:ascii="宋体" w:hAnsi="宋体" w:cs="宋体" w:eastAsia="宋体" w:hint="default"/>
                <w:sz w:val="20"/>
                <w:szCs w:val="20"/>
              </w:rPr>
            </w:pPr>
            <w:r>
              <w:rPr>
                <w:rFonts w:ascii="宋体" w:hAnsi="宋体" w:cs="宋体" w:eastAsia="宋体" w:hint="default"/>
                <w:sz w:val="20"/>
                <w:szCs w:val="20"/>
              </w:rPr>
              <w:t>一种</w:t>
            </w:r>
            <w:r>
              <w:rPr>
                <w:rFonts w:ascii="宋体" w:hAnsi="宋体" w:cs="宋体" w:eastAsia="宋体" w:hint="default"/>
                <w:spacing w:val="-52"/>
                <w:sz w:val="20"/>
                <w:szCs w:val="20"/>
              </w:rPr>
              <w:t> </w:t>
            </w:r>
            <w:r>
              <w:rPr>
                <w:rFonts w:ascii="宋体" w:hAnsi="宋体" w:cs="宋体" w:eastAsia="宋体" w:hint="default"/>
                <w:sz w:val="20"/>
                <w:szCs w:val="20"/>
              </w:rPr>
              <w:t>Boost</w:t>
            </w:r>
            <w:r>
              <w:rPr>
                <w:rFonts w:ascii="宋体" w:hAnsi="宋体" w:cs="宋体" w:eastAsia="宋体" w:hint="default"/>
                <w:spacing w:val="-51"/>
                <w:sz w:val="20"/>
                <w:szCs w:val="20"/>
              </w:rPr>
              <w:t> </w:t>
            </w:r>
            <w:r>
              <w:rPr>
                <w:rFonts w:ascii="宋体" w:hAnsi="宋体" w:cs="宋体" w:eastAsia="宋体" w:hint="default"/>
                <w:sz w:val="20"/>
                <w:szCs w:val="20"/>
              </w:rPr>
              <w:t>型开关变换器</w:t>
            </w:r>
            <w:r>
              <w:rPr>
                <w:rFonts w:ascii="宋体" w:hAnsi="宋体" w:cs="宋体" w:eastAsia="宋体" w:hint="default"/>
                <w:w w:val="99"/>
                <w:sz w:val="20"/>
                <w:szCs w:val="20"/>
              </w:rPr>
              <w:t> </w:t>
            </w:r>
            <w:r>
              <w:rPr>
                <w:rFonts w:ascii="宋体" w:hAnsi="宋体" w:cs="宋体" w:eastAsia="宋体" w:hint="default"/>
                <w:sz w:val="20"/>
                <w:szCs w:val="20"/>
              </w:rPr>
              <w:t>的控制装置及控制方法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65"/>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sz w:val="20"/>
              </w:rPr>
              <w:t>ZL200810162782.3</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5"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w w:val="99"/>
                <w:sz w:val="20"/>
              </w:rPr>
              <w:t>4</w:t>
            </w:r>
            <w:r>
              <w:rPr>
                <w:rFonts w:ascii="宋体"/>
                <w:sz w:val="20"/>
              </w:rPr>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一种恒流源控制电路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65"/>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sz w:val="20"/>
              </w:rPr>
              <w:t>ZL200810163123.1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6" w:hRule="exact"/>
        </w:trPr>
        <w:tc>
          <w:tcPr>
            <w:tcW w:w="8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0"/>
              <w:ind w:right="0"/>
              <w:jc w:val="center"/>
              <w:rPr>
                <w:rFonts w:ascii="宋体" w:hAnsi="宋体" w:cs="宋体" w:eastAsia="宋体" w:hint="default"/>
                <w:sz w:val="20"/>
                <w:szCs w:val="20"/>
              </w:rPr>
            </w:pPr>
            <w:r>
              <w:rPr>
                <w:rFonts w:ascii="宋体"/>
                <w:w w:val="99"/>
                <w:sz w:val="20"/>
              </w:rPr>
              <w:t>5</w:t>
            </w:r>
            <w:r>
              <w:rPr>
                <w:rFonts w:ascii="宋体"/>
                <w:sz w:val="20"/>
              </w:rPr>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232"/>
              <w:jc w:val="left"/>
              <w:rPr>
                <w:rFonts w:ascii="宋体" w:hAnsi="宋体" w:cs="宋体" w:eastAsia="宋体" w:hint="default"/>
                <w:sz w:val="20"/>
                <w:szCs w:val="20"/>
              </w:rPr>
            </w:pPr>
            <w:r>
              <w:rPr>
                <w:rFonts w:ascii="宋体" w:hAnsi="宋体" w:cs="宋体" w:eastAsia="宋体" w:hint="default"/>
                <w:sz w:val="20"/>
                <w:szCs w:val="20"/>
              </w:rPr>
              <w:t>一种比例式电压跟随器及</w:t>
            </w:r>
            <w:r>
              <w:rPr>
                <w:rFonts w:ascii="宋体" w:hAnsi="宋体" w:cs="宋体" w:eastAsia="宋体" w:hint="default"/>
                <w:w w:val="99"/>
                <w:sz w:val="20"/>
                <w:szCs w:val="20"/>
              </w:rPr>
              <w:t> </w:t>
            </w:r>
            <w:r>
              <w:rPr>
                <w:rFonts w:ascii="宋体" w:hAnsi="宋体" w:cs="宋体" w:eastAsia="宋体" w:hint="default"/>
                <w:sz w:val="20"/>
                <w:szCs w:val="20"/>
              </w:rPr>
              <w:t>采用该跟随器的恒流电源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65"/>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sz w:val="20"/>
              </w:rPr>
              <w:t>ZL201110028125.1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26</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8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0"/>
              <w:jc w:val="center"/>
              <w:rPr>
                <w:rFonts w:ascii="宋体" w:hAnsi="宋体" w:cs="宋体" w:eastAsia="宋体" w:hint="default"/>
                <w:sz w:val="20"/>
                <w:szCs w:val="20"/>
              </w:rPr>
            </w:pPr>
            <w:r>
              <w:rPr>
                <w:rFonts w:ascii="宋体"/>
                <w:w w:val="99"/>
                <w:sz w:val="20"/>
              </w:rPr>
              <w:t>6</w:t>
            </w:r>
            <w:r>
              <w:rPr>
                <w:rFonts w:ascii="宋体"/>
                <w:sz w:val="20"/>
              </w:rPr>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231"/>
              <w:jc w:val="left"/>
              <w:rPr>
                <w:rFonts w:ascii="宋体" w:hAnsi="宋体" w:cs="宋体" w:eastAsia="宋体" w:hint="default"/>
                <w:sz w:val="20"/>
                <w:szCs w:val="20"/>
              </w:rPr>
            </w:pPr>
            <w:r>
              <w:rPr>
                <w:rFonts w:ascii="宋体" w:hAnsi="宋体" w:cs="宋体" w:eastAsia="宋体" w:hint="default"/>
                <w:sz w:val="20"/>
                <w:szCs w:val="20"/>
              </w:rPr>
              <w:t>一种</w:t>
            </w:r>
            <w:r>
              <w:rPr>
                <w:rFonts w:ascii="宋体" w:hAnsi="宋体" w:cs="宋体" w:eastAsia="宋体" w:hint="default"/>
                <w:spacing w:val="-52"/>
                <w:sz w:val="20"/>
                <w:szCs w:val="20"/>
              </w:rPr>
              <w:t> </w:t>
            </w:r>
            <w:r>
              <w:rPr>
                <w:rFonts w:ascii="宋体" w:hAnsi="宋体" w:cs="宋体" w:eastAsia="宋体" w:hint="default"/>
                <w:sz w:val="20"/>
                <w:szCs w:val="20"/>
              </w:rPr>
              <w:t>LED</w:t>
            </w:r>
            <w:r>
              <w:rPr>
                <w:rFonts w:ascii="宋体" w:hAnsi="宋体" w:cs="宋体" w:eastAsia="宋体" w:hint="default"/>
                <w:spacing w:val="-51"/>
                <w:sz w:val="20"/>
                <w:szCs w:val="20"/>
              </w:rPr>
              <w:t> </w:t>
            </w:r>
            <w:r>
              <w:rPr>
                <w:rFonts w:ascii="宋体" w:hAnsi="宋体" w:cs="宋体" w:eastAsia="宋体" w:hint="default"/>
                <w:sz w:val="20"/>
                <w:szCs w:val="20"/>
              </w:rPr>
              <w:t>恒流源输出短路</w:t>
            </w:r>
            <w:r>
              <w:rPr>
                <w:rFonts w:ascii="宋体" w:hAnsi="宋体" w:cs="宋体" w:eastAsia="宋体" w:hint="default"/>
                <w:w w:val="99"/>
                <w:sz w:val="20"/>
                <w:szCs w:val="20"/>
              </w:rPr>
              <w:t> </w:t>
            </w:r>
            <w:r>
              <w:rPr>
                <w:rFonts w:ascii="宋体" w:hAnsi="宋体" w:cs="宋体" w:eastAsia="宋体" w:hint="default"/>
                <w:sz w:val="20"/>
                <w:szCs w:val="20"/>
              </w:rPr>
              <w:t>保护电路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65"/>
              <w:jc w:val="center"/>
              <w:rPr>
                <w:rFonts w:ascii="宋体" w:hAnsi="宋体" w:cs="宋体" w:eastAsia="宋体" w:hint="default"/>
                <w:sz w:val="20"/>
                <w:szCs w:val="20"/>
              </w:rPr>
            </w:pPr>
            <w:r>
              <w:rPr>
                <w:rFonts w:ascii="宋体" w:hAnsi="宋体" w:cs="宋体" w:eastAsia="宋体" w:hint="default"/>
                <w:sz w:val="20"/>
                <w:szCs w:val="20"/>
              </w:rPr>
              <w:t>发明专利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sz w:val="20"/>
              </w:rPr>
              <w:t>ZL201010151363.7</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28</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r>
    </w:tbl>
    <w:p>
      <w:pPr>
        <w:spacing w:line="240" w:lineRule="auto" w:before="1"/>
        <w:rPr>
          <w:rFonts w:ascii="宋体" w:hAnsi="宋体" w:cs="宋体" w:eastAsia="宋体" w:hint="default"/>
          <w:sz w:val="21"/>
          <w:szCs w:val="21"/>
        </w:rPr>
      </w:pPr>
    </w:p>
    <w:p>
      <w:pPr>
        <w:pStyle w:val="BodyText"/>
        <w:spacing w:line="240" w:lineRule="auto" w:before="44"/>
        <w:ind w:left="453" w:right="1121"/>
        <w:jc w:val="left"/>
      </w:pPr>
      <w:r>
        <w:rPr/>
        <w:t>实用新型专利：</w:t>
      </w:r>
    </w:p>
    <w:p>
      <w:pPr>
        <w:spacing w:line="240" w:lineRule="auto" w:before="3"/>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905"/>
        <w:gridCol w:w="2521"/>
        <w:gridCol w:w="1080"/>
        <w:gridCol w:w="1817"/>
        <w:gridCol w:w="2324"/>
        <w:gridCol w:w="1080"/>
      </w:tblGrid>
      <w:tr>
        <w:trPr>
          <w:trHeight w:val="413"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2"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25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b/>
                <w:bCs/>
                <w:sz w:val="20"/>
                <w:szCs w:val="20"/>
              </w:rPr>
              <w:t>专利名称</w:t>
            </w:r>
            <w:r>
              <w:rPr>
                <w:rFonts w:ascii="宋体" w:hAnsi="宋体" w:cs="宋体" w:eastAsia="宋体"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131" w:right="0"/>
              <w:jc w:val="left"/>
              <w:rPr>
                <w:rFonts w:ascii="宋体" w:hAnsi="宋体" w:cs="宋体" w:eastAsia="宋体" w:hint="default"/>
                <w:sz w:val="20"/>
                <w:szCs w:val="20"/>
              </w:rPr>
            </w:pPr>
            <w:r>
              <w:rPr>
                <w:rFonts w:ascii="宋体" w:hAnsi="宋体" w:cs="宋体" w:eastAsia="宋体" w:hint="default"/>
                <w:b/>
                <w:bCs/>
                <w:sz w:val="20"/>
                <w:szCs w:val="20"/>
              </w:rPr>
              <w:t>专利类型</w:t>
            </w:r>
            <w:r>
              <w:rPr>
                <w:rFonts w:ascii="宋体" w:hAnsi="宋体" w:cs="宋体" w:eastAsia="宋体" w:hint="default"/>
                <w:sz w:val="20"/>
                <w:szCs w:val="20"/>
              </w:rPr>
            </w:r>
          </w:p>
        </w:tc>
        <w:tc>
          <w:tcPr>
            <w:tcW w:w="18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right="123"/>
              <w:jc w:val="right"/>
              <w:rPr>
                <w:rFonts w:ascii="宋体" w:hAnsi="宋体" w:cs="宋体" w:eastAsia="宋体" w:hint="default"/>
                <w:sz w:val="20"/>
                <w:szCs w:val="20"/>
              </w:rPr>
            </w:pPr>
            <w:r>
              <w:rPr>
                <w:rFonts w:ascii="宋体" w:hAnsi="宋体" w:cs="宋体" w:eastAsia="宋体" w:hint="default"/>
                <w:b/>
                <w:bCs/>
                <w:sz w:val="20"/>
                <w:szCs w:val="20"/>
              </w:rPr>
              <w:t>ZL</w:t>
            </w:r>
            <w:r>
              <w:rPr>
                <w:rFonts w:ascii="宋体" w:hAnsi="宋体" w:cs="宋体" w:eastAsia="宋体" w:hint="default"/>
                <w:b/>
                <w:bCs/>
                <w:spacing w:val="-53"/>
                <w:sz w:val="20"/>
                <w:szCs w:val="20"/>
              </w:rPr>
              <w:t> </w:t>
            </w:r>
            <w:r>
              <w:rPr>
                <w:rFonts w:ascii="宋体" w:hAnsi="宋体" w:cs="宋体" w:eastAsia="宋体" w:hint="default"/>
                <w:b/>
                <w:bCs/>
                <w:sz w:val="20"/>
                <w:szCs w:val="20"/>
              </w:rPr>
              <w:t>专利号</w:t>
            </w:r>
            <w:r>
              <w:rPr>
                <w:rFonts w:ascii="宋体" w:hAnsi="宋体" w:cs="宋体" w:eastAsia="宋体" w:hint="default"/>
                <w:b/>
                <w:bCs/>
                <w:sz w:val="20"/>
                <w:szCs w:val="20"/>
              </w:rPr>
              <w:t>/</w:t>
            </w:r>
            <w:r>
              <w:rPr>
                <w:rFonts w:ascii="宋体" w:hAnsi="宋体" w:cs="宋体" w:eastAsia="宋体" w:hint="default"/>
                <w:b/>
                <w:bCs/>
                <w:sz w:val="20"/>
                <w:szCs w:val="20"/>
              </w:rPr>
              <w:t>申请号</w:t>
            </w:r>
            <w:r>
              <w:rPr>
                <w:rFonts w:ascii="宋体" w:hAnsi="宋体" w:cs="宋体" w:eastAsia="宋体" w:hint="default"/>
                <w:sz w:val="20"/>
                <w:szCs w:val="20"/>
              </w:rPr>
            </w:r>
          </w:p>
        </w:tc>
        <w:tc>
          <w:tcPr>
            <w:tcW w:w="232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753" w:right="0"/>
              <w:jc w:val="left"/>
              <w:rPr>
                <w:rFonts w:ascii="宋体" w:hAnsi="宋体" w:cs="宋体" w:eastAsia="宋体" w:hint="default"/>
                <w:sz w:val="20"/>
                <w:szCs w:val="20"/>
              </w:rPr>
            </w:pPr>
            <w:r>
              <w:rPr>
                <w:rFonts w:ascii="宋体" w:hAnsi="宋体" w:cs="宋体" w:eastAsia="宋体" w:hint="default"/>
                <w:b/>
                <w:bCs/>
                <w:sz w:val="20"/>
                <w:szCs w:val="20"/>
              </w:rPr>
              <w:t>取得日期</w:t>
            </w:r>
            <w:r>
              <w:rPr>
                <w:rFonts w:ascii="宋体" w:hAnsi="宋体" w:cs="宋体" w:eastAsia="宋体"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b/>
                <w:bCs/>
                <w:sz w:val="20"/>
                <w:szCs w:val="20"/>
              </w:rPr>
              <w:t>权利期限</w:t>
            </w:r>
            <w:r>
              <w:rPr>
                <w:rFonts w:ascii="宋体" w:hAnsi="宋体" w:cs="宋体" w:eastAsia="宋体" w:hint="default"/>
                <w:sz w:val="20"/>
                <w:szCs w:val="20"/>
              </w:rPr>
            </w:r>
          </w:p>
        </w:tc>
      </w:tr>
      <w:tr>
        <w:trPr>
          <w:trHeight w:val="509"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5"/>
              <w:ind w:right="1"/>
              <w:jc w:val="center"/>
              <w:rPr>
                <w:rFonts w:ascii="宋体" w:hAnsi="宋体" w:cs="宋体" w:eastAsia="宋体" w:hint="default"/>
                <w:sz w:val="20"/>
                <w:szCs w:val="20"/>
              </w:rPr>
            </w:pPr>
            <w:r>
              <w:rPr>
                <w:rFonts w:ascii="宋体"/>
                <w:w w:val="99"/>
                <w:sz w:val="20"/>
              </w:rPr>
              <w:t>1</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可更换插头的开关电源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20"/>
                <w:szCs w:val="20"/>
              </w:rPr>
            </w:pPr>
            <w:r>
              <w:rPr>
                <w:rFonts w:ascii="宋体"/>
                <w:w w:val="95"/>
                <w:sz w:val="20"/>
              </w:rPr>
              <w:t>ZL200620016422.9</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1"/>
              <w:jc w:val="center"/>
              <w:rPr>
                <w:rFonts w:ascii="宋体" w:hAnsi="宋体" w:cs="宋体" w:eastAsia="宋体" w:hint="default"/>
                <w:sz w:val="20"/>
                <w:szCs w:val="20"/>
              </w:rPr>
            </w:pPr>
            <w:r>
              <w:rPr>
                <w:rFonts w:ascii="宋体"/>
                <w:w w:val="99"/>
                <w:sz w:val="20"/>
              </w:rPr>
              <w:t>2</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7"/>
              <w:jc w:val="left"/>
              <w:rPr>
                <w:rFonts w:ascii="宋体" w:hAnsi="宋体" w:cs="宋体" w:eastAsia="宋体" w:hint="default"/>
                <w:sz w:val="20"/>
                <w:szCs w:val="20"/>
              </w:rPr>
            </w:pPr>
            <w:r>
              <w:rPr>
                <w:rFonts w:ascii="宋体" w:hAnsi="宋体" w:cs="宋体" w:eastAsia="宋体" w:hint="default"/>
                <w:sz w:val="20"/>
                <w:szCs w:val="20"/>
              </w:rPr>
              <w:t>独立前置的</w:t>
            </w:r>
            <w:r>
              <w:rPr>
                <w:rFonts w:ascii="宋体" w:hAnsi="宋体" w:cs="宋体" w:eastAsia="宋体" w:hint="default"/>
                <w:spacing w:val="-52"/>
                <w:sz w:val="20"/>
                <w:szCs w:val="20"/>
              </w:rPr>
              <w:t> </w:t>
            </w:r>
            <w:r>
              <w:rPr>
                <w:rFonts w:ascii="宋体" w:hAnsi="宋体" w:cs="宋体" w:eastAsia="宋体" w:hint="default"/>
                <w:sz w:val="20"/>
                <w:szCs w:val="20"/>
              </w:rPr>
              <w:t>LED</w:t>
            </w:r>
            <w:r>
              <w:rPr>
                <w:rFonts w:ascii="宋体" w:hAnsi="宋体" w:cs="宋体" w:eastAsia="宋体" w:hint="default"/>
                <w:spacing w:val="-51"/>
                <w:sz w:val="20"/>
                <w:szCs w:val="20"/>
              </w:rPr>
              <w:t> </w:t>
            </w:r>
            <w:r>
              <w:rPr>
                <w:rFonts w:ascii="宋体" w:hAnsi="宋体" w:cs="宋体" w:eastAsia="宋体" w:hint="default"/>
                <w:sz w:val="20"/>
                <w:szCs w:val="20"/>
              </w:rPr>
              <w:t>恒流智能</w:t>
            </w:r>
            <w:r>
              <w:rPr>
                <w:rFonts w:ascii="宋体" w:hAnsi="宋体" w:cs="宋体" w:eastAsia="宋体" w:hint="default"/>
                <w:w w:val="99"/>
                <w:sz w:val="20"/>
                <w:szCs w:val="20"/>
              </w:rPr>
              <w:t> </w:t>
            </w:r>
            <w:r>
              <w:rPr>
                <w:rFonts w:ascii="宋体" w:hAnsi="宋体" w:cs="宋体" w:eastAsia="宋体" w:hint="default"/>
                <w:sz w:val="20"/>
                <w:szCs w:val="20"/>
              </w:rPr>
              <w:t>供电装置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ZL200920130143.9</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16</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1"/>
              <w:jc w:val="center"/>
              <w:rPr>
                <w:rFonts w:ascii="宋体" w:hAnsi="宋体" w:cs="宋体" w:eastAsia="宋体" w:hint="default"/>
                <w:sz w:val="20"/>
                <w:szCs w:val="20"/>
              </w:rPr>
            </w:pPr>
            <w:r>
              <w:rPr>
                <w:rFonts w:ascii="宋体"/>
                <w:w w:val="99"/>
                <w:sz w:val="20"/>
              </w:rPr>
              <w:t>3</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4"/>
              <w:jc w:val="left"/>
              <w:rPr>
                <w:rFonts w:ascii="宋体" w:hAnsi="宋体" w:cs="宋体" w:eastAsia="宋体" w:hint="default"/>
                <w:sz w:val="20"/>
                <w:szCs w:val="20"/>
              </w:rPr>
            </w:pPr>
            <w:r>
              <w:rPr>
                <w:rFonts w:ascii="宋体" w:hAnsi="宋体" w:cs="宋体" w:eastAsia="宋体" w:hint="default"/>
                <w:sz w:val="20"/>
                <w:szCs w:val="20"/>
              </w:rPr>
              <w:t>电力载波无级调光</w:t>
            </w:r>
            <w:r>
              <w:rPr>
                <w:rFonts w:ascii="宋体" w:hAnsi="宋体" w:cs="宋体" w:eastAsia="宋体" w:hint="default"/>
                <w:spacing w:val="-51"/>
                <w:sz w:val="20"/>
                <w:szCs w:val="20"/>
              </w:rPr>
              <w:t> </w:t>
            </w:r>
            <w:r>
              <w:rPr>
                <w:rFonts w:ascii="宋体" w:hAnsi="宋体" w:cs="宋体" w:eastAsia="宋体" w:hint="default"/>
                <w:sz w:val="20"/>
                <w:szCs w:val="20"/>
              </w:rPr>
              <w:t>LED</w:t>
            </w:r>
            <w:r>
              <w:rPr>
                <w:rFonts w:ascii="宋体" w:hAnsi="宋体" w:cs="宋体" w:eastAsia="宋体" w:hint="default"/>
                <w:spacing w:val="-51"/>
                <w:sz w:val="20"/>
                <w:szCs w:val="20"/>
              </w:rPr>
              <w:t> </w:t>
            </w:r>
            <w:r>
              <w:rPr>
                <w:rFonts w:ascii="宋体" w:hAnsi="宋体" w:cs="宋体" w:eastAsia="宋体" w:hint="default"/>
                <w:sz w:val="20"/>
                <w:szCs w:val="20"/>
              </w:rPr>
              <w:t>多</w:t>
            </w:r>
            <w:r>
              <w:rPr>
                <w:rFonts w:ascii="宋体" w:hAnsi="宋体" w:cs="宋体" w:eastAsia="宋体" w:hint="default"/>
                <w:w w:val="99"/>
                <w:sz w:val="20"/>
                <w:szCs w:val="20"/>
              </w:rPr>
              <w:t> </w:t>
            </w:r>
            <w:r>
              <w:rPr>
                <w:rFonts w:ascii="宋体" w:hAnsi="宋体" w:cs="宋体" w:eastAsia="宋体" w:hint="default"/>
                <w:sz w:val="20"/>
                <w:szCs w:val="20"/>
              </w:rPr>
              <w:t>路驱动恒流系统及控制器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ZL200920306872.5</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28</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1"/>
              <w:jc w:val="center"/>
              <w:rPr>
                <w:rFonts w:ascii="宋体" w:hAnsi="宋体" w:cs="宋体" w:eastAsia="宋体" w:hint="default"/>
                <w:sz w:val="20"/>
                <w:szCs w:val="20"/>
              </w:rPr>
            </w:pPr>
            <w:r>
              <w:rPr>
                <w:rFonts w:ascii="宋体"/>
                <w:w w:val="99"/>
                <w:sz w:val="20"/>
              </w:rPr>
              <w:t>4</w:t>
            </w:r>
            <w:r>
              <w:rPr>
                <w:rFonts w:ascii="宋体"/>
                <w:sz w:val="20"/>
              </w:rPr>
            </w:r>
          </w:p>
        </w:tc>
        <w:tc>
          <w:tcPr>
            <w:tcW w:w="2521" w:type="dxa"/>
            <w:tcBorders>
              <w:top w:val="single" w:sz="4" w:space="0" w:color="000000"/>
              <w:left w:val="single" w:sz="4" w:space="0" w:color="000000"/>
              <w:bottom w:val="nil" w:sz="6" w:space="0" w:color="auto"/>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基于被动式红外线智能控</w:t>
            </w:r>
            <w:r>
              <w:rPr>
                <w:rFonts w:ascii="宋体" w:hAnsi="宋体" w:cs="宋体" w:eastAsia="宋体" w:hint="default"/>
                <w:w w:val="99"/>
                <w:sz w:val="20"/>
                <w:szCs w:val="20"/>
              </w:rPr>
              <w:t> </w:t>
            </w:r>
            <w:r>
              <w:rPr>
                <w:rFonts w:ascii="宋体" w:hAnsi="宋体" w:cs="宋体" w:eastAsia="宋体" w:hint="default"/>
                <w:sz w:val="20"/>
                <w:szCs w:val="20"/>
              </w:rPr>
              <w:t>制的电源及系统</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ZL200920206148.5</w:t>
            </w:r>
            <w:r>
              <w:rPr>
                <w:rFonts w:ascii="宋体"/>
                <w:sz w:val="20"/>
              </w:rPr>
            </w:r>
          </w:p>
        </w:tc>
        <w:tc>
          <w:tcPr>
            <w:tcW w:w="23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bl>
    <w:p>
      <w:pPr>
        <w:spacing w:after="0" w:line="240" w:lineRule="auto"/>
        <w:jc w:val="center"/>
        <w:rPr>
          <w:rFonts w:ascii="宋体" w:hAnsi="宋体" w:cs="宋体" w:eastAsia="宋体" w:hint="default"/>
          <w:sz w:val="20"/>
          <w:szCs w:val="20"/>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905"/>
        <w:gridCol w:w="2521"/>
        <w:gridCol w:w="1080"/>
        <w:gridCol w:w="1817"/>
        <w:gridCol w:w="2324"/>
        <w:gridCol w:w="1080"/>
      </w:tblGrid>
      <w:tr>
        <w:trPr>
          <w:trHeight w:val="509"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5"/>
              <w:ind w:left="396" w:right="0"/>
              <w:jc w:val="left"/>
              <w:rPr>
                <w:rFonts w:ascii="宋体" w:hAnsi="宋体" w:cs="宋体" w:eastAsia="宋体" w:hint="default"/>
                <w:sz w:val="20"/>
                <w:szCs w:val="20"/>
              </w:rPr>
            </w:pPr>
            <w:r>
              <w:rPr>
                <w:rFonts w:ascii="宋体"/>
                <w:w w:val="99"/>
                <w:sz w:val="20"/>
              </w:rPr>
              <w:t>5</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路灯远程控制系统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20"/>
                <w:szCs w:val="20"/>
              </w:rPr>
            </w:pPr>
            <w:r>
              <w:rPr>
                <w:rFonts w:ascii="宋体"/>
                <w:w w:val="95"/>
                <w:sz w:val="20"/>
              </w:rPr>
              <w:t>ZL200920206240.1</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left="396" w:right="0"/>
              <w:jc w:val="left"/>
              <w:rPr>
                <w:rFonts w:ascii="宋体" w:hAnsi="宋体" w:cs="宋体" w:eastAsia="宋体" w:hint="default"/>
                <w:sz w:val="20"/>
                <w:szCs w:val="20"/>
              </w:rPr>
            </w:pPr>
            <w:r>
              <w:rPr>
                <w:rFonts w:ascii="宋体"/>
                <w:w w:val="99"/>
                <w:sz w:val="20"/>
              </w:rPr>
              <w:t>6</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基于主动式红外线智能控</w:t>
            </w:r>
            <w:r>
              <w:rPr>
                <w:rFonts w:ascii="宋体" w:hAnsi="宋体" w:cs="宋体" w:eastAsia="宋体" w:hint="default"/>
                <w:w w:val="99"/>
                <w:sz w:val="20"/>
                <w:szCs w:val="20"/>
              </w:rPr>
              <w:t> </w:t>
            </w:r>
            <w:r>
              <w:rPr>
                <w:rFonts w:ascii="宋体" w:hAnsi="宋体" w:cs="宋体" w:eastAsia="宋体" w:hint="default"/>
                <w:sz w:val="20"/>
                <w:szCs w:val="20"/>
              </w:rPr>
              <w:t>制的电源及系统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ZL200920206149.X</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25</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left="396" w:right="0"/>
              <w:jc w:val="left"/>
              <w:rPr>
                <w:rFonts w:ascii="宋体" w:hAnsi="宋体" w:cs="宋体" w:eastAsia="宋体" w:hint="default"/>
                <w:sz w:val="20"/>
                <w:szCs w:val="20"/>
              </w:rPr>
            </w:pPr>
            <w:r>
              <w:rPr>
                <w:rFonts w:ascii="宋体"/>
                <w:w w:val="99"/>
                <w:sz w:val="20"/>
              </w:rPr>
              <w:t>7</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7"/>
              <w:jc w:val="left"/>
              <w:rPr>
                <w:rFonts w:ascii="宋体" w:hAnsi="宋体" w:cs="宋体" w:eastAsia="宋体" w:hint="default"/>
                <w:sz w:val="20"/>
                <w:szCs w:val="20"/>
              </w:rPr>
            </w:pPr>
            <w:r>
              <w:rPr>
                <w:rFonts w:ascii="宋体" w:hAnsi="宋体" w:cs="宋体" w:eastAsia="宋体" w:hint="default"/>
                <w:sz w:val="20"/>
                <w:szCs w:val="20"/>
              </w:rPr>
              <w:t>远程无级调光</w:t>
            </w:r>
            <w:r>
              <w:rPr>
                <w:rFonts w:ascii="宋体" w:hAnsi="宋体" w:cs="宋体" w:eastAsia="宋体" w:hint="default"/>
                <w:spacing w:val="-52"/>
                <w:sz w:val="20"/>
                <w:szCs w:val="20"/>
              </w:rPr>
              <w:t> </w:t>
            </w:r>
            <w:r>
              <w:rPr>
                <w:rFonts w:ascii="宋体" w:hAnsi="宋体" w:cs="宋体" w:eastAsia="宋体" w:hint="default"/>
                <w:sz w:val="20"/>
                <w:szCs w:val="20"/>
              </w:rPr>
              <w:t>LED</w:t>
            </w:r>
            <w:r>
              <w:rPr>
                <w:rFonts w:ascii="宋体" w:hAnsi="宋体" w:cs="宋体" w:eastAsia="宋体" w:hint="default"/>
                <w:spacing w:val="-51"/>
                <w:sz w:val="20"/>
                <w:szCs w:val="20"/>
              </w:rPr>
              <w:t> </w:t>
            </w:r>
            <w:r>
              <w:rPr>
                <w:rFonts w:ascii="宋体" w:hAnsi="宋体" w:cs="宋体" w:eastAsia="宋体" w:hint="default"/>
                <w:sz w:val="20"/>
                <w:szCs w:val="20"/>
              </w:rPr>
              <w:t>多路驱</w:t>
            </w:r>
            <w:r>
              <w:rPr>
                <w:rFonts w:ascii="宋体" w:hAnsi="宋体" w:cs="宋体" w:eastAsia="宋体" w:hint="default"/>
                <w:w w:val="99"/>
                <w:sz w:val="20"/>
                <w:szCs w:val="20"/>
              </w:rPr>
              <w:t> </w:t>
            </w:r>
            <w:r>
              <w:rPr>
                <w:rFonts w:ascii="宋体" w:hAnsi="宋体" w:cs="宋体" w:eastAsia="宋体" w:hint="default"/>
                <w:sz w:val="20"/>
                <w:szCs w:val="20"/>
              </w:rPr>
              <w:t>动恒流系统及恒流源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ZL200920306886.7</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509"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8"/>
              <w:ind w:left="396" w:right="0"/>
              <w:jc w:val="left"/>
              <w:rPr>
                <w:rFonts w:ascii="宋体" w:hAnsi="宋体" w:cs="宋体" w:eastAsia="宋体" w:hint="default"/>
                <w:sz w:val="20"/>
                <w:szCs w:val="20"/>
              </w:rPr>
            </w:pPr>
            <w:r>
              <w:rPr>
                <w:rFonts w:ascii="宋体"/>
                <w:w w:val="99"/>
                <w:sz w:val="20"/>
              </w:rPr>
              <w:t>8</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电力线载波路由装置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20"/>
                <w:szCs w:val="20"/>
              </w:rPr>
            </w:pPr>
            <w:r>
              <w:rPr>
                <w:rFonts w:ascii="宋体"/>
                <w:w w:val="95"/>
                <w:sz w:val="20"/>
              </w:rPr>
              <w:t>ZL200920206114.6</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511"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8"/>
              <w:ind w:left="396" w:right="0"/>
              <w:jc w:val="left"/>
              <w:rPr>
                <w:rFonts w:ascii="宋体" w:hAnsi="宋体" w:cs="宋体" w:eastAsia="宋体" w:hint="default"/>
                <w:sz w:val="20"/>
                <w:szCs w:val="20"/>
              </w:rPr>
            </w:pPr>
            <w:r>
              <w:rPr>
                <w:rFonts w:ascii="宋体"/>
                <w:w w:val="99"/>
                <w:sz w:val="20"/>
              </w:rPr>
              <w:t>9</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照明集中控制系统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20"/>
                <w:szCs w:val="20"/>
              </w:rPr>
            </w:pPr>
            <w:r>
              <w:rPr>
                <w:rFonts w:ascii="宋体"/>
                <w:w w:val="95"/>
                <w:sz w:val="20"/>
              </w:rPr>
              <w:t>ZL201020117391.2</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509"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5"/>
              <w:ind w:left="348" w:right="0"/>
              <w:jc w:val="left"/>
              <w:rPr>
                <w:rFonts w:ascii="宋体" w:hAnsi="宋体" w:cs="宋体" w:eastAsia="宋体" w:hint="default"/>
                <w:sz w:val="20"/>
                <w:szCs w:val="20"/>
              </w:rPr>
            </w:pPr>
            <w:r>
              <w:rPr>
                <w:rFonts w:ascii="宋体"/>
                <w:sz w:val="20"/>
              </w:rPr>
              <w:t>10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一种连接器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20"/>
                <w:szCs w:val="20"/>
              </w:rPr>
            </w:pPr>
            <w:r>
              <w:rPr>
                <w:rFonts w:ascii="宋体"/>
                <w:w w:val="95"/>
                <w:sz w:val="20"/>
              </w:rPr>
              <w:t>ZL201020056586.0</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509"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5"/>
              <w:ind w:left="348" w:right="0"/>
              <w:jc w:val="left"/>
              <w:rPr>
                <w:rFonts w:ascii="宋体" w:hAnsi="宋体" w:cs="宋体" w:eastAsia="宋体" w:hint="default"/>
                <w:sz w:val="20"/>
                <w:szCs w:val="20"/>
              </w:rPr>
            </w:pPr>
            <w:r>
              <w:rPr>
                <w:rFonts w:ascii="宋体"/>
                <w:sz w:val="20"/>
              </w:rPr>
              <w:t>11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顶针式通用电源适配器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20"/>
                <w:szCs w:val="20"/>
              </w:rPr>
            </w:pPr>
            <w:r>
              <w:rPr>
                <w:rFonts w:ascii="宋体"/>
                <w:w w:val="95"/>
                <w:sz w:val="20"/>
              </w:rPr>
              <w:t>ZL201020240448.8</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left="348" w:right="0"/>
              <w:jc w:val="left"/>
              <w:rPr>
                <w:rFonts w:ascii="宋体" w:hAnsi="宋体" w:cs="宋体" w:eastAsia="宋体" w:hint="default"/>
                <w:sz w:val="20"/>
                <w:szCs w:val="20"/>
              </w:rPr>
            </w:pPr>
            <w:r>
              <w:rPr>
                <w:rFonts w:ascii="宋体"/>
                <w:sz w:val="20"/>
              </w:rPr>
              <w:t>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准谐振技术的高效开关电</w:t>
            </w:r>
            <w:r>
              <w:rPr>
                <w:rFonts w:ascii="宋体" w:hAnsi="宋体" w:cs="宋体" w:eastAsia="宋体" w:hint="default"/>
                <w:w w:val="99"/>
                <w:sz w:val="20"/>
                <w:szCs w:val="20"/>
              </w:rPr>
              <w:t> </w:t>
            </w:r>
            <w:r>
              <w:rPr>
                <w:rFonts w:ascii="宋体" w:hAnsi="宋体" w:cs="宋体" w:eastAsia="宋体" w:hint="default"/>
                <w:sz w:val="20"/>
                <w:szCs w:val="20"/>
              </w:rPr>
              <w:t>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ZL201020297437.3</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left="348" w:right="0"/>
              <w:jc w:val="left"/>
              <w:rPr>
                <w:rFonts w:ascii="宋体" w:hAnsi="宋体" w:cs="宋体" w:eastAsia="宋体" w:hint="default"/>
                <w:sz w:val="20"/>
                <w:szCs w:val="20"/>
              </w:rPr>
            </w:pPr>
            <w:r>
              <w:rPr>
                <w:rFonts w:ascii="宋体"/>
                <w:sz w:val="20"/>
              </w:rPr>
              <w:t>13</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7"/>
              <w:jc w:val="left"/>
              <w:rPr>
                <w:rFonts w:ascii="宋体" w:hAnsi="宋体" w:cs="宋体" w:eastAsia="宋体" w:hint="default"/>
                <w:sz w:val="20"/>
                <w:szCs w:val="20"/>
              </w:rPr>
            </w:pPr>
            <w:r>
              <w:rPr>
                <w:rFonts w:ascii="宋体" w:hAnsi="宋体" w:cs="宋体" w:eastAsia="宋体" w:hint="default"/>
                <w:sz w:val="20"/>
                <w:szCs w:val="20"/>
              </w:rPr>
              <w:t>集中控制</w:t>
            </w:r>
            <w:r>
              <w:rPr>
                <w:rFonts w:ascii="宋体" w:hAnsi="宋体" w:cs="宋体" w:eastAsia="宋体" w:hint="default"/>
                <w:spacing w:val="-52"/>
                <w:sz w:val="20"/>
                <w:szCs w:val="20"/>
              </w:rPr>
              <w:t> </w:t>
            </w:r>
            <w:r>
              <w:rPr>
                <w:rFonts w:ascii="宋体" w:hAnsi="宋体" w:cs="宋体" w:eastAsia="宋体" w:hint="default"/>
                <w:sz w:val="20"/>
                <w:szCs w:val="20"/>
              </w:rPr>
              <w:t>LED</w:t>
            </w:r>
            <w:r>
              <w:rPr>
                <w:rFonts w:ascii="宋体" w:hAnsi="宋体" w:cs="宋体" w:eastAsia="宋体" w:hint="default"/>
                <w:spacing w:val="-51"/>
                <w:sz w:val="20"/>
                <w:szCs w:val="20"/>
              </w:rPr>
              <w:t> </w:t>
            </w:r>
            <w:r>
              <w:rPr>
                <w:rFonts w:ascii="宋体" w:hAnsi="宋体" w:cs="宋体" w:eastAsia="宋体" w:hint="default"/>
                <w:sz w:val="20"/>
                <w:szCs w:val="20"/>
              </w:rPr>
              <w:t>路灯电源系</w:t>
            </w:r>
            <w:r>
              <w:rPr>
                <w:rFonts w:ascii="宋体" w:hAnsi="宋体" w:cs="宋体" w:eastAsia="宋体" w:hint="default"/>
                <w:w w:val="99"/>
                <w:sz w:val="20"/>
                <w:szCs w:val="20"/>
              </w:rPr>
              <w:t> </w:t>
            </w:r>
            <w:r>
              <w:rPr>
                <w:rFonts w:ascii="宋体" w:hAnsi="宋体" w:cs="宋体" w:eastAsia="宋体" w:hint="default"/>
                <w:sz w:val="20"/>
                <w:szCs w:val="20"/>
              </w:rPr>
              <w:t>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ZL201020550122.5</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20</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left="348" w:right="0"/>
              <w:jc w:val="left"/>
              <w:rPr>
                <w:rFonts w:ascii="宋体" w:hAnsi="宋体" w:cs="宋体" w:eastAsia="宋体" w:hint="default"/>
                <w:sz w:val="20"/>
                <w:szCs w:val="20"/>
              </w:rPr>
            </w:pPr>
            <w:r>
              <w:rPr>
                <w:rFonts w:ascii="宋体"/>
                <w:sz w:val="20"/>
              </w:rPr>
              <w:t>14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409"/>
              <w:jc w:val="left"/>
              <w:rPr>
                <w:rFonts w:ascii="宋体" w:hAnsi="宋体" w:cs="宋体" w:eastAsia="宋体" w:hint="default"/>
                <w:sz w:val="20"/>
                <w:szCs w:val="20"/>
              </w:rPr>
            </w:pPr>
            <w:r>
              <w:rPr>
                <w:rFonts w:ascii="宋体" w:hAnsi="宋体" w:cs="宋体" w:eastAsia="宋体" w:hint="default"/>
                <w:sz w:val="20"/>
                <w:szCs w:val="20"/>
              </w:rPr>
              <w:t>高敏度分体式电力载波</w:t>
            </w:r>
            <w:r>
              <w:rPr>
                <w:rFonts w:ascii="宋体" w:hAnsi="宋体" w:cs="宋体" w:eastAsia="宋体" w:hint="default"/>
                <w:w w:val="99"/>
                <w:sz w:val="20"/>
                <w:szCs w:val="20"/>
              </w:rPr>
              <w:t> </w:t>
            </w:r>
            <w:r>
              <w:rPr>
                <w:rFonts w:ascii="宋体" w:hAnsi="宋体" w:cs="宋体" w:eastAsia="宋体" w:hint="default"/>
                <w:sz w:val="20"/>
                <w:szCs w:val="20"/>
              </w:rPr>
              <w:t>LED</w:t>
            </w:r>
            <w:r>
              <w:rPr>
                <w:rFonts w:ascii="宋体" w:hAnsi="宋体" w:cs="宋体" w:eastAsia="宋体" w:hint="default"/>
                <w:spacing w:val="-52"/>
                <w:sz w:val="20"/>
                <w:szCs w:val="20"/>
              </w:rPr>
              <w:t> </w:t>
            </w:r>
            <w:r>
              <w:rPr>
                <w:rFonts w:ascii="宋体" w:hAnsi="宋体" w:cs="宋体" w:eastAsia="宋体" w:hint="default"/>
                <w:sz w:val="20"/>
                <w:szCs w:val="20"/>
              </w:rPr>
              <w:t>驱动电源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ZL201020516467.9</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509"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5"/>
              <w:ind w:left="348" w:right="0"/>
              <w:jc w:val="left"/>
              <w:rPr>
                <w:rFonts w:ascii="宋体" w:hAnsi="宋体" w:cs="宋体" w:eastAsia="宋体" w:hint="default"/>
                <w:sz w:val="20"/>
                <w:szCs w:val="20"/>
              </w:rPr>
            </w:pPr>
            <w:r>
              <w:rPr>
                <w:rFonts w:ascii="宋体"/>
                <w:sz w:val="20"/>
              </w:rPr>
              <w:t>15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一种简单实用的防雷电路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20"/>
                <w:szCs w:val="20"/>
              </w:rPr>
            </w:pPr>
            <w:r>
              <w:rPr>
                <w:rFonts w:ascii="宋体"/>
                <w:w w:val="95"/>
                <w:sz w:val="20"/>
              </w:rPr>
              <w:t>ZL201020550123.X</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left="348" w:right="0"/>
              <w:jc w:val="left"/>
              <w:rPr>
                <w:rFonts w:ascii="宋体" w:hAnsi="宋体" w:cs="宋体" w:eastAsia="宋体" w:hint="default"/>
                <w:sz w:val="20"/>
                <w:szCs w:val="20"/>
              </w:rPr>
            </w:pPr>
            <w:r>
              <w:rPr>
                <w:rFonts w:ascii="宋体"/>
                <w:sz w:val="20"/>
              </w:rPr>
              <w:t>16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一种高低压输入平衡功率</w:t>
            </w:r>
            <w:r>
              <w:rPr>
                <w:rFonts w:ascii="宋体" w:hAnsi="宋体" w:cs="宋体" w:eastAsia="宋体" w:hint="default"/>
                <w:w w:val="99"/>
                <w:sz w:val="20"/>
                <w:szCs w:val="20"/>
              </w:rPr>
              <w:t> </w:t>
            </w:r>
            <w:r>
              <w:rPr>
                <w:rFonts w:ascii="宋体" w:hAnsi="宋体" w:cs="宋体" w:eastAsia="宋体" w:hint="default"/>
                <w:sz w:val="20"/>
                <w:szCs w:val="20"/>
              </w:rPr>
              <w:t>因数校正电路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ZL201020565350.X</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511"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8"/>
              <w:ind w:left="348" w:right="0"/>
              <w:jc w:val="left"/>
              <w:rPr>
                <w:rFonts w:ascii="宋体" w:hAnsi="宋体" w:cs="宋体" w:eastAsia="宋体" w:hint="default"/>
                <w:sz w:val="20"/>
                <w:szCs w:val="20"/>
              </w:rPr>
            </w:pPr>
            <w:r>
              <w:rPr>
                <w:rFonts w:ascii="宋体"/>
                <w:sz w:val="20"/>
              </w:rPr>
              <w:t>17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一种交流跟随式调光电路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20"/>
                <w:szCs w:val="20"/>
              </w:rPr>
            </w:pPr>
            <w:r>
              <w:rPr>
                <w:rFonts w:ascii="宋体"/>
                <w:w w:val="95"/>
                <w:sz w:val="20"/>
              </w:rPr>
              <w:t>ZL201020565349.7</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18</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509"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6"/>
              <w:ind w:left="348" w:right="0"/>
              <w:jc w:val="left"/>
              <w:rPr>
                <w:rFonts w:ascii="宋体" w:hAnsi="宋体" w:cs="宋体" w:eastAsia="宋体" w:hint="default"/>
                <w:sz w:val="20"/>
                <w:szCs w:val="20"/>
              </w:rPr>
            </w:pPr>
            <w:r>
              <w:rPr>
                <w:rFonts w:ascii="宋体"/>
                <w:sz w:val="20"/>
              </w:rPr>
              <w:t>18</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0"/>
                <w:szCs w:val="20"/>
              </w:rPr>
            </w:pPr>
            <w:r>
              <w:rPr>
                <w:rFonts w:ascii="宋体" w:hAnsi="宋体" w:cs="宋体" w:eastAsia="宋体" w:hint="default"/>
                <w:sz w:val="20"/>
                <w:szCs w:val="20"/>
              </w:rPr>
              <w:t>原边控制技术的开关电源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0"/>
                <w:szCs w:val="20"/>
              </w:rPr>
            </w:pPr>
            <w:r>
              <w:rPr>
                <w:rFonts w:ascii="宋体"/>
                <w:w w:val="95"/>
                <w:sz w:val="20"/>
              </w:rPr>
              <w:t>ZL201020516833.0</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25</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946"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48" w:right="0"/>
              <w:jc w:val="left"/>
              <w:rPr>
                <w:rFonts w:ascii="宋体" w:hAnsi="宋体" w:cs="宋体" w:eastAsia="宋体" w:hint="default"/>
                <w:sz w:val="20"/>
                <w:szCs w:val="20"/>
              </w:rPr>
            </w:pPr>
            <w:r>
              <w:rPr>
                <w:rFonts w:ascii="宋体"/>
                <w:sz w:val="20"/>
              </w:rPr>
              <w:t>19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7"/>
              <w:jc w:val="both"/>
              <w:rPr>
                <w:rFonts w:ascii="宋体" w:hAnsi="宋体" w:cs="宋体" w:eastAsia="宋体" w:hint="default"/>
                <w:sz w:val="20"/>
                <w:szCs w:val="20"/>
              </w:rPr>
            </w:pPr>
            <w:r>
              <w:rPr>
                <w:rFonts w:ascii="宋体" w:hAnsi="宋体" w:cs="宋体" w:eastAsia="宋体" w:hint="default"/>
                <w:sz w:val="20"/>
                <w:szCs w:val="20"/>
              </w:rPr>
              <w:t>一种用于</w:t>
            </w:r>
            <w:r>
              <w:rPr>
                <w:rFonts w:ascii="宋体" w:hAnsi="宋体" w:cs="宋体" w:eastAsia="宋体" w:hint="default"/>
                <w:spacing w:val="-52"/>
                <w:sz w:val="20"/>
                <w:szCs w:val="20"/>
              </w:rPr>
              <w:t> </w:t>
            </w:r>
            <w:r>
              <w:rPr>
                <w:rFonts w:ascii="宋体" w:hAnsi="宋体" w:cs="宋体" w:eastAsia="宋体" w:hint="default"/>
                <w:sz w:val="20"/>
                <w:szCs w:val="20"/>
              </w:rPr>
              <w:t>LED</w:t>
            </w:r>
            <w:r>
              <w:rPr>
                <w:rFonts w:ascii="宋体" w:hAnsi="宋体" w:cs="宋体" w:eastAsia="宋体" w:hint="default"/>
                <w:spacing w:val="-51"/>
                <w:sz w:val="20"/>
                <w:szCs w:val="20"/>
              </w:rPr>
              <w:t> </w:t>
            </w:r>
            <w:r>
              <w:rPr>
                <w:rFonts w:ascii="宋体" w:hAnsi="宋体" w:cs="宋体" w:eastAsia="宋体" w:hint="default"/>
                <w:sz w:val="20"/>
                <w:szCs w:val="20"/>
              </w:rPr>
              <w:t>室内照明的</w:t>
            </w:r>
            <w:r>
              <w:rPr>
                <w:rFonts w:ascii="宋体" w:hAnsi="宋体" w:cs="宋体" w:eastAsia="宋体" w:hint="default"/>
                <w:w w:val="99"/>
                <w:sz w:val="20"/>
                <w:szCs w:val="20"/>
              </w:rPr>
              <w:t> </w:t>
            </w:r>
            <w:r>
              <w:rPr>
                <w:rFonts w:ascii="宋体" w:hAnsi="宋体" w:cs="宋体" w:eastAsia="宋体" w:hint="default"/>
                <w:sz w:val="20"/>
                <w:szCs w:val="20"/>
              </w:rPr>
              <w:t>可控硅调光的虚拟负载电</w:t>
            </w:r>
            <w:r>
              <w:rPr>
                <w:rFonts w:ascii="宋体" w:hAnsi="宋体" w:cs="宋体" w:eastAsia="宋体" w:hint="default"/>
                <w:w w:val="99"/>
                <w:sz w:val="20"/>
                <w:szCs w:val="20"/>
              </w:rPr>
              <w:t> </w:t>
            </w:r>
            <w:r>
              <w:rPr>
                <w:rFonts w:ascii="宋体" w:hAnsi="宋体" w:cs="宋体" w:eastAsia="宋体" w:hint="default"/>
                <w:sz w:val="20"/>
                <w:szCs w:val="20"/>
              </w:rPr>
              <w:t>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宋体" w:hAnsi="宋体" w:cs="宋体" w:eastAsia="宋体" w:hint="default"/>
                <w:sz w:val="20"/>
                <w:szCs w:val="20"/>
              </w:rPr>
            </w:pPr>
            <w:r>
              <w:rPr>
                <w:rFonts w:ascii="宋体"/>
                <w:w w:val="95"/>
                <w:sz w:val="20"/>
              </w:rPr>
              <w:t>ZL201020606760.4</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6</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left="348" w:right="0"/>
              <w:jc w:val="left"/>
              <w:rPr>
                <w:rFonts w:ascii="宋体" w:hAnsi="宋体" w:cs="宋体" w:eastAsia="宋体" w:hint="default"/>
                <w:sz w:val="20"/>
                <w:szCs w:val="20"/>
              </w:rPr>
            </w:pPr>
            <w:r>
              <w:rPr>
                <w:rFonts w:ascii="宋体"/>
                <w:sz w:val="20"/>
              </w:rPr>
              <w:t>20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一种全桥辅助供电稳压电</w:t>
            </w:r>
            <w:r>
              <w:rPr>
                <w:rFonts w:ascii="宋体" w:hAnsi="宋体" w:cs="宋体" w:eastAsia="宋体" w:hint="default"/>
                <w:w w:val="99"/>
                <w:sz w:val="20"/>
                <w:szCs w:val="20"/>
              </w:rPr>
              <w:t> </w:t>
            </w:r>
            <w:r>
              <w:rPr>
                <w:rFonts w:ascii="宋体" w:hAnsi="宋体" w:cs="宋体" w:eastAsia="宋体" w:hint="default"/>
                <w:sz w:val="20"/>
                <w:szCs w:val="20"/>
              </w:rPr>
              <w:t>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ZL201020661014.5</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6</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left="348" w:right="0"/>
              <w:jc w:val="left"/>
              <w:rPr>
                <w:rFonts w:ascii="宋体" w:hAnsi="宋体" w:cs="宋体" w:eastAsia="宋体" w:hint="default"/>
                <w:sz w:val="20"/>
                <w:szCs w:val="20"/>
              </w:rPr>
            </w:pPr>
            <w:r>
              <w:rPr>
                <w:rFonts w:ascii="宋体"/>
                <w:sz w:val="20"/>
              </w:rPr>
              <w:t>21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一种单相串并联复合式抗</w:t>
            </w:r>
            <w:r>
              <w:rPr>
                <w:rFonts w:ascii="宋体" w:hAnsi="宋体" w:cs="宋体" w:eastAsia="宋体" w:hint="default"/>
                <w:w w:val="99"/>
                <w:sz w:val="20"/>
                <w:szCs w:val="20"/>
              </w:rPr>
              <w:t> </w:t>
            </w:r>
            <w:r>
              <w:rPr>
                <w:rFonts w:ascii="宋体" w:hAnsi="宋体" w:cs="宋体" w:eastAsia="宋体" w:hint="default"/>
                <w:sz w:val="20"/>
                <w:szCs w:val="20"/>
              </w:rPr>
              <w:t>雷击浪涌电路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ZL201020660961.2</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6</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left="348" w:right="0"/>
              <w:jc w:val="left"/>
              <w:rPr>
                <w:rFonts w:ascii="宋体" w:hAnsi="宋体" w:cs="宋体" w:eastAsia="宋体" w:hint="default"/>
                <w:sz w:val="20"/>
                <w:szCs w:val="20"/>
              </w:rPr>
            </w:pPr>
            <w:r>
              <w:rPr>
                <w:rFonts w:ascii="宋体"/>
                <w:sz w:val="20"/>
              </w:rPr>
              <w:t>22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8"/>
              <w:jc w:val="left"/>
              <w:rPr>
                <w:rFonts w:ascii="宋体" w:hAnsi="宋体" w:cs="宋体" w:eastAsia="宋体" w:hint="default"/>
                <w:sz w:val="20"/>
                <w:szCs w:val="20"/>
              </w:rPr>
            </w:pPr>
            <w:r>
              <w:rPr>
                <w:rFonts w:ascii="宋体" w:hAnsi="宋体" w:cs="宋体" w:eastAsia="宋体" w:hint="default"/>
                <w:sz w:val="20"/>
                <w:szCs w:val="20"/>
              </w:rPr>
              <w:t>一种简单实用的尖峰吸收、</w:t>
            </w:r>
            <w:r>
              <w:rPr>
                <w:rFonts w:ascii="宋体" w:hAnsi="宋体" w:cs="宋体" w:eastAsia="宋体" w:hint="default"/>
                <w:w w:val="99"/>
                <w:sz w:val="20"/>
                <w:szCs w:val="20"/>
              </w:rPr>
              <w:t> </w:t>
            </w:r>
            <w:r>
              <w:rPr>
                <w:rFonts w:ascii="宋体" w:hAnsi="宋体" w:cs="宋体" w:eastAsia="宋体" w:hint="default"/>
                <w:sz w:val="20"/>
                <w:szCs w:val="20"/>
              </w:rPr>
              <w:t>滤波电路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ZL201020661012.6</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left="348" w:right="0"/>
              <w:jc w:val="left"/>
              <w:rPr>
                <w:rFonts w:ascii="宋体" w:hAnsi="宋体" w:cs="宋体" w:eastAsia="宋体" w:hint="default"/>
                <w:sz w:val="20"/>
                <w:szCs w:val="20"/>
              </w:rPr>
            </w:pPr>
            <w:r>
              <w:rPr>
                <w:rFonts w:ascii="宋体"/>
                <w:sz w:val="20"/>
              </w:rPr>
              <w:t>23</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一种采用简单实用的输出</w:t>
            </w:r>
            <w:r>
              <w:rPr>
                <w:rFonts w:ascii="宋体" w:hAnsi="宋体" w:cs="宋体" w:eastAsia="宋体" w:hint="default"/>
                <w:w w:val="99"/>
                <w:sz w:val="20"/>
                <w:szCs w:val="20"/>
              </w:rPr>
              <w:t> </w:t>
            </w:r>
            <w:r>
              <w:rPr>
                <w:rFonts w:ascii="宋体" w:hAnsi="宋体" w:cs="宋体" w:eastAsia="宋体" w:hint="default"/>
                <w:sz w:val="20"/>
                <w:szCs w:val="20"/>
              </w:rPr>
              <w:t>过压保护电路的电源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ZL201120026426.6</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948"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348" w:right="0"/>
              <w:jc w:val="left"/>
              <w:rPr>
                <w:rFonts w:ascii="宋体" w:hAnsi="宋体" w:cs="宋体" w:eastAsia="宋体" w:hint="default"/>
                <w:sz w:val="20"/>
                <w:szCs w:val="20"/>
              </w:rPr>
            </w:pPr>
            <w:r>
              <w:rPr>
                <w:rFonts w:ascii="宋体"/>
                <w:sz w:val="20"/>
              </w:rPr>
              <w:t>24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6"/>
              <w:jc w:val="both"/>
              <w:rPr>
                <w:rFonts w:ascii="宋体" w:hAnsi="宋体" w:cs="宋体" w:eastAsia="宋体" w:hint="default"/>
                <w:sz w:val="20"/>
                <w:szCs w:val="20"/>
              </w:rPr>
            </w:pPr>
            <w:r>
              <w:rPr>
                <w:rFonts w:ascii="宋体" w:hAnsi="宋体" w:cs="宋体" w:eastAsia="宋体" w:hint="default"/>
                <w:sz w:val="20"/>
                <w:szCs w:val="20"/>
              </w:rPr>
              <w:t>一种特殊的加速启机电路</w:t>
            </w:r>
            <w:r>
              <w:rPr>
                <w:rFonts w:ascii="宋体" w:hAnsi="宋体" w:cs="宋体" w:eastAsia="宋体" w:hint="default"/>
                <w:w w:val="99"/>
                <w:sz w:val="20"/>
                <w:szCs w:val="20"/>
              </w:rPr>
              <w:t> </w:t>
            </w:r>
            <w:r>
              <w:rPr>
                <w:rFonts w:ascii="宋体" w:hAnsi="宋体" w:cs="宋体" w:eastAsia="宋体" w:hint="default"/>
                <w:sz w:val="20"/>
                <w:szCs w:val="20"/>
              </w:rPr>
              <w:t>及采用该电路的</w:t>
            </w:r>
            <w:r>
              <w:rPr>
                <w:rFonts w:ascii="宋体" w:hAnsi="宋体" w:cs="宋体" w:eastAsia="宋体" w:hint="default"/>
                <w:spacing w:val="-52"/>
                <w:sz w:val="20"/>
                <w:szCs w:val="20"/>
              </w:rPr>
              <w:t> </w:t>
            </w:r>
            <w:r>
              <w:rPr>
                <w:rFonts w:ascii="宋体" w:hAnsi="宋体" w:cs="宋体" w:eastAsia="宋体" w:hint="default"/>
                <w:sz w:val="20"/>
                <w:szCs w:val="20"/>
              </w:rPr>
              <w:t>LED</w:t>
            </w:r>
            <w:r>
              <w:rPr>
                <w:rFonts w:ascii="宋体" w:hAnsi="宋体" w:cs="宋体" w:eastAsia="宋体" w:hint="default"/>
                <w:spacing w:val="-50"/>
                <w:sz w:val="20"/>
                <w:szCs w:val="20"/>
              </w:rPr>
              <w:t> </w:t>
            </w:r>
            <w:r>
              <w:rPr>
                <w:rFonts w:ascii="宋体" w:hAnsi="宋体" w:cs="宋体" w:eastAsia="宋体" w:hint="default"/>
                <w:sz w:val="20"/>
                <w:szCs w:val="20"/>
              </w:rPr>
              <w:t>驱动</w:t>
            </w:r>
            <w:r>
              <w:rPr>
                <w:rFonts w:ascii="宋体" w:hAnsi="宋体" w:cs="宋体" w:eastAsia="宋体" w:hint="default"/>
                <w:w w:val="99"/>
                <w:sz w:val="20"/>
                <w:szCs w:val="20"/>
              </w:rPr>
              <w:t> </w:t>
            </w:r>
            <w:r>
              <w:rPr>
                <w:rFonts w:ascii="宋体" w:hAnsi="宋体" w:cs="宋体" w:eastAsia="宋体" w:hint="default"/>
                <w:sz w:val="20"/>
                <w:szCs w:val="20"/>
              </w:rPr>
              <w:t>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宋体" w:hAnsi="宋体" w:cs="宋体" w:eastAsia="宋体" w:hint="default"/>
                <w:sz w:val="20"/>
                <w:szCs w:val="20"/>
              </w:rPr>
            </w:pPr>
            <w:r>
              <w:rPr>
                <w:rFonts w:ascii="宋体"/>
                <w:w w:val="95"/>
                <w:sz w:val="20"/>
              </w:rPr>
              <w:t>ZL201020596276.8</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left="348" w:right="0"/>
              <w:jc w:val="left"/>
              <w:rPr>
                <w:rFonts w:ascii="宋体" w:hAnsi="宋体" w:cs="宋体" w:eastAsia="宋体" w:hint="default"/>
                <w:sz w:val="20"/>
                <w:szCs w:val="20"/>
              </w:rPr>
            </w:pPr>
            <w:r>
              <w:rPr>
                <w:rFonts w:ascii="宋体"/>
                <w:sz w:val="20"/>
              </w:rPr>
              <w:t>25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一种高效简单的多路恒流</w:t>
            </w:r>
            <w:r>
              <w:rPr>
                <w:rFonts w:ascii="宋体" w:hAnsi="宋体" w:cs="宋体" w:eastAsia="宋体" w:hint="default"/>
                <w:w w:val="99"/>
                <w:sz w:val="20"/>
                <w:szCs w:val="20"/>
              </w:rPr>
              <w:t> </w:t>
            </w:r>
            <w:r>
              <w:rPr>
                <w:rFonts w:ascii="宋体" w:hAnsi="宋体" w:cs="宋体" w:eastAsia="宋体" w:hint="default"/>
                <w:sz w:val="20"/>
                <w:szCs w:val="20"/>
              </w:rPr>
              <w:t>源电路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ZL201120025588.8</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left="348" w:right="0"/>
              <w:jc w:val="left"/>
              <w:rPr>
                <w:rFonts w:ascii="宋体" w:hAnsi="宋体" w:cs="宋体" w:eastAsia="宋体" w:hint="default"/>
                <w:sz w:val="20"/>
                <w:szCs w:val="20"/>
              </w:rPr>
            </w:pPr>
            <w:r>
              <w:rPr>
                <w:rFonts w:ascii="宋体"/>
                <w:sz w:val="20"/>
              </w:rPr>
              <w:t>26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一种新型防水护线环及采</w:t>
            </w:r>
            <w:r>
              <w:rPr>
                <w:rFonts w:ascii="宋体" w:hAnsi="宋体" w:cs="宋体" w:eastAsia="宋体" w:hint="default"/>
                <w:w w:val="99"/>
                <w:sz w:val="20"/>
                <w:szCs w:val="20"/>
              </w:rPr>
              <w:t> </w:t>
            </w:r>
            <w:r>
              <w:rPr>
                <w:rFonts w:ascii="宋体" w:hAnsi="宋体" w:cs="宋体" w:eastAsia="宋体" w:hint="default"/>
                <w:sz w:val="20"/>
                <w:szCs w:val="20"/>
              </w:rPr>
              <w:t>用该护线环的防水结构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w w:val="95"/>
                <w:sz w:val="20"/>
              </w:rPr>
              <w:t>ZL201120069158.6</w:t>
            </w:r>
            <w:r>
              <w:rPr>
                <w:rFonts w:ascii="宋体"/>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bl>
    <w:p>
      <w:pPr>
        <w:spacing w:after="0" w:line="240" w:lineRule="auto"/>
        <w:jc w:val="center"/>
        <w:rPr>
          <w:rFonts w:ascii="宋体" w:hAnsi="宋体" w:cs="宋体" w:eastAsia="宋体" w:hint="default"/>
          <w:sz w:val="20"/>
          <w:szCs w:val="20"/>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34680"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905"/>
        <w:gridCol w:w="2521"/>
        <w:gridCol w:w="1080"/>
        <w:gridCol w:w="1817"/>
        <w:gridCol w:w="2324"/>
        <w:gridCol w:w="1080"/>
      </w:tblGrid>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27</w:t>
            </w:r>
          </w:p>
        </w:tc>
        <w:tc>
          <w:tcPr>
            <w:tcW w:w="2521"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一种太阳能综合智能利用</w:t>
            </w:r>
            <w:r>
              <w:rPr>
                <w:rFonts w:ascii="宋体" w:hAnsi="宋体" w:cs="宋体" w:eastAsia="宋体" w:hint="default"/>
                <w:w w:val="99"/>
                <w:sz w:val="20"/>
                <w:szCs w:val="20"/>
              </w:rPr>
              <w:t> </w:t>
            </w:r>
            <w:r>
              <w:rPr>
                <w:rFonts w:ascii="宋体" w:hAnsi="宋体" w:cs="宋体" w:eastAsia="宋体" w:hint="default"/>
                <w:sz w:val="20"/>
                <w:szCs w:val="20"/>
              </w:rPr>
              <w:t>结构</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0"/>
                <w:szCs w:val="20"/>
              </w:rPr>
            </w:pPr>
            <w:r>
              <w:rPr>
                <w:rFonts w:ascii="宋体"/>
                <w:sz w:val="20"/>
              </w:rPr>
              <w:t>ZL201120086398.7</w:t>
            </w:r>
          </w:p>
        </w:tc>
        <w:tc>
          <w:tcPr>
            <w:tcW w:w="23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28</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1"/>
              <w:jc w:val="left"/>
              <w:rPr>
                <w:rFonts w:ascii="宋体" w:hAnsi="宋体" w:cs="宋体" w:eastAsia="宋体" w:hint="default"/>
                <w:sz w:val="20"/>
                <w:szCs w:val="20"/>
              </w:rPr>
            </w:pPr>
            <w:r>
              <w:rPr>
                <w:rFonts w:ascii="宋体" w:hAnsi="宋体" w:cs="宋体" w:eastAsia="宋体" w:hint="default"/>
                <w:sz w:val="20"/>
                <w:szCs w:val="20"/>
              </w:rPr>
              <w:t>一种单向</w:t>
            </w:r>
            <w:r>
              <w:rPr>
                <w:rFonts w:ascii="宋体" w:hAnsi="宋体" w:cs="宋体" w:eastAsia="宋体" w:hint="default"/>
                <w:spacing w:val="-51"/>
                <w:sz w:val="20"/>
                <w:szCs w:val="20"/>
              </w:rPr>
              <w:t> </w:t>
            </w:r>
            <w:r>
              <w:rPr>
                <w:rFonts w:ascii="宋体" w:hAnsi="宋体" w:cs="宋体" w:eastAsia="宋体" w:hint="default"/>
                <w:sz w:val="20"/>
                <w:szCs w:val="20"/>
              </w:rPr>
              <w:t>RS-485</w:t>
            </w:r>
            <w:r>
              <w:rPr>
                <w:rFonts w:ascii="宋体" w:hAnsi="宋体" w:cs="宋体" w:eastAsia="宋体" w:hint="default"/>
                <w:spacing w:val="-50"/>
                <w:sz w:val="20"/>
                <w:szCs w:val="20"/>
              </w:rPr>
              <w:t> </w:t>
            </w:r>
            <w:r>
              <w:rPr>
                <w:rFonts w:ascii="宋体" w:hAnsi="宋体" w:cs="宋体" w:eastAsia="宋体" w:hint="default"/>
                <w:sz w:val="20"/>
                <w:szCs w:val="20"/>
              </w:rPr>
              <w:t>控制</w:t>
            </w:r>
            <w:r>
              <w:rPr>
                <w:rFonts w:ascii="宋体" w:hAnsi="宋体" w:cs="宋体" w:eastAsia="宋体" w:hint="default"/>
                <w:spacing w:val="-50"/>
                <w:sz w:val="20"/>
                <w:szCs w:val="20"/>
              </w:rPr>
              <w:t> </w:t>
            </w:r>
            <w:r>
              <w:rPr>
                <w:rFonts w:ascii="宋体" w:hAnsi="宋体" w:cs="宋体" w:eastAsia="宋体" w:hint="default"/>
                <w:sz w:val="20"/>
                <w:szCs w:val="20"/>
              </w:rPr>
              <w:t>LED</w:t>
            </w:r>
            <w:r>
              <w:rPr>
                <w:rFonts w:ascii="宋体" w:hAnsi="宋体" w:cs="宋体" w:eastAsia="宋体" w:hint="default"/>
                <w:spacing w:val="1"/>
                <w:w w:val="99"/>
                <w:sz w:val="20"/>
                <w:szCs w:val="20"/>
              </w:rPr>
              <w:t> </w:t>
            </w:r>
            <w:r>
              <w:rPr>
                <w:rFonts w:ascii="宋体" w:hAnsi="宋体" w:cs="宋体" w:eastAsia="宋体" w:hint="default"/>
                <w:sz w:val="20"/>
                <w:szCs w:val="20"/>
              </w:rPr>
              <w:t>驱动电源系统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ZL201120069157.1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26</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29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7"/>
              <w:jc w:val="left"/>
              <w:rPr>
                <w:rFonts w:ascii="宋体" w:hAnsi="宋体" w:cs="宋体" w:eastAsia="宋体" w:hint="default"/>
                <w:sz w:val="20"/>
                <w:szCs w:val="20"/>
              </w:rPr>
            </w:pPr>
            <w:r>
              <w:rPr>
                <w:rFonts w:ascii="宋体" w:hAnsi="宋体" w:cs="宋体" w:eastAsia="宋体" w:hint="default"/>
                <w:sz w:val="20"/>
                <w:szCs w:val="20"/>
              </w:rPr>
              <w:t>一种</w:t>
            </w:r>
            <w:r>
              <w:rPr>
                <w:rFonts w:ascii="宋体" w:hAnsi="宋体" w:cs="宋体" w:eastAsia="宋体" w:hint="default"/>
                <w:spacing w:val="-52"/>
                <w:sz w:val="20"/>
                <w:szCs w:val="20"/>
              </w:rPr>
              <w:t> </w:t>
            </w:r>
            <w:r>
              <w:rPr>
                <w:rFonts w:ascii="宋体" w:hAnsi="宋体" w:cs="宋体" w:eastAsia="宋体" w:hint="default"/>
                <w:sz w:val="20"/>
                <w:szCs w:val="20"/>
              </w:rPr>
              <w:t>RS485</w:t>
            </w:r>
            <w:r>
              <w:rPr>
                <w:rFonts w:ascii="宋体" w:hAnsi="宋体" w:cs="宋体" w:eastAsia="宋体" w:hint="default"/>
                <w:spacing w:val="-51"/>
                <w:sz w:val="20"/>
                <w:szCs w:val="20"/>
              </w:rPr>
              <w:t> </w:t>
            </w:r>
            <w:r>
              <w:rPr>
                <w:rFonts w:ascii="宋体" w:hAnsi="宋体" w:cs="宋体" w:eastAsia="宋体" w:hint="default"/>
                <w:sz w:val="20"/>
                <w:szCs w:val="20"/>
              </w:rPr>
              <w:t>路灯智能照明</w:t>
            </w:r>
            <w:r>
              <w:rPr>
                <w:rFonts w:ascii="宋体" w:hAnsi="宋体" w:cs="宋体" w:eastAsia="宋体" w:hint="default"/>
                <w:w w:val="99"/>
                <w:sz w:val="20"/>
                <w:szCs w:val="20"/>
              </w:rPr>
              <w:t> </w:t>
            </w:r>
            <w:r>
              <w:rPr>
                <w:rFonts w:ascii="宋体" w:hAnsi="宋体" w:cs="宋体" w:eastAsia="宋体" w:hint="default"/>
                <w:sz w:val="20"/>
                <w:szCs w:val="20"/>
              </w:rPr>
              <w:t>远程控制系统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ZL201120082694.X</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26</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6"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0"/>
              <w:ind w:right="343"/>
              <w:jc w:val="right"/>
              <w:rPr>
                <w:rFonts w:ascii="宋体" w:hAnsi="宋体" w:cs="宋体" w:eastAsia="宋体" w:hint="default"/>
                <w:sz w:val="20"/>
                <w:szCs w:val="20"/>
              </w:rPr>
            </w:pPr>
            <w:r>
              <w:rPr>
                <w:rFonts w:ascii="宋体"/>
                <w:sz w:val="20"/>
              </w:rPr>
              <w:t>30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7"/>
              <w:jc w:val="left"/>
              <w:rPr>
                <w:rFonts w:ascii="宋体" w:hAnsi="宋体" w:cs="宋体" w:eastAsia="宋体" w:hint="default"/>
                <w:sz w:val="20"/>
                <w:szCs w:val="20"/>
              </w:rPr>
            </w:pPr>
            <w:r>
              <w:rPr>
                <w:rFonts w:ascii="宋体" w:hAnsi="宋体" w:cs="宋体" w:eastAsia="宋体" w:hint="default"/>
                <w:sz w:val="20"/>
                <w:szCs w:val="20"/>
              </w:rPr>
              <w:t>一种</w:t>
            </w:r>
            <w:r>
              <w:rPr>
                <w:rFonts w:ascii="宋体" w:hAnsi="宋体" w:cs="宋体" w:eastAsia="宋体" w:hint="default"/>
                <w:spacing w:val="-52"/>
                <w:sz w:val="20"/>
                <w:szCs w:val="20"/>
              </w:rPr>
              <w:t> </w:t>
            </w:r>
            <w:r>
              <w:rPr>
                <w:rFonts w:ascii="宋体" w:hAnsi="宋体" w:cs="宋体" w:eastAsia="宋体" w:hint="default"/>
                <w:sz w:val="20"/>
                <w:szCs w:val="20"/>
              </w:rPr>
              <w:t>RS485</w:t>
            </w:r>
            <w:r>
              <w:rPr>
                <w:rFonts w:ascii="宋体" w:hAnsi="宋体" w:cs="宋体" w:eastAsia="宋体" w:hint="default"/>
                <w:spacing w:val="-51"/>
                <w:sz w:val="20"/>
                <w:szCs w:val="20"/>
              </w:rPr>
              <w:t> </w:t>
            </w:r>
            <w:r>
              <w:rPr>
                <w:rFonts w:ascii="宋体" w:hAnsi="宋体" w:cs="宋体" w:eastAsia="宋体" w:hint="default"/>
                <w:sz w:val="20"/>
                <w:szCs w:val="20"/>
              </w:rPr>
              <w:t>照明智能节能</w:t>
            </w:r>
            <w:r>
              <w:rPr>
                <w:rFonts w:ascii="宋体" w:hAnsi="宋体" w:cs="宋体" w:eastAsia="宋体" w:hint="default"/>
                <w:w w:val="99"/>
                <w:sz w:val="20"/>
                <w:szCs w:val="20"/>
              </w:rPr>
              <w:t> </w:t>
            </w:r>
            <w:r>
              <w:rPr>
                <w:rFonts w:ascii="宋体" w:hAnsi="宋体" w:cs="宋体" w:eastAsia="宋体" w:hint="default"/>
                <w:sz w:val="20"/>
                <w:szCs w:val="20"/>
              </w:rPr>
              <w:t>控制装置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ZL201120086397.2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26</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31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3"/>
              <w:jc w:val="left"/>
              <w:rPr>
                <w:rFonts w:ascii="宋体" w:hAnsi="宋体" w:cs="宋体" w:eastAsia="宋体" w:hint="default"/>
                <w:sz w:val="20"/>
                <w:szCs w:val="20"/>
              </w:rPr>
            </w:pPr>
            <w:r>
              <w:rPr>
                <w:rFonts w:ascii="宋体" w:hAnsi="宋体" w:cs="宋体" w:eastAsia="宋体" w:hint="default"/>
                <w:sz w:val="20"/>
                <w:szCs w:val="20"/>
              </w:rPr>
              <w:t>基于</w:t>
            </w:r>
            <w:r>
              <w:rPr>
                <w:rFonts w:ascii="宋体" w:hAnsi="宋体" w:cs="宋体" w:eastAsia="宋体" w:hint="default"/>
                <w:spacing w:val="-51"/>
                <w:sz w:val="20"/>
                <w:szCs w:val="20"/>
              </w:rPr>
              <w:t> </w:t>
            </w:r>
            <w:r>
              <w:rPr>
                <w:rFonts w:ascii="宋体" w:hAnsi="宋体" w:cs="宋体" w:eastAsia="宋体" w:hint="default"/>
                <w:sz w:val="20"/>
                <w:szCs w:val="20"/>
              </w:rPr>
              <w:t>Zigbee</w:t>
            </w:r>
            <w:r>
              <w:rPr>
                <w:rFonts w:ascii="宋体" w:hAnsi="宋体" w:cs="宋体" w:eastAsia="宋体" w:hint="default"/>
                <w:spacing w:val="-50"/>
                <w:sz w:val="20"/>
                <w:szCs w:val="20"/>
              </w:rPr>
              <w:t> </w:t>
            </w:r>
            <w:r>
              <w:rPr>
                <w:rFonts w:ascii="宋体" w:hAnsi="宋体" w:cs="宋体" w:eastAsia="宋体" w:hint="default"/>
                <w:sz w:val="20"/>
                <w:szCs w:val="20"/>
              </w:rPr>
              <w:t>技术的</w:t>
            </w:r>
            <w:r>
              <w:rPr>
                <w:rFonts w:ascii="宋体" w:hAnsi="宋体" w:cs="宋体" w:eastAsia="宋体" w:hint="default"/>
                <w:spacing w:val="-50"/>
                <w:sz w:val="20"/>
                <w:szCs w:val="20"/>
              </w:rPr>
              <w:t> </w:t>
            </w:r>
            <w:r>
              <w:rPr>
                <w:rFonts w:ascii="宋体" w:hAnsi="宋体" w:cs="宋体" w:eastAsia="宋体" w:hint="default"/>
                <w:sz w:val="20"/>
                <w:szCs w:val="20"/>
              </w:rPr>
              <w:t>LED</w:t>
            </w:r>
            <w:r>
              <w:rPr>
                <w:rFonts w:ascii="宋体" w:hAnsi="宋体" w:cs="宋体" w:eastAsia="宋体" w:hint="default"/>
                <w:spacing w:val="-50"/>
                <w:sz w:val="20"/>
                <w:szCs w:val="20"/>
              </w:rPr>
              <w:t> </w:t>
            </w:r>
            <w:r>
              <w:rPr>
                <w:rFonts w:ascii="宋体" w:hAnsi="宋体" w:cs="宋体" w:eastAsia="宋体" w:hint="default"/>
                <w:sz w:val="20"/>
                <w:szCs w:val="20"/>
              </w:rPr>
              <w:t>智</w:t>
            </w:r>
            <w:r>
              <w:rPr>
                <w:rFonts w:ascii="宋体" w:hAnsi="宋体" w:cs="宋体" w:eastAsia="宋体" w:hint="default"/>
                <w:w w:val="99"/>
                <w:sz w:val="20"/>
                <w:szCs w:val="20"/>
              </w:rPr>
              <w:t> </w:t>
            </w:r>
            <w:r>
              <w:rPr>
                <w:rFonts w:ascii="宋体" w:hAnsi="宋体" w:cs="宋体" w:eastAsia="宋体" w:hint="default"/>
                <w:sz w:val="20"/>
                <w:szCs w:val="20"/>
              </w:rPr>
              <w:t>能控制电源系统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ZL201120086732.9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32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一种采用频率反走技术的</w:t>
            </w:r>
            <w:r>
              <w:rPr>
                <w:rFonts w:ascii="宋体" w:hAnsi="宋体" w:cs="宋体" w:eastAsia="宋体" w:hint="default"/>
                <w:w w:val="99"/>
                <w:sz w:val="20"/>
                <w:szCs w:val="20"/>
              </w:rPr>
              <w:t> </w:t>
            </w:r>
            <w:r>
              <w:rPr>
                <w:rFonts w:ascii="宋体" w:hAnsi="宋体" w:cs="宋体" w:eastAsia="宋体" w:hint="default"/>
                <w:sz w:val="20"/>
                <w:szCs w:val="20"/>
              </w:rPr>
              <w:t>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ZL201120106007.3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33</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一种采用特殊防水和散热</w:t>
            </w:r>
            <w:r>
              <w:rPr>
                <w:rFonts w:ascii="宋体" w:hAnsi="宋体" w:cs="宋体" w:eastAsia="宋体" w:hint="default"/>
                <w:w w:val="99"/>
                <w:sz w:val="20"/>
                <w:szCs w:val="20"/>
              </w:rPr>
              <w:t> </w:t>
            </w:r>
            <w:r>
              <w:rPr>
                <w:rFonts w:ascii="宋体" w:hAnsi="宋体" w:cs="宋体" w:eastAsia="宋体" w:hint="default"/>
                <w:sz w:val="20"/>
                <w:szCs w:val="20"/>
              </w:rPr>
              <w:t>结构</w:t>
            </w:r>
            <w:r>
              <w:rPr>
                <w:rFonts w:ascii="宋体" w:hAnsi="宋体" w:cs="宋体" w:eastAsia="宋体" w:hint="default"/>
                <w:spacing w:val="-52"/>
                <w:sz w:val="20"/>
                <w:szCs w:val="20"/>
              </w:rPr>
              <w:t> </w:t>
            </w:r>
            <w:r>
              <w:rPr>
                <w:rFonts w:ascii="宋体" w:hAnsi="宋体" w:cs="宋体" w:eastAsia="宋体" w:hint="default"/>
                <w:sz w:val="20"/>
                <w:szCs w:val="20"/>
              </w:rPr>
              <w:t>LED</w:t>
            </w:r>
            <w:r>
              <w:rPr>
                <w:rFonts w:ascii="宋体" w:hAnsi="宋体" w:cs="宋体" w:eastAsia="宋体" w:hint="default"/>
                <w:spacing w:val="-51"/>
                <w:sz w:val="20"/>
                <w:szCs w:val="20"/>
              </w:rPr>
              <w:t> </w:t>
            </w:r>
            <w:r>
              <w:rPr>
                <w:rFonts w:ascii="宋体" w:hAnsi="宋体" w:cs="宋体" w:eastAsia="宋体" w:hint="default"/>
                <w:sz w:val="20"/>
                <w:szCs w:val="20"/>
              </w:rPr>
              <w:t>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ZL201120126203.7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34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一种桌面式与插墙式互换</w:t>
            </w:r>
            <w:r>
              <w:rPr>
                <w:rFonts w:ascii="宋体" w:hAnsi="宋体" w:cs="宋体" w:eastAsia="宋体" w:hint="default"/>
                <w:w w:val="99"/>
                <w:sz w:val="20"/>
                <w:szCs w:val="20"/>
              </w:rPr>
              <w:t> </w:t>
            </w:r>
            <w:r>
              <w:rPr>
                <w:rFonts w:ascii="宋体" w:hAnsi="宋体" w:cs="宋体" w:eastAsia="宋体" w:hint="default"/>
                <w:sz w:val="20"/>
                <w:szCs w:val="20"/>
              </w:rPr>
              <w:t>的两用电源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3"/>
              <w:jc w:val="center"/>
              <w:rPr>
                <w:rFonts w:ascii="宋体" w:hAnsi="宋体" w:cs="宋体" w:eastAsia="宋体" w:hint="default"/>
                <w:sz w:val="20"/>
                <w:szCs w:val="20"/>
              </w:rPr>
            </w:pPr>
            <w:r>
              <w:rPr>
                <w:rFonts w:ascii="宋体"/>
                <w:sz w:val="20"/>
              </w:rPr>
              <w:t>201120128099.5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35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7"/>
              <w:jc w:val="left"/>
              <w:rPr>
                <w:rFonts w:ascii="宋体" w:hAnsi="宋体" w:cs="宋体" w:eastAsia="宋体" w:hint="default"/>
                <w:sz w:val="20"/>
                <w:szCs w:val="20"/>
              </w:rPr>
            </w:pPr>
            <w:r>
              <w:rPr>
                <w:rFonts w:ascii="宋体" w:hAnsi="宋体" w:cs="宋体" w:eastAsia="宋体" w:hint="default"/>
                <w:sz w:val="20"/>
                <w:szCs w:val="20"/>
              </w:rPr>
              <w:t>一种</w:t>
            </w:r>
            <w:r>
              <w:rPr>
                <w:rFonts w:ascii="宋体" w:hAnsi="宋体" w:cs="宋体" w:eastAsia="宋体" w:hint="default"/>
                <w:spacing w:val="-52"/>
                <w:sz w:val="20"/>
                <w:szCs w:val="20"/>
              </w:rPr>
              <w:t> </w:t>
            </w:r>
            <w:r>
              <w:rPr>
                <w:rFonts w:ascii="宋体" w:hAnsi="宋体" w:cs="宋体" w:eastAsia="宋体" w:hint="default"/>
                <w:sz w:val="20"/>
                <w:szCs w:val="20"/>
              </w:rPr>
              <w:t>LED</w:t>
            </w:r>
            <w:r>
              <w:rPr>
                <w:rFonts w:ascii="宋体" w:hAnsi="宋体" w:cs="宋体" w:eastAsia="宋体" w:hint="default"/>
                <w:spacing w:val="-51"/>
                <w:sz w:val="20"/>
                <w:szCs w:val="20"/>
              </w:rPr>
              <w:t> </w:t>
            </w:r>
            <w:r>
              <w:rPr>
                <w:rFonts w:ascii="宋体" w:hAnsi="宋体" w:cs="宋体" w:eastAsia="宋体" w:hint="default"/>
                <w:sz w:val="20"/>
                <w:szCs w:val="20"/>
              </w:rPr>
              <w:t>驱动电源防水与</w:t>
            </w:r>
            <w:r>
              <w:rPr>
                <w:rFonts w:ascii="宋体" w:hAnsi="宋体" w:cs="宋体" w:eastAsia="宋体" w:hint="default"/>
                <w:w w:val="99"/>
                <w:sz w:val="20"/>
                <w:szCs w:val="20"/>
              </w:rPr>
              <w:t> </w:t>
            </w:r>
            <w:r>
              <w:rPr>
                <w:rFonts w:ascii="宋体" w:hAnsi="宋体" w:cs="宋体" w:eastAsia="宋体" w:hint="default"/>
                <w:sz w:val="20"/>
                <w:szCs w:val="20"/>
              </w:rPr>
              <w:t>散热结构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ZL201120126205.6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30</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6"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0"/>
              <w:ind w:right="343"/>
              <w:jc w:val="right"/>
              <w:rPr>
                <w:rFonts w:ascii="宋体" w:hAnsi="宋体" w:cs="宋体" w:eastAsia="宋体" w:hint="default"/>
                <w:sz w:val="20"/>
                <w:szCs w:val="20"/>
              </w:rPr>
            </w:pPr>
            <w:r>
              <w:rPr>
                <w:rFonts w:ascii="宋体"/>
                <w:sz w:val="20"/>
              </w:rPr>
              <w:t>36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6"/>
              <w:jc w:val="left"/>
              <w:rPr>
                <w:rFonts w:ascii="宋体" w:hAnsi="宋体" w:cs="宋体" w:eastAsia="宋体" w:hint="default"/>
                <w:sz w:val="20"/>
                <w:szCs w:val="20"/>
              </w:rPr>
            </w:pPr>
            <w:r>
              <w:rPr>
                <w:rFonts w:ascii="宋体" w:hAnsi="宋体" w:cs="宋体" w:eastAsia="宋体" w:hint="default"/>
                <w:sz w:val="20"/>
                <w:szCs w:val="20"/>
              </w:rPr>
              <w:t>集中冗余式控制</w:t>
            </w:r>
            <w:r>
              <w:rPr>
                <w:rFonts w:ascii="宋体" w:hAnsi="宋体" w:cs="宋体" w:eastAsia="宋体" w:hint="default"/>
                <w:spacing w:val="-52"/>
                <w:sz w:val="20"/>
                <w:szCs w:val="20"/>
              </w:rPr>
              <w:t> </w:t>
            </w:r>
            <w:r>
              <w:rPr>
                <w:rFonts w:ascii="宋体" w:hAnsi="宋体" w:cs="宋体" w:eastAsia="宋体" w:hint="default"/>
                <w:sz w:val="20"/>
                <w:szCs w:val="20"/>
              </w:rPr>
              <w:t>LED</w:t>
            </w:r>
            <w:r>
              <w:rPr>
                <w:rFonts w:ascii="宋体" w:hAnsi="宋体" w:cs="宋体" w:eastAsia="宋体" w:hint="default"/>
                <w:spacing w:val="-50"/>
                <w:sz w:val="20"/>
                <w:szCs w:val="20"/>
              </w:rPr>
              <w:t> </w:t>
            </w:r>
            <w:r>
              <w:rPr>
                <w:rFonts w:ascii="宋体" w:hAnsi="宋体" w:cs="宋体" w:eastAsia="宋体" w:hint="default"/>
                <w:sz w:val="20"/>
                <w:szCs w:val="20"/>
              </w:rPr>
              <w:t>路灯</w:t>
            </w:r>
            <w:r>
              <w:rPr>
                <w:rFonts w:ascii="宋体" w:hAnsi="宋体" w:cs="宋体" w:eastAsia="宋体" w:hint="default"/>
                <w:w w:val="99"/>
                <w:sz w:val="20"/>
                <w:szCs w:val="20"/>
              </w:rPr>
              <w:t> </w:t>
            </w:r>
            <w:r>
              <w:rPr>
                <w:rFonts w:ascii="宋体" w:hAnsi="宋体" w:cs="宋体" w:eastAsia="宋体" w:hint="default"/>
                <w:sz w:val="20"/>
                <w:szCs w:val="20"/>
              </w:rPr>
              <w:t>电源系统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ZL201120115480.8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509"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5"/>
              <w:ind w:right="343"/>
              <w:jc w:val="right"/>
              <w:rPr>
                <w:rFonts w:ascii="宋体" w:hAnsi="宋体" w:cs="宋体" w:eastAsia="宋体" w:hint="default"/>
                <w:sz w:val="20"/>
                <w:szCs w:val="20"/>
              </w:rPr>
            </w:pPr>
            <w:r>
              <w:rPr>
                <w:rFonts w:ascii="宋体"/>
                <w:sz w:val="20"/>
              </w:rPr>
              <w:t>37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一种室外防水电源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20"/>
                <w:szCs w:val="20"/>
              </w:rPr>
            </w:pPr>
            <w:r>
              <w:rPr>
                <w:rFonts w:ascii="宋体"/>
                <w:sz w:val="20"/>
              </w:rPr>
              <w:t>ZL201120199368.7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28</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38</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一种简单实用的移动式不</w:t>
            </w:r>
            <w:r>
              <w:rPr>
                <w:rFonts w:ascii="宋体" w:hAnsi="宋体" w:cs="宋体" w:eastAsia="宋体" w:hint="default"/>
                <w:w w:val="99"/>
                <w:sz w:val="20"/>
                <w:szCs w:val="20"/>
              </w:rPr>
              <w:t> </w:t>
            </w:r>
            <w:r>
              <w:rPr>
                <w:rFonts w:ascii="宋体" w:hAnsi="宋体" w:cs="宋体" w:eastAsia="宋体" w:hint="default"/>
                <w:sz w:val="20"/>
                <w:szCs w:val="20"/>
              </w:rPr>
              <w:t>间断电源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ZL201120166129.1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946"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343"/>
              <w:jc w:val="right"/>
              <w:rPr>
                <w:rFonts w:ascii="宋体" w:hAnsi="宋体" w:cs="宋体" w:eastAsia="宋体" w:hint="default"/>
                <w:sz w:val="20"/>
                <w:szCs w:val="20"/>
              </w:rPr>
            </w:pPr>
            <w:r>
              <w:rPr>
                <w:rFonts w:ascii="宋体"/>
                <w:sz w:val="20"/>
              </w:rPr>
              <w:t>39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both"/>
              <w:rPr>
                <w:rFonts w:ascii="宋体" w:hAnsi="宋体" w:cs="宋体" w:eastAsia="宋体" w:hint="default"/>
                <w:sz w:val="20"/>
                <w:szCs w:val="20"/>
              </w:rPr>
            </w:pPr>
            <w:r>
              <w:rPr>
                <w:rFonts w:ascii="宋体" w:hAnsi="宋体" w:cs="宋体" w:eastAsia="宋体" w:hint="default"/>
                <w:sz w:val="20"/>
                <w:szCs w:val="20"/>
              </w:rPr>
              <w:t>一种单端反激拓朴实现宽</w:t>
            </w:r>
            <w:r>
              <w:rPr>
                <w:rFonts w:ascii="宋体" w:hAnsi="宋体" w:cs="宋体" w:eastAsia="宋体" w:hint="default"/>
                <w:w w:val="99"/>
                <w:sz w:val="20"/>
                <w:szCs w:val="20"/>
              </w:rPr>
              <w:t> </w:t>
            </w:r>
            <w:r>
              <w:rPr>
                <w:rFonts w:ascii="宋体" w:hAnsi="宋体" w:cs="宋体" w:eastAsia="宋体" w:hint="default"/>
                <w:sz w:val="20"/>
                <w:szCs w:val="20"/>
              </w:rPr>
              <w:t>输出电压范围恒流的</w:t>
            </w:r>
            <w:r>
              <w:rPr>
                <w:rFonts w:ascii="宋体" w:hAnsi="宋体" w:cs="宋体" w:eastAsia="宋体" w:hint="default"/>
                <w:spacing w:val="-50"/>
                <w:sz w:val="20"/>
                <w:szCs w:val="20"/>
              </w:rPr>
              <w:t> </w:t>
            </w:r>
            <w:r>
              <w:rPr>
                <w:rFonts w:ascii="宋体" w:hAnsi="宋体" w:cs="宋体" w:eastAsia="宋体" w:hint="default"/>
                <w:sz w:val="20"/>
                <w:szCs w:val="20"/>
              </w:rPr>
              <w:t>LED</w:t>
            </w:r>
            <w:r>
              <w:rPr>
                <w:rFonts w:ascii="宋体" w:hAnsi="宋体" w:cs="宋体" w:eastAsia="宋体" w:hint="default"/>
                <w:spacing w:val="1"/>
                <w:w w:val="99"/>
                <w:sz w:val="20"/>
                <w:szCs w:val="20"/>
              </w:rPr>
              <w:t> </w:t>
            </w:r>
            <w:r>
              <w:rPr>
                <w:rFonts w:ascii="宋体" w:hAnsi="宋体" w:cs="宋体" w:eastAsia="宋体" w:hint="default"/>
                <w:sz w:val="20"/>
                <w:szCs w:val="20"/>
              </w:rPr>
              <w:t>驱动电源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sz w:val="20"/>
              </w:rPr>
              <w:t>ZL201120243398.3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40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一种桌面式电源电动测试</w:t>
            </w:r>
            <w:r>
              <w:rPr>
                <w:rFonts w:ascii="宋体" w:hAnsi="宋体" w:cs="宋体" w:eastAsia="宋体" w:hint="default"/>
                <w:w w:val="99"/>
                <w:sz w:val="20"/>
                <w:szCs w:val="20"/>
              </w:rPr>
              <w:t> </w:t>
            </w:r>
            <w:r>
              <w:rPr>
                <w:rFonts w:ascii="宋体" w:hAnsi="宋体" w:cs="宋体" w:eastAsia="宋体" w:hint="default"/>
                <w:sz w:val="20"/>
                <w:szCs w:val="20"/>
              </w:rPr>
              <w:t>治具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ZL201120223874.5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509"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5"/>
              <w:ind w:right="343"/>
              <w:jc w:val="right"/>
              <w:rPr>
                <w:rFonts w:ascii="宋体" w:hAnsi="宋体" w:cs="宋体" w:eastAsia="宋体" w:hint="default"/>
                <w:sz w:val="20"/>
                <w:szCs w:val="20"/>
              </w:rPr>
            </w:pPr>
            <w:r>
              <w:rPr>
                <w:rFonts w:ascii="宋体"/>
                <w:sz w:val="20"/>
              </w:rPr>
              <w:t>41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一种特殊的</w:t>
            </w:r>
            <w:r>
              <w:rPr>
                <w:rFonts w:ascii="宋体" w:hAnsi="宋体" w:cs="宋体" w:eastAsia="宋体" w:hint="default"/>
                <w:spacing w:val="-51"/>
                <w:sz w:val="20"/>
                <w:szCs w:val="20"/>
              </w:rPr>
              <w:t> </w:t>
            </w:r>
            <w:r>
              <w:rPr>
                <w:rFonts w:ascii="宋体" w:hAnsi="宋体" w:cs="宋体" w:eastAsia="宋体" w:hint="default"/>
                <w:sz w:val="20"/>
                <w:szCs w:val="20"/>
              </w:rPr>
              <w:t>BOOST</w:t>
            </w:r>
            <w:r>
              <w:rPr>
                <w:rFonts w:ascii="宋体" w:hAnsi="宋体" w:cs="宋体" w:eastAsia="宋体" w:hint="default"/>
                <w:spacing w:val="-50"/>
                <w:sz w:val="20"/>
                <w:szCs w:val="20"/>
              </w:rPr>
              <w:t> </w:t>
            </w:r>
            <w:r>
              <w:rPr>
                <w:rFonts w:ascii="宋体" w:hAnsi="宋体" w:cs="宋体" w:eastAsia="宋体" w:hint="default"/>
                <w:sz w:val="20"/>
                <w:szCs w:val="20"/>
              </w:rPr>
              <w:t>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20"/>
                <w:szCs w:val="20"/>
              </w:rPr>
            </w:pPr>
            <w:r>
              <w:rPr>
                <w:rFonts w:ascii="宋体"/>
                <w:sz w:val="20"/>
              </w:rPr>
              <w:t>ZL201120287290.4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42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8"/>
              <w:jc w:val="left"/>
              <w:rPr>
                <w:rFonts w:ascii="宋体" w:hAnsi="宋体" w:cs="宋体" w:eastAsia="宋体" w:hint="default"/>
                <w:sz w:val="20"/>
                <w:szCs w:val="20"/>
              </w:rPr>
            </w:pPr>
            <w:r>
              <w:rPr>
                <w:rFonts w:ascii="宋体" w:hAnsi="宋体" w:cs="宋体" w:eastAsia="宋体" w:hint="default"/>
                <w:sz w:val="20"/>
                <w:szCs w:val="20"/>
              </w:rPr>
              <w:t>一体式电源外壳盖板防水、</w:t>
            </w:r>
            <w:r>
              <w:rPr>
                <w:rFonts w:ascii="宋体" w:hAnsi="宋体" w:cs="宋体" w:eastAsia="宋体" w:hint="default"/>
                <w:w w:val="99"/>
                <w:sz w:val="20"/>
                <w:szCs w:val="20"/>
              </w:rPr>
              <w:t> </w:t>
            </w:r>
            <w:r>
              <w:rPr>
                <w:rFonts w:ascii="宋体" w:hAnsi="宋体" w:cs="宋体" w:eastAsia="宋体" w:hint="default"/>
                <w:sz w:val="20"/>
                <w:szCs w:val="20"/>
              </w:rPr>
              <w:t>防漏结构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ZL201120287354.0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6"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0"/>
              <w:ind w:right="343"/>
              <w:jc w:val="right"/>
              <w:rPr>
                <w:rFonts w:ascii="宋体" w:hAnsi="宋体" w:cs="宋体" w:eastAsia="宋体" w:hint="default"/>
                <w:sz w:val="20"/>
                <w:szCs w:val="20"/>
              </w:rPr>
            </w:pPr>
            <w:r>
              <w:rPr>
                <w:rFonts w:ascii="宋体"/>
                <w:sz w:val="20"/>
              </w:rPr>
              <w:t>43</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一种零待机功耗的启机电</w:t>
            </w:r>
            <w:r>
              <w:rPr>
                <w:rFonts w:ascii="宋体" w:hAnsi="宋体" w:cs="宋体" w:eastAsia="宋体" w:hint="default"/>
                <w:w w:val="99"/>
                <w:sz w:val="20"/>
                <w:szCs w:val="20"/>
              </w:rPr>
              <w:t> </w:t>
            </w:r>
            <w:r>
              <w:rPr>
                <w:rFonts w:ascii="宋体" w:hAnsi="宋体" w:cs="宋体" w:eastAsia="宋体" w:hint="default"/>
                <w:sz w:val="20"/>
                <w:szCs w:val="20"/>
              </w:rPr>
              <w:t>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ZL201120287308.0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44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409"/>
              <w:jc w:val="left"/>
              <w:rPr>
                <w:rFonts w:ascii="宋体" w:hAnsi="宋体" w:cs="宋体" w:eastAsia="宋体" w:hint="default"/>
                <w:sz w:val="20"/>
                <w:szCs w:val="20"/>
              </w:rPr>
            </w:pPr>
            <w:r>
              <w:rPr>
                <w:rFonts w:ascii="宋体" w:hAnsi="宋体" w:cs="宋体" w:eastAsia="宋体" w:hint="default"/>
                <w:sz w:val="20"/>
                <w:szCs w:val="20"/>
              </w:rPr>
              <w:t>一种针对高输入电压的</w:t>
            </w:r>
            <w:r>
              <w:rPr>
                <w:rFonts w:ascii="宋体" w:hAnsi="宋体" w:cs="宋体" w:eastAsia="宋体" w:hint="default"/>
                <w:w w:val="99"/>
                <w:sz w:val="20"/>
                <w:szCs w:val="20"/>
              </w:rPr>
              <w:t> </w:t>
            </w:r>
            <w:r>
              <w:rPr>
                <w:rFonts w:ascii="宋体" w:hAnsi="宋体" w:cs="宋体" w:eastAsia="宋体" w:hint="default"/>
                <w:sz w:val="20"/>
                <w:szCs w:val="20"/>
              </w:rPr>
              <w:t>PFC</w:t>
            </w:r>
            <w:r>
              <w:rPr>
                <w:rFonts w:ascii="宋体" w:hAnsi="宋体" w:cs="宋体" w:eastAsia="宋体" w:hint="default"/>
                <w:spacing w:val="-50"/>
                <w:sz w:val="20"/>
                <w:szCs w:val="20"/>
              </w:rPr>
              <w:t> </w:t>
            </w:r>
            <w:r>
              <w:rPr>
                <w:rFonts w:ascii="宋体" w:hAnsi="宋体" w:cs="宋体" w:eastAsia="宋体" w:hint="default"/>
                <w:sz w:val="20"/>
                <w:szCs w:val="20"/>
              </w:rPr>
              <w:t>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ZL201120287306.1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14</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45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7"/>
              <w:jc w:val="left"/>
              <w:rPr>
                <w:rFonts w:ascii="宋体" w:hAnsi="宋体" w:cs="宋体" w:eastAsia="宋体" w:hint="default"/>
                <w:sz w:val="20"/>
                <w:szCs w:val="20"/>
              </w:rPr>
            </w:pPr>
            <w:r>
              <w:rPr>
                <w:rFonts w:ascii="宋体" w:hAnsi="宋体" w:cs="宋体" w:eastAsia="宋体" w:hint="default"/>
                <w:sz w:val="20"/>
                <w:szCs w:val="20"/>
              </w:rPr>
              <w:t>小功率低成本</w:t>
            </w:r>
            <w:r>
              <w:rPr>
                <w:rFonts w:ascii="宋体" w:hAnsi="宋体" w:cs="宋体" w:eastAsia="宋体" w:hint="default"/>
                <w:spacing w:val="-52"/>
                <w:sz w:val="20"/>
                <w:szCs w:val="20"/>
              </w:rPr>
              <w:t> </w:t>
            </w:r>
            <w:r>
              <w:rPr>
                <w:rFonts w:ascii="宋体" w:hAnsi="宋体" w:cs="宋体" w:eastAsia="宋体" w:hint="default"/>
                <w:sz w:val="20"/>
                <w:szCs w:val="20"/>
              </w:rPr>
              <w:t>LED</w:t>
            </w:r>
            <w:r>
              <w:rPr>
                <w:rFonts w:ascii="宋体" w:hAnsi="宋体" w:cs="宋体" w:eastAsia="宋体" w:hint="default"/>
                <w:spacing w:val="-51"/>
                <w:sz w:val="20"/>
                <w:szCs w:val="20"/>
              </w:rPr>
              <w:t> </w:t>
            </w:r>
            <w:r>
              <w:rPr>
                <w:rFonts w:ascii="宋体" w:hAnsi="宋体" w:cs="宋体" w:eastAsia="宋体" w:hint="default"/>
                <w:sz w:val="20"/>
                <w:szCs w:val="20"/>
              </w:rPr>
              <w:t>电源功</w:t>
            </w:r>
            <w:r>
              <w:rPr>
                <w:rFonts w:ascii="宋体" w:hAnsi="宋体" w:cs="宋体" w:eastAsia="宋体" w:hint="default"/>
                <w:w w:val="99"/>
                <w:sz w:val="20"/>
                <w:szCs w:val="20"/>
              </w:rPr>
              <w:t> </w:t>
            </w:r>
            <w:r>
              <w:rPr>
                <w:rFonts w:ascii="宋体" w:hAnsi="宋体" w:cs="宋体" w:eastAsia="宋体" w:hint="default"/>
                <w:sz w:val="20"/>
                <w:szCs w:val="20"/>
              </w:rPr>
              <w:t>率因数校正电路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ZL201120243396.4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46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一种高效简单的智能控制</w:t>
            </w:r>
            <w:r>
              <w:rPr>
                <w:rFonts w:ascii="宋体" w:hAnsi="宋体" w:cs="宋体" w:eastAsia="宋体" w:hint="default"/>
                <w:w w:val="99"/>
                <w:sz w:val="20"/>
                <w:szCs w:val="20"/>
              </w:rPr>
              <w:t> </w:t>
            </w:r>
            <w:r>
              <w:rPr>
                <w:rFonts w:ascii="宋体" w:hAnsi="宋体" w:cs="宋体" w:eastAsia="宋体" w:hint="default"/>
                <w:sz w:val="20"/>
                <w:szCs w:val="20"/>
              </w:rPr>
              <w:t>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ZL201120273731.5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47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6"/>
              <w:jc w:val="left"/>
              <w:rPr>
                <w:rFonts w:ascii="宋体" w:hAnsi="宋体" w:cs="宋体" w:eastAsia="宋体" w:hint="default"/>
                <w:sz w:val="20"/>
                <w:szCs w:val="20"/>
              </w:rPr>
            </w:pPr>
            <w:r>
              <w:rPr>
                <w:rFonts w:ascii="宋体" w:hAnsi="宋体" w:cs="宋体" w:eastAsia="宋体" w:hint="default"/>
                <w:sz w:val="20"/>
                <w:szCs w:val="20"/>
              </w:rPr>
              <w:t>一种内置软管的</w:t>
            </w:r>
            <w:r>
              <w:rPr>
                <w:rFonts w:ascii="宋体" w:hAnsi="宋体" w:cs="宋体" w:eastAsia="宋体" w:hint="default"/>
                <w:spacing w:val="-52"/>
                <w:sz w:val="20"/>
                <w:szCs w:val="20"/>
              </w:rPr>
              <w:t> </w:t>
            </w:r>
            <w:r>
              <w:rPr>
                <w:rFonts w:ascii="宋体" w:hAnsi="宋体" w:cs="宋体" w:eastAsia="宋体" w:hint="default"/>
                <w:sz w:val="20"/>
                <w:szCs w:val="20"/>
              </w:rPr>
              <w:t>LED</w:t>
            </w:r>
            <w:r>
              <w:rPr>
                <w:rFonts w:ascii="宋体" w:hAnsi="宋体" w:cs="宋体" w:eastAsia="宋体" w:hint="default"/>
                <w:spacing w:val="-50"/>
                <w:sz w:val="20"/>
                <w:szCs w:val="20"/>
              </w:rPr>
              <w:t> </w:t>
            </w:r>
            <w:r>
              <w:rPr>
                <w:rFonts w:ascii="宋体" w:hAnsi="宋体" w:cs="宋体" w:eastAsia="宋体" w:hint="default"/>
                <w:sz w:val="20"/>
                <w:szCs w:val="20"/>
              </w:rPr>
              <w:t>电源</w:t>
            </w:r>
            <w:r>
              <w:rPr>
                <w:rFonts w:ascii="宋体" w:hAnsi="宋体" w:cs="宋体" w:eastAsia="宋体" w:hint="default"/>
                <w:w w:val="99"/>
                <w:sz w:val="20"/>
                <w:szCs w:val="20"/>
              </w:rPr>
              <w:t> </w:t>
            </w:r>
            <w:r>
              <w:rPr>
                <w:rFonts w:ascii="宋体" w:hAnsi="宋体" w:cs="宋体" w:eastAsia="宋体" w:hint="default"/>
                <w:sz w:val="20"/>
                <w:szCs w:val="20"/>
              </w:rPr>
              <w:t>防水与散热结构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ZL201120287355.5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511"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5"/>
              <w:ind w:right="343"/>
              <w:jc w:val="right"/>
              <w:rPr>
                <w:rFonts w:ascii="宋体" w:hAnsi="宋体" w:cs="宋体" w:eastAsia="宋体" w:hint="default"/>
                <w:sz w:val="20"/>
                <w:szCs w:val="20"/>
              </w:rPr>
            </w:pPr>
            <w:r>
              <w:rPr>
                <w:rFonts w:ascii="宋体"/>
                <w:sz w:val="20"/>
              </w:rPr>
              <w:t>48</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一种带外置气囊的</w:t>
            </w:r>
            <w:r>
              <w:rPr>
                <w:rFonts w:ascii="宋体" w:hAnsi="宋体" w:cs="宋体" w:eastAsia="宋体" w:hint="default"/>
                <w:spacing w:val="-51"/>
                <w:sz w:val="20"/>
                <w:szCs w:val="20"/>
              </w:rPr>
              <w:t> </w:t>
            </w:r>
            <w:r>
              <w:rPr>
                <w:rFonts w:ascii="宋体" w:hAnsi="宋体" w:cs="宋体" w:eastAsia="宋体" w:hint="default"/>
                <w:sz w:val="20"/>
                <w:szCs w:val="20"/>
              </w:rPr>
              <w:t>LED</w:t>
            </w:r>
            <w:r>
              <w:rPr>
                <w:rFonts w:ascii="宋体" w:hAnsi="宋体" w:cs="宋体" w:eastAsia="宋体" w:hint="default"/>
                <w:spacing w:val="-51"/>
                <w:sz w:val="20"/>
                <w:szCs w:val="20"/>
              </w:rPr>
              <w:t> </w:t>
            </w:r>
            <w:r>
              <w:rPr>
                <w:rFonts w:ascii="宋体" w:hAnsi="宋体" w:cs="宋体" w:eastAsia="宋体" w:hint="default"/>
                <w:sz w:val="20"/>
                <w:szCs w:val="20"/>
              </w:rPr>
              <w:t>电</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20"/>
                <w:szCs w:val="20"/>
              </w:rPr>
            </w:pPr>
            <w:r>
              <w:rPr>
                <w:rFonts w:ascii="宋体"/>
                <w:sz w:val="20"/>
              </w:rPr>
              <w:t>ZL201120287288.7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bl>
    <w:p>
      <w:pPr>
        <w:spacing w:after="0" w:line="240" w:lineRule="auto"/>
        <w:jc w:val="center"/>
        <w:rPr>
          <w:rFonts w:ascii="宋体" w:hAnsi="宋体" w:cs="宋体" w:eastAsia="宋体" w:hint="default"/>
          <w:sz w:val="20"/>
          <w:szCs w:val="20"/>
        </w:rPr>
        <w:sectPr>
          <w:headerReference w:type="default" r:id="rId17"/>
          <w:footerReference w:type="default" r:id="rId18"/>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03" w:type="dxa"/>
        <w:tblLayout w:type="fixed"/>
        <w:tblCellMar>
          <w:top w:w="0" w:type="dxa"/>
          <w:left w:w="0" w:type="dxa"/>
          <w:bottom w:w="0" w:type="dxa"/>
          <w:right w:w="0" w:type="dxa"/>
        </w:tblCellMar>
        <w:tblLook w:val="01E0"/>
      </w:tblPr>
      <w:tblGrid>
        <w:gridCol w:w="905"/>
        <w:gridCol w:w="2521"/>
        <w:gridCol w:w="1080"/>
        <w:gridCol w:w="1817"/>
        <w:gridCol w:w="2324"/>
        <w:gridCol w:w="1080"/>
      </w:tblGrid>
      <w:tr>
        <w:trPr>
          <w:trHeight w:val="509"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521"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源散热与防水外壳</w:t>
            </w:r>
          </w:p>
        </w:tc>
        <w:tc>
          <w:tcPr>
            <w:tcW w:w="1080" w:type="dxa"/>
            <w:tcBorders>
              <w:top w:val="nil" w:sz="6" w:space="0" w:color="auto"/>
              <w:left w:val="single" w:sz="4" w:space="0" w:color="000000"/>
              <w:bottom w:val="single" w:sz="4" w:space="0" w:color="000000"/>
              <w:right w:val="single" w:sz="4" w:space="0" w:color="000000"/>
            </w:tcBorders>
          </w:tcPr>
          <w:p>
            <w:pPr/>
          </w:p>
        </w:tc>
        <w:tc>
          <w:tcPr>
            <w:tcW w:w="1817" w:type="dxa"/>
            <w:tcBorders>
              <w:top w:val="nil" w:sz="6" w:space="0" w:color="auto"/>
              <w:left w:val="single" w:sz="4" w:space="0" w:color="000000"/>
              <w:bottom w:val="single" w:sz="4" w:space="0" w:color="000000"/>
              <w:right w:val="single" w:sz="4" w:space="0" w:color="000000"/>
            </w:tcBorders>
          </w:tcPr>
          <w:p>
            <w:pPr/>
          </w:p>
        </w:tc>
        <w:tc>
          <w:tcPr>
            <w:tcW w:w="2324"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r>
        <w:trPr>
          <w:trHeight w:val="509"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5"/>
              <w:ind w:right="343"/>
              <w:jc w:val="right"/>
              <w:rPr>
                <w:rFonts w:ascii="宋体" w:hAnsi="宋体" w:cs="宋体" w:eastAsia="宋体" w:hint="default"/>
                <w:sz w:val="20"/>
                <w:szCs w:val="20"/>
              </w:rPr>
            </w:pPr>
            <w:r>
              <w:rPr>
                <w:rFonts w:ascii="宋体"/>
                <w:sz w:val="20"/>
              </w:rPr>
              <w:t>49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一种外置式</w:t>
            </w:r>
            <w:r>
              <w:rPr>
                <w:rFonts w:ascii="宋体" w:hAnsi="宋体" w:cs="宋体" w:eastAsia="宋体" w:hint="default"/>
                <w:spacing w:val="-52"/>
                <w:sz w:val="20"/>
                <w:szCs w:val="20"/>
              </w:rPr>
              <w:t> </w:t>
            </w:r>
            <w:r>
              <w:rPr>
                <w:rFonts w:ascii="宋体" w:hAnsi="宋体" w:cs="宋体" w:eastAsia="宋体" w:hint="default"/>
                <w:sz w:val="20"/>
                <w:szCs w:val="20"/>
              </w:rPr>
              <w:t>12KV</w:t>
            </w:r>
            <w:r>
              <w:rPr>
                <w:rFonts w:ascii="宋体" w:hAnsi="宋体" w:cs="宋体" w:eastAsia="宋体" w:hint="default"/>
                <w:spacing w:val="-51"/>
                <w:sz w:val="20"/>
                <w:szCs w:val="20"/>
              </w:rPr>
              <w:t> </w:t>
            </w:r>
            <w:r>
              <w:rPr>
                <w:rFonts w:ascii="宋体" w:hAnsi="宋体" w:cs="宋体" w:eastAsia="宋体" w:hint="default"/>
                <w:sz w:val="20"/>
                <w:szCs w:val="20"/>
              </w:rPr>
              <w:t>防雷电路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20"/>
                <w:szCs w:val="20"/>
              </w:rPr>
            </w:pPr>
            <w:r>
              <w:rPr>
                <w:rFonts w:ascii="宋体"/>
                <w:sz w:val="20"/>
              </w:rPr>
              <w:t>ZL201120243348.5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50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一种采用简单实用的输入</w:t>
            </w:r>
            <w:r>
              <w:rPr>
                <w:rFonts w:ascii="宋体" w:hAnsi="宋体" w:cs="宋体" w:eastAsia="宋体" w:hint="default"/>
                <w:w w:val="99"/>
                <w:sz w:val="20"/>
                <w:szCs w:val="20"/>
              </w:rPr>
              <w:t> </w:t>
            </w:r>
            <w:r>
              <w:rPr>
                <w:rFonts w:ascii="宋体" w:hAnsi="宋体" w:cs="宋体" w:eastAsia="宋体" w:hint="default"/>
                <w:sz w:val="20"/>
                <w:szCs w:val="20"/>
              </w:rPr>
              <w:t>欠压保护电路的电源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ZL201120315794.2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25</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51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一种直偶式的升降压太阳</w:t>
            </w:r>
            <w:r>
              <w:rPr>
                <w:rFonts w:ascii="宋体" w:hAnsi="宋体" w:cs="宋体" w:eastAsia="宋体" w:hint="default"/>
                <w:w w:val="99"/>
                <w:sz w:val="20"/>
                <w:szCs w:val="20"/>
              </w:rPr>
              <w:t> </w:t>
            </w:r>
            <w:r>
              <w:rPr>
                <w:rFonts w:ascii="宋体" w:hAnsi="宋体" w:cs="宋体" w:eastAsia="宋体" w:hint="default"/>
                <w:sz w:val="20"/>
                <w:szCs w:val="20"/>
              </w:rPr>
              <w:t>能</w:t>
            </w:r>
            <w:r>
              <w:rPr>
                <w:rFonts w:ascii="宋体" w:hAnsi="宋体" w:cs="宋体" w:eastAsia="宋体" w:hint="default"/>
                <w:spacing w:val="-51"/>
                <w:sz w:val="20"/>
                <w:szCs w:val="20"/>
              </w:rPr>
              <w:t> </w:t>
            </w:r>
            <w:r>
              <w:rPr>
                <w:rFonts w:ascii="宋体" w:hAnsi="宋体" w:cs="宋体" w:eastAsia="宋体" w:hint="default"/>
                <w:sz w:val="20"/>
                <w:szCs w:val="20"/>
              </w:rPr>
              <w:t>LED</w:t>
            </w:r>
            <w:r>
              <w:rPr>
                <w:rFonts w:ascii="宋体" w:hAnsi="宋体" w:cs="宋体" w:eastAsia="宋体" w:hint="default"/>
                <w:spacing w:val="-50"/>
                <w:sz w:val="20"/>
                <w:szCs w:val="20"/>
              </w:rPr>
              <w:t> </w:t>
            </w:r>
            <w:r>
              <w:rPr>
                <w:rFonts w:ascii="宋体" w:hAnsi="宋体" w:cs="宋体" w:eastAsia="宋体" w:hint="default"/>
                <w:sz w:val="20"/>
                <w:szCs w:val="20"/>
              </w:rPr>
              <w:t>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ZL201120312188.5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948"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43"/>
              <w:jc w:val="right"/>
              <w:rPr>
                <w:rFonts w:ascii="宋体" w:hAnsi="宋体" w:cs="宋体" w:eastAsia="宋体" w:hint="default"/>
                <w:sz w:val="20"/>
                <w:szCs w:val="20"/>
              </w:rPr>
            </w:pPr>
            <w:r>
              <w:rPr>
                <w:rFonts w:ascii="宋体"/>
                <w:sz w:val="20"/>
              </w:rPr>
              <w:t>52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both"/>
              <w:rPr>
                <w:rFonts w:ascii="宋体" w:hAnsi="宋体" w:cs="宋体" w:eastAsia="宋体" w:hint="default"/>
                <w:sz w:val="20"/>
                <w:szCs w:val="20"/>
              </w:rPr>
            </w:pPr>
            <w:r>
              <w:rPr>
                <w:rFonts w:ascii="宋体" w:hAnsi="宋体" w:cs="宋体" w:eastAsia="宋体" w:hint="default"/>
                <w:sz w:val="20"/>
                <w:szCs w:val="20"/>
              </w:rPr>
              <w:t>一种智能控制的输入过压</w:t>
            </w:r>
            <w:r>
              <w:rPr>
                <w:rFonts w:ascii="宋体" w:hAnsi="宋体" w:cs="宋体" w:eastAsia="宋体" w:hint="default"/>
                <w:w w:val="99"/>
                <w:sz w:val="20"/>
                <w:szCs w:val="20"/>
              </w:rPr>
              <w:t> </w:t>
            </w:r>
            <w:r>
              <w:rPr>
                <w:rFonts w:ascii="宋体" w:hAnsi="宋体" w:cs="宋体" w:eastAsia="宋体" w:hint="default"/>
                <w:sz w:val="20"/>
                <w:szCs w:val="20"/>
              </w:rPr>
              <w:t>保护电路及采用该电路的</w:t>
            </w:r>
            <w:r>
              <w:rPr>
                <w:rFonts w:ascii="宋体" w:hAnsi="宋体" w:cs="宋体" w:eastAsia="宋体" w:hint="default"/>
                <w:w w:val="99"/>
                <w:sz w:val="20"/>
                <w:szCs w:val="20"/>
              </w:rPr>
              <w:t> </w:t>
            </w:r>
            <w:r>
              <w:rPr>
                <w:rFonts w:ascii="宋体" w:hAnsi="宋体" w:cs="宋体" w:eastAsia="宋体" w:hint="default"/>
                <w:sz w:val="20"/>
                <w:szCs w:val="20"/>
              </w:rPr>
              <w:t>开关电源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sz w:val="20"/>
              </w:rPr>
              <w:t>ZL201120416120.1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53</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带辅助电源的大功率全桥</w:t>
            </w:r>
            <w:r>
              <w:rPr>
                <w:rFonts w:ascii="宋体" w:hAnsi="宋体" w:cs="宋体" w:eastAsia="宋体" w:hint="default"/>
                <w:w w:val="99"/>
                <w:sz w:val="20"/>
                <w:szCs w:val="20"/>
              </w:rPr>
              <w:t> </w:t>
            </w:r>
            <w:r>
              <w:rPr>
                <w:rFonts w:ascii="宋体" w:hAnsi="宋体" w:cs="宋体" w:eastAsia="宋体" w:hint="default"/>
                <w:sz w:val="20"/>
                <w:szCs w:val="20"/>
              </w:rPr>
              <w:t>移相电源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SZ201120468933.5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54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7"/>
              <w:jc w:val="left"/>
              <w:rPr>
                <w:rFonts w:ascii="宋体" w:hAnsi="宋体" w:cs="宋体" w:eastAsia="宋体" w:hint="default"/>
                <w:sz w:val="20"/>
                <w:szCs w:val="20"/>
              </w:rPr>
            </w:pPr>
            <w:r>
              <w:rPr>
                <w:rFonts w:ascii="宋体" w:hAnsi="宋体" w:cs="宋体" w:eastAsia="宋体" w:hint="default"/>
                <w:sz w:val="20"/>
                <w:szCs w:val="20"/>
              </w:rPr>
              <w:t>基于无线通讯网络的大功</w:t>
            </w:r>
            <w:r>
              <w:rPr>
                <w:rFonts w:ascii="宋体" w:hAnsi="宋体" w:cs="宋体" w:eastAsia="宋体" w:hint="default"/>
                <w:w w:val="99"/>
                <w:sz w:val="20"/>
                <w:szCs w:val="20"/>
              </w:rPr>
              <w:t> </w:t>
            </w:r>
            <w:r>
              <w:rPr>
                <w:rFonts w:ascii="宋体" w:hAnsi="宋体" w:cs="宋体" w:eastAsia="宋体" w:hint="default"/>
                <w:sz w:val="20"/>
                <w:szCs w:val="20"/>
              </w:rPr>
              <w:t>率</w:t>
            </w:r>
            <w:r>
              <w:rPr>
                <w:rFonts w:ascii="宋体" w:hAnsi="宋体" w:cs="宋体" w:eastAsia="宋体" w:hint="default"/>
                <w:spacing w:val="-53"/>
                <w:sz w:val="20"/>
                <w:szCs w:val="20"/>
              </w:rPr>
              <w:t> </w:t>
            </w:r>
            <w:r>
              <w:rPr>
                <w:rFonts w:ascii="宋体" w:hAnsi="宋体" w:cs="宋体" w:eastAsia="宋体" w:hint="default"/>
                <w:sz w:val="20"/>
                <w:szCs w:val="20"/>
              </w:rPr>
              <w:t>LED</w:t>
            </w:r>
            <w:r>
              <w:rPr>
                <w:rFonts w:ascii="宋体" w:hAnsi="宋体" w:cs="宋体" w:eastAsia="宋体" w:hint="default"/>
                <w:spacing w:val="-52"/>
                <w:sz w:val="20"/>
                <w:szCs w:val="20"/>
              </w:rPr>
              <w:t> </w:t>
            </w:r>
            <w:r>
              <w:rPr>
                <w:rFonts w:ascii="宋体" w:hAnsi="宋体" w:cs="宋体" w:eastAsia="宋体" w:hint="default"/>
                <w:sz w:val="20"/>
                <w:szCs w:val="20"/>
              </w:rPr>
              <w:t>智能驱动电源系统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ZL201120455371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509"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5"/>
              <w:ind w:right="343"/>
              <w:jc w:val="right"/>
              <w:rPr>
                <w:rFonts w:ascii="宋体" w:hAnsi="宋体" w:cs="宋体" w:eastAsia="宋体" w:hint="default"/>
                <w:sz w:val="20"/>
                <w:szCs w:val="20"/>
              </w:rPr>
            </w:pPr>
            <w:r>
              <w:rPr>
                <w:rFonts w:ascii="宋体"/>
                <w:sz w:val="20"/>
              </w:rPr>
              <w:t>55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零电流开关全桥转换器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20"/>
                <w:szCs w:val="20"/>
              </w:rPr>
            </w:pPr>
            <w:r>
              <w:rPr>
                <w:rFonts w:ascii="宋体"/>
                <w:sz w:val="20"/>
              </w:rPr>
              <w:t>ZL201220021601.7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56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移相全桥开关电源的直流</w:t>
            </w:r>
            <w:r>
              <w:rPr>
                <w:rFonts w:ascii="宋体" w:hAnsi="宋体" w:cs="宋体" w:eastAsia="宋体" w:hint="default"/>
                <w:w w:val="99"/>
                <w:sz w:val="20"/>
                <w:szCs w:val="20"/>
              </w:rPr>
              <w:t> </w:t>
            </w:r>
            <w:r>
              <w:rPr>
                <w:rFonts w:ascii="宋体" w:hAnsi="宋体" w:cs="宋体" w:eastAsia="宋体" w:hint="default"/>
                <w:sz w:val="20"/>
                <w:szCs w:val="20"/>
              </w:rPr>
              <w:t>变换电路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ZL201220096735.5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57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7"/>
              <w:jc w:val="left"/>
              <w:rPr>
                <w:rFonts w:ascii="宋体" w:hAnsi="宋体" w:cs="宋体" w:eastAsia="宋体" w:hint="default"/>
                <w:sz w:val="20"/>
                <w:szCs w:val="20"/>
              </w:rPr>
            </w:pPr>
            <w:r>
              <w:rPr>
                <w:rFonts w:ascii="宋体" w:hAnsi="宋体" w:cs="宋体" w:eastAsia="宋体" w:hint="default"/>
                <w:sz w:val="20"/>
                <w:szCs w:val="20"/>
              </w:rPr>
              <w:t>串联</w:t>
            </w:r>
            <w:r>
              <w:rPr>
                <w:rFonts w:ascii="宋体" w:hAnsi="宋体" w:cs="宋体" w:eastAsia="宋体" w:hint="default"/>
                <w:spacing w:val="-52"/>
                <w:sz w:val="20"/>
                <w:szCs w:val="20"/>
              </w:rPr>
              <w:t> </w:t>
            </w:r>
            <w:r>
              <w:rPr>
                <w:rFonts w:ascii="宋体" w:hAnsi="宋体" w:cs="宋体" w:eastAsia="宋体" w:hint="default"/>
                <w:sz w:val="20"/>
                <w:szCs w:val="20"/>
              </w:rPr>
              <w:t>LED</w:t>
            </w:r>
            <w:r>
              <w:rPr>
                <w:rFonts w:ascii="宋体" w:hAnsi="宋体" w:cs="宋体" w:eastAsia="宋体" w:hint="default"/>
                <w:spacing w:val="-51"/>
                <w:sz w:val="20"/>
                <w:szCs w:val="20"/>
              </w:rPr>
              <w:t> </w:t>
            </w:r>
            <w:r>
              <w:rPr>
                <w:rFonts w:ascii="宋体" w:hAnsi="宋体" w:cs="宋体" w:eastAsia="宋体" w:hint="default"/>
                <w:sz w:val="20"/>
                <w:szCs w:val="20"/>
              </w:rPr>
              <w:t>单只失效再启用</w:t>
            </w:r>
            <w:r>
              <w:rPr>
                <w:rFonts w:ascii="宋体" w:hAnsi="宋体" w:cs="宋体" w:eastAsia="宋体" w:hint="default"/>
                <w:w w:val="99"/>
                <w:sz w:val="20"/>
                <w:szCs w:val="20"/>
              </w:rPr>
              <w:t> </w:t>
            </w:r>
            <w:r>
              <w:rPr>
                <w:rFonts w:ascii="宋体" w:hAnsi="宋体" w:cs="宋体" w:eastAsia="宋体" w:hint="default"/>
                <w:sz w:val="20"/>
                <w:szCs w:val="20"/>
              </w:rPr>
              <w:t>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ZL201220074941.6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6"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0"/>
              <w:ind w:right="343"/>
              <w:jc w:val="right"/>
              <w:rPr>
                <w:rFonts w:ascii="宋体" w:hAnsi="宋体" w:cs="宋体" w:eastAsia="宋体" w:hint="default"/>
                <w:sz w:val="20"/>
                <w:szCs w:val="20"/>
              </w:rPr>
            </w:pPr>
            <w:r>
              <w:rPr>
                <w:rFonts w:ascii="宋体"/>
                <w:sz w:val="20"/>
              </w:rPr>
              <w:t>58</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一种太阳能板自动跟踪光</w:t>
            </w:r>
            <w:r>
              <w:rPr>
                <w:rFonts w:ascii="宋体" w:hAnsi="宋体" w:cs="宋体" w:eastAsia="宋体" w:hint="default"/>
                <w:w w:val="99"/>
                <w:sz w:val="20"/>
                <w:szCs w:val="20"/>
              </w:rPr>
              <w:t> </w:t>
            </w:r>
            <w:r>
              <w:rPr>
                <w:rFonts w:ascii="宋体" w:hAnsi="宋体" w:cs="宋体" w:eastAsia="宋体" w:hint="default"/>
                <w:sz w:val="20"/>
                <w:szCs w:val="20"/>
              </w:rPr>
              <w:t>移装置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ZL201220209304.5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509"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5"/>
              <w:ind w:right="343"/>
              <w:jc w:val="right"/>
              <w:rPr>
                <w:rFonts w:ascii="宋体" w:hAnsi="宋体" w:cs="宋体" w:eastAsia="宋体" w:hint="default"/>
                <w:sz w:val="20"/>
                <w:szCs w:val="20"/>
              </w:rPr>
            </w:pPr>
            <w:r>
              <w:rPr>
                <w:rFonts w:ascii="宋体"/>
                <w:sz w:val="20"/>
              </w:rPr>
              <w:t>59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一种脱扣式防雷保护电路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20"/>
                <w:szCs w:val="20"/>
              </w:rPr>
            </w:pPr>
            <w:r>
              <w:rPr>
                <w:rFonts w:ascii="宋体"/>
                <w:sz w:val="20"/>
              </w:rPr>
              <w:t>ZL201220209256.X</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60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一种外置时控双端口调光</w:t>
            </w:r>
            <w:r>
              <w:rPr>
                <w:rFonts w:ascii="宋体" w:hAnsi="宋体" w:cs="宋体" w:eastAsia="宋体" w:hint="default"/>
                <w:w w:val="99"/>
                <w:sz w:val="20"/>
                <w:szCs w:val="20"/>
              </w:rPr>
              <w:t> </w:t>
            </w:r>
            <w:r>
              <w:rPr>
                <w:rFonts w:ascii="宋体" w:hAnsi="宋体" w:cs="宋体" w:eastAsia="宋体" w:hint="default"/>
                <w:sz w:val="20"/>
                <w:szCs w:val="20"/>
              </w:rPr>
              <w:t>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ZL201220209253.6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343"/>
              <w:jc w:val="right"/>
              <w:rPr>
                <w:rFonts w:ascii="宋体" w:hAnsi="宋体" w:cs="宋体" w:eastAsia="宋体" w:hint="default"/>
                <w:sz w:val="20"/>
                <w:szCs w:val="20"/>
              </w:rPr>
            </w:pPr>
            <w:r>
              <w:rPr>
                <w:rFonts w:ascii="宋体"/>
                <w:sz w:val="20"/>
              </w:rPr>
              <w:t>61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08"/>
              <w:jc w:val="left"/>
              <w:rPr>
                <w:rFonts w:ascii="宋体" w:hAnsi="宋体" w:cs="宋体" w:eastAsia="宋体" w:hint="default"/>
                <w:sz w:val="20"/>
                <w:szCs w:val="20"/>
              </w:rPr>
            </w:pPr>
            <w:r>
              <w:rPr>
                <w:rFonts w:ascii="宋体" w:hAnsi="宋体" w:cs="宋体" w:eastAsia="宋体" w:hint="default"/>
                <w:sz w:val="20"/>
                <w:szCs w:val="20"/>
              </w:rPr>
              <w:t>电子设备密封结构及电子</w:t>
            </w:r>
            <w:r>
              <w:rPr>
                <w:rFonts w:ascii="宋体" w:hAnsi="宋体" w:cs="宋体" w:eastAsia="宋体" w:hint="default"/>
                <w:w w:val="99"/>
                <w:sz w:val="20"/>
                <w:szCs w:val="20"/>
              </w:rPr>
              <w:t> </w:t>
            </w:r>
            <w:r>
              <w:rPr>
                <w:rFonts w:ascii="宋体" w:hAnsi="宋体" w:cs="宋体" w:eastAsia="宋体" w:hint="default"/>
                <w:sz w:val="20"/>
                <w:szCs w:val="20"/>
              </w:rPr>
              <w:t>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sz w:val="20"/>
              </w:rPr>
              <w:t>ZL201220045900.4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509"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5"/>
              <w:ind w:right="343"/>
              <w:jc w:val="right"/>
              <w:rPr>
                <w:rFonts w:ascii="宋体" w:hAnsi="宋体" w:cs="宋体" w:eastAsia="宋体" w:hint="default"/>
                <w:sz w:val="20"/>
                <w:szCs w:val="20"/>
              </w:rPr>
            </w:pPr>
            <w:r>
              <w:rPr>
                <w:rFonts w:ascii="宋体"/>
                <w:sz w:val="20"/>
              </w:rPr>
              <w:t>62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一种调光电路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20"/>
                <w:szCs w:val="20"/>
              </w:rPr>
            </w:pPr>
            <w:r>
              <w:rPr>
                <w:rFonts w:ascii="宋体"/>
                <w:sz w:val="20"/>
              </w:rPr>
              <w:t>ZL201220274815.5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26</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509"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5"/>
              <w:ind w:right="343"/>
              <w:jc w:val="right"/>
              <w:rPr>
                <w:rFonts w:ascii="宋体" w:hAnsi="宋体" w:cs="宋体" w:eastAsia="宋体" w:hint="default"/>
                <w:sz w:val="20"/>
                <w:szCs w:val="20"/>
              </w:rPr>
            </w:pPr>
            <w:r>
              <w:rPr>
                <w:rFonts w:ascii="宋体"/>
                <w:sz w:val="20"/>
              </w:rPr>
              <w:t>63</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03" w:right="0"/>
              <w:jc w:val="left"/>
              <w:rPr>
                <w:rFonts w:ascii="宋体" w:hAnsi="宋体" w:cs="宋体" w:eastAsia="宋体" w:hint="default"/>
                <w:sz w:val="20"/>
                <w:szCs w:val="20"/>
              </w:rPr>
            </w:pPr>
            <w:r>
              <w:rPr>
                <w:rFonts w:ascii="宋体" w:hAnsi="宋体" w:cs="宋体" w:eastAsia="宋体" w:hint="default"/>
                <w:sz w:val="20"/>
                <w:szCs w:val="20"/>
              </w:rPr>
              <w:t>一种防水电源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20"/>
                <w:szCs w:val="20"/>
              </w:rPr>
            </w:pPr>
            <w:r>
              <w:rPr>
                <w:rFonts w:ascii="宋体"/>
                <w:sz w:val="20"/>
              </w:rPr>
              <w:t>ZL201220298902.4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bl>
    <w:p>
      <w:pPr>
        <w:spacing w:line="240" w:lineRule="auto" w:before="11"/>
        <w:rPr>
          <w:rFonts w:ascii="Times New Roman" w:hAnsi="Times New Roman" w:cs="Times New Roman" w:eastAsia="Times New Roman" w:hint="default"/>
          <w:sz w:val="23"/>
          <w:szCs w:val="23"/>
        </w:rPr>
      </w:pPr>
    </w:p>
    <w:p>
      <w:pPr>
        <w:pStyle w:val="BodyText"/>
        <w:spacing w:line="240" w:lineRule="auto" w:before="44"/>
        <w:ind w:left="513" w:right="1192"/>
        <w:jc w:val="left"/>
      </w:pPr>
      <w:r>
        <w:rPr/>
        <w:t>外观设计专利：</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008"/>
        <w:gridCol w:w="2521"/>
        <w:gridCol w:w="1080"/>
        <w:gridCol w:w="1894"/>
        <w:gridCol w:w="2247"/>
        <w:gridCol w:w="1097"/>
      </w:tblGrid>
      <w:tr>
        <w:trPr>
          <w:trHeight w:val="413" w:hRule="exact"/>
        </w:trPr>
        <w:tc>
          <w:tcPr>
            <w:tcW w:w="10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25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b/>
                <w:bCs/>
                <w:sz w:val="20"/>
                <w:szCs w:val="20"/>
              </w:rPr>
              <w:t>专利名称</w:t>
            </w:r>
            <w:r>
              <w:rPr>
                <w:rFonts w:ascii="宋体" w:hAnsi="宋体" w:cs="宋体" w:eastAsia="宋体"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131" w:right="0"/>
              <w:jc w:val="left"/>
              <w:rPr>
                <w:rFonts w:ascii="宋体" w:hAnsi="宋体" w:cs="宋体" w:eastAsia="宋体" w:hint="default"/>
                <w:sz w:val="20"/>
                <w:szCs w:val="20"/>
              </w:rPr>
            </w:pPr>
            <w:r>
              <w:rPr>
                <w:rFonts w:ascii="宋体" w:hAnsi="宋体" w:cs="宋体" w:eastAsia="宋体" w:hint="default"/>
                <w:b/>
                <w:bCs/>
                <w:sz w:val="20"/>
                <w:szCs w:val="20"/>
              </w:rPr>
              <w:t>专利类型</w:t>
            </w:r>
            <w:r>
              <w:rPr>
                <w:rFonts w:ascii="宋体" w:hAnsi="宋体" w:cs="宋体" w:eastAsia="宋体" w:hint="default"/>
                <w:sz w:val="20"/>
                <w:szCs w:val="20"/>
              </w:rPr>
            </w:r>
          </w:p>
        </w:tc>
        <w:tc>
          <w:tcPr>
            <w:tcW w:w="18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b/>
                <w:bCs/>
                <w:sz w:val="20"/>
                <w:szCs w:val="20"/>
              </w:rPr>
              <w:t>ZL</w:t>
            </w:r>
            <w:r>
              <w:rPr>
                <w:rFonts w:ascii="宋体" w:hAnsi="宋体" w:cs="宋体" w:eastAsia="宋体" w:hint="default"/>
                <w:b/>
                <w:bCs/>
                <w:spacing w:val="-53"/>
                <w:sz w:val="20"/>
                <w:szCs w:val="20"/>
              </w:rPr>
              <w:t> </w:t>
            </w:r>
            <w:r>
              <w:rPr>
                <w:rFonts w:ascii="宋体" w:hAnsi="宋体" w:cs="宋体" w:eastAsia="宋体" w:hint="default"/>
                <w:b/>
                <w:bCs/>
                <w:sz w:val="20"/>
                <w:szCs w:val="20"/>
              </w:rPr>
              <w:t>专利号</w:t>
            </w:r>
            <w:r>
              <w:rPr>
                <w:rFonts w:ascii="宋体" w:hAnsi="宋体" w:cs="宋体" w:eastAsia="宋体" w:hint="default"/>
                <w:b/>
                <w:bCs/>
                <w:sz w:val="20"/>
                <w:szCs w:val="20"/>
              </w:rPr>
              <w:t>/</w:t>
            </w:r>
            <w:r>
              <w:rPr>
                <w:rFonts w:ascii="宋体" w:hAnsi="宋体" w:cs="宋体" w:eastAsia="宋体" w:hint="default"/>
                <w:b/>
                <w:bCs/>
                <w:sz w:val="20"/>
                <w:szCs w:val="20"/>
              </w:rPr>
              <w:t>申请号</w:t>
            </w:r>
            <w:r>
              <w:rPr>
                <w:rFonts w:ascii="宋体" w:hAnsi="宋体" w:cs="宋体" w:eastAsia="宋体" w:hint="default"/>
                <w:sz w:val="20"/>
                <w:szCs w:val="20"/>
              </w:rPr>
            </w:r>
          </w:p>
        </w:tc>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715" w:right="0"/>
              <w:jc w:val="left"/>
              <w:rPr>
                <w:rFonts w:ascii="宋体" w:hAnsi="宋体" w:cs="宋体" w:eastAsia="宋体" w:hint="default"/>
                <w:sz w:val="20"/>
                <w:szCs w:val="20"/>
              </w:rPr>
            </w:pPr>
            <w:r>
              <w:rPr>
                <w:rFonts w:ascii="宋体" w:hAnsi="宋体" w:cs="宋体" w:eastAsia="宋体" w:hint="default"/>
                <w:b/>
                <w:bCs/>
                <w:sz w:val="20"/>
                <w:szCs w:val="20"/>
              </w:rPr>
              <w:t>取得日期</w:t>
            </w:r>
            <w:r>
              <w:rPr>
                <w:rFonts w:ascii="宋体" w:hAnsi="宋体" w:cs="宋体" w:eastAsia="宋体" w:hint="default"/>
                <w:sz w:val="20"/>
                <w:szCs w:val="20"/>
              </w:rPr>
            </w:r>
          </w:p>
        </w:tc>
        <w:tc>
          <w:tcPr>
            <w:tcW w:w="109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权利期限</w:t>
            </w:r>
            <w:r>
              <w:rPr>
                <w:rFonts w:ascii="宋体" w:hAnsi="宋体" w:cs="宋体" w:eastAsia="宋体" w:hint="default"/>
                <w:sz w:val="20"/>
                <w:szCs w:val="20"/>
              </w:rPr>
            </w:r>
          </w:p>
        </w:tc>
      </w:tr>
      <w:tr>
        <w:trPr>
          <w:trHeight w:val="413" w:hRule="exact"/>
        </w:trPr>
        <w:tc>
          <w:tcPr>
            <w:tcW w:w="10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w w:val="99"/>
                <w:sz w:val="20"/>
              </w:rPr>
              <w:t>1</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充电器</w:t>
            </w:r>
            <w:r>
              <w:rPr>
                <w:rFonts w:ascii="宋体" w:hAnsi="宋体" w:cs="宋体" w:eastAsia="宋体" w:hint="default"/>
                <w:sz w:val="20"/>
                <w:szCs w:val="20"/>
              </w:rPr>
              <w:t>(asm-u102)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外观专利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ZL200730131028.X</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z w:val="20"/>
                <w:szCs w:val="20"/>
              </w:rPr>
              <w:t>26</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410" w:hRule="exact"/>
        </w:trPr>
        <w:tc>
          <w:tcPr>
            <w:tcW w:w="10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w w:val="99"/>
                <w:sz w:val="20"/>
              </w:rPr>
              <w:t>2</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充电器</w:t>
            </w:r>
            <w:r>
              <w:rPr>
                <w:rFonts w:ascii="宋体" w:hAnsi="宋体" w:cs="宋体" w:eastAsia="宋体" w:hint="default"/>
                <w:sz w:val="20"/>
                <w:szCs w:val="20"/>
              </w:rPr>
              <w:t>(uk-asm-01)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外观专利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ZL200730131029.4</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z w:val="20"/>
                <w:szCs w:val="20"/>
              </w:rPr>
              <w:t>26</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413" w:hRule="exact"/>
        </w:trPr>
        <w:tc>
          <w:tcPr>
            <w:tcW w:w="10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w w:val="99"/>
                <w:sz w:val="20"/>
              </w:rPr>
              <w:t>3</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充电器</w:t>
            </w:r>
            <w:r>
              <w:rPr>
                <w:rFonts w:ascii="宋体" w:hAnsi="宋体" w:cs="宋体" w:eastAsia="宋体" w:hint="default"/>
                <w:sz w:val="20"/>
                <w:szCs w:val="20"/>
              </w:rPr>
              <w:t>(asm-vde01)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外观专利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ZL200730131031.1</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z w:val="20"/>
                <w:szCs w:val="20"/>
              </w:rPr>
              <w:t>26</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413" w:hRule="exact"/>
        </w:trPr>
        <w:tc>
          <w:tcPr>
            <w:tcW w:w="10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w w:val="99"/>
                <w:sz w:val="20"/>
              </w:rPr>
              <w:t>4</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充电器</w:t>
            </w:r>
            <w:r>
              <w:rPr>
                <w:rFonts w:ascii="宋体" w:hAnsi="宋体" w:cs="宋体" w:eastAsia="宋体" w:hint="default"/>
                <w:sz w:val="20"/>
                <w:szCs w:val="20"/>
              </w:rPr>
              <w:t>(saa-asm-01)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外观专利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ZL200730131030.7</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6</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410" w:hRule="exact"/>
        </w:trPr>
        <w:tc>
          <w:tcPr>
            <w:tcW w:w="10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w w:val="99"/>
                <w:sz w:val="20"/>
              </w:rPr>
              <w:t>5</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开关电源适配器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外观专利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ZL200830154741.0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30</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413" w:hRule="exact"/>
        </w:trPr>
        <w:tc>
          <w:tcPr>
            <w:tcW w:w="10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w w:val="99"/>
                <w:sz w:val="20"/>
              </w:rPr>
              <w:t>6</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开关电源适配器</w:t>
            </w:r>
            <w:r>
              <w:rPr>
                <w:rFonts w:ascii="宋体" w:hAnsi="宋体" w:cs="宋体" w:eastAsia="宋体" w:hint="default"/>
                <w:sz w:val="20"/>
                <w:szCs w:val="20"/>
              </w:rPr>
              <w:t>(3C)</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外观专利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ZL200830154599.X</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30</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413" w:hRule="exact"/>
        </w:trPr>
        <w:tc>
          <w:tcPr>
            <w:tcW w:w="10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w w:val="99"/>
                <w:sz w:val="20"/>
              </w:rPr>
              <w:t>7</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LED</w:t>
            </w:r>
            <w:r>
              <w:rPr>
                <w:rFonts w:ascii="宋体" w:hAnsi="宋体" w:cs="宋体" w:eastAsia="宋体" w:hint="default"/>
                <w:spacing w:val="-52"/>
                <w:sz w:val="20"/>
                <w:szCs w:val="20"/>
              </w:rPr>
              <w:t> </w:t>
            </w:r>
            <w:r>
              <w:rPr>
                <w:rFonts w:ascii="宋体" w:hAnsi="宋体" w:cs="宋体" w:eastAsia="宋体" w:hint="default"/>
                <w:sz w:val="20"/>
                <w:szCs w:val="20"/>
              </w:rPr>
              <w:t>驱动电源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外观专利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ZL200830252548.0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bl>
    <w:p>
      <w:pPr>
        <w:spacing w:after="0" w:line="254" w:lineRule="exact"/>
        <w:jc w:val="center"/>
        <w:rPr>
          <w:rFonts w:ascii="宋体" w:hAnsi="宋体" w:cs="宋体" w:eastAsia="宋体" w:hint="default"/>
          <w:sz w:val="20"/>
          <w:szCs w:val="20"/>
        </w:rPr>
        <w:sectPr>
          <w:footerReference w:type="default" r:id="rId19"/>
          <w:pgSz w:w="11910" w:h="16840"/>
          <w:pgMar w:footer="1246" w:header="877" w:top="1060" w:bottom="1440" w:left="920" w:right="0"/>
          <w:pgNumType w:start="21"/>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007"/>
        <w:gridCol w:w="2521"/>
        <w:gridCol w:w="1080"/>
        <w:gridCol w:w="1894"/>
        <w:gridCol w:w="2247"/>
        <w:gridCol w:w="1097"/>
      </w:tblGrid>
      <w:tr>
        <w:trPr>
          <w:trHeight w:val="413" w:hRule="exact"/>
        </w:trPr>
        <w:tc>
          <w:tcPr>
            <w:tcW w:w="100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1"/>
              <w:jc w:val="center"/>
              <w:rPr>
                <w:rFonts w:ascii="宋体" w:hAnsi="宋体" w:cs="宋体" w:eastAsia="宋体" w:hint="default"/>
                <w:sz w:val="20"/>
                <w:szCs w:val="20"/>
              </w:rPr>
            </w:pPr>
            <w:r>
              <w:rPr>
                <w:rFonts w:ascii="宋体"/>
                <w:w w:val="99"/>
                <w:sz w:val="20"/>
              </w:rPr>
              <w:t>8</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LED</w:t>
            </w:r>
            <w:r>
              <w:rPr>
                <w:rFonts w:ascii="宋体" w:hAnsi="宋体" w:cs="宋体" w:eastAsia="宋体" w:hint="default"/>
                <w:spacing w:val="-54"/>
                <w:sz w:val="20"/>
                <w:szCs w:val="20"/>
              </w:rPr>
              <w:t> </w:t>
            </w:r>
            <w:r>
              <w:rPr>
                <w:rFonts w:ascii="宋体" w:hAnsi="宋体" w:cs="宋体" w:eastAsia="宋体" w:hint="default"/>
                <w:sz w:val="20"/>
                <w:szCs w:val="20"/>
              </w:rPr>
              <w:t>驱动电源</w:t>
            </w:r>
            <w:r>
              <w:rPr>
                <w:rFonts w:ascii="宋体" w:hAnsi="宋体" w:cs="宋体" w:eastAsia="宋体" w:hint="default"/>
                <w:sz w:val="20"/>
                <w:szCs w:val="20"/>
              </w:rPr>
              <w:t>(</w:t>
            </w:r>
            <w:r>
              <w:rPr>
                <w:rFonts w:ascii="宋体" w:hAnsi="宋体" w:cs="宋体" w:eastAsia="宋体" w:hint="default"/>
                <w:sz w:val="20"/>
                <w:szCs w:val="20"/>
              </w:rPr>
              <w:t>大功率</w:t>
            </w:r>
            <w:r>
              <w:rPr>
                <w:rFonts w:ascii="宋体" w:hAnsi="宋体" w:cs="宋体" w:eastAsia="宋体" w:hint="default"/>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外观专利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ZL200930169458.X</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6</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410" w:hRule="exact"/>
        </w:trPr>
        <w:tc>
          <w:tcPr>
            <w:tcW w:w="100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1"/>
              <w:jc w:val="center"/>
              <w:rPr>
                <w:rFonts w:ascii="宋体" w:hAnsi="宋体" w:cs="宋体" w:eastAsia="宋体" w:hint="default"/>
                <w:sz w:val="20"/>
                <w:szCs w:val="20"/>
              </w:rPr>
            </w:pPr>
            <w:r>
              <w:rPr>
                <w:rFonts w:ascii="宋体"/>
                <w:w w:val="99"/>
                <w:sz w:val="20"/>
              </w:rPr>
              <w:t>9</w:t>
            </w:r>
            <w:r>
              <w:rPr>
                <w:rFonts w:ascii="宋体"/>
                <w:sz w:val="20"/>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防水连接器</w:t>
            </w:r>
            <w:r>
              <w:rPr>
                <w:rFonts w:ascii="宋体" w:hAnsi="宋体" w:cs="宋体" w:eastAsia="宋体" w:hint="default"/>
                <w:sz w:val="20"/>
                <w:szCs w:val="20"/>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外观专利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ZL201030045753.7</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413" w:hRule="exact"/>
        </w:trPr>
        <w:tc>
          <w:tcPr>
            <w:tcW w:w="100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6" w:lineRule="exact"/>
              <w:ind w:right="0"/>
              <w:jc w:val="center"/>
              <w:rPr>
                <w:rFonts w:ascii="宋体" w:hAnsi="宋体" w:cs="宋体" w:eastAsia="宋体" w:hint="default"/>
                <w:sz w:val="20"/>
                <w:szCs w:val="20"/>
              </w:rPr>
            </w:pPr>
            <w:r>
              <w:rPr>
                <w:rFonts w:ascii="宋体"/>
                <w:sz w:val="20"/>
              </w:rPr>
              <w:t>10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防水连接器</w:t>
            </w:r>
            <w:r>
              <w:rPr>
                <w:rFonts w:ascii="宋体" w:hAnsi="宋体" w:cs="宋体" w:eastAsia="宋体" w:hint="default"/>
                <w:sz w:val="20"/>
                <w:szCs w:val="20"/>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外观专利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sz w:val="20"/>
              </w:rPr>
              <w:t>ZL201030045754.1</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100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sz w:val="20"/>
              </w:rPr>
              <w:t>11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电源适配器</w:t>
            </w:r>
          </w:p>
          <w:p>
            <w:pPr>
              <w:pStyle w:val="TableParagraph"/>
              <w:spacing w:line="240" w:lineRule="auto" w:before="50"/>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MOSO-18D-CCC</w:t>
            </w:r>
            <w:r>
              <w:rPr>
                <w:rFonts w:ascii="宋体" w:hAnsi="宋体" w:cs="宋体" w:eastAsia="宋体" w:hint="default"/>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外观专利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ZL201130134667.8</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100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sz w:val="20"/>
              </w:rPr>
              <w:t>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电源适配器</w:t>
            </w:r>
          </w:p>
          <w:p>
            <w:pPr>
              <w:pStyle w:val="TableParagraph"/>
              <w:spacing w:line="240" w:lineRule="auto" w:before="50"/>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MOSO-18D-PSE</w:t>
            </w:r>
            <w:r>
              <w:rPr>
                <w:rFonts w:ascii="宋体" w:hAnsi="宋体" w:cs="宋体" w:eastAsia="宋体" w:hint="default"/>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外观专利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ZL201130134641.3</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413" w:hRule="exact"/>
        </w:trPr>
        <w:tc>
          <w:tcPr>
            <w:tcW w:w="100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sz w:val="20"/>
              </w:rPr>
              <w:t>13</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电源适配器</w:t>
            </w:r>
            <w:r>
              <w:rPr>
                <w:rFonts w:ascii="宋体" w:hAnsi="宋体" w:cs="宋体" w:eastAsia="宋体" w:hint="default"/>
                <w:sz w:val="20"/>
                <w:szCs w:val="20"/>
              </w:rPr>
              <w:t>(MOSO-18D-UK)</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外观专利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ZL201130198097.9</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z w:val="20"/>
                <w:szCs w:val="20"/>
              </w:rPr>
              <w:t>28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100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sz w:val="20"/>
              </w:rPr>
              <w:t>14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电源适配器</w:t>
            </w:r>
          </w:p>
          <w:p>
            <w:pPr>
              <w:pStyle w:val="TableParagraph"/>
              <w:spacing w:line="240" w:lineRule="auto" w:before="50"/>
              <w:ind w:left="103" w:right="0"/>
              <w:jc w:val="left"/>
              <w:rPr>
                <w:rFonts w:ascii="宋体" w:hAnsi="宋体" w:cs="宋体" w:eastAsia="宋体" w:hint="default"/>
                <w:sz w:val="20"/>
                <w:szCs w:val="20"/>
              </w:rPr>
            </w:pPr>
            <w:r>
              <w:rPr>
                <w:rFonts w:ascii="宋体"/>
                <w:sz w:val="20"/>
              </w:rPr>
              <w:t>(MOSO-48A-DESK)</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外观专利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ZL201130198095.X</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634" w:hRule="exact"/>
        </w:trPr>
        <w:tc>
          <w:tcPr>
            <w:tcW w:w="100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sz w:val="20"/>
              </w:rPr>
              <w:t>15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5"/>
              <w:jc w:val="left"/>
              <w:rPr>
                <w:rFonts w:ascii="宋体" w:hAnsi="宋体" w:cs="宋体" w:eastAsia="宋体" w:hint="default"/>
                <w:sz w:val="20"/>
                <w:szCs w:val="20"/>
              </w:rPr>
            </w:pPr>
            <w:r>
              <w:rPr>
                <w:rFonts w:ascii="宋体" w:hAnsi="宋体" w:cs="宋体" w:eastAsia="宋体" w:hint="default"/>
                <w:sz w:val="20"/>
                <w:szCs w:val="20"/>
              </w:rPr>
              <w:t>电源适配器</w:t>
            </w:r>
            <w:r>
              <w:rPr>
                <w:rFonts w:ascii="宋体" w:hAnsi="宋体" w:cs="宋体" w:eastAsia="宋体" w:hint="default"/>
                <w:w w:val="99"/>
                <w:sz w:val="20"/>
                <w:szCs w:val="20"/>
              </w:rPr>
              <w:t> </w:t>
            </w:r>
            <w:r>
              <w:rPr>
                <w:rFonts w:ascii="宋体" w:hAnsi="宋体" w:cs="宋体" w:eastAsia="宋体" w:hint="default"/>
                <w:sz w:val="20"/>
                <w:szCs w:val="20"/>
              </w:rPr>
              <w:t>(MOSO-18D-SAA)</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外观专利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ZL201130198098.3</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15</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413" w:hRule="exact"/>
        </w:trPr>
        <w:tc>
          <w:tcPr>
            <w:tcW w:w="100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sz w:val="20"/>
              </w:rPr>
              <w:t>16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LED</w:t>
            </w:r>
            <w:r>
              <w:rPr>
                <w:rFonts w:ascii="宋体" w:hAnsi="宋体" w:cs="宋体" w:eastAsia="宋体" w:hint="default"/>
                <w:spacing w:val="-50"/>
                <w:sz w:val="20"/>
                <w:szCs w:val="20"/>
              </w:rPr>
              <w:t> </w:t>
            </w:r>
            <w:r>
              <w:rPr>
                <w:rFonts w:ascii="宋体" w:hAnsi="宋体" w:cs="宋体" w:eastAsia="宋体" w:hint="default"/>
                <w:sz w:val="20"/>
                <w:szCs w:val="20"/>
              </w:rPr>
              <w:t>电源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外观专利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SZ201230067454.2</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r>
    </w:tbl>
    <w:p>
      <w:pPr>
        <w:spacing w:line="240" w:lineRule="auto" w:before="0"/>
        <w:rPr>
          <w:rFonts w:ascii="宋体" w:hAnsi="宋体" w:cs="宋体" w:eastAsia="宋体" w:hint="default"/>
          <w:sz w:val="20"/>
          <w:szCs w:val="20"/>
        </w:rPr>
      </w:pPr>
    </w:p>
    <w:p>
      <w:pPr>
        <w:pStyle w:val="BodyText"/>
        <w:spacing w:line="432" w:lineRule="exact" w:before="43"/>
        <w:ind w:left="513" w:right="1122"/>
        <w:jc w:val="left"/>
      </w:pPr>
      <w:r>
        <w:rPr>
          <w:rFonts w:ascii="宋体" w:hAnsi="宋体" w:cs="宋体" w:eastAsia="宋体" w:hint="default"/>
          <w:b/>
          <w:bCs/>
        </w:rPr>
        <w:t>（</w:t>
      </w:r>
      <w:r>
        <w:rPr>
          <w:rFonts w:ascii="Arial" w:hAnsi="Arial" w:cs="Arial" w:eastAsia="Arial" w:hint="default"/>
          <w:b/>
          <w:bCs/>
        </w:rPr>
        <w:t>2</w:t>
      </w:r>
      <w:r>
        <w:rPr>
          <w:rFonts w:ascii="宋体" w:hAnsi="宋体" w:cs="宋体" w:eastAsia="宋体" w:hint="default"/>
          <w:b/>
          <w:bCs/>
        </w:rPr>
        <w:t>）团队及公司治理优势</w:t>
      </w:r>
      <w:r>
        <w:rPr>
          <w:rFonts w:ascii="宋体" w:hAnsi="宋体" w:cs="宋体" w:eastAsia="宋体" w:hint="default"/>
          <w:b/>
          <w:bCs/>
          <w:w w:val="99"/>
        </w:rPr>
        <w:t> </w:t>
      </w:r>
      <w:r>
        <w:rPr/>
        <w:t>公司始终奉行</w:t>
      </w:r>
      <w:r>
        <w:rPr>
          <w:rFonts w:ascii="Arial" w:hAnsi="Arial" w:cs="Arial" w:eastAsia="Arial" w:hint="default"/>
        </w:rPr>
        <w:t>“</w:t>
      </w:r>
      <w:r>
        <w:rPr/>
        <w:t>责任、激情、行动、共赢</w:t>
      </w:r>
      <w:r>
        <w:rPr>
          <w:rFonts w:ascii="Arial" w:hAnsi="Arial" w:cs="Arial" w:eastAsia="Arial" w:hint="default"/>
        </w:rPr>
        <w:t>”</w:t>
      </w:r>
      <w:r>
        <w:rPr/>
        <w:t>的企业文化，随着公司的发展壮大，公司培养了一批与公司荣辱共担、价值观</w:t>
      </w:r>
    </w:p>
    <w:p>
      <w:pPr>
        <w:pStyle w:val="BodyText"/>
        <w:spacing w:line="316" w:lineRule="auto" w:before="15"/>
        <w:ind w:left="212" w:right="1129"/>
        <w:jc w:val="both"/>
      </w:pPr>
      <w:r>
        <w:rPr>
          <w:spacing w:val="-2"/>
        </w:rPr>
        <w:t>趋同、忠诚度高、有着共同理想、稳定的优秀职业经理人团队。管理骨干敬业进取、勇于创新，综合素质高，执行力强，可</w:t>
      </w:r>
      <w:r>
        <w:rPr>
          <w:spacing w:val="-65"/>
        </w:rPr>
        <w:t> </w:t>
      </w:r>
      <w:r>
        <w:rPr>
          <w:spacing w:val="-65"/>
        </w:rPr>
      </w:r>
      <w:r>
        <w:rPr>
          <w:spacing w:val="-2"/>
        </w:rPr>
        <w:t>以有效实施公司的发展战略，促进公司保持健康、持续的发展。公司成立至今一直重视人力资源培养，已建立了一支技术覆</w:t>
      </w:r>
      <w:r>
        <w:rPr>
          <w:spacing w:val="-65"/>
        </w:rPr>
        <w:t> </w:t>
      </w:r>
      <w:r>
        <w:rPr>
          <w:spacing w:val="-65"/>
        </w:rPr>
      </w:r>
      <w:r>
        <w:rPr>
          <w:spacing w:val="-2"/>
        </w:rPr>
        <w:t>盖面全、核心力量突出的研发技术人才梯队和一支具有丰富实践经验、客户基础的营销队伍，二者保证了公司业务规模扩张</w:t>
      </w:r>
      <w:r>
        <w:rPr>
          <w:spacing w:val="-62"/>
        </w:rPr>
        <w:t> </w:t>
      </w:r>
      <w:r>
        <w:rPr>
          <w:spacing w:val="-62"/>
        </w:rPr>
      </w:r>
      <w:r>
        <w:rPr/>
        <w:t>及技术进步，已成为公司凝聚核心竞争力的最重要资源。</w:t>
      </w:r>
    </w:p>
    <w:p>
      <w:pPr>
        <w:pStyle w:val="BodyText"/>
        <w:spacing w:line="319" w:lineRule="auto" w:before="19"/>
        <w:ind w:left="212" w:right="1130" w:firstLine="480"/>
        <w:jc w:val="both"/>
      </w:pPr>
      <w:r>
        <w:rPr>
          <w:spacing w:val="-1"/>
        </w:rPr>
        <w:t>在此基础上，公司治理结构规范，建立了规范的现代企业制度，形成了科学民主的决策机制，公司常年不懈地注重团</w:t>
      </w:r>
      <w:r>
        <w:rPr/>
        <w:t> </w:t>
      </w:r>
      <w:r>
        <w:rPr>
          <w:spacing w:val="-2"/>
        </w:rPr>
        <w:t>队文化建设，营造了和谐的企业文化，为公司的持续稳定发展奠定了坚实的基础。公司通过员工持股和股权激励的形式使中</w:t>
      </w:r>
      <w:r>
        <w:rPr>
          <w:spacing w:val="-63"/>
        </w:rPr>
        <w:t> </w:t>
      </w:r>
      <w:r>
        <w:rPr>
          <w:spacing w:val="-63"/>
        </w:rPr>
      </w:r>
      <w:r>
        <w:rPr>
          <w:spacing w:val="-2"/>
        </w:rPr>
        <w:t>高层管理人员、经营骨干持有公司股份，保证了企业经营目标与股东的目标一致，有利于公司核心团队的稳定和保障公司的</w:t>
      </w:r>
      <w:r>
        <w:rPr>
          <w:spacing w:val="-63"/>
        </w:rPr>
        <w:t> </w:t>
      </w:r>
      <w:r>
        <w:rPr>
          <w:spacing w:val="-63"/>
        </w:rPr>
      </w:r>
      <w:r>
        <w:rPr/>
        <w:t>长远发展。</w:t>
      </w:r>
    </w:p>
    <w:p>
      <w:pPr>
        <w:pStyle w:val="BodyText"/>
        <w:spacing w:line="432" w:lineRule="exact" w:before="1"/>
        <w:ind w:left="513" w:right="1122"/>
        <w:jc w:val="left"/>
      </w:pPr>
      <w:r>
        <w:rPr>
          <w:rFonts w:ascii="宋体" w:hAnsi="宋体" w:cs="宋体" w:eastAsia="宋体" w:hint="default"/>
          <w:b/>
          <w:bCs/>
        </w:rPr>
        <w:t>（</w:t>
      </w:r>
      <w:r>
        <w:rPr>
          <w:rFonts w:ascii="Arial" w:hAnsi="Arial" w:cs="Arial" w:eastAsia="Arial" w:hint="default"/>
          <w:b/>
          <w:bCs/>
        </w:rPr>
        <w:t>3</w:t>
      </w:r>
      <w:r>
        <w:rPr>
          <w:rFonts w:ascii="宋体" w:hAnsi="宋体" w:cs="宋体" w:eastAsia="宋体" w:hint="default"/>
          <w:b/>
          <w:bCs/>
        </w:rPr>
        <w:t>）品牌优势</w:t>
      </w:r>
      <w:r>
        <w:rPr>
          <w:rFonts w:ascii="宋体" w:hAnsi="宋体" w:cs="宋体" w:eastAsia="宋体" w:hint="default"/>
          <w:b/>
          <w:bCs/>
          <w:w w:val="99"/>
        </w:rPr>
        <w:t> </w:t>
      </w:r>
      <w:r>
        <w:rPr>
          <w:spacing w:val="-2"/>
        </w:rPr>
        <w:t>公司自创立以来，一直把建立和完善企业的品牌形象做为长期发展战略的重要组成部分，提出了创</w:t>
      </w:r>
      <w:r>
        <w:rPr>
          <w:rFonts w:ascii="Arial" w:hAnsi="Arial" w:cs="Arial" w:eastAsia="Arial" w:hint="default"/>
          <w:spacing w:val="-2"/>
        </w:rPr>
        <w:t>“</w:t>
      </w:r>
      <w:r>
        <w:rPr>
          <w:spacing w:val="-2"/>
        </w:rPr>
        <w:t>茂硕电源</w:t>
      </w:r>
      <w:r>
        <w:rPr>
          <w:rFonts w:ascii="Arial" w:hAnsi="Arial" w:cs="Arial" w:eastAsia="Arial" w:hint="default"/>
          <w:spacing w:val="-2"/>
        </w:rPr>
        <w:t>—</w:t>
      </w:r>
      <w:r>
        <w:rPr>
          <w:spacing w:val="-2"/>
        </w:rPr>
        <w:t>高效节能</w:t>
      </w:r>
    </w:p>
    <w:p>
      <w:pPr>
        <w:pStyle w:val="BodyText"/>
        <w:spacing w:line="309" w:lineRule="auto" w:before="15"/>
        <w:ind w:left="212" w:right="1132"/>
        <w:jc w:val="both"/>
      </w:pPr>
      <w:r>
        <w:rPr>
          <w:spacing w:val="-2"/>
        </w:rPr>
        <w:t>第一品牌</w:t>
      </w:r>
      <w:r>
        <w:rPr>
          <w:rFonts w:ascii="Arial" w:hAnsi="Arial" w:cs="Arial" w:eastAsia="Arial" w:hint="default"/>
          <w:spacing w:val="-2"/>
        </w:rPr>
        <w:t>”</w:t>
      </w:r>
      <w:r>
        <w:rPr>
          <w:spacing w:val="-2"/>
        </w:rPr>
        <w:t>的伟大愿景。公司以</w:t>
      </w:r>
      <w:r>
        <w:rPr>
          <w:rFonts w:ascii="Arial" w:hAnsi="Arial" w:cs="Arial" w:eastAsia="Arial" w:hint="default"/>
          <w:spacing w:val="-2"/>
        </w:rPr>
        <w:t>“</w:t>
      </w:r>
      <w:r>
        <w:rPr>
          <w:spacing w:val="-2"/>
        </w:rPr>
        <w:t>品牌电源、诚信共赢</w:t>
      </w:r>
      <w:r>
        <w:rPr>
          <w:rFonts w:ascii="Arial" w:hAnsi="Arial" w:cs="Arial" w:eastAsia="Arial" w:hint="default"/>
          <w:spacing w:val="-2"/>
        </w:rPr>
        <w:t>”</w:t>
      </w:r>
      <w:r>
        <w:rPr>
          <w:spacing w:val="-2"/>
        </w:rPr>
        <w:t>为基调，紧紧围绕品牌定位、品牌差异化、品牌可持续、品牌文化等四</w:t>
      </w:r>
      <w:r>
        <w:rPr>
          <w:spacing w:val="-64"/>
        </w:rPr>
        <w:t> </w:t>
      </w:r>
      <w:r>
        <w:rPr>
          <w:spacing w:val="-64"/>
        </w:rPr>
      </w:r>
      <w:r>
        <w:rPr>
          <w:spacing w:val="-2"/>
        </w:rPr>
        <w:t>大方面，整合内外资源，结合国内外市场分析，加大对新材料、新方案、新工艺、新设备等多元化技术研发的力度，形成了</w:t>
      </w:r>
      <w:r>
        <w:rPr>
          <w:spacing w:val="-73"/>
        </w:rPr>
        <w:t> </w:t>
      </w:r>
      <w:r>
        <w:rPr>
          <w:spacing w:val="-73"/>
        </w:rPr>
      </w:r>
      <w:r>
        <w:rPr/>
        <w:t>有效可区隔的品牌壁垒，在经过多年的经营发展后，已经得到市场和客户的认可。</w:t>
      </w:r>
    </w:p>
    <w:p>
      <w:pPr>
        <w:pStyle w:val="BodyText"/>
        <w:spacing w:line="432" w:lineRule="exact" w:before="9"/>
        <w:ind w:left="513" w:right="1122"/>
        <w:jc w:val="left"/>
      </w:pPr>
      <w:r>
        <w:rPr>
          <w:rFonts w:ascii="宋体" w:hAnsi="宋体" w:cs="宋体" w:eastAsia="宋体" w:hint="default"/>
          <w:b/>
          <w:bCs/>
        </w:rPr>
        <w:t>（</w:t>
      </w:r>
      <w:r>
        <w:rPr>
          <w:rFonts w:ascii="Arial" w:hAnsi="Arial" w:cs="Arial" w:eastAsia="Arial" w:hint="default"/>
          <w:b/>
          <w:bCs/>
        </w:rPr>
        <w:t>4</w:t>
      </w:r>
      <w:r>
        <w:rPr>
          <w:rFonts w:ascii="宋体" w:hAnsi="宋体" w:cs="宋体" w:eastAsia="宋体" w:hint="default"/>
          <w:b/>
          <w:bCs/>
        </w:rPr>
        <w:t>）市场先发优势</w:t>
      </w:r>
      <w:r>
        <w:rPr>
          <w:rFonts w:ascii="宋体" w:hAnsi="宋体" w:cs="宋体" w:eastAsia="宋体" w:hint="default"/>
          <w:b/>
          <w:bCs/>
          <w:w w:val="99"/>
        </w:rPr>
        <w:t> </w:t>
      </w:r>
      <w:r>
        <w:rPr/>
        <w:t>公司是国内较早从事</w:t>
      </w:r>
      <w:r>
        <w:rPr>
          <w:rFonts w:ascii="Arial" w:hAnsi="Arial" w:cs="Arial" w:eastAsia="Arial" w:hint="default"/>
        </w:rPr>
        <w:t>LED</w:t>
      </w:r>
      <w:r>
        <w:rPr/>
        <w:t>驱动电源研发和生产的厂商之一。在</w:t>
      </w:r>
      <w:r>
        <w:rPr>
          <w:rFonts w:ascii="Arial" w:hAnsi="Arial" w:cs="Arial" w:eastAsia="Arial" w:hint="default"/>
        </w:rPr>
        <w:t>LED</w:t>
      </w:r>
      <w:r>
        <w:rPr/>
        <w:t>产业发展的初期，本公司就已充分认识到</w:t>
      </w:r>
      <w:r>
        <w:rPr>
          <w:rFonts w:ascii="Arial" w:hAnsi="Arial" w:cs="Arial" w:eastAsia="Arial" w:hint="default"/>
        </w:rPr>
        <w:t>LED</w:t>
      </w:r>
      <w:r>
        <w:rPr/>
        <w:t>驱动电</w:t>
      </w:r>
    </w:p>
    <w:p>
      <w:pPr>
        <w:pStyle w:val="BodyText"/>
        <w:spacing w:line="304" w:lineRule="auto" w:before="16"/>
        <w:ind w:left="212" w:right="1129"/>
        <w:jc w:val="both"/>
      </w:pPr>
      <w:r>
        <w:rPr/>
        <w:t>源广阔的市场空间，</w:t>
      </w:r>
      <w:r>
        <w:rPr>
          <w:rFonts w:ascii="Arial" w:hAnsi="Arial" w:cs="Arial" w:eastAsia="Arial" w:hint="default"/>
        </w:rPr>
        <w:t>2008</w:t>
      </w:r>
      <w:r>
        <w:rPr/>
        <w:t>年上半年，本公司快速切入</w:t>
      </w:r>
      <w:r>
        <w:rPr>
          <w:rFonts w:ascii="Arial" w:hAnsi="Arial" w:cs="Arial" w:eastAsia="Arial" w:hint="default"/>
        </w:rPr>
        <w:t>LED</w:t>
      </w:r>
      <w:r>
        <w:rPr/>
        <w:t>驱动电源市场，确立了</w:t>
      </w:r>
      <w:r>
        <w:rPr>
          <w:rFonts w:ascii="Arial" w:hAnsi="Arial" w:cs="Arial" w:eastAsia="Arial" w:hint="default"/>
        </w:rPr>
        <w:t>“</w:t>
      </w:r>
      <w:r>
        <w:rPr/>
        <w:t>环保节能、全球领先的</w:t>
      </w:r>
      <w:r>
        <w:rPr>
          <w:rFonts w:ascii="Arial" w:hAnsi="Arial" w:cs="Arial" w:eastAsia="Arial" w:hint="default"/>
        </w:rPr>
        <w:t>LED</w:t>
      </w:r>
      <w:r>
        <w:rPr/>
        <w:t>路灯驱动解决</w:t>
      </w:r>
      <w:r>
        <w:rPr>
          <w:spacing w:val="-78"/>
        </w:rPr>
        <w:t> </w:t>
      </w:r>
      <w:r>
        <w:rPr>
          <w:spacing w:val="-78"/>
        </w:rPr>
      </w:r>
      <w:r>
        <w:rPr/>
        <w:t>方案提供商</w:t>
      </w:r>
      <w:r>
        <w:rPr>
          <w:rFonts w:ascii="Arial" w:hAnsi="Arial" w:cs="Arial" w:eastAsia="Arial" w:hint="default"/>
        </w:rPr>
        <w:t>”</w:t>
      </w:r>
      <w:r>
        <w:rPr/>
        <w:t>的发展目标。随着</w:t>
      </w:r>
      <w:r>
        <w:rPr>
          <w:rFonts w:ascii="Arial" w:hAnsi="Arial" w:cs="Arial" w:eastAsia="Arial" w:hint="default"/>
        </w:rPr>
        <w:t>LED</w:t>
      </w:r>
      <w:r>
        <w:rPr/>
        <w:t>路灯产业的快速发展，公司产品开发能力的增强，市场的不断开拓和品牌的不断提升，</w:t>
      </w:r>
      <w:r>
        <w:rPr>
          <w:spacing w:val="-51"/>
        </w:rPr>
        <w:t> </w:t>
      </w:r>
      <w:r>
        <w:rPr>
          <w:spacing w:val="-51"/>
        </w:rPr>
      </w:r>
      <w:r>
        <w:rPr>
          <w:spacing w:val="-2"/>
        </w:rPr>
        <w:t>公司已拥有了一大批专业市场客户。从事</w:t>
      </w:r>
      <w:r>
        <w:rPr>
          <w:rFonts w:ascii="Arial" w:hAnsi="Arial" w:cs="Arial" w:eastAsia="Arial" w:hint="default"/>
          <w:spacing w:val="-2"/>
        </w:rPr>
        <w:t>LED</w:t>
      </w:r>
      <w:r>
        <w:rPr>
          <w:spacing w:val="-2"/>
        </w:rPr>
        <w:t>的厂商对</w:t>
      </w:r>
      <w:r>
        <w:rPr>
          <w:rFonts w:ascii="Arial" w:hAnsi="Arial" w:cs="Arial" w:eastAsia="Arial" w:hint="default"/>
          <w:spacing w:val="-2"/>
        </w:rPr>
        <w:t>LED</w:t>
      </w:r>
      <w:r>
        <w:rPr>
          <w:spacing w:val="-2"/>
        </w:rPr>
        <w:t>驱动电源的品质要求很高，注重选择优质稳定的供应商，一旦形</w:t>
      </w:r>
      <w:r>
        <w:rPr>
          <w:spacing w:val="-46"/>
        </w:rPr>
        <w:t> </w:t>
      </w:r>
      <w:r>
        <w:rPr>
          <w:spacing w:val="-46"/>
        </w:rPr>
      </w:r>
      <w:r>
        <w:rPr>
          <w:spacing w:val="-2"/>
        </w:rPr>
        <w:t>成长期合作关系，就不会轻易更换供应商。本公司通过稳定的产品品质、及时的需求供应和良好的服务保障，与本公司客户</w:t>
      </w:r>
      <w:r>
        <w:rPr>
          <w:spacing w:val="-65"/>
        </w:rPr>
        <w:t> </w:t>
      </w:r>
      <w:r>
        <w:rPr>
          <w:spacing w:val="-65"/>
        </w:rPr>
      </w:r>
      <w:r>
        <w:rPr/>
        <w:t>建立了长期稳定的战略合作关系，这为行业的新进入者设置了较高的门槛。</w:t>
      </w:r>
    </w:p>
    <w:p>
      <w:pPr>
        <w:pStyle w:val="BodyText"/>
        <w:spacing w:line="432" w:lineRule="exact" w:before="12"/>
        <w:ind w:left="513" w:right="1122"/>
        <w:jc w:val="left"/>
      </w:pPr>
      <w:r>
        <w:rPr>
          <w:rFonts w:ascii="宋体" w:hAnsi="宋体" w:cs="宋体" w:eastAsia="宋体" w:hint="default"/>
          <w:b/>
          <w:bCs/>
        </w:rPr>
        <w:t>（</w:t>
      </w:r>
      <w:r>
        <w:rPr>
          <w:rFonts w:ascii="Arial" w:hAnsi="Arial" w:cs="Arial" w:eastAsia="Arial" w:hint="default"/>
          <w:b/>
          <w:bCs/>
        </w:rPr>
        <w:t>5</w:t>
      </w:r>
      <w:r>
        <w:rPr>
          <w:rFonts w:ascii="宋体" w:hAnsi="宋体" w:cs="宋体" w:eastAsia="宋体" w:hint="default"/>
          <w:b/>
          <w:bCs/>
        </w:rPr>
        <w:t>）产品认证优势</w:t>
      </w:r>
      <w:r>
        <w:rPr>
          <w:rFonts w:ascii="宋体" w:hAnsi="宋体" w:cs="宋体" w:eastAsia="宋体" w:hint="default"/>
          <w:b/>
          <w:bCs/>
          <w:w w:val="99"/>
        </w:rPr>
        <w:t> </w:t>
      </w:r>
      <w:r>
        <w:rPr>
          <w:spacing w:val="-1"/>
        </w:rPr>
        <w:t>电源产品认证需要较长的时间和较高的成本。一方面产品性能必须要符合本行业通用的技术标准；另一方面，电源制造</w:t>
      </w:r>
    </w:p>
    <w:p>
      <w:pPr>
        <w:pStyle w:val="BodyText"/>
        <w:spacing w:line="240" w:lineRule="auto" w:before="15"/>
        <w:ind w:left="212" w:right="0"/>
        <w:jc w:val="both"/>
      </w:pPr>
      <w:r>
        <w:rPr/>
        <w:t>厂商必须要通过客户个性化的认证，才能获得客户采购的供应权；此外，为了顺利进入国外市场，电源制造厂商还需要通过</w:t>
      </w:r>
    </w:p>
    <w:p>
      <w:pPr>
        <w:pStyle w:val="BodyText"/>
        <w:spacing w:line="240" w:lineRule="auto" w:before="76"/>
        <w:ind w:left="212" w:right="0"/>
        <w:jc w:val="both"/>
      </w:pPr>
      <w:r>
        <w:rPr/>
        <w:t>相关国家市场所需要的专门认证，例如</w:t>
      </w:r>
      <w:r>
        <w:rPr>
          <w:rFonts w:ascii="Arial" w:hAnsi="Arial" w:cs="Arial" w:eastAsia="Arial" w:hint="default"/>
        </w:rPr>
        <w:t>UL</w:t>
      </w:r>
      <w:r>
        <w:rPr/>
        <w:t>、</w:t>
      </w:r>
      <w:r>
        <w:rPr>
          <w:rFonts w:ascii="Arial" w:hAnsi="Arial" w:cs="Arial" w:eastAsia="Arial" w:hint="default"/>
        </w:rPr>
        <w:t>GS</w:t>
      </w:r>
      <w:r>
        <w:rPr/>
        <w:t>、</w:t>
      </w:r>
      <w:r>
        <w:rPr>
          <w:spacing w:val="23"/>
        </w:rPr>
        <w:t> </w:t>
      </w:r>
      <w:r>
        <w:rPr>
          <w:rFonts w:ascii="Arial" w:hAnsi="Arial" w:cs="Arial" w:eastAsia="Arial" w:hint="default"/>
        </w:rPr>
        <w:t>BS</w:t>
      </w:r>
      <w:r>
        <w:rPr/>
        <w:t>、</w:t>
      </w:r>
      <w:r>
        <w:rPr>
          <w:rFonts w:ascii="Arial" w:hAnsi="Arial" w:cs="Arial" w:eastAsia="Arial" w:hint="default"/>
        </w:rPr>
        <w:t>CE</w:t>
      </w:r>
      <w:r>
        <w:rPr/>
        <w:t>、</w:t>
      </w:r>
      <w:r>
        <w:rPr>
          <w:rFonts w:ascii="Arial" w:hAnsi="Arial" w:cs="Arial" w:eastAsia="Arial" w:hint="default"/>
        </w:rPr>
        <w:t>CB</w:t>
      </w:r>
      <w:r>
        <w:rPr/>
        <w:t>、</w:t>
      </w:r>
      <w:r>
        <w:rPr>
          <w:rFonts w:ascii="Arial" w:hAnsi="Arial" w:cs="Arial" w:eastAsia="Arial" w:hint="default"/>
        </w:rPr>
        <w:t>PSE</w:t>
      </w:r>
      <w:r>
        <w:rPr/>
        <w:t>认证等。以上认证是对电源厂商全方位的认证，涉</w:t>
      </w:r>
    </w:p>
    <w:p>
      <w:pPr>
        <w:spacing w:after="0" w:line="240" w:lineRule="auto"/>
        <w:jc w:val="both"/>
        <w:sectPr>
          <w:pgSz w:w="11910" w:h="16840"/>
          <w:pgMar w:header="877" w:footer="1246" w:top="1060" w:bottom="1440" w:left="920" w:right="0"/>
        </w:sectPr>
      </w:pPr>
    </w:p>
    <w:p>
      <w:pPr>
        <w:spacing w:line="240" w:lineRule="auto" w:before="9"/>
        <w:rPr>
          <w:rFonts w:ascii="宋体" w:hAnsi="宋体" w:cs="宋体" w:eastAsia="宋体" w:hint="default"/>
          <w:sz w:val="25"/>
          <w:szCs w:val="25"/>
        </w:rPr>
      </w:pPr>
    </w:p>
    <w:p>
      <w:pPr>
        <w:pStyle w:val="BodyText"/>
        <w:spacing w:line="309" w:lineRule="auto" w:before="44"/>
        <w:ind w:right="1131"/>
        <w:jc w:val="both"/>
      </w:pPr>
      <w:r>
        <w:rPr>
          <w:spacing w:val="-2"/>
        </w:rPr>
        <w:t>及到管理水平、技术水平、生产能力、质量控制等方方面面，整个认证过程需要较长的时间。公司所有电源产品完全满足世</w:t>
      </w:r>
      <w:r>
        <w:rPr>
          <w:spacing w:val="-67"/>
        </w:rPr>
        <w:t> </w:t>
      </w:r>
      <w:r>
        <w:rPr>
          <w:spacing w:val="-67"/>
        </w:rPr>
      </w:r>
      <w:r>
        <w:rPr/>
        <w:t>界最新能效标准（美国加州能效</w:t>
      </w:r>
      <w:r>
        <w:rPr>
          <w:rFonts w:ascii="Arial" w:hAnsi="Arial" w:cs="Arial" w:eastAsia="Arial" w:hint="default"/>
        </w:rPr>
        <w:t>5</w:t>
      </w:r>
      <w:r>
        <w:rPr/>
        <w:t>级）和欧盟</w:t>
      </w:r>
      <w:r>
        <w:rPr>
          <w:rFonts w:ascii="Arial" w:hAnsi="Arial" w:cs="Arial" w:eastAsia="Arial" w:hint="default"/>
        </w:rPr>
        <w:t>ROHS</w:t>
      </w:r>
      <w:r>
        <w:rPr/>
        <w:t>环保要求，公司产品系列安规认证齐全；跨越最严格级供应商评审逐步</w:t>
      </w:r>
      <w:r>
        <w:rPr>
          <w:spacing w:val="-77"/>
        </w:rPr>
        <w:t> </w:t>
      </w:r>
      <w:r>
        <w:rPr>
          <w:spacing w:val="-77"/>
        </w:rPr>
      </w:r>
      <w:r>
        <w:rPr/>
        <w:t>成为跨国公司主流供应商，与竞争对手相比具有认证优势。</w:t>
      </w:r>
    </w:p>
    <w:p>
      <w:pPr>
        <w:pStyle w:val="BodyText"/>
        <w:spacing w:line="432" w:lineRule="exact" w:before="9"/>
        <w:ind w:left="453" w:right="1121"/>
        <w:jc w:val="left"/>
      </w:pPr>
      <w:r>
        <w:rPr>
          <w:rFonts w:ascii="宋体" w:hAnsi="宋体" w:cs="宋体" w:eastAsia="宋体" w:hint="default"/>
          <w:b/>
          <w:bCs/>
        </w:rPr>
        <w:t>（</w:t>
      </w:r>
      <w:r>
        <w:rPr>
          <w:rFonts w:ascii="Arial" w:hAnsi="Arial" w:cs="Arial" w:eastAsia="Arial" w:hint="default"/>
          <w:b/>
          <w:bCs/>
        </w:rPr>
        <w:t>6</w:t>
      </w:r>
      <w:r>
        <w:rPr>
          <w:rFonts w:ascii="宋体" w:hAnsi="宋体" w:cs="宋体" w:eastAsia="宋体" w:hint="default"/>
          <w:b/>
          <w:bCs/>
        </w:rPr>
        <w:t>）综合成本控制优势</w:t>
      </w:r>
      <w:r>
        <w:rPr>
          <w:rFonts w:ascii="宋体" w:hAnsi="宋体" w:cs="宋体" w:eastAsia="宋体" w:hint="default"/>
          <w:b/>
          <w:bCs/>
          <w:w w:val="99"/>
        </w:rPr>
        <w:t> </w:t>
      </w:r>
      <w:r>
        <w:rPr>
          <w:spacing w:val="-1"/>
        </w:rPr>
        <w:t>公司在成本控制方面实行严格的制度化管理，用客观数据指导和控制公司的成本费用，根据公司的实际情况制定了严格</w:t>
      </w:r>
    </w:p>
    <w:p>
      <w:pPr>
        <w:pStyle w:val="BodyText"/>
        <w:spacing w:line="316" w:lineRule="auto" w:before="15"/>
        <w:ind w:right="1130"/>
        <w:jc w:val="both"/>
      </w:pPr>
      <w:r>
        <w:rPr>
          <w:spacing w:val="-2"/>
        </w:rPr>
        <w:t>的成本控制制度。随着公司生产规模的快速扩大，在材料采购上越来越具有优势，大批量的原材料采购可以降低公司的材料</w:t>
      </w:r>
      <w:r>
        <w:rPr>
          <w:spacing w:val="-63"/>
        </w:rPr>
        <w:t> </w:t>
      </w:r>
      <w:r>
        <w:rPr>
          <w:spacing w:val="-63"/>
        </w:rPr>
      </w:r>
      <w:r>
        <w:rPr>
          <w:spacing w:val="-2"/>
        </w:rPr>
        <w:t>成本；国内的人工成本原已颇具竞争力，规模的扩大更加强了专业化分工，提高了劳动生产效率，降低了单位产品的人工成</w:t>
      </w:r>
      <w:r>
        <w:rPr>
          <w:spacing w:val="-65"/>
        </w:rPr>
        <w:t> </w:t>
      </w:r>
      <w:r>
        <w:rPr>
          <w:spacing w:val="-65"/>
        </w:rPr>
      </w:r>
      <w:r>
        <w:rPr/>
        <w:t>本。</w:t>
      </w:r>
    </w:p>
    <w:p>
      <w:pPr>
        <w:pStyle w:val="BodyText"/>
        <w:spacing w:line="316" w:lineRule="auto" w:before="19"/>
        <w:ind w:right="1121" w:firstLine="480"/>
        <w:jc w:val="left"/>
      </w:pPr>
      <w:r>
        <w:rPr>
          <w:spacing w:val="-1"/>
        </w:rPr>
        <w:t>此外，公司主要产品均拥有完整的工艺链，从而有效地控制了成本，提高了产品附加值水平。公司从产品设计、生产</w:t>
      </w:r>
      <w:r>
        <w:rPr/>
        <w:t> 管理、质量管理等方面入手，严格控制产品成本，最终形成高性价比产品，满足客户需求，保证了产品的市场竞争力。</w:t>
      </w:r>
    </w:p>
    <w:p>
      <w:pPr>
        <w:pStyle w:val="BodyText"/>
        <w:spacing w:line="432" w:lineRule="exact" w:before="3"/>
        <w:ind w:left="453" w:right="1121"/>
        <w:jc w:val="left"/>
      </w:pPr>
      <w:r>
        <w:rPr>
          <w:rFonts w:ascii="宋体" w:hAnsi="宋体" w:cs="宋体" w:eastAsia="宋体" w:hint="default"/>
          <w:b/>
          <w:bCs/>
        </w:rPr>
        <w:t>（</w:t>
      </w:r>
      <w:r>
        <w:rPr>
          <w:rFonts w:ascii="Arial" w:hAnsi="Arial" w:cs="Arial" w:eastAsia="Arial" w:hint="default"/>
          <w:b/>
          <w:bCs/>
        </w:rPr>
        <w:t>7</w:t>
      </w:r>
      <w:r>
        <w:rPr>
          <w:rFonts w:ascii="宋体" w:hAnsi="宋体" w:cs="宋体" w:eastAsia="宋体" w:hint="default"/>
          <w:b/>
          <w:bCs/>
        </w:rPr>
        <w:t>）市场及客户优势</w:t>
      </w:r>
      <w:r>
        <w:rPr>
          <w:rFonts w:ascii="宋体" w:hAnsi="宋体" w:cs="宋体" w:eastAsia="宋体" w:hint="default"/>
          <w:b/>
          <w:bCs/>
          <w:w w:val="99"/>
        </w:rPr>
        <w:t> </w:t>
      </w:r>
      <w:r>
        <w:rPr>
          <w:spacing w:val="-1"/>
        </w:rPr>
        <w:t>公司十分重视市场营销，已经建立了一支执行力强、观念认同、年龄专业结构良好的销售团队。公司与知名咨询机构合</w:t>
      </w:r>
    </w:p>
    <w:p>
      <w:pPr>
        <w:pStyle w:val="BodyText"/>
        <w:spacing w:line="316" w:lineRule="auto" w:before="15"/>
        <w:ind w:right="1121"/>
        <w:jc w:val="left"/>
      </w:pPr>
      <w:r>
        <w:rPr>
          <w:spacing w:val="-2"/>
        </w:rPr>
        <w:t>作，结合公司自身的文化特点，建立了完善的销售管理、考核及激励制度，持续激发销售队伍的积极性，在实现销售队伍不</w:t>
      </w:r>
      <w:r>
        <w:rPr>
          <w:spacing w:val="-67"/>
        </w:rPr>
        <w:t> </w:t>
      </w:r>
      <w:r>
        <w:rPr>
          <w:spacing w:val="-67"/>
        </w:rPr>
      </w:r>
      <w:r>
        <w:rPr/>
        <w:t>断壮大的同时，确保销售骨干人员的稳定性，为公司未来几年的成长提供了组织和人才保障。</w:t>
      </w:r>
    </w:p>
    <w:p>
      <w:pPr>
        <w:pStyle w:val="BodyText"/>
        <w:spacing w:line="304" w:lineRule="auto" w:before="19"/>
        <w:ind w:right="1129" w:firstLine="300"/>
        <w:jc w:val="both"/>
      </w:pPr>
      <w:r>
        <w:rPr>
          <w:spacing w:val="-1"/>
        </w:rPr>
        <w:t>公司依据行业发展特点，在营销政策、技术支持、市场推广、培训服务等各方面为客户提供服务，并发挥自身品牌、技</w:t>
      </w:r>
      <w:r>
        <w:rPr/>
        <w:t> </w:t>
      </w:r>
      <w:r>
        <w:rPr>
          <w:spacing w:val="-1"/>
        </w:rPr>
        <w:t>术、服务、营销的系统优势，大力发展客户，扩大市场份额，凭借</w:t>
      </w:r>
      <w:r>
        <w:rPr>
          <w:rFonts w:ascii="Arial" w:hAnsi="Arial" w:cs="Arial" w:eastAsia="Arial" w:hint="default"/>
          <w:spacing w:val="-1"/>
        </w:rPr>
        <w:t>“</w:t>
      </w:r>
      <w:r>
        <w:rPr>
          <w:spacing w:val="-1"/>
        </w:rPr>
        <w:t>高端抢利润、低端占市场</w:t>
      </w:r>
      <w:r>
        <w:rPr>
          <w:rFonts w:ascii="Arial" w:hAnsi="Arial" w:cs="Arial" w:eastAsia="Arial" w:hint="default"/>
          <w:spacing w:val="-1"/>
        </w:rPr>
        <w:t>”</w:t>
      </w:r>
      <w:r>
        <w:rPr>
          <w:spacing w:val="-1"/>
        </w:rPr>
        <w:t>的策略在国内开关电源市场初</w:t>
      </w:r>
      <w:r>
        <w:rPr>
          <w:spacing w:val="-55"/>
        </w:rPr>
        <w:t> </w:t>
      </w:r>
      <w:r>
        <w:rPr/>
        <w:t>步显现市场领先地位。传统电源方面公司已经华为、创维、卓翼科技、</w:t>
      </w:r>
      <w:r>
        <w:rPr>
          <w:rFonts w:ascii="Arial" w:hAnsi="Arial" w:cs="Arial" w:eastAsia="Arial" w:hint="default"/>
        </w:rPr>
        <w:t>SAGEM</w:t>
      </w:r>
      <w:r>
        <w:rPr/>
        <w:t>、</w:t>
      </w:r>
      <w:r>
        <w:rPr>
          <w:rFonts w:ascii="Arial" w:hAnsi="Arial" w:cs="Arial" w:eastAsia="Arial" w:hint="default"/>
        </w:rPr>
        <w:t>SEB</w:t>
      </w:r>
      <w:r>
        <w:rPr/>
        <w:t>、</w:t>
      </w:r>
      <w:r>
        <w:rPr>
          <w:rFonts w:ascii="Arial" w:hAnsi="Arial" w:cs="Arial" w:eastAsia="Arial" w:hint="default"/>
        </w:rPr>
        <w:t>SHARP</w:t>
      </w:r>
      <w:r>
        <w:rPr/>
        <w:t>、</w:t>
      </w:r>
      <w:r>
        <w:rPr>
          <w:rFonts w:ascii="Arial" w:hAnsi="Arial" w:cs="Arial" w:eastAsia="Arial" w:hint="default"/>
        </w:rPr>
        <w:t>D-LINK</w:t>
      </w:r>
      <w:r>
        <w:rPr/>
        <w:t>等跨国优秀企业</w:t>
      </w:r>
      <w:r>
        <w:rPr>
          <w:spacing w:val="-56"/>
        </w:rPr>
        <w:t> </w:t>
      </w:r>
      <w:r>
        <w:rPr>
          <w:spacing w:val="-56"/>
        </w:rPr>
      </w:r>
      <w:r>
        <w:rPr>
          <w:spacing w:val="-2"/>
        </w:rPr>
        <w:t>建立合作关系，并且成为公司的主流客户；</w:t>
      </w:r>
      <w:r>
        <w:rPr>
          <w:rFonts w:ascii="Arial" w:hAnsi="Arial" w:cs="Arial" w:eastAsia="Arial" w:hint="default"/>
          <w:spacing w:val="-2"/>
        </w:rPr>
        <w:t>LED</w:t>
      </w:r>
      <w:r>
        <w:rPr>
          <w:spacing w:val="-2"/>
        </w:rPr>
        <w:t>驱动电源方面公司已经与勤上光电、富士康、比亚迪、真明丽集团、德豪润</w:t>
      </w:r>
      <w:r>
        <w:rPr>
          <w:spacing w:val="-57"/>
        </w:rPr>
        <w:t> </w:t>
      </w:r>
      <w:r>
        <w:rPr>
          <w:spacing w:val="-57"/>
        </w:rPr>
      </w:r>
      <w:r>
        <w:rPr>
          <w:spacing w:val="-1"/>
        </w:rPr>
        <w:t>达、国星光电、山东中微、北京朗波尔、西安立明、万润科技、洲明科技等国内近</w:t>
      </w:r>
      <w:r>
        <w:rPr>
          <w:rFonts w:ascii="Arial" w:hAnsi="Arial" w:cs="Arial" w:eastAsia="Arial" w:hint="default"/>
          <w:spacing w:val="-1"/>
        </w:rPr>
        <w:t>300</w:t>
      </w:r>
      <w:r>
        <w:rPr>
          <w:spacing w:val="-1"/>
        </w:rPr>
        <w:t>家</w:t>
      </w:r>
      <w:r>
        <w:rPr>
          <w:rFonts w:ascii="Arial" w:hAnsi="Arial" w:cs="Arial" w:eastAsia="Arial" w:hint="default"/>
          <w:spacing w:val="-1"/>
        </w:rPr>
        <w:t>LED</w:t>
      </w:r>
      <w:r>
        <w:rPr>
          <w:spacing w:val="-1"/>
        </w:rPr>
        <w:t>路灯企业建立合作关系，有效</w:t>
      </w:r>
      <w:r>
        <w:rPr>
          <w:spacing w:val="-52"/>
        </w:rPr>
        <w:t> </w:t>
      </w:r>
      <w:r>
        <w:rPr>
          <w:spacing w:val="-52"/>
        </w:rPr>
      </w:r>
      <w:r>
        <w:rPr/>
        <w:t>巩固了公司的市场占有率。与大客户的战略合作将为公司业绩的高成长提供有效支持。</w:t>
      </w:r>
    </w:p>
    <w:p>
      <w:pPr>
        <w:pStyle w:val="BodyText"/>
        <w:spacing w:line="319" w:lineRule="auto" w:before="28"/>
        <w:ind w:right="1130" w:firstLine="362"/>
        <w:jc w:val="both"/>
      </w:pPr>
      <w:r>
        <w:rPr>
          <w:spacing w:val="-2"/>
        </w:rPr>
        <w:t>随着公司在开关电源领域竞争优势的加强和行业经验的积累，越来越多的客户直接将其在生产实践过程中急需解决的专</w:t>
      </w:r>
      <w:r>
        <w:rPr/>
        <w:t> </w:t>
      </w:r>
      <w:r>
        <w:rPr>
          <w:spacing w:val="-2"/>
        </w:rPr>
        <w:t>业课题和科技项目委托给公司，公司为其量身定做了电源解决方案，专业化的定制服务已经成为吸引客户的一种重要的营销</w:t>
      </w:r>
      <w:r>
        <w:rPr>
          <w:spacing w:val="-64"/>
        </w:rPr>
        <w:t> </w:t>
      </w:r>
      <w:r>
        <w:rPr>
          <w:spacing w:val="-64"/>
        </w:rPr>
      </w:r>
      <w:r>
        <w:rPr/>
        <w:t>模式，保证了公司在研发项目中的投入产出效率，巩固了公司技术水平在行业中的领先地位，提升了公司的市场竞争力。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2"/>
        <w:spacing w:line="240" w:lineRule="auto"/>
        <w:ind w:right="1121"/>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）对外投资情况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06" w:right="0"/>
              <w:jc w:val="left"/>
              <w:rPr>
                <w:rFonts w:ascii="Arial" w:hAnsi="Arial" w:cs="Arial" w:eastAsia="Arial" w:hint="default"/>
                <w:sz w:val="18"/>
                <w:szCs w:val="18"/>
              </w:rPr>
            </w:pPr>
            <w:r>
              <w:rPr>
                <w:rFonts w:ascii="Arial"/>
                <w:sz w:val="18"/>
              </w:rPr>
              <w:t>281,438,000.00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06" w:right="0"/>
              <w:jc w:val="left"/>
              <w:rPr>
                <w:rFonts w:ascii="Arial" w:hAnsi="Arial" w:cs="Arial" w:eastAsia="Arial" w:hint="default"/>
                <w:sz w:val="18"/>
                <w:szCs w:val="18"/>
              </w:rPr>
            </w:pPr>
            <w:r>
              <w:rPr>
                <w:rFonts w:ascii="Arial"/>
                <w:sz w:val="18"/>
              </w:rPr>
              <w:t>18,040,000.00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1,460.08%</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w w:val="95"/>
                <w:sz w:val="18"/>
                <w:szCs w:val="18"/>
              </w:rPr>
              <w:t>上市公司占被投资公司权益比例（</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12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生产、销售：大功率</w:t>
            </w:r>
            <w:r>
              <w:rPr>
                <w:rFonts w:ascii="宋体" w:hAnsi="宋体" w:cs="宋体" w:eastAsia="宋体" w:hint="default"/>
                <w:spacing w:val="-49"/>
                <w:sz w:val="18"/>
                <w:szCs w:val="18"/>
              </w:rPr>
              <w:t> </w:t>
            </w:r>
            <w:r>
              <w:rPr>
                <w:rFonts w:ascii="Arial" w:hAnsi="Arial" w:cs="Arial" w:eastAsia="Arial" w:hint="default"/>
                <w:sz w:val="18"/>
                <w:szCs w:val="18"/>
              </w:rPr>
              <w:t>LED</w:t>
            </w:r>
            <w:r>
              <w:rPr>
                <w:rFonts w:ascii="Arial" w:hAnsi="Arial" w:cs="Arial" w:eastAsia="Arial" w:hint="default"/>
                <w:spacing w:val="-9"/>
                <w:sz w:val="18"/>
                <w:szCs w:val="18"/>
              </w:rPr>
              <w:t> </w:t>
            </w:r>
            <w:r>
              <w:rPr>
                <w:rFonts w:ascii="宋体" w:hAnsi="宋体" w:cs="宋体" w:eastAsia="宋体" w:hint="default"/>
                <w:sz w:val="18"/>
                <w:szCs w:val="18"/>
              </w:rPr>
              <w:t>路灯电源、隧 道灯电源、汽车充电器、光伏并网逆变 器、开关电源、变压器、电子元器件、 五金塑胶配件；货物出口业务（法律、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1246" w:top="1060" w:bottom="14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6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行政法规禁止的、限制的项目除外</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北京茂硕新能源科技有限公司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技术推广服务；应用软件服务；销售机 械设备五金交电、家用电器、计算机软 件及辅助设备、通讯设备、电子产品。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r>
      <w:tr>
        <w:trPr>
          <w:trHeight w:val="133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远程测控系统和设备产品的研发、 销售及相关产品的技术支持与服务（法 律、行政法规、国务院决定规定在登记 </w:t>
            </w:r>
            <w:r>
              <w:rPr>
                <w:rFonts w:ascii="宋体" w:hAnsi="宋体" w:cs="宋体" w:eastAsia="宋体" w:hint="default"/>
                <w:spacing w:val="-8"/>
                <w:sz w:val="18"/>
                <w:szCs w:val="18"/>
              </w:rPr>
              <w:t>前须经批准的项目除外）。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159.050pt;height:23.4pt;mso-position-horizontal-relative:char;mso-position-vertical-relative:line" coordorigin="0,0" coordsize="3181,468">
                  <v:group style="position:absolute;left:0;top:0;width:3181;height:468" coordorigin="0,0" coordsize="3181,468">
                    <v:shape style="position:absolute;left:0;top:0;width:3181;height:468" coordorigin="0,0" coordsize="3181,468" path="m0,468l3180,468,3180,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90"/>
              <w:ind w:right="18"/>
              <w:jc w:val="right"/>
              <w:rPr>
                <w:rFonts w:ascii="Arial" w:hAnsi="Arial" w:cs="Arial" w:eastAsia="Arial" w:hint="default"/>
                <w:sz w:val="18"/>
                <w:szCs w:val="18"/>
              </w:rPr>
            </w:pPr>
            <w:r>
              <w:rPr>
                <w:rFonts w:ascii="Arial"/>
                <w:spacing w:val="-1"/>
                <w:sz w:val="18"/>
              </w:rPr>
              <w:t>50.93%</w:t>
            </w:r>
          </w:p>
        </w:tc>
      </w:tr>
    </w:tbl>
    <w:p>
      <w:pPr>
        <w:spacing w:line="240" w:lineRule="auto" w:before="3"/>
        <w:rPr>
          <w:rFonts w:ascii="宋体" w:hAnsi="宋体" w:cs="宋体" w:eastAsia="宋体" w:hint="default"/>
          <w:b/>
          <w:bCs/>
          <w:sz w:val="19"/>
          <w:szCs w:val="19"/>
        </w:rPr>
      </w:pPr>
    </w:p>
    <w:p>
      <w:pPr>
        <w:pStyle w:val="Heading3"/>
        <w:spacing w:line="240" w:lineRule="auto" w:before="36"/>
        <w:ind w:right="1121"/>
        <w:jc w:val="left"/>
        <w:rPr>
          <w:b w:val="0"/>
          <w:bCs w:val="0"/>
        </w:rPr>
      </w:pPr>
      <w:r>
        <w:rPr/>
        <w:pict>
          <v:shape style="position:absolute;margin-left:351.653015pt;margin-top:-79.536308pt;width:183.3pt;height:23.4pt;mso-position-horizontal-relative:page;mso-position-vertical-relative:paragraph;z-index:-1034632" type="#_x0000_t202" filled="false" stroked="false">
            <v:textbox inset="0,0,0,0">
              <w:txbxContent>
                <w:p>
                  <w:pPr>
                    <w:pStyle w:val="BodyText"/>
                    <w:spacing w:line="240" w:lineRule="auto" w:before="49"/>
                    <w:ind w:left="0" w:right="0"/>
                    <w:jc w:val="left"/>
                  </w:pPr>
                  <w:r>
                    <w:rPr/>
                    <w:t>设计、</w:t>
                  </w:r>
                </w:p>
              </w:txbxContent>
            </v:textbox>
            <w10:wrap type="none"/>
          </v:shape>
        </w:pict>
      </w:r>
      <w:r>
        <w:rPr>
          <w:rFonts w:ascii="Arial" w:hAnsi="Arial" w:cs="Arial" w:eastAsia="Arial" w:hint="default"/>
        </w:rPr>
        <w:t>2</w:t>
      </w:r>
      <w:r>
        <w:rPr/>
        <w:t>、募集资金使用情况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）募集资金总体使用情况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89"/>
        <w:gridCol w:w="5481"/>
      </w:tblGrid>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41,418.55</w:t>
            </w: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14,534.7</w:t>
            </w:r>
          </w:p>
        </w:tc>
      </w:tr>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14,950.2</w:t>
            </w: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0</w:t>
            </w:r>
            <w:r>
              <w:rPr>
                <w:rFonts w:ascii="Arial"/>
                <w:sz w:val="18"/>
              </w:rPr>
            </w:r>
          </w:p>
        </w:tc>
      </w:tr>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0</w:t>
            </w:r>
            <w:r>
              <w:rPr>
                <w:rFonts w:ascii="Arial"/>
                <w:sz w:val="18"/>
              </w:rPr>
            </w:r>
          </w:p>
        </w:tc>
      </w:tr>
      <w:tr>
        <w:trPr>
          <w:trHeight w:val="408"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Arial" w:hAnsi="Arial" w:cs="Arial" w:eastAsia="Arial"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0%</w:t>
            </w:r>
            <w:r>
              <w:rPr>
                <w:rFonts w:ascii="Arial"/>
                <w:sz w:val="18"/>
              </w:rPr>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508"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、实际募集资金金额及资金到位时间</w:t>
            </w:r>
          </w:p>
          <w:p>
            <w:pPr>
              <w:pStyle w:val="TableParagraph"/>
              <w:spacing w:line="240" w:lineRule="auto" w:before="104"/>
              <w:ind w:left="384" w:right="0"/>
              <w:jc w:val="left"/>
              <w:rPr>
                <w:rFonts w:ascii="Arial" w:hAnsi="Arial" w:cs="Arial" w:eastAsia="Arial" w:hint="default"/>
                <w:sz w:val="18"/>
                <w:szCs w:val="18"/>
              </w:rPr>
            </w:pPr>
            <w:r>
              <w:rPr>
                <w:rFonts w:ascii="宋体" w:hAnsi="宋体" w:cs="宋体" w:eastAsia="宋体" w:hint="default"/>
                <w:sz w:val="18"/>
                <w:szCs w:val="18"/>
              </w:rPr>
              <w:t>经中国证券监督管理委员会证监许可</w:t>
            </w:r>
            <w:r>
              <w:rPr>
                <w:rFonts w:ascii="Arial" w:hAnsi="Arial" w:cs="Arial" w:eastAsia="Arial" w:hint="default"/>
                <w:sz w:val="18"/>
                <w:szCs w:val="18"/>
              </w:rPr>
              <w:t>[2012]186</w:t>
            </w:r>
            <w:r>
              <w:rPr>
                <w:rFonts w:ascii="Arial" w:hAnsi="Arial" w:cs="Arial" w:eastAsia="Arial" w:hint="default"/>
                <w:spacing w:val="-6"/>
                <w:sz w:val="18"/>
                <w:szCs w:val="18"/>
              </w:rPr>
              <w:t> </w:t>
            </w:r>
            <w:r>
              <w:rPr>
                <w:rFonts w:ascii="宋体" w:hAnsi="宋体" w:cs="宋体" w:eastAsia="宋体" w:hint="default"/>
                <w:sz w:val="18"/>
                <w:szCs w:val="18"/>
              </w:rPr>
              <w:t>号文核准，公司于</w:t>
            </w:r>
            <w:r>
              <w:rPr>
                <w:rFonts w:ascii="宋体" w:hAnsi="宋体" w:cs="宋体" w:eastAsia="宋体" w:hint="default"/>
                <w:spacing w:val="-47"/>
                <w:sz w:val="18"/>
                <w:szCs w:val="18"/>
              </w:rPr>
              <w:t> </w:t>
            </w: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月向社会公众发行人民币普通股</w:t>
            </w:r>
            <w:r>
              <w:rPr>
                <w:rFonts w:ascii="宋体" w:hAnsi="宋体" w:cs="宋体" w:eastAsia="宋体" w:hint="default"/>
                <w:spacing w:val="-47"/>
                <w:sz w:val="18"/>
                <w:szCs w:val="18"/>
              </w:rPr>
              <w:t> </w:t>
            </w:r>
            <w:r>
              <w:rPr>
                <w:rFonts w:ascii="Arial" w:hAnsi="Arial" w:cs="Arial" w:eastAsia="Arial" w:hint="default"/>
                <w:sz w:val="18"/>
                <w:szCs w:val="18"/>
              </w:rPr>
              <w:t>2,428</w:t>
            </w:r>
          </w:p>
          <w:p>
            <w:pPr>
              <w:pStyle w:val="TableParagraph"/>
              <w:spacing w:line="240" w:lineRule="auto" w:before="63"/>
              <w:ind w:left="24" w:right="0"/>
              <w:jc w:val="left"/>
              <w:rPr>
                <w:rFonts w:ascii="Arial" w:hAnsi="Arial" w:cs="Arial" w:eastAsia="Arial" w:hint="default"/>
                <w:sz w:val="18"/>
                <w:szCs w:val="18"/>
              </w:rPr>
            </w:pPr>
            <w:r>
              <w:rPr>
                <w:rFonts w:ascii="宋体" w:hAnsi="宋体" w:cs="宋体" w:eastAsia="宋体" w:hint="default"/>
                <w:sz w:val="18"/>
                <w:szCs w:val="18"/>
              </w:rPr>
              <w:t>万股，每股面值</w:t>
            </w:r>
            <w:r>
              <w:rPr>
                <w:rFonts w:ascii="宋体" w:hAnsi="宋体" w:cs="宋体" w:eastAsia="宋体" w:hint="default"/>
                <w:spacing w:val="-47"/>
                <w:sz w:val="18"/>
                <w:szCs w:val="18"/>
              </w:rPr>
              <w:t> </w:t>
            </w:r>
            <w:r>
              <w:rPr>
                <w:rFonts w:ascii="Arial" w:hAnsi="Arial" w:cs="Arial" w:eastAsia="Arial" w:hint="default"/>
                <w:sz w:val="18"/>
                <w:szCs w:val="18"/>
              </w:rPr>
              <w:t>1.00</w:t>
            </w:r>
            <w:r>
              <w:rPr>
                <w:rFonts w:ascii="Arial" w:hAnsi="Arial" w:cs="Arial" w:eastAsia="Arial" w:hint="default"/>
                <w:spacing w:val="-7"/>
                <w:sz w:val="18"/>
                <w:szCs w:val="18"/>
              </w:rPr>
              <w:t> </w:t>
            </w:r>
            <w:r>
              <w:rPr>
                <w:rFonts w:ascii="宋体" w:hAnsi="宋体" w:cs="宋体" w:eastAsia="宋体" w:hint="default"/>
                <w:sz w:val="18"/>
                <w:szCs w:val="18"/>
              </w:rPr>
              <w:t>元，每股发行价</w:t>
            </w:r>
            <w:r>
              <w:rPr>
                <w:rFonts w:ascii="宋体" w:hAnsi="宋体" w:cs="宋体" w:eastAsia="宋体" w:hint="default"/>
                <w:spacing w:val="-47"/>
                <w:sz w:val="18"/>
                <w:szCs w:val="18"/>
              </w:rPr>
              <w:t> </w:t>
            </w:r>
            <w:r>
              <w:rPr>
                <w:rFonts w:ascii="Arial" w:hAnsi="Arial" w:cs="Arial" w:eastAsia="Arial" w:hint="default"/>
                <w:sz w:val="18"/>
                <w:szCs w:val="18"/>
              </w:rPr>
              <w:t>18.50</w:t>
            </w:r>
            <w:r>
              <w:rPr>
                <w:rFonts w:ascii="Arial" w:hAnsi="Arial" w:cs="Arial" w:eastAsia="Arial" w:hint="default"/>
                <w:spacing w:val="-7"/>
                <w:sz w:val="18"/>
                <w:szCs w:val="18"/>
              </w:rPr>
              <w:t> </w:t>
            </w:r>
            <w:r>
              <w:rPr>
                <w:rFonts w:ascii="宋体" w:hAnsi="宋体" w:cs="宋体" w:eastAsia="宋体" w:hint="default"/>
                <w:sz w:val="18"/>
                <w:szCs w:val="18"/>
              </w:rPr>
              <w:t>元，共募集资金总额人民币</w:t>
            </w:r>
            <w:r>
              <w:rPr>
                <w:rFonts w:ascii="宋体" w:hAnsi="宋体" w:cs="宋体" w:eastAsia="宋体" w:hint="default"/>
                <w:spacing w:val="-48"/>
                <w:sz w:val="18"/>
                <w:szCs w:val="18"/>
              </w:rPr>
              <w:t> </w:t>
            </w:r>
            <w:r>
              <w:rPr>
                <w:rFonts w:ascii="Arial" w:hAnsi="Arial" w:cs="Arial" w:eastAsia="Arial" w:hint="default"/>
                <w:sz w:val="18"/>
                <w:szCs w:val="18"/>
              </w:rPr>
              <w:t>44,918.00</w:t>
            </w:r>
            <w:r>
              <w:rPr>
                <w:rFonts w:ascii="Arial" w:hAnsi="Arial" w:cs="Arial" w:eastAsia="Arial" w:hint="default"/>
                <w:spacing w:val="-7"/>
                <w:sz w:val="18"/>
                <w:szCs w:val="18"/>
              </w:rPr>
              <w:t> </w:t>
            </w:r>
            <w:r>
              <w:rPr>
                <w:rFonts w:ascii="宋体" w:hAnsi="宋体" w:cs="宋体" w:eastAsia="宋体" w:hint="default"/>
                <w:sz w:val="18"/>
                <w:szCs w:val="18"/>
              </w:rPr>
              <w:t>万元，扣除发行费用人民币</w:t>
            </w:r>
            <w:r>
              <w:rPr>
                <w:rFonts w:ascii="宋体" w:hAnsi="宋体" w:cs="宋体" w:eastAsia="宋体" w:hint="default"/>
                <w:spacing w:val="-47"/>
                <w:sz w:val="18"/>
                <w:szCs w:val="18"/>
              </w:rPr>
              <w:t> </w:t>
            </w:r>
            <w:r>
              <w:rPr>
                <w:rFonts w:ascii="Arial" w:hAnsi="Arial" w:cs="Arial" w:eastAsia="Arial" w:hint="default"/>
                <w:sz w:val="18"/>
                <w:szCs w:val="18"/>
              </w:rPr>
              <w:t>3,499.45</w:t>
            </w:r>
          </w:p>
          <w:p>
            <w:pPr>
              <w:pStyle w:val="TableParagraph"/>
              <w:spacing w:line="302"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万元，实际募集资金净额为人民币</w:t>
            </w:r>
            <w:r>
              <w:rPr>
                <w:rFonts w:ascii="宋体" w:hAnsi="宋体" w:cs="宋体" w:eastAsia="宋体" w:hint="default"/>
                <w:spacing w:val="-47"/>
                <w:sz w:val="18"/>
                <w:szCs w:val="18"/>
              </w:rPr>
              <w:t> </w:t>
            </w:r>
            <w:r>
              <w:rPr>
                <w:rFonts w:ascii="Arial" w:hAnsi="Arial" w:cs="Arial" w:eastAsia="Arial" w:hint="default"/>
                <w:sz w:val="18"/>
                <w:szCs w:val="18"/>
              </w:rPr>
              <w:t>41,418.55</w:t>
            </w:r>
            <w:r>
              <w:rPr>
                <w:rFonts w:ascii="Arial" w:hAnsi="Arial" w:cs="Arial" w:eastAsia="Arial" w:hint="default"/>
                <w:spacing w:val="-7"/>
                <w:sz w:val="18"/>
                <w:szCs w:val="18"/>
              </w:rPr>
              <w:t> </w:t>
            </w:r>
            <w:r>
              <w:rPr>
                <w:rFonts w:ascii="宋体" w:hAnsi="宋体" w:cs="宋体" w:eastAsia="宋体" w:hint="default"/>
                <w:spacing w:val="-3"/>
                <w:sz w:val="18"/>
                <w:szCs w:val="18"/>
              </w:rPr>
              <w:t>万元。该项募集资金已于</w:t>
            </w:r>
            <w:r>
              <w:rPr>
                <w:rFonts w:ascii="宋体" w:hAnsi="宋体" w:cs="宋体" w:eastAsia="宋体" w:hint="default"/>
                <w:spacing w:val="-48"/>
                <w:sz w:val="18"/>
                <w:szCs w:val="18"/>
              </w:rPr>
              <w:t> </w:t>
            </w: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3</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pacing w:val="-3"/>
                <w:sz w:val="18"/>
                <w:szCs w:val="18"/>
              </w:rPr>
              <w:t>日全部到位，已经深圳市鹏城会计</w:t>
            </w:r>
            <w:r>
              <w:rPr>
                <w:rFonts w:ascii="宋体" w:hAnsi="宋体" w:cs="宋体" w:eastAsia="宋体" w:hint="default"/>
                <w:sz w:val="18"/>
                <w:szCs w:val="18"/>
              </w:rPr>
              <w:t> 师事务所有限公司审验，并出具深鹏所验字</w:t>
            </w:r>
            <w:r>
              <w:rPr>
                <w:rFonts w:ascii="Arial" w:hAnsi="Arial" w:cs="Arial" w:eastAsia="Arial" w:hint="default"/>
                <w:sz w:val="18"/>
                <w:szCs w:val="18"/>
              </w:rPr>
              <w:t>[2012]0051</w:t>
            </w:r>
            <w:r>
              <w:rPr>
                <w:rFonts w:ascii="Arial" w:hAnsi="Arial" w:cs="Arial" w:eastAsia="Arial" w:hint="default"/>
                <w:spacing w:val="-11"/>
                <w:sz w:val="18"/>
                <w:szCs w:val="18"/>
              </w:rPr>
              <w:t> </w:t>
            </w:r>
            <w:r>
              <w:rPr>
                <w:rFonts w:ascii="宋体" w:hAnsi="宋体" w:cs="宋体" w:eastAsia="宋体" w:hint="default"/>
                <w:sz w:val="18"/>
                <w:szCs w:val="18"/>
              </w:rPr>
              <w:t>号验资报告。</w:t>
            </w:r>
          </w:p>
          <w:p>
            <w:pPr>
              <w:pStyle w:val="TableParagraph"/>
              <w:spacing w:line="240" w:lineRule="auto" w:before="49"/>
              <w:ind w:left="38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、本年度使用金额及当前余额</w:t>
            </w:r>
          </w:p>
          <w:p>
            <w:pPr>
              <w:pStyle w:val="TableParagraph"/>
              <w:tabs>
                <w:tab w:pos="4109" w:val="left" w:leader="none"/>
              </w:tabs>
              <w:spacing w:line="240" w:lineRule="auto" w:before="104"/>
              <w:ind w:left="384" w:right="0"/>
              <w:jc w:val="left"/>
              <w:rPr>
                <w:rFonts w:ascii="宋体" w:hAnsi="宋体" w:cs="宋体" w:eastAsia="宋体" w:hint="default"/>
                <w:sz w:val="18"/>
                <w:szCs w:val="18"/>
              </w:rPr>
            </w:pPr>
            <w:r>
              <w:rPr>
                <w:rFonts w:ascii="宋体" w:hAnsi="宋体" w:cs="宋体" w:eastAsia="宋体" w:hint="default"/>
                <w:sz w:val="18"/>
                <w:szCs w:val="18"/>
              </w:rPr>
              <w:t>项目</w:t>
              <w:tab/>
              <w:t>金额</w:t>
            </w:r>
          </w:p>
          <w:p>
            <w:pPr>
              <w:pStyle w:val="TableParagraph"/>
              <w:tabs>
                <w:tab w:pos="4047" w:val="left" w:leader="none"/>
              </w:tabs>
              <w:spacing w:line="240" w:lineRule="auto" w:before="117"/>
              <w:ind w:left="384" w:right="0"/>
              <w:jc w:val="left"/>
              <w:rPr>
                <w:rFonts w:ascii="Arial" w:hAnsi="Arial" w:cs="Arial" w:eastAsia="Arial" w:hint="default"/>
                <w:sz w:val="18"/>
                <w:szCs w:val="18"/>
              </w:rPr>
            </w:pPr>
            <w:r>
              <w:rPr>
                <w:rFonts w:ascii="宋体" w:hAnsi="宋体" w:cs="宋体" w:eastAsia="宋体" w:hint="default"/>
                <w:sz w:val="18"/>
                <w:szCs w:val="18"/>
              </w:rPr>
              <w:t>募集资金净额</w:t>
              <w:tab/>
            </w:r>
            <w:r>
              <w:rPr>
                <w:rFonts w:ascii="Arial" w:hAnsi="Arial" w:cs="Arial" w:eastAsia="Arial" w:hint="default"/>
                <w:sz w:val="18"/>
                <w:szCs w:val="18"/>
              </w:rPr>
              <w:t>41,418.55</w:t>
            </w:r>
          </w:p>
          <w:p>
            <w:pPr>
              <w:pStyle w:val="TableParagraph"/>
              <w:tabs>
                <w:tab w:pos="4617" w:val="right" w:leader="none"/>
              </w:tabs>
              <w:spacing w:line="240" w:lineRule="auto" w:before="102"/>
              <w:ind w:left="384" w:right="0"/>
              <w:jc w:val="left"/>
              <w:rPr>
                <w:rFonts w:ascii="Arial" w:hAnsi="Arial" w:cs="Arial" w:eastAsia="Arial" w:hint="default"/>
                <w:sz w:val="18"/>
                <w:szCs w:val="18"/>
              </w:rPr>
            </w:pPr>
            <w:r>
              <w:rPr>
                <w:rFonts w:ascii="宋体" w:hAnsi="宋体" w:cs="宋体" w:eastAsia="宋体" w:hint="default"/>
                <w:sz w:val="18"/>
                <w:szCs w:val="18"/>
              </w:rPr>
              <w:t>置换预先投入的自筹资金</w:t>
            </w:r>
            <w:r>
              <w:rPr>
                <w:rFonts w:ascii="Arial" w:hAnsi="Arial" w:cs="Arial" w:eastAsia="Arial" w:hint="default"/>
                <w:sz w:val="18"/>
                <w:szCs w:val="18"/>
              </w:rPr>
              <w:tab/>
              <w:t>415.5</w:t>
            </w:r>
          </w:p>
          <w:p>
            <w:pPr>
              <w:pStyle w:val="TableParagraph"/>
              <w:tabs>
                <w:tab w:pos="4076" w:val="left" w:leader="none"/>
              </w:tabs>
              <w:spacing w:line="240" w:lineRule="auto" w:before="104"/>
              <w:ind w:left="384" w:right="0"/>
              <w:jc w:val="left"/>
              <w:rPr>
                <w:rFonts w:ascii="Arial" w:hAnsi="Arial" w:cs="Arial" w:eastAsia="Arial" w:hint="default"/>
                <w:sz w:val="18"/>
                <w:szCs w:val="18"/>
              </w:rPr>
            </w:pPr>
            <w:r>
              <w:rPr>
                <w:rFonts w:ascii="宋体" w:hAnsi="宋体" w:cs="宋体" w:eastAsia="宋体" w:hint="default"/>
                <w:sz w:val="18"/>
                <w:szCs w:val="18"/>
              </w:rPr>
              <w:t>本年度投入募集资金总额</w:t>
              <w:tab/>
            </w:r>
            <w:r>
              <w:rPr>
                <w:rFonts w:ascii="Arial" w:hAnsi="Arial" w:cs="Arial" w:eastAsia="Arial" w:hint="default"/>
                <w:sz w:val="18"/>
                <w:szCs w:val="18"/>
              </w:rPr>
              <w:t>14,534.70</w:t>
            </w:r>
          </w:p>
          <w:p>
            <w:pPr>
              <w:pStyle w:val="TableParagraph"/>
              <w:tabs>
                <w:tab w:pos="4686" w:val="right" w:leader="none"/>
              </w:tabs>
              <w:spacing w:line="240" w:lineRule="auto" w:before="105"/>
              <w:ind w:left="384" w:right="0"/>
              <w:jc w:val="left"/>
              <w:rPr>
                <w:rFonts w:ascii="Arial" w:hAnsi="Arial" w:cs="Arial" w:eastAsia="Arial" w:hint="default"/>
                <w:sz w:val="18"/>
                <w:szCs w:val="18"/>
              </w:rPr>
            </w:pPr>
            <w:r>
              <w:rPr>
                <w:rFonts w:ascii="宋体" w:hAnsi="宋体" w:cs="宋体" w:eastAsia="宋体" w:hint="default"/>
                <w:sz w:val="18"/>
                <w:szCs w:val="18"/>
              </w:rPr>
              <w:t>年度募集资金专项账户银行利息</w:t>
            </w:r>
            <w:r>
              <w:rPr>
                <w:rFonts w:ascii="Arial" w:hAnsi="Arial" w:cs="Arial" w:eastAsia="Arial" w:hint="default"/>
                <w:sz w:val="18"/>
                <w:szCs w:val="18"/>
              </w:rPr>
              <w:tab/>
              <w:t>229.63</w:t>
            </w:r>
          </w:p>
          <w:p>
            <w:pPr>
              <w:pStyle w:val="TableParagraph"/>
              <w:tabs>
                <w:tab w:pos="4607" w:val="right" w:leader="none"/>
              </w:tabs>
              <w:spacing w:line="240" w:lineRule="auto" w:before="102"/>
              <w:ind w:left="384" w:right="0"/>
              <w:jc w:val="left"/>
              <w:rPr>
                <w:rFonts w:ascii="Arial" w:hAnsi="Arial" w:cs="Arial" w:eastAsia="Arial" w:hint="default"/>
                <w:sz w:val="18"/>
                <w:szCs w:val="18"/>
              </w:rPr>
            </w:pPr>
            <w:r>
              <w:rPr>
                <w:rFonts w:ascii="宋体" w:hAnsi="宋体" w:cs="宋体" w:eastAsia="宋体" w:hint="default"/>
                <w:sz w:val="18"/>
                <w:szCs w:val="18"/>
              </w:rPr>
              <w:t>本年度募集资金专项账户银行手续费</w:t>
            </w:r>
            <w:r>
              <w:rPr>
                <w:rFonts w:ascii="Arial" w:hAnsi="Arial" w:cs="Arial" w:eastAsia="Arial" w:hint="default"/>
                <w:sz w:val="18"/>
                <w:szCs w:val="18"/>
              </w:rPr>
              <w:tab/>
              <w:t>0.16</w:t>
            </w:r>
          </w:p>
          <w:p>
            <w:pPr>
              <w:pStyle w:val="TableParagraph"/>
              <w:tabs>
                <w:tab w:pos="4047" w:val="left" w:leader="none"/>
              </w:tabs>
              <w:spacing w:line="240" w:lineRule="auto" w:before="104"/>
              <w:ind w:left="384" w:right="0"/>
              <w:jc w:val="left"/>
              <w:rPr>
                <w:rFonts w:ascii="Arial" w:hAnsi="Arial" w:cs="Arial" w:eastAsia="Arial" w:hint="default"/>
                <w:sz w:val="18"/>
                <w:szCs w:val="18"/>
              </w:rPr>
            </w:pPr>
            <w:r>
              <w:rPr>
                <w:rFonts w:ascii="宋体" w:hAnsi="宋体" w:cs="宋体" w:eastAsia="宋体" w:hint="default"/>
                <w:sz w:val="18"/>
                <w:szCs w:val="18"/>
              </w:rPr>
              <w:t>募集资金余额</w:t>
              <w:tab/>
            </w:r>
            <w:r>
              <w:rPr>
                <w:rFonts w:ascii="Arial" w:hAnsi="Arial" w:cs="Arial" w:eastAsia="Arial" w:hint="default"/>
                <w:sz w:val="18"/>
                <w:szCs w:val="18"/>
              </w:rPr>
              <w:t>27,113.32</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2</w:t>
      </w:r>
      <w:r>
        <w:rPr/>
        <w:t>）募集资金承诺项目情况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51.771717pt;width:135pt;height:77pt;mso-position-horizontal-relative:page;mso-position-vertical-relative:paragraph;z-index:-1034584" coordorigin="9206,1035" coordsize="2700,1540">
            <v:shape style="position:absolute;left:9206;top:1035;width:2700;height:1540" type="#_x0000_t75" stroked="false">
              <v:imagedata r:id="rId15" o:title=""/>
            </v:shape>
            <v:shape style="position:absolute;left:10593;top:1396;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24</w:t>
                    </w:r>
                  </w:p>
                </w:txbxContent>
              </v:textbox>
              <w10:wrap type="none"/>
            </v:shape>
            <w10:wrap type="none"/>
          </v:group>
        </w:pict>
      </w:r>
      <w:r>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60"/>
        <w:gridCol w:w="779"/>
        <w:gridCol w:w="781"/>
        <w:gridCol w:w="780"/>
        <w:gridCol w:w="779"/>
        <w:gridCol w:w="780"/>
        <w:gridCol w:w="780"/>
        <w:gridCol w:w="780"/>
        <w:gridCol w:w="781"/>
        <w:gridCol w:w="780"/>
        <w:gridCol w:w="768"/>
      </w:tblGrid>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9"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115" w:right="23" w:hanging="92"/>
              <w:jc w:val="left"/>
              <w:rPr>
                <w:rFonts w:ascii="宋体" w:hAnsi="宋体" w:cs="宋体" w:eastAsia="宋体" w:hint="default"/>
                <w:sz w:val="18"/>
                <w:szCs w:val="18"/>
              </w:rPr>
            </w:pPr>
            <w:r>
              <w:rPr>
                <w:rFonts w:ascii="宋体" w:hAnsi="宋体" w:cs="宋体" w:eastAsia="宋体" w:hint="default"/>
                <w:sz w:val="18"/>
                <w:szCs w:val="18"/>
              </w:rPr>
              <w:t>是否已变 更项目</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5" w:right="23"/>
              <w:jc w:val="left"/>
              <w:rPr>
                <w:rFonts w:ascii="宋体" w:hAnsi="宋体" w:cs="宋体" w:eastAsia="宋体" w:hint="default"/>
                <w:sz w:val="18"/>
                <w:szCs w:val="18"/>
              </w:rPr>
            </w:pPr>
            <w:r>
              <w:rPr>
                <w:rFonts w:ascii="宋体" w:hAnsi="宋体" w:cs="宋体" w:eastAsia="宋体" w:hint="default"/>
                <w:sz w:val="18"/>
                <w:szCs w:val="18"/>
              </w:rPr>
              <w:t>募集资金 承诺投资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114" w:right="23" w:hanging="89"/>
              <w:jc w:val="left"/>
              <w:rPr>
                <w:rFonts w:ascii="宋体" w:hAnsi="宋体" w:cs="宋体" w:eastAsia="宋体" w:hint="default"/>
                <w:sz w:val="18"/>
                <w:szCs w:val="18"/>
              </w:rPr>
            </w:pPr>
            <w:r>
              <w:rPr>
                <w:rFonts w:ascii="宋体" w:hAnsi="宋体" w:cs="宋体" w:eastAsia="宋体" w:hint="default"/>
                <w:sz w:val="18"/>
                <w:szCs w:val="18"/>
              </w:rPr>
              <w:t>调整后投 资总额</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6" w:right="22"/>
              <w:jc w:val="left"/>
              <w:rPr>
                <w:rFonts w:ascii="宋体" w:hAnsi="宋体" w:cs="宋体" w:eastAsia="宋体" w:hint="default"/>
                <w:sz w:val="18"/>
                <w:szCs w:val="18"/>
              </w:rPr>
            </w:pPr>
            <w:r>
              <w:rPr>
                <w:rFonts w:ascii="宋体" w:hAnsi="宋体" w:cs="宋体" w:eastAsia="宋体" w:hint="default"/>
                <w:sz w:val="18"/>
                <w:szCs w:val="18"/>
              </w:rPr>
              <w:t>截至期末 累计投入</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6" w:right="23"/>
              <w:jc w:val="left"/>
              <w:rPr>
                <w:rFonts w:ascii="宋体" w:hAnsi="宋体" w:cs="宋体" w:eastAsia="宋体" w:hint="default"/>
                <w:sz w:val="18"/>
                <w:szCs w:val="18"/>
              </w:rPr>
            </w:pPr>
            <w:r>
              <w:rPr>
                <w:rFonts w:ascii="宋体" w:hAnsi="宋体" w:cs="宋体" w:eastAsia="宋体" w:hint="default"/>
                <w:sz w:val="18"/>
                <w:szCs w:val="18"/>
              </w:rPr>
              <w:t>截至期末 投资进度</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6" w:right="23"/>
              <w:jc w:val="left"/>
              <w:rPr>
                <w:rFonts w:ascii="宋体" w:hAnsi="宋体" w:cs="宋体" w:eastAsia="宋体" w:hint="default"/>
                <w:sz w:val="18"/>
                <w:szCs w:val="18"/>
              </w:rPr>
            </w:pPr>
            <w:r>
              <w:rPr>
                <w:rFonts w:ascii="宋体" w:hAnsi="宋体" w:cs="宋体" w:eastAsia="宋体" w:hint="default"/>
                <w:sz w:val="18"/>
                <w:szCs w:val="18"/>
              </w:rPr>
              <w:t>项目达到 预定可使</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6" w:right="22"/>
              <w:jc w:val="left"/>
              <w:rPr>
                <w:rFonts w:ascii="宋体" w:hAnsi="宋体" w:cs="宋体" w:eastAsia="宋体" w:hint="default"/>
                <w:sz w:val="18"/>
                <w:szCs w:val="18"/>
              </w:rPr>
            </w:pPr>
            <w:r>
              <w:rPr>
                <w:rFonts w:ascii="宋体" w:hAnsi="宋体" w:cs="宋体" w:eastAsia="宋体" w:hint="default"/>
                <w:sz w:val="18"/>
                <w:szCs w:val="18"/>
              </w:rPr>
              <w:t>本报告期 实现的效</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6" w:right="11"/>
              <w:jc w:val="left"/>
              <w:rPr>
                <w:rFonts w:ascii="宋体" w:hAnsi="宋体" w:cs="宋体" w:eastAsia="宋体" w:hint="default"/>
                <w:sz w:val="18"/>
                <w:szCs w:val="18"/>
              </w:rPr>
            </w:pPr>
            <w:r>
              <w:rPr>
                <w:rFonts w:ascii="宋体" w:hAnsi="宋体" w:cs="宋体" w:eastAsia="宋体" w:hint="default"/>
                <w:sz w:val="18"/>
                <w:szCs w:val="18"/>
              </w:rPr>
              <w:t>项目可行 性是否发</w:t>
            </w:r>
          </w:p>
        </w:tc>
      </w:tr>
    </w:tbl>
    <w:p>
      <w:pPr>
        <w:spacing w:after="0" w:line="314" w:lineRule="auto"/>
        <w:jc w:val="left"/>
        <w:rPr>
          <w:rFonts w:ascii="宋体" w:hAnsi="宋体" w:cs="宋体" w:eastAsia="宋体" w:hint="default"/>
          <w:sz w:val="18"/>
          <w:szCs w:val="18"/>
        </w:rPr>
        <w:sectPr>
          <w:headerReference w:type="default" r:id="rId20"/>
          <w:footerReference w:type="default" r:id="rId21"/>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8.080002pt;margin-top:320.449982pt;width:124.7pt;height:19.6pt;mso-position-horizontal-relative:page;mso-position-vertical-relative:page;z-index:-1034560" type="#_x0000_t202" filled="false" stroked="false">
            <v:textbox inset="0,0,0,0">
              <w:txbxContent>
                <w:p>
                  <w:pPr>
                    <w:pStyle w:val="BodyText"/>
                    <w:spacing w:line="240" w:lineRule="auto" w:before="49"/>
                    <w:ind w:left="0" w:right="0"/>
                    <w:jc w:val="left"/>
                  </w:pPr>
                  <w:r>
                    <w:rPr/>
                    <w:t>归还银行贷款（如有）</w:t>
                  </w:r>
                </w:p>
              </w:txbxContent>
            </v:textbox>
            <w10:wrap type="none"/>
          </v:shape>
        </w:pict>
      </w:r>
      <w:r>
        <w:rPr/>
        <w:pict>
          <v:shape style="position:absolute;margin-left:139.100006pt;margin-top:340.48999pt;width:43.7pt;height:19.7pt;mso-position-horizontal-relative:page;mso-position-vertical-relative:page;z-index:-1034536" type="#_x0000_t202" filled="false" stroked="false">
            <v:textbox inset="0,0,0,0">
              <w:txbxContent>
                <w:p>
                  <w:pPr>
                    <w:pStyle w:val="BodyText"/>
                    <w:spacing w:line="240" w:lineRule="auto" w:before="49"/>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2"/>
        <w:gridCol w:w="774"/>
        <w:gridCol w:w="784"/>
        <w:gridCol w:w="780"/>
        <w:gridCol w:w="780"/>
        <w:gridCol w:w="780"/>
        <w:gridCol w:w="784"/>
        <w:gridCol w:w="772"/>
        <w:gridCol w:w="789"/>
        <w:gridCol w:w="776"/>
        <w:gridCol w:w="780"/>
      </w:tblGrid>
      <w:tr>
        <w:trPr>
          <w:trHeight w:val="67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8"/>
              <w:ind w:left="175" w:right="78" w:hanging="92"/>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含部分</w:t>
            </w:r>
            <w:r>
              <w:rPr>
                <w:rFonts w:ascii="宋体" w:hAnsi="宋体" w:cs="宋体" w:eastAsia="宋体" w:hint="default"/>
                <w:w w:val="99"/>
                <w:sz w:val="18"/>
                <w:szCs w:val="18"/>
              </w:rPr>
              <w:t> </w:t>
            </w:r>
            <w:r>
              <w:rPr>
                <w:rFonts w:ascii="宋体" w:hAnsi="宋体" w:cs="宋体" w:eastAsia="宋体" w:hint="default"/>
                <w:sz w:val="18"/>
                <w:szCs w:val="18"/>
              </w:rPr>
              <w:t>变更</w:t>
            </w:r>
            <w:r>
              <w:rPr>
                <w:rFonts w:ascii="Arial" w:hAnsi="Arial" w:cs="Arial" w:eastAsia="Arial"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0"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Arial" w:hAnsi="Arial" w:cs="Arial" w:eastAsia="Arial" w:hint="default"/>
                <w:sz w:val="18"/>
                <w:szCs w:val="18"/>
              </w:rPr>
            </w:pPr>
            <w:r>
              <w:rPr>
                <w:rFonts w:ascii="Arial"/>
                <w:sz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6" w:right="0"/>
              <w:jc w:val="left"/>
              <w:rPr>
                <w:rFonts w:ascii="Arial" w:hAnsi="Arial" w:cs="Arial" w:eastAsia="Arial" w:hint="default"/>
                <w:sz w:val="18"/>
                <w:szCs w:val="18"/>
              </w:rPr>
            </w:pPr>
            <w:r>
              <w:rPr>
                <w:rFonts w:ascii="宋体" w:hAnsi="宋体" w:cs="宋体" w:eastAsia="宋体" w:hint="default"/>
                <w:sz w:val="18"/>
                <w:szCs w:val="18"/>
              </w:rPr>
              <w:t>金额</w:t>
            </w:r>
            <w:r>
              <w:rPr>
                <w:rFonts w:ascii="Arial" w:hAnsi="Arial" w:cs="Arial" w:eastAsia="Arial" w:hint="default"/>
                <w:sz w:val="18"/>
                <w:szCs w:val="18"/>
              </w:rPr>
              <w:t>(2)</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5"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w:t>
            </w:r>
          </w:p>
          <w:p>
            <w:pPr>
              <w:pStyle w:val="TableParagraph"/>
              <w:spacing w:line="240" w:lineRule="auto" w:before="105"/>
              <w:ind w:left="141" w:right="0"/>
              <w:jc w:val="left"/>
              <w:rPr>
                <w:rFonts w:ascii="Arial" w:hAnsi="Arial" w:cs="Arial" w:eastAsia="Arial" w:hint="default"/>
                <w:sz w:val="18"/>
                <w:szCs w:val="18"/>
              </w:rPr>
            </w:pPr>
            <w:r>
              <w:rPr>
                <w:rFonts w:ascii="Arial"/>
                <w:sz w:val="18"/>
              </w:rPr>
              <w:t>(2)/(1)</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91" w:right="19" w:hanging="269"/>
              <w:jc w:val="left"/>
              <w:rPr>
                <w:rFonts w:ascii="宋体" w:hAnsi="宋体" w:cs="宋体" w:eastAsia="宋体" w:hint="default"/>
                <w:sz w:val="18"/>
                <w:szCs w:val="18"/>
              </w:rPr>
            </w:pPr>
            <w:r>
              <w:rPr>
                <w:rFonts w:ascii="宋体" w:hAnsi="宋体" w:cs="宋体" w:eastAsia="宋体" w:hint="default"/>
                <w:sz w:val="18"/>
                <w:szCs w:val="18"/>
              </w:rPr>
              <w:t>用状态日 期</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99" w:right="0"/>
              <w:jc w:val="left"/>
              <w:rPr>
                <w:rFonts w:ascii="宋体" w:hAnsi="宋体" w:cs="宋体" w:eastAsia="宋体" w:hint="default"/>
                <w:sz w:val="18"/>
                <w:szCs w:val="18"/>
              </w:rPr>
            </w:pPr>
            <w:r>
              <w:rPr>
                <w:rFonts w:ascii="宋体" w:hAnsi="宋体" w:cs="宋体" w:eastAsia="宋体" w:hint="default"/>
                <w:sz w:val="18"/>
                <w:szCs w:val="18"/>
              </w:rPr>
              <w:t>益</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95" w:right="23" w:hanging="269"/>
              <w:jc w:val="left"/>
              <w:rPr>
                <w:rFonts w:ascii="宋体" w:hAnsi="宋体" w:cs="宋体" w:eastAsia="宋体" w:hint="default"/>
                <w:sz w:val="18"/>
                <w:szCs w:val="18"/>
              </w:rPr>
            </w:pPr>
            <w:r>
              <w:rPr>
                <w:rFonts w:ascii="宋体" w:hAnsi="宋体" w:cs="宋体" w:eastAsia="宋体" w:hint="default"/>
                <w:sz w:val="18"/>
                <w:szCs w:val="18"/>
              </w:rPr>
              <w:t>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惠州茂硕能源科技有 限公司电源驱动生产 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Arial" w:hAnsi="Arial" w:cs="Arial" w:eastAsia="Arial" w:hint="default"/>
                <w:sz w:val="18"/>
                <w:szCs w:val="18"/>
              </w:rPr>
            </w:pPr>
            <w:r>
              <w:rPr>
                <w:rFonts w:ascii="Arial"/>
                <w:spacing w:val="-1"/>
                <w:sz w:val="18"/>
              </w:rPr>
              <w:t>24,079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Arial" w:hAnsi="Arial" w:cs="Arial" w:eastAsia="Arial" w:hint="default"/>
                <w:sz w:val="18"/>
                <w:szCs w:val="18"/>
              </w:rPr>
            </w:pPr>
            <w:r>
              <w:rPr>
                <w:rFonts w:ascii="Arial"/>
                <w:spacing w:val="-1"/>
                <w:sz w:val="18"/>
              </w:rPr>
              <w:t>24,079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sz w:val="18"/>
              </w:rPr>
              <w:t>7,099.18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Arial" w:hAnsi="Arial" w:cs="Arial" w:eastAsia="Arial" w:hint="default"/>
                <w:sz w:val="18"/>
                <w:szCs w:val="18"/>
              </w:rPr>
            </w:pPr>
            <w:r>
              <w:rPr>
                <w:rFonts w:ascii="Arial"/>
                <w:spacing w:val="-1"/>
                <w:sz w:val="18"/>
              </w:rPr>
              <w:t>7,099.18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sz w:val="18"/>
              </w:rPr>
              <w:t>29.48%</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19"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31</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惠州茂硕能源科技有 限公司研发中心建设 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Arial" w:hAnsi="Arial" w:cs="Arial" w:eastAsia="Arial" w:hint="default"/>
                <w:sz w:val="18"/>
                <w:szCs w:val="18"/>
              </w:rPr>
            </w:pPr>
            <w:r>
              <w:rPr>
                <w:rFonts w:ascii="Arial"/>
                <w:w w:val="95"/>
                <w:sz w:val="18"/>
              </w:rPr>
              <w:t>1,658</w:t>
            </w:r>
            <w:r>
              <w:rPr>
                <w:rFonts w:ascii="Arial"/>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Arial" w:hAnsi="Arial" w:cs="Arial" w:eastAsia="Arial" w:hint="default"/>
                <w:sz w:val="18"/>
                <w:szCs w:val="18"/>
              </w:rPr>
            </w:pPr>
            <w:r>
              <w:rPr>
                <w:rFonts w:ascii="Arial"/>
                <w:w w:val="95"/>
                <w:sz w:val="18"/>
              </w:rPr>
              <w:t>1,658</w:t>
            </w:r>
            <w:r>
              <w:rPr>
                <w:rFonts w:ascii="Arial"/>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spacing w:val="-1"/>
                <w:sz w:val="18"/>
              </w:rPr>
              <w:t>236.81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Arial" w:hAnsi="Arial" w:cs="Arial" w:eastAsia="Arial" w:hint="default"/>
                <w:sz w:val="18"/>
                <w:szCs w:val="18"/>
              </w:rPr>
            </w:pPr>
            <w:r>
              <w:rPr>
                <w:rFonts w:ascii="Arial"/>
                <w:spacing w:val="-1"/>
                <w:sz w:val="18"/>
              </w:rPr>
              <w:t>236.81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sz w:val="18"/>
              </w:rPr>
              <w:t>14.28%</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19"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31</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惠州茂硕能源科技有 限公司信息化系统建 设项目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Arial" w:hAnsi="Arial" w:cs="Arial" w:eastAsia="Arial" w:hint="default"/>
                <w:sz w:val="18"/>
                <w:szCs w:val="18"/>
              </w:rPr>
            </w:pPr>
            <w:r>
              <w:rPr>
                <w:rFonts w:ascii="Arial"/>
                <w:w w:val="95"/>
                <w:sz w:val="18"/>
              </w:rPr>
              <w:t>1,580</w:t>
            </w:r>
            <w:r>
              <w:rPr>
                <w:rFonts w:ascii="Arial"/>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Arial" w:hAnsi="Arial" w:cs="Arial" w:eastAsia="Arial" w:hint="default"/>
                <w:sz w:val="18"/>
                <w:szCs w:val="18"/>
              </w:rPr>
            </w:pPr>
            <w:r>
              <w:rPr>
                <w:rFonts w:ascii="Arial"/>
                <w:w w:val="95"/>
                <w:sz w:val="18"/>
              </w:rPr>
              <w:t>1,580</w:t>
            </w:r>
            <w:r>
              <w:rPr>
                <w:rFonts w:ascii="Arial"/>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spacing w:val="-1"/>
                <w:sz w:val="18"/>
              </w:rPr>
              <w:t>198.71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Arial" w:hAnsi="Arial" w:cs="Arial" w:eastAsia="Arial" w:hint="default"/>
                <w:sz w:val="18"/>
                <w:szCs w:val="18"/>
              </w:rPr>
            </w:pPr>
            <w:r>
              <w:rPr>
                <w:rFonts w:ascii="Arial"/>
                <w:spacing w:val="-1"/>
                <w:sz w:val="18"/>
              </w:rPr>
              <w:t>198.71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sz w:val="18"/>
              </w:rPr>
              <w:t>12.58%</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19"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31</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318"/>
              <w:jc w:val="right"/>
              <w:rPr>
                <w:rFonts w:ascii="Arial" w:hAnsi="Arial" w:cs="Arial" w:eastAsia="Arial" w:hint="default"/>
                <w:sz w:val="18"/>
                <w:szCs w:val="18"/>
              </w:rPr>
            </w:pPr>
            <w:r>
              <w:rPr>
                <w:rFonts w:ascii="Arial"/>
                <w:sz w:val="18"/>
              </w:rPr>
              <w:t>--</w:t>
            </w:r>
          </w:p>
        </w:tc>
        <w:tc>
          <w:tcPr>
            <w:tcW w:w="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27,317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27,317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7,534.7</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0"/>
              <w:ind w:right="11"/>
              <w:jc w:val="right"/>
              <w:rPr>
                <w:rFonts w:ascii="Arial" w:hAnsi="Arial" w:cs="Arial" w:eastAsia="Arial" w:hint="default"/>
                <w:sz w:val="18"/>
                <w:szCs w:val="18"/>
              </w:rPr>
            </w:pPr>
            <w:r>
              <w:rPr>
                <w:rFonts w:ascii="Arial"/>
                <w:spacing w:val="-1"/>
                <w:sz w:val="18"/>
              </w:rPr>
              <w:t>7,534.7</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78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0"/>
              <w:ind w:right="17"/>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323"/>
              <w:jc w:val="right"/>
              <w:rPr>
                <w:rFonts w:ascii="Arial" w:hAnsi="Arial" w:cs="Arial" w:eastAsia="Arial" w:hint="default"/>
                <w:sz w:val="18"/>
                <w:szCs w:val="18"/>
              </w:rPr>
            </w:pPr>
            <w:r>
              <w:rPr>
                <w:rFonts w:ascii="Arial"/>
                <w:sz w:val="18"/>
              </w:rPr>
              <w:t>--</w:t>
            </w:r>
          </w:p>
        </w:tc>
      </w:tr>
      <w:tr>
        <w:trPr>
          <w:trHeight w:val="394"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318"/>
              <w:jc w:val="right"/>
              <w:rPr>
                <w:rFonts w:ascii="Arial" w:hAnsi="Arial" w:cs="Arial" w:eastAsia="Arial" w:hint="default"/>
                <w:sz w:val="18"/>
                <w:szCs w:val="18"/>
              </w:rPr>
            </w:pPr>
            <w:r>
              <w:rPr>
                <w:rFonts w:ascii="Arial"/>
                <w:sz w:val="18"/>
              </w:rPr>
              <w:t>--</w:t>
            </w:r>
          </w:p>
        </w:tc>
        <w:tc>
          <w:tcPr>
            <w:tcW w:w="784"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w w:val="95"/>
                <w:sz w:val="18"/>
              </w:rPr>
              <w:t>5,000</w:t>
            </w:r>
            <w:r>
              <w:rPr>
                <w:rFonts w:ascii="Arial"/>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w:hAnsi="Arial" w:cs="Arial" w:eastAsia="Arial" w:hint="default"/>
                <w:sz w:val="18"/>
                <w:szCs w:val="18"/>
              </w:rPr>
            </w:pPr>
            <w:r>
              <w:rPr>
                <w:rFonts w:ascii="Arial"/>
                <w:w w:val="95"/>
                <w:sz w:val="18"/>
              </w:rPr>
              <w:t>5,000</w:t>
            </w:r>
            <w:r>
              <w:rPr>
                <w:rFonts w:ascii="Arial"/>
                <w:sz w:val="18"/>
              </w:rPr>
            </w:r>
          </w:p>
        </w:tc>
        <w:tc>
          <w:tcPr>
            <w:tcW w:w="784" w:type="dxa"/>
            <w:tcBorders>
              <w:top w:val="single" w:sz="4" w:space="0" w:color="000000"/>
              <w:left w:val="single" w:sz="4" w:space="0" w:color="000000"/>
              <w:bottom w:val="single" w:sz="4" w:space="0" w:color="000000"/>
              <w:right w:val="single" w:sz="10" w:space="0" w:color="D2D2D2"/>
            </w:tcBorders>
          </w:tcPr>
          <w:p>
            <w:pP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 w:right="0"/>
              <w:jc w:val="center"/>
              <w:rPr>
                <w:rFonts w:ascii="Arial" w:hAnsi="Arial" w:cs="Arial" w:eastAsia="Arial" w:hint="default"/>
                <w:sz w:val="18"/>
                <w:szCs w:val="18"/>
              </w:rPr>
            </w:pPr>
            <w:r>
              <w:rPr>
                <w:rFonts w:ascii="Arial"/>
                <w:sz w:val="18"/>
              </w:rPr>
              <w:t>--</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330" w:right="0"/>
              <w:jc w:val="left"/>
              <w:rPr>
                <w:rFonts w:ascii="Arial" w:hAnsi="Arial" w:cs="Arial" w:eastAsia="Arial" w:hint="default"/>
                <w:sz w:val="18"/>
                <w:szCs w:val="18"/>
              </w:rPr>
            </w:pPr>
            <w:r>
              <w:rPr>
                <w:rFonts w:ascii="Arial"/>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1"/>
              <w:jc w:val="center"/>
              <w:rPr>
                <w:rFonts w:ascii="Arial" w:hAnsi="Arial" w:cs="Arial" w:eastAsia="Arial" w:hint="default"/>
                <w:sz w:val="18"/>
                <w:szCs w:val="18"/>
              </w:rPr>
            </w:pPr>
            <w:r>
              <w:rPr>
                <w:rFonts w:ascii="Arial"/>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323"/>
              <w:jc w:val="right"/>
              <w:rPr>
                <w:rFonts w:ascii="Arial" w:hAnsi="Arial" w:cs="Arial" w:eastAsia="Arial" w:hint="default"/>
                <w:sz w:val="18"/>
                <w:szCs w:val="18"/>
              </w:rPr>
            </w:pPr>
            <w:r>
              <w:rPr>
                <w:rFonts w:ascii="Arial"/>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318"/>
              <w:jc w:val="right"/>
              <w:rPr>
                <w:rFonts w:ascii="Arial" w:hAnsi="Arial" w:cs="Arial" w:eastAsia="Arial" w:hint="default"/>
                <w:sz w:val="18"/>
                <w:szCs w:val="18"/>
              </w:rPr>
            </w:pPr>
            <w:r>
              <w:rPr>
                <w:rFonts w:ascii="Arial"/>
                <w:sz w:val="18"/>
              </w:rPr>
              <w:t>--</w:t>
            </w:r>
          </w:p>
        </w:tc>
        <w:tc>
          <w:tcPr>
            <w:tcW w:w="784"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2,000</w:t>
            </w:r>
            <w:r>
              <w:rPr>
                <w:rFonts w:ascii="Arial"/>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2,000</w:t>
            </w:r>
            <w:r>
              <w:rPr>
                <w:rFonts w:ascii="Arial"/>
                <w:sz w:val="18"/>
              </w:rPr>
            </w:r>
          </w:p>
        </w:tc>
        <w:tc>
          <w:tcPr>
            <w:tcW w:w="784" w:type="dxa"/>
            <w:tcBorders>
              <w:top w:val="single" w:sz="4" w:space="0" w:color="000000"/>
              <w:left w:val="single" w:sz="4" w:space="0" w:color="000000"/>
              <w:bottom w:val="single" w:sz="4" w:space="0" w:color="000000"/>
              <w:right w:val="single" w:sz="10" w:space="0" w:color="D2D2D2"/>
            </w:tcBorders>
          </w:tcPr>
          <w:p>
            <w:pP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30" w:right="0"/>
              <w:jc w:val="left"/>
              <w:rPr>
                <w:rFonts w:ascii="Arial" w:hAnsi="Arial" w:cs="Arial" w:eastAsia="Arial" w:hint="default"/>
                <w:sz w:val="18"/>
                <w:szCs w:val="18"/>
              </w:rPr>
            </w:pPr>
            <w:r>
              <w:rPr>
                <w:rFonts w:ascii="Arial"/>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323"/>
              <w:jc w:val="right"/>
              <w:rPr>
                <w:rFonts w:ascii="Arial" w:hAnsi="Arial" w:cs="Arial" w:eastAsia="Arial" w:hint="default"/>
                <w:sz w:val="18"/>
                <w:szCs w:val="18"/>
              </w:rPr>
            </w:pPr>
            <w:r>
              <w:rPr>
                <w:rFonts w:ascii="Arial"/>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318"/>
              <w:jc w:val="right"/>
              <w:rPr>
                <w:rFonts w:ascii="Arial" w:hAnsi="Arial" w:cs="Arial" w:eastAsia="Arial" w:hint="default"/>
                <w:sz w:val="18"/>
                <w:szCs w:val="18"/>
              </w:rPr>
            </w:pPr>
            <w:r>
              <w:rPr>
                <w:rFonts w:ascii="Arial"/>
                <w:sz w:val="18"/>
              </w:rPr>
              <w:t>--</w:t>
            </w:r>
          </w:p>
        </w:tc>
        <w:tc>
          <w:tcPr>
            <w:tcW w:w="784"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7,000</w:t>
            </w:r>
            <w:r>
              <w:rPr>
                <w:rFonts w:ascii="Arial"/>
                <w:sz w:val="18"/>
              </w:rPr>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0"/>
              <w:ind w:right="11"/>
              <w:jc w:val="right"/>
              <w:rPr>
                <w:rFonts w:ascii="Arial" w:hAnsi="Arial" w:cs="Arial" w:eastAsia="Arial" w:hint="default"/>
                <w:sz w:val="18"/>
                <w:szCs w:val="18"/>
              </w:rPr>
            </w:pPr>
            <w:r>
              <w:rPr>
                <w:rFonts w:ascii="Arial"/>
                <w:w w:val="95"/>
                <w:sz w:val="18"/>
              </w:rPr>
              <w:t>7,000</w:t>
            </w:r>
            <w:r>
              <w:rPr>
                <w:rFonts w:ascii="Arial"/>
                <w:sz w:val="18"/>
              </w:rPr>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78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0"/>
              <w:ind w:right="17"/>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323"/>
              <w:jc w:val="right"/>
              <w:rPr>
                <w:rFonts w:ascii="Arial" w:hAnsi="Arial" w:cs="Arial" w:eastAsia="Arial" w:hint="default"/>
                <w:sz w:val="18"/>
                <w:szCs w:val="18"/>
              </w:rPr>
            </w:pPr>
            <w:r>
              <w:rPr>
                <w:rFonts w:ascii="Arial"/>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318"/>
              <w:jc w:val="right"/>
              <w:rPr>
                <w:rFonts w:ascii="Arial" w:hAnsi="Arial" w:cs="Arial" w:eastAsia="Arial" w:hint="default"/>
                <w:sz w:val="18"/>
                <w:szCs w:val="18"/>
              </w:rPr>
            </w:pPr>
            <w:r>
              <w:rPr>
                <w:rFonts w:ascii="Arial"/>
                <w:sz w:val="18"/>
              </w:rPr>
              <w:t>--</w:t>
            </w:r>
          </w:p>
        </w:tc>
        <w:tc>
          <w:tcPr>
            <w:tcW w:w="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27,317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27,317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14,534.7</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0"/>
              <w:ind w:right="12"/>
              <w:jc w:val="right"/>
              <w:rPr>
                <w:rFonts w:ascii="Arial" w:hAnsi="Arial" w:cs="Arial" w:eastAsia="Arial" w:hint="default"/>
                <w:sz w:val="18"/>
                <w:szCs w:val="18"/>
              </w:rPr>
            </w:pPr>
            <w:r>
              <w:rPr>
                <w:rFonts w:ascii="Arial"/>
                <w:spacing w:val="-1"/>
                <w:sz w:val="18"/>
              </w:rPr>
              <w:t>14,534.7</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78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0"/>
              <w:ind w:right="17"/>
              <w:jc w:val="right"/>
              <w:rPr>
                <w:rFonts w:ascii="Arial" w:hAnsi="Arial" w:cs="Arial" w:eastAsia="Arial" w:hint="default"/>
                <w:sz w:val="18"/>
                <w:szCs w:val="18"/>
              </w:rPr>
            </w:pPr>
            <w:r>
              <w:rPr>
                <w:rFonts w:ascii="Arial"/>
                <w:w w:val="99"/>
                <w:sz w:val="18"/>
              </w:rPr>
              <w:t>0</w:t>
            </w:r>
            <w:r>
              <w:rPr>
                <w:rFonts w:ascii="Arial"/>
                <w:sz w:val="18"/>
              </w:rPr>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323"/>
              <w:jc w:val="right"/>
              <w:rPr>
                <w:rFonts w:ascii="Arial" w:hAnsi="Arial" w:cs="Arial" w:eastAsia="Arial" w:hint="default"/>
                <w:sz w:val="18"/>
                <w:szCs w:val="18"/>
              </w:rPr>
            </w:pPr>
            <w:r>
              <w:rPr>
                <w:rFonts w:ascii="Arial"/>
                <w:sz w:val="18"/>
              </w:rPr>
              <w:t>--</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06"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4"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vMerge/>
            <w:tcBorders>
              <w:left w:val="single" w:sz="10" w:space="0" w:color="D2D2D2"/>
              <w:bottom w:val="single" w:sz="4" w:space="0" w:color="000000"/>
              <w:right w:val="single" w:sz="4" w:space="0" w:color="000000"/>
            </w:tcBorders>
          </w:tcPr>
          <w:p>
            <w:pPr/>
          </w:p>
        </w:tc>
      </w:tr>
      <w:tr>
        <w:trPr>
          <w:trHeight w:val="509"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公司超募资金金额为</w:t>
            </w:r>
            <w:r>
              <w:rPr>
                <w:rFonts w:ascii="宋体" w:hAnsi="宋体" w:cs="宋体" w:eastAsia="宋体" w:hint="default"/>
                <w:spacing w:val="-45"/>
                <w:sz w:val="18"/>
                <w:szCs w:val="18"/>
              </w:rPr>
              <w:t> </w:t>
            </w:r>
            <w:r>
              <w:rPr>
                <w:rFonts w:ascii="Arial" w:hAnsi="Arial" w:cs="Arial" w:eastAsia="Arial" w:hint="default"/>
                <w:sz w:val="18"/>
                <w:szCs w:val="18"/>
              </w:rPr>
              <w:t>14,101.55</w:t>
            </w:r>
            <w:r>
              <w:rPr>
                <w:rFonts w:ascii="Arial" w:hAnsi="Arial" w:cs="Arial" w:eastAsia="Arial" w:hint="default"/>
                <w:spacing w:val="-5"/>
                <w:sz w:val="18"/>
                <w:szCs w:val="18"/>
              </w:rPr>
              <w:t> </w:t>
            </w:r>
            <w:r>
              <w:rPr>
                <w:rFonts w:ascii="宋体" w:hAnsi="宋体" w:cs="宋体" w:eastAsia="宋体" w:hint="default"/>
                <w:spacing w:val="-3"/>
                <w:sz w:val="18"/>
                <w:szCs w:val="18"/>
              </w:rPr>
              <w:t>万元，归还银行贷款</w:t>
            </w:r>
            <w:r>
              <w:rPr>
                <w:rFonts w:ascii="宋体" w:hAnsi="宋体" w:cs="宋体" w:eastAsia="宋体" w:hint="default"/>
                <w:spacing w:val="-45"/>
                <w:sz w:val="18"/>
                <w:szCs w:val="18"/>
              </w:rPr>
              <w:t> </w:t>
            </w:r>
            <w:r>
              <w:rPr>
                <w:rFonts w:ascii="Arial" w:hAnsi="Arial" w:cs="Arial" w:eastAsia="Arial" w:hint="default"/>
                <w:sz w:val="18"/>
                <w:szCs w:val="18"/>
              </w:rPr>
              <w:t>5,000.00</w:t>
            </w:r>
            <w:r>
              <w:rPr>
                <w:rFonts w:ascii="Arial" w:hAnsi="Arial" w:cs="Arial" w:eastAsia="Arial" w:hint="default"/>
                <w:spacing w:val="-5"/>
                <w:sz w:val="18"/>
                <w:szCs w:val="18"/>
              </w:rPr>
              <w:t> </w:t>
            </w:r>
            <w:r>
              <w:rPr>
                <w:rFonts w:ascii="宋体" w:hAnsi="宋体" w:cs="宋体" w:eastAsia="宋体" w:hint="default"/>
                <w:spacing w:val="-3"/>
                <w:sz w:val="18"/>
                <w:szCs w:val="18"/>
              </w:rPr>
              <w:t>万元，补充流动资金</w:t>
            </w:r>
            <w:r>
              <w:rPr>
                <w:rFonts w:ascii="宋体" w:hAnsi="宋体" w:cs="宋体" w:eastAsia="宋体" w:hint="default"/>
                <w:spacing w:val="-45"/>
                <w:sz w:val="18"/>
                <w:szCs w:val="18"/>
              </w:rPr>
              <w:t> </w:t>
            </w:r>
            <w:r>
              <w:rPr>
                <w:rFonts w:ascii="Arial" w:hAnsi="Arial" w:cs="Arial" w:eastAsia="Arial" w:hint="default"/>
                <w:sz w:val="18"/>
                <w:szCs w:val="18"/>
              </w:rPr>
              <w:t>2,000</w:t>
            </w:r>
            <w:r>
              <w:rPr>
                <w:rFonts w:ascii="Arial" w:hAnsi="Arial" w:cs="Arial" w:eastAsia="Arial" w:hint="default"/>
                <w:spacing w:val="-7"/>
                <w:sz w:val="18"/>
                <w:szCs w:val="18"/>
              </w:rPr>
              <w:t> </w:t>
            </w:r>
            <w:r>
              <w:rPr>
                <w:rFonts w:ascii="宋体" w:hAnsi="宋体" w:cs="宋体" w:eastAsia="宋体" w:hint="default"/>
                <w:spacing w:val="-5"/>
                <w:sz w:val="18"/>
                <w:szCs w:val="18"/>
              </w:rPr>
              <w:t>万元，尚</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余</w:t>
            </w:r>
            <w:r>
              <w:rPr>
                <w:rFonts w:ascii="宋体" w:hAnsi="宋体" w:cs="宋体" w:eastAsia="宋体" w:hint="default"/>
                <w:spacing w:val="-47"/>
                <w:sz w:val="18"/>
                <w:szCs w:val="18"/>
              </w:rPr>
              <w:t> </w:t>
            </w:r>
            <w:r>
              <w:rPr>
                <w:rFonts w:ascii="Arial" w:hAnsi="Arial" w:cs="Arial" w:eastAsia="Arial" w:hint="default"/>
                <w:sz w:val="18"/>
                <w:szCs w:val="18"/>
              </w:rPr>
              <w:t>7,101.55</w:t>
            </w:r>
            <w:r>
              <w:rPr>
                <w:rFonts w:ascii="Arial" w:hAnsi="Arial" w:cs="Arial" w:eastAsia="Arial" w:hint="default"/>
                <w:spacing w:val="-6"/>
                <w:sz w:val="18"/>
                <w:szCs w:val="18"/>
              </w:rPr>
              <w:t> </w:t>
            </w:r>
            <w:r>
              <w:rPr>
                <w:rFonts w:ascii="宋体" w:hAnsi="宋体" w:cs="宋体" w:eastAsia="宋体" w:hint="default"/>
                <w:sz w:val="18"/>
                <w:szCs w:val="18"/>
              </w:rPr>
              <w:t>万元，存放于募集资金专户中。</w:t>
            </w:r>
          </w:p>
        </w:tc>
      </w:tr>
      <w:tr>
        <w:trPr>
          <w:trHeight w:val="20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3"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376"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、惠州茂硕能源科技有限公司电源驱动生产项目：截至</w:t>
            </w:r>
            <w:r>
              <w:rPr>
                <w:rFonts w:ascii="宋体" w:hAnsi="宋体" w:cs="宋体" w:eastAsia="宋体" w:hint="default"/>
                <w:spacing w:val="-45"/>
                <w:sz w:val="18"/>
                <w:szCs w:val="18"/>
              </w:rPr>
              <w:t> </w:t>
            </w: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26</w:t>
            </w:r>
            <w:r>
              <w:rPr>
                <w:rFonts w:ascii="Arial" w:hAnsi="Arial" w:cs="Arial" w:eastAsia="Arial" w:hint="default"/>
                <w:spacing w:val="-5"/>
                <w:sz w:val="18"/>
                <w:szCs w:val="18"/>
              </w:rPr>
              <w:t> </w:t>
            </w:r>
            <w:r>
              <w:rPr>
                <w:rFonts w:ascii="宋体" w:hAnsi="宋体" w:cs="宋体" w:eastAsia="宋体" w:hint="default"/>
                <w:sz w:val="18"/>
                <w:szCs w:val="18"/>
              </w:rPr>
              <w:t>日，公司以自筹资金</w:t>
            </w:r>
          </w:p>
          <w:p>
            <w:pPr>
              <w:pStyle w:val="TableParagraph"/>
              <w:spacing w:line="302" w:lineRule="auto" w:before="63"/>
              <w:ind w:left="16" w:right="41"/>
              <w:jc w:val="both"/>
              <w:rPr>
                <w:rFonts w:ascii="宋体" w:hAnsi="宋体" w:cs="宋体" w:eastAsia="宋体" w:hint="default"/>
                <w:sz w:val="18"/>
                <w:szCs w:val="18"/>
              </w:rPr>
            </w:pPr>
            <w:r>
              <w:rPr>
                <w:rFonts w:ascii="宋体" w:hAnsi="宋体" w:cs="宋体" w:eastAsia="宋体" w:hint="default"/>
                <w:sz w:val="18"/>
                <w:szCs w:val="18"/>
              </w:rPr>
              <w:t>预先投入募集资金投资项目的实际投资额为</w:t>
            </w:r>
            <w:r>
              <w:rPr>
                <w:rFonts w:ascii="宋体" w:hAnsi="宋体" w:cs="宋体" w:eastAsia="宋体" w:hint="default"/>
                <w:spacing w:val="-46"/>
                <w:sz w:val="18"/>
                <w:szCs w:val="18"/>
              </w:rPr>
              <w:t> </w:t>
            </w:r>
            <w:r>
              <w:rPr>
                <w:rFonts w:ascii="Arial" w:hAnsi="Arial" w:cs="Arial" w:eastAsia="Arial" w:hint="default"/>
                <w:sz w:val="18"/>
                <w:szCs w:val="18"/>
              </w:rPr>
              <w:t>205.33</w:t>
            </w:r>
            <w:r>
              <w:rPr>
                <w:rFonts w:ascii="Arial" w:hAnsi="Arial" w:cs="Arial" w:eastAsia="Arial" w:hint="default"/>
                <w:spacing w:val="-6"/>
                <w:sz w:val="18"/>
                <w:szCs w:val="18"/>
              </w:rPr>
              <w:t> </w:t>
            </w:r>
            <w:r>
              <w:rPr>
                <w:rFonts w:ascii="宋体" w:hAnsi="宋体" w:cs="宋体" w:eastAsia="宋体" w:hint="default"/>
                <w:sz w:val="18"/>
                <w:szCs w:val="18"/>
              </w:rPr>
              <w:t>万元，经深圳市鹏城会计师事务所有限公司</w:t>
            </w:r>
            <w:r>
              <w:rPr>
                <w:rFonts w:ascii="Arial" w:hAnsi="Arial" w:cs="Arial" w:eastAsia="Arial" w:hint="default"/>
                <w:sz w:val="18"/>
                <w:szCs w:val="18"/>
              </w:rPr>
              <w:t>“</w:t>
            </w:r>
            <w:r>
              <w:rPr>
                <w:rFonts w:ascii="宋体" w:hAnsi="宋体" w:cs="宋体" w:eastAsia="宋体" w:hint="default"/>
                <w:sz w:val="18"/>
                <w:szCs w:val="18"/>
              </w:rPr>
              <w:t>深 鹏所股专字</w:t>
            </w:r>
            <w:r>
              <w:rPr>
                <w:rFonts w:ascii="Arial" w:hAnsi="Arial" w:cs="Arial" w:eastAsia="Arial" w:hint="default"/>
                <w:sz w:val="18"/>
                <w:szCs w:val="18"/>
              </w:rPr>
              <w:t>[2012]0478</w:t>
            </w:r>
            <w:r>
              <w:rPr>
                <w:rFonts w:ascii="Arial" w:hAnsi="Arial" w:cs="Arial" w:eastAsia="Arial" w:hint="default"/>
                <w:spacing w:val="-6"/>
                <w:sz w:val="18"/>
                <w:szCs w:val="18"/>
              </w:rPr>
              <w:t> </w:t>
            </w:r>
            <w:r>
              <w:rPr>
                <w:rFonts w:ascii="宋体" w:hAnsi="宋体" w:cs="宋体" w:eastAsia="宋体" w:hint="default"/>
                <w:sz w:val="18"/>
                <w:szCs w:val="18"/>
              </w:rPr>
              <w:t>号</w:t>
            </w:r>
            <w:r>
              <w:rPr>
                <w:rFonts w:ascii="Arial" w:hAnsi="Arial" w:cs="Arial" w:eastAsia="Arial" w:hint="default"/>
                <w:sz w:val="18"/>
                <w:szCs w:val="18"/>
              </w:rPr>
              <w:t>”</w:t>
            </w:r>
            <w:r>
              <w:rPr>
                <w:rFonts w:ascii="宋体" w:hAnsi="宋体" w:cs="宋体" w:eastAsia="宋体" w:hint="default"/>
                <w:sz w:val="18"/>
                <w:szCs w:val="18"/>
              </w:rPr>
              <w:t>专项鉴证报告确认。经公司董事会审议通过，保荐机构发表明确同意意 见后，公司以募集资金置换预先已投入募集资金投资项目的自筹资金</w:t>
            </w:r>
            <w:r>
              <w:rPr>
                <w:rFonts w:ascii="宋体" w:hAnsi="宋体" w:cs="宋体" w:eastAsia="宋体" w:hint="default"/>
                <w:spacing w:val="-46"/>
                <w:sz w:val="18"/>
                <w:szCs w:val="18"/>
              </w:rPr>
              <w:t> </w:t>
            </w:r>
            <w:r>
              <w:rPr>
                <w:rFonts w:ascii="Arial" w:hAnsi="Arial" w:cs="Arial" w:eastAsia="Arial" w:hint="default"/>
                <w:sz w:val="18"/>
                <w:szCs w:val="18"/>
              </w:rPr>
              <w:t>205.33</w:t>
            </w:r>
            <w:r>
              <w:rPr>
                <w:rFonts w:ascii="Arial" w:hAnsi="Arial" w:cs="Arial" w:eastAsia="Arial" w:hint="default"/>
                <w:spacing w:val="-5"/>
                <w:sz w:val="18"/>
                <w:szCs w:val="18"/>
              </w:rPr>
              <w:t> </w:t>
            </w:r>
            <w:r>
              <w:rPr>
                <w:rFonts w:ascii="宋体" w:hAnsi="宋体" w:cs="宋体" w:eastAsia="宋体" w:hint="default"/>
                <w:sz w:val="18"/>
                <w:szCs w:val="18"/>
              </w:rPr>
              <w:t>万元。</w:t>
            </w:r>
          </w:p>
          <w:p>
            <w:pPr>
              <w:pStyle w:val="TableParagraph"/>
              <w:spacing w:line="240" w:lineRule="auto" w:before="49"/>
              <w:ind w:left="376"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、惠州茂硕能源科技有限公司研发中心建设项目：截至</w:t>
            </w:r>
            <w:r>
              <w:rPr>
                <w:rFonts w:ascii="宋体" w:hAnsi="宋体" w:cs="宋体" w:eastAsia="宋体" w:hint="default"/>
                <w:spacing w:val="-45"/>
                <w:sz w:val="18"/>
                <w:szCs w:val="18"/>
              </w:rPr>
              <w:t> </w:t>
            </w: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26</w:t>
            </w:r>
            <w:r>
              <w:rPr>
                <w:rFonts w:ascii="Arial" w:hAnsi="Arial" w:cs="Arial" w:eastAsia="Arial" w:hint="default"/>
                <w:spacing w:val="-5"/>
                <w:sz w:val="18"/>
                <w:szCs w:val="18"/>
              </w:rPr>
              <w:t> </w:t>
            </w:r>
            <w:r>
              <w:rPr>
                <w:rFonts w:ascii="宋体" w:hAnsi="宋体" w:cs="宋体" w:eastAsia="宋体" w:hint="default"/>
                <w:sz w:val="18"/>
                <w:szCs w:val="18"/>
              </w:rPr>
              <w:t>日，公司以自筹资金</w:t>
            </w:r>
          </w:p>
          <w:p>
            <w:pPr>
              <w:pStyle w:val="TableParagraph"/>
              <w:spacing w:line="302" w:lineRule="auto" w:before="63"/>
              <w:ind w:left="16" w:right="41"/>
              <w:jc w:val="both"/>
              <w:rPr>
                <w:rFonts w:ascii="宋体" w:hAnsi="宋体" w:cs="宋体" w:eastAsia="宋体" w:hint="default"/>
                <w:sz w:val="18"/>
                <w:szCs w:val="18"/>
              </w:rPr>
            </w:pPr>
            <w:r>
              <w:rPr>
                <w:rFonts w:ascii="宋体" w:hAnsi="宋体" w:cs="宋体" w:eastAsia="宋体" w:hint="default"/>
                <w:sz w:val="18"/>
                <w:szCs w:val="18"/>
              </w:rPr>
              <w:t>预先投入募集资金投资项目的实际投资额为</w:t>
            </w:r>
            <w:r>
              <w:rPr>
                <w:rFonts w:ascii="宋体" w:hAnsi="宋体" w:cs="宋体" w:eastAsia="宋体" w:hint="default"/>
                <w:spacing w:val="-46"/>
                <w:sz w:val="18"/>
                <w:szCs w:val="18"/>
              </w:rPr>
              <w:t> </w:t>
            </w:r>
            <w:r>
              <w:rPr>
                <w:rFonts w:ascii="Arial" w:hAnsi="Arial" w:cs="Arial" w:eastAsia="Arial" w:hint="default"/>
                <w:sz w:val="18"/>
                <w:szCs w:val="18"/>
              </w:rPr>
              <w:t>210.17</w:t>
            </w:r>
            <w:r>
              <w:rPr>
                <w:rFonts w:ascii="Arial" w:hAnsi="Arial" w:cs="Arial" w:eastAsia="Arial" w:hint="default"/>
                <w:spacing w:val="-6"/>
                <w:sz w:val="18"/>
                <w:szCs w:val="18"/>
              </w:rPr>
              <w:t> </w:t>
            </w:r>
            <w:r>
              <w:rPr>
                <w:rFonts w:ascii="宋体" w:hAnsi="宋体" w:cs="宋体" w:eastAsia="宋体" w:hint="default"/>
                <w:sz w:val="18"/>
                <w:szCs w:val="18"/>
              </w:rPr>
              <w:t>万元，经深圳市鹏城会计师事务所有限公司</w:t>
            </w:r>
            <w:r>
              <w:rPr>
                <w:rFonts w:ascii="Arial" w:hAnsi="Arial" w:cs="Arial" w:eastAsia="Arial" w:hint="default"/>
                <w:sz w:val="18"/>
                <w:szCs w:val="18"/>
              </w:rPr>
              <w:t>“</w:t>
            </w:r>
            <w:r>
              <w:rPr>
                <w:rFonts w:ascii="宋体" w:hAnsi="宋体" w:cs="宋体" w:eastAsia="宋体" w:hint="default"/>
                <w:sz w:val="18"/>
                <w:szCs w:val="18"/>
              </w:rPr>
              <w:t>深 鹏所股专字</w:t>
            </w:r>
            <w:r>
              <w:rPr>
                <w:rFonts w:ascii="Arial" w:hAnsi="Arial" w:cs="Arial" w:eastAsia="Arial" w:hint="default"/>
                <w:sz w:val="18"/>
                <w:szCs w:val="18"/>
              </w:rPr>
              <w:t>[2012]0478</w:t>
            </w:r>
            <w:r>
              <w:rPr>
                <w:rFonts w:ascii="Arial" w:hAnsi="Arial" w:cs="Arial" w:eastAsia="Arial" w:hint="default"/>
                <w:spacing w:val="-11"/>
                <w:sz w:val="18"/>
                <w:szCs w:val="18"/>
              </w:rPr>
              <w:t> </w:t>
            </w:r>
            <w:r>
              <w:rPr>
                <w:rFonts w:ascii="宋体" w:hAnsi="宋体" w:cs="宋体" w:eastAsia="宋体" w:hint="default"/>
                <w:sz w:val="18"/>
                <w:szCs w:val="18"/>
              </w:rPr>
              <w:t>号</w:t>
            </w:r>
            <w:r>
              <w:rPr>
                <w:rFonts w:ascii="Arial" w:hAnsi="Arial" w:cs="Arial" w:eastAsia="Arial" w:hint="default"/>
                <w:sz w:val="18"/>
                <w:szCs w:val="18"/>
              </w:rPr>
              <w:t>”</w:t>
            </w:r>
            <w:r>
              <w:rPr>
                <w:rFonts w:ascii="宋体" w:hAnsi="宋体" w:cs="宋体" w:eastAsia="宋体" w:hint="default"/>
                <w:sz w:val="18"/>
                <w:szCs w:val="18"/>
              </w:rPr>
              <w:t>专项鉴证报告确认。经公司董事会审议通过，保荐机构发表明确同意意</w:t>
            </w:r>
          </w:p>
        </w:tc>
      </w:tr>
      <w:tr>
        <w:trPr>
          <w:trHeight w:val="70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vMerge/>
            <w:tcBorders>
              <w:left w:val="single" w:sz="10" w:space="0" w:color="D2D2D2"/>
              <w:right w:val="single" w:sz="4" w:space="0" w:color="000000"/>
            </w:tcBorders>
          </w:tcPr>
          <w:p>
            <w:pPr/>
          </w:p>
        </w:tc>
      </w:tr>
      <w:tr>
        <w:trPr>
          <w:trHeight w:val="984"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spacing w:after="0"/>
        <w:sectPr>
          <w:footerReference w:type="default" r:id="rId22"/>
          <w:pgSz w:w="11910" w:h="16840"/>
          <w:pgMar w:footer="1340" w:header="877" w:top="1060" w:bottom="1540" w:left="980" w:right="0"/>
          <w:pgNumType w:start="25"/>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36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见后，公司以募集资金置换预先已投入募集资金投资项目的自筹资金</w:t>
            </w:r>
            <w:r>
              <w:rPr>
                <w:rFonts w:ascii="宋体" w:hAnsi="宋体" w:cs="宋体" w:eastAsia="宋体" w:hint="default"/>
                <w:spacing w:val="-46"/>
                <w:sz w:val="18"/>
                <w:szCs w:val="18"/>
              </w:rPr>
              <w:t> </w:t>
            </w:r>
            <w:r>
              <w:rPr>
                <w:rFonts w:ascii="Arial" w:hAnsi="Arial" w:cs="Arial" w:eastAsia="Arial" w:hint="default"/>
                <w:sz w:val="18"/>
                <w:szCs w:val="18"/>
              </w:rPr>
              <w:t>210.17</w:t>
            </w:r>
            <w:r>
              <w:rPr>
                <w:rFonts w:ascii="Arial" w:hAnsi="Arial" w:cs="Arial" w:eastAsia="Arial" w:hint="default"/>
                <w:spacing w:val="-5"/>
                <w:sz w:val="18"/>
                <w:szCs w:val="18"/>
              </w:rPr>
              <w:t> </w:t>
            </w:r>
            <w:r>
              <w:rPr>
                <w:rFonts w:ascii="宋体" w:hAnsi="宋体" w:cs="宋体" w:eastAsia="宋体" w:hint="default"/>
                <w:sz w:val="18"/>
                <w:szCs w:val="18"/>
              </w:rPr>
              <w:t>万元。</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存放于募集资金专户中</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1"/>
        <w:jc w:val="left"/>
        <w:rPr>
          <w:b w:val="0"/>
          <w:bCs w:val="0"/>
        </w:rPr>
      </w:pPr>
      <w:r>
        <w:rPr>
          <w:rFonts w:ascii="Arial" w:hAnsi="Arial" w:cs="Arial" w:eastAsia="Arial" w:hint="default"/>
        </w:rPr>
        <w:t>3</w:t>
      </w:r>
      <w:r>
        <w:rPr/>
        <w:t>、主要子公司、参股公司分析</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1"/>
        <w:jc w:val="left"/>
      </w:pPr>
      <w:r>
        <w:rPr/>
        <w:t>主要子公司、参股公司情况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元</w:t>
            </w:r>
            <w:r>
              <w:rPr>
                <w:rFonts w:ascii="Arial" w:hAnsi="Arial" w:cs="Arial" w:eastAsia="Arial"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元</w:t>
            </w:r>
            <w:r>
              <w:rPr>
                <w:rFonts w:ascii="Arial" w:hAnsi="Arial" w:cs="Arial" w:eastAsia="Arial"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9"/>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816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89"/>
              <w:jc w:val="both"/>
              <w:rPr>
                <w:rFonts w:ascii="宋体" w:hAnsi="宋体" w:cs="宋体" w:eastAsia="宋体" w:hint="default"/>
                <w:sz w:val="18"/>
                <w:szCs w:val="18"/>
              </w:rPr>
            </w:pPr>
            <w:r>
              <w:rPr>
                <w:rFonts w:ascii="宋体" w:hAnsi="宋体" w:cs="宋体" w:eastAsia="宋体" w:hint="default"/>
                <w:sz w:val="18"/>
                <w:szCs w:val="18"/>
              </w:rPr>
              <w:t>深圳茂硕 新能源技 术研究院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提供新能 源和再生 能源的储 能系统解 决方案； </w:t>
            </w:r>
            <w:r>
              <w:rPr>
                <w:rFonts w:ascii="Arial" w:hAnsi="Arial" w:cs="Arial" w:eastAsia="Arial" w:hint="default"/>
                <w:sz w:val="18"/>
                <w:szCs w:val="18"/>
              </w:rPr>
              <w:t>DC/DC</w:t>
            </w:r>
            <w:r>
              <w:rPr>
                <w:rFonts w:ascii="Arial" w:hAnsi="Arial" w:cs="Arial" w:eastAsia="Arial" w:hint="default"/>
                <w:spacing w:val="-6"/>
                <w:sz w:val="18"/>
                <w:szCs w:val="18"/>
              </w:rPr>
              <w:t> </w:t>
            </w:r>
            <w:r>
              <w:rPr>
                <w:rFonts w:ascii="宋体" w:hAnsi="宋体" w:cs="宋体" w:eastAsia="宋体" w:hint="default"/>
                <w:sz w:val="18"/>
                <w:szCs w:val="18"/>
              </w:rPr>
              <w:t>高</w:t>
            </w:r>
            <w:r>
              <w:rPr>
                <w:rFonts w:ascii="宋体" w:hAnsi="宋体" w:cs="宋体" w:eastAsia="宋体" w:hint="default"/>
                <w:w w:val="99"/>
                <w:sz w:val="18"/>
                <w:szCs w:val="18"/>
              </w:rPr>
              <w:t> </w:t>
            </w:r>
            <w:r>
              <w:rPr>
                <w:rFonts w:ascii="宋体" w:hAnsi="宋体" w:cs="宋体" w:eastAsia="宋体" w:hint="default"/>
                <w:spacing w:val="-3"/>
                <w:sz w:val="18"/>
                <w:szCs w:val="18"/>
              </w:rPr>
              <w:t>效、高密度</w:t>
            </w:r>
            <w:r>
              <w:rPr>
                <w:rFonts w:ascii="宋体" w:hAnsi="宋体" w:cs="宋体" w:eastAsia="宋体" w:hint="default"/>
                <w:w w:val="99"/>
                <w:sz w:val="18"/>
                <w:szCs w:val="18"/>
              </w:rPr>
              <w:t> </w:t>
            </w:r>
            <w:r>
              <w:rPr>
                <w:rFonts w:ascii="宋体" w:hAnsi="宋体" w:cs="宋体" w:eastAsia="宋体" w:hint="default"/>
                <w:sz w:val="18"/>
                <w:szCs w:val="18"/>
              </w:rPr>
              <w:t>模块电源</w:t>
            </w:r>
            <w:r>
              <w:rPr>
                <w:rFonts w:ascii="宋体" w:hAnsi="宋体" w:cs="宋体" w:eastAsia="宋体" w:hint="default"/>
                <w:w w:val="99"/>
                <w:sz w:val="18"/>
                <w:szCs w:val="18"/>
              </w:rPr>
              <w:t> </w:t>
            </w:r>
            <w:r>
              <w:rPr>
                <w:rFonts w:ascii="宋体" w:hAnsi="宋体" w:cs="宋体" w:eastAsia="宋体" w:hint="default"/>
                <w:sz w:val="18"/>
                <w:szCs w:val="18"/>
              </w:rPr>
              <w:t>的设计；</w:t>
            </w:r>
            <w:r>
              <w:rPr>
                <w:rFonts w:ascii="宋体" w:hAnsi="宋体" w:cs="宋体" w:eastAsia="宋体" w:hint="default"/>
                <w:w w:val="99"/>
                <w:sz w:val="18"/>
                <w:szCs w:val="18"/>
              </w:rPr>
              <w:t> </w:t>
            </w:r>
            <w:r>
              <w:rPr>
                <w:rFonts w:ascii="Arial" w:hAnsi="Arial" w:cs="Arial" w:eastAsia="Arial" w:hint="default"/>
                <w:sz w:val="18"/>
                <w:szCs w:val="18"/>
              </w:rPr>
              <w:t>LED</w:t>
            </w:r>
            <w:r>
              <w:rPr>
                <w:rFonts w:ascii="Arial" w:hAnsi="Arial" w:cs="Arial" w:eastAsia="Arial" w:hint="default"/>
                <w:spacing w:val="-5"/>
                <w:sz w:val="18"/>
                <w:szCs w:val="18"/>
              </w:rPr>
              <w:t> </w:t>
            </w:r>
            <w:r>
              <w:rPr>
                <w:rFonts w:ascii="宋体" w:hAnsi="宋体" w:cs="宋体" w:eastAsia="宋体" w:hint="default"/>
                <w:sz w:val="18"/>
                <w:szCs w:val="18"/>
              </w:rPr>
              <w:t>新一 代数字驱 动智能化 电源的设 </w:t>
            </w:r>
            <w:r>
              <w:rPr>
                <w:rFonts w:ascii="宋体" w:hAnsi="宋体" w:cs="宋体" w:eastAsia="宋体" w:hint="default"/>
                <w:spacing w:val="-3"/>
                <w:sz w:val="18"/>
                <w:szCs w:val="18"/>
              </w:rPr>
              <w:t>计；计算机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的辅助设 计、模拟、 仿真系统 服务平台 及测试系 统的开发、 销售及相 应的技术 </w:t>
            </w:r>
            <w:r>
              <w:rPr>
                <w:rFonts w:ascii="宋体" w:hAnsi="宋体" w:cs="宋体" w:eastAsia="宋体" w:hint="default"/>
                <w:spacing w:val="-3"/>
                <w:sz w:val="18"/>
                <w:szCs w:val="18"/>
              </w:rPr>
              <w:t>服务（以上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法律、行政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法规、国务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院决定禁</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10000000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2"/>
                <w:sz w:val="18"/>
              </w:rPr>
              <w:t>6,110,366.</w:t>
            </w:r>
          </w:p>
          <w:p>
            <w:pPr>
              <w:pStyle w:val="TableParagraph"/>
              <w:spacing w:line="240" w:lineRule="auto" w:before="102"/>
              <w:ind w:right="17"/>
              <w:jc w:val="right"/>
              <w:rPr>
                <w:rFonts w:ascii="Arial" w:hAnsi="Arial" w:cs="Arial" w:eastAsia="Arial" w:hint="default"/>
                <w:sz w:val="18"/>
                <w:szCs w:val="18"/>
              </w:rPr>
            </w:pPr>
            <w:r>
              <w:rPr>
                <w:rFonts w:ascii="Arial"/>
                <w:w w:val="95"/>
                <w:sz w:val="18"/>
              </w:rPr>
              <w:t>84</w:t>
            </w:r>
            <w:r>
              <w:rPr>
                <w:rFonts w:ascii="Arial"/>
                <w:sz w:val="18"/>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6,100,427.</w:t>
            </w:r>
          </w:p>
          <w:p>
            <w:pPr>
              <w:pStyle w:val="TableParagraph"/>
              <w:spacing w:line="240" w:lineRule="auto" w:before="102"/>
              <w:ind w:right="17"/>
              <w:jc w:val="right"/>
              <w:rPr>
                <w:rFonts w:ascii="Arial" w:hAnsi="Arial" w:cs="Arial" w:eastAsia="Arial" w:hint="default"/>
                <w:sz w:val="18"/>
                <w:szCs w:val="18"/>
              </w:rPr>
            </w:pPr>
            <w:r>
              <w:rPr>
                <w:rFonts w:ascii="Arial"/>
                <w:w w:val="95"/>
                <w:sz w:val="18"/>
              </w:rPr>
              <w:t>10</w:t>
            </w:r>
            <w:r>
              <w:rPr>
                <w:rFonts w:ascii="Arial"/>
                <w:sz w:val="18"/>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61" w:right="0"/>
              <w:jc w:val="left"/>
              <w:rPr>
                <w:rFonts w:ascii="Arial" w:hAnsi="Arial" w:cs="Arial" w:eastAsia="Arial" w:hint="default"/>
                <w:sz w:val="18"/>
                <w:szCs w:val="18"/>
              </w:rPr>
            </w:pPr>
            <w:r>
              <w:rPr>
                <w:rFonts w:ascii="Arial"/>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7" w:right="0"/>
              <w:jc w:val="left"/>
              <w:rPr>
                <w:rFonts w:ascii="Arial" w:hAnsi="Arial" w:cs="Arial" w:eastAsia="Arial" w:hint="default"/>
                <w:sz w:val="18"/>
                <w:szCs w:val="18"/>
              </w:rPr>
            </w:pPr>
            <w:r>
              <w:rPr>
                <w:rFonts w:ascii="Arial"/>
                <w:sz w:val="18"/>
              </w:rPr>
              <w:t>-3,304,7</w:t>
            </w:r>
          </w:p>
          <w:p>
            <w:pPr>
              <w:pStyle w:val="TableParagraph"/>
              <w:spacing w:line="240" w:lineRule="auto" w:before="102"/>
              <w:ind w:left="326" w:right="0"/>
              <w:jc w:val="left"/>
              <w:rPr>
                <w:rFonts w:ascii="Arial" w:hAnsi="Arial" w:cs="Arial" w:eastAsia="Arial" w:hint="default"/>
                <w:sz w:val="18"/>
                <w:szCs w:val="18"/>
              </w:rPr>
            </w:pPr>
            <w:r>
              <w:rPr>
                <w:rFonts w:ascii="Arial"/>
                <w:sz w:val="18"/>
              </w:rPr>
              <w:t>92.42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-2,484,140.6</w:t>
            </w:r>
          </w:p>
          <w:p>
            <w:pPr>
              <w:pStyle w:val="TableParagraph"/>
              <w:spacing w:line="240" w:lineRule="auto" w:before="102"/>
              <w:ind w:right="20"/>
              <w:jc w:val="right"/>
              <w:rPr>
                <w:rFonts w:ascii="Arial" w:hAnsi="Arial" w:cs="Arial" w:eastAsia="Arial" w:hint="default"/>
                <w:sz w:val="18"/>
                <w:szCs w:val="18"/>
              </w:rPr>
            </w:pPr>
            <w:r>
              <w:rPr>
                <w:rFonts w:ascii="Arial"/>
                <w:w w:val="99"/>
                <w:sz w:val="18"/>
              </w:rPr>
              <w:t>4</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1923"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止的项目 </w:t>
            </w:r>
            <w:r>
              <w:rPr>
                <w:rFonts w:ascii="宋体" w:hAnsi="宋体" w:cs="宋体" w:eastAsia="宋体" w:hint="default"/>
                <w:spacing w:val="-3"/>
                <w:sz w:val="18"/>
                <w:szCs w:val="18"/>
              </w:rPr>
              <w:t>除外，限制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的项目须 取得许可 后方可经 </w:t>
            </w:r>
            <w:r>
              <w:rPr>
                <w:rFonts w:ascii="宋体" w:hAnsi="宋体" w:cs="宋体" w:eastAsia="宋体" w:hint="default"/>
                <w:spacing w:val="-31"/>
                <w:sz w:val="18"/>
                <w:szCs w:val="18"/>
              </w:rPr>
              <w:t>营）。</w:t>
            </w:r>
          </w:p>
        </w:tc>
        <w:tc>
          <w:tcPr>
            <w:tcW w:w="94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14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4" w:right="22"/>
              <w:jc w:val="left"/>
              <w:rPr>
                <w:rFonts w:ascii="宋体" w:hAnsi="宋体" w:cs="宋体" w:eastAsia="宋体" w:hint="default"/>
                <w:sz w:val="18"/>
                <w:szCs w:val="18"/>
              </w:rPr>
            </w:pPr>
            <w:r>
              <w:rPr>
                <w:rFonts w:ascii="宋体" w:hAnsi="宋体" w:cs="宋体" w:eastAsia="宋体" w:hint="default"/>
                <w:sz w:val="18"/>
                <w:szCs w:val="18"/>
              </w:rPr>
              <w:t>茂硕能源 科技（香 </w:t>
            </w:r>
            <w:r>
              <w:rPr>
                <w:rFonts w:ascii="宋体" w:hAnsi="宋体" w:cs="宋体" w:eastAsia="宋体" w:hint="default"/>
                <w:spacing w:val="-3"/>
                <w:sz w:val="18"/>
                <w:szCs w:val="18"/>
              </w:rPr>
              <w:t>港）国际有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大功率 </w:t>
            </w:r>
            <w:r>
              <w:rPr>
                <w:rFonts w:ascii="Arial" w:hAnsi="Arial" w:cs="Arial" w:eastAsia="Arial" w:hint="default"/>
                <w:sz w:val="18"/>
                <w:szCs w:val="18"/>
              </w:rPr>
              <w:t>LED</w:t>
            </w:r>
            <w:r>
              <w:rPr>
                <w:rFonts w:ascii="Arial" w:hAnsi="Arial" w:cs="Arial" w:eastAsia="Arial" w:hint="default"/>
                <w:spacing w:val="-5"/>
                <w:sz w:val="18"/>
                <w:szCs w:val="18"/>
              </w:rPr>
              <w:t> </w:t>
            </w:r>
            <w:r>
              <w:rPr>
                <w:rFonts w:ascii="宋体" w:hAnsi="宋体" w:cs="宋体" w:eastAsia="宋体" w:hint="default"/>
                <w:sz w:val="18"/>
                <w:szCs w:val="18"/>
              </w:rPr>
              <w:t>路灯 </w:t>
            </w:r>
            <w:r>
              <w:rPr>
                <w:rFonts w:ascii="宋体" w:hAnsi="宋体" w:cs="宋体" w:eastAsia="宋体" w:hint="default"/>
                <w:spacing w:val="-3"/>
                <w:sz w:val="18"/>
                <w:szCs w:val="18"/>
              </w:rPr>
              <w:t>电源、汽车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充电器、太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阳能逆变 </w:t>
            </w:r>
            <w:r>
              <w:rPr>
                <w:rFonts w:ascii="宋体" w:hAnsi="宋体" w:cs="宋体" w:eastAsia="宋体" w:hint="default"/>
                <w:spacing w:val="-3"/>
                <w:sz w:val="18"/>
                <w:szCs w:val="18"/>
              </w:rPr>
              <w:t>器、开关电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源、变压器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的采购和 </w:t>
            </w:r>
            <w:r>
              <w:rPr>
                <w:rFonts w:ascii="宋体" w:hAnsi="宋体" w:cs="宋体" w:eastAsia="宋体" w:hint="default"/>
                <w:spacing w:val="-3"/>
                <w:sz w:val="18"/>
                <w:szCs w:val="18"/>
              </w:rPr>
              <w:t>销售；电子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元器件、五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金塑胶配 件的采购</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和销售等。</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51"/>
              <w:ind w:left="23" w:right="23"/>
              <w:jc w:val="left"/>
              <w:rPr>
                <w:rFonts w:ascii="Arial" w:hAnsi="Arial" w:cs="Arial" w:eastAsia="Arial" w:hint="default"/>
                <w:sz w:val="18"/>
                <w:szCs w:val="18"/>
              </w:rPr>
            </w:pPr>
            <w:r>
              <w:rPr>
                <w:rFonts w:ascii="Arial"/>
                <w:sz w:val="18"/>
              </w:rPr>
              <w:t>HKD10000</w:t>
            </w:r>
            <w:r>
              <w:rPr>
                <w:rFonts w:ascii="Arial"/>
                <w:w w:val="99"/>
                <w:sz w:val="18"/>
              </w:rPr>
              <w:t> </w:t>
            </w:r>
            <w:r>
              <w:rPr>
                <w:rFonts w:ascii="Arial"/>
                <w:sz w:val="18"/>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Arial" w:hAnsi="Arial" w:cs="Arial" w:eastAsia="Arial" w:hint="default"/>
                <w:sz w:val="18"/>
                <w:szCs w:val="18"/>
              </w:rPr>
            </w:pPr>
            <w:r>
              <w:rPr>
                <w:rFonts w:ascii="Arial"/>
                <w:spacing w:val="-1"/>
                <w:sz w:val="18"/>
              </w:rPr>
              <w:t>9,733,942.</w:t>
            </w:r>
          </w:p>
          <w:p>
            <w:pPr>
              <w:pStyle w:val="TableParagraph"/>
              <w:spacing w:line="240" w:lineRule="auto" w:before="105"/>
              <w:ind w:right="17"/>
              <w:jc w:val="right"/>
              <w:rPr>
                <w:rFonts w:ascii="Arial" w:hAnsi="Arial" w:cs="Arial" w:eastAsia="Arial" w:hint="default"/>
                <w:sz w:val="18"/>
                <w:szCs w:val="18"/>
              </w:rPr>
            </w:pPr>
            <w:r>
              <w:rPr>
                <w:rFonts w:ascii="Arial"/>
                <w:w w:val="95"/>
                <w:sz w:val="18"/>
              </w:rPr>
              <w:t>20</w:t>
            </w:r>
            <w:r>
              <w:rPr>
                <w:rFonts w:ascii="Arial"/>
                <w:sz w:val="18"/>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Arial" w:hAnsi="Arial" w:cs="Arial" w:eastAsia="Arial" w:hint="default"/>
                <w:sz w:val="18"/>
                <w:szCs w:val="18"/>
              </w:rPr>
            </w:pPr>
            <w:r>
              <w:rPr>
                <w:rFonts w:ascii="Arial"/>
                <w:spacing w:val="-1"/>
                <w:sz w:val="18"/>
              </w:rPr>
              <w:t>1,792,291.</w:t>
            </w:r>
          </w:p>
          <w:p>
            <w:pPr>
              <w:pStyle w:val="TableParagraph"/>
              <w:spacing w:line="240" w:lineRule="auto" w:before="105"/>
              <w:ind w:right="17"/>
              <w:jc w:val="right"/>
              <w:rPr>
                <w:rFonts w:ascii="Arial" w:hAnsi="Arial" w:cs="Arial" w:eastAsia="Arial" w:hint="default"/>
                <w:sz w:val="18"/>
                <w:szCs w:val="18"/>
              </w:rPr>
            </w:pPr>
            <w:r>
              <w:rPr>
                <w:rFonts w:ascii="Arial"/>
                <w:w w:val="95"/>
                <w:sz w:val="18"/>
              </w:rPr>
              <w:t>38</w:t>
            </w:r>
            <w:r>
              <w:rPr>
                <w:rFonts w:ascii="Arial"/>
                <w:sz w:val="18"/>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10" w:right="0"/>
              <w:jc w:val="left"/>
              <w:rPr>
                <w:rFonts w:ascii="Arial" w:hAnsi="Arial" w:cs="Arial" w:eastAsia="Arial" w:hint="default"/>
                <w:sz w:val="18"/>
                <w:szCs w:val="18"/>
              </w:rPr>
            </w:pPr>
            <w:r>
              <w:rPr>
                <w:rFonts w:ascii="Arial"/>
                <w:sz w:val="18"/>
              </w:rPr>
              <w:t>12,662,55</w:t>
            </w:r>
          </w:p>
          <w:p>
            <w:pPr>
              <w:pStyle w:val="TableParagraph"/>
              <w:spacing w:line="240" w:lineRule="auto" w:before="105"/>
              <w:ind w:left="561" w:right="0"/>
              <w:jc w:val="left"/>
              <w:rPr>
                <w:rFonts w:ascii="Arial" w:hAnsi="Arial" w:cs="Arial" w:eastAsia="Arial" w:hint="default"/>
                <w:sz w:val="18"/>
                <w:szCs w:val="18"/>
              </w:rPr>
            </w:pPr>
            <w:r>
              <w:rPr>
                <w:rFonts w:ascii="Arial"/>
                <w:sz w:val="18"/>
              </w:rPr>
              <w:t>3.04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76" w:right="0"/>
              <w:jc w:val="left"/>
              <w:rPr>
                <w:rFonts w:ascii="Arial" w:hAnsi="Arial" w:cs="Arial" w:eastAsia="Arial" w:hint="default"/>
                <w:sz w:val="18"/>
                <w:szCs w:val="18"/>
              </w:rPr>
            </w:pPr>
            <w:r>
              <w:rPr>
                <w:rFonts w:ascii="Arial"/>
                <w:sz w:val="18"/>
              </w:rPr>
              <w:t>3,852,25</w:t>
            </w:r>
          </w:p>
          <w:p>
            <w:pPr>
              <w:pStyle w:val="TableParagraph"/>
              <w:spacing w:line="240" w:lineRule="auto" w:before="105"/>
              <w:ind w:left="427" w:right="0"/>
              <w:jc w:val="left"/>
              <w:rPr>
                <w:rFonts w:ascii="Arial" w:hAnsi="Arial" w:cs="Arial" w:eastAsia="Arial" w:hint="default"/>
                <w:sz w:val="18"/>
                <w:szCs w:val="18"/>
              </w:rPr>
            </w:pPr>
            <w:r>
              <w:rPr>
                <w:rFonts w:ascii="Arial"/>
                <w:sz w:val="18"/>
              </w:rPr>
              <w:t>3.37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Arial" w:hAnsi="Arial" w:cs="Arial" w:eastAsia="Arial" w:hint="default"/>
                <w:sz w:val="18"/>
                <w:szCs w:val="18"/>
              </w:rPr>
            </w:pPr>
            <w:r>
              <w:rPr>
                <w:rFonts w:ascii="Arial"/>
                <w:spacing w:val="-1"/>
                <w:sz w:val="18"/>
              </w:rPr>
              <w:t>3,215,937.1</w:t>
            </w:r>
          </w:p>
          <w:p>
            <w:pPr>
              <w:pStyle w:val="TableParagraph"/>
              <w:spacing w:line="240" w:lineRule="auto" w:before="105"/>
              <w:ind w:right="20"/>
              <w:jc w:val="right"/>
              <w:rPr>
                <w:rFonts w:ascii="Arial" w:hAnsi="Arial" w:cs="Arial" w:eastAsia="Arial" w:hint="default"/>
                <w:sz w:val="18"/>
                <w:szCs w:val="18"/>
              </w:rPr>
            </w:pPr>
            <w:r>
              <w:rPr>
                <w:rFonts w:ascii="Arial"/>
                <w:w w:val="99"/>
                <w:sz w:val="18"/>
              </w:rPr>
              <w:t>6</w:t>
            </w:r>
            <w:r>
              <w:rPr>
                <w:rFonts w:ascii="Arial"/>
                <w:sz w:val="18"/>
              </w:rPr>
            </w:r>
          </w:p>
        </w:tc>
      </w:tr>
      <w:tr>
        <w:trPr>
          <w:trHeight w:val="570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4" w:right="189"/>
              <w:jc w:val="both"/>
              <w:rPr>
                <w:rFonts w:ascii="宋体" w:hAnsi="宋体" w:cs="宋体" w:eastAsia="宋体" w:hint="default"/>
                <w:sz w:val="18"/>
                <w:szCs w:val="18"/>
              </w:rPr>
            </w:pPr>
            <w:r>
              <w:rPr>
                <w:rFonts w:ascii="宋体" w:hAnsi="宋体" w:cs="宋体" w:eastAsia="宋体" w:hint="default"/>
                <w:sz w:val="18"/>
                <w:szCs w:val="18"/>
              </w:rPr>
              <w:t>惠州茂硕 能源科技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生产、销 </w:t>
            </w:r>
            <w:r>
              <w:rPr>
                <w:rFonts w:ascii="宋体" w:hAnsi="宋体" w:cs="宋体" w:eastAsia="宋体" w:hint="default"/>
                <w:spacing w:val="-3"/>
                <w:sz w:val="18"/>
                <w:szCs w:val="18"/>
              </w:rPr>
              <w:t>售：大功率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Arial" w:hAnsi="Arial" w:cs="Arial" w:eastAsia="Arial" w:hint="default"/>
                <w:sz w:val="18"/>
                <w:szCs w:val="18"/>
              </w:rPr>
              <w:t>LED</w:t>
            </w:r>
            <w:r>
              <w:rPr>
                <w:rFonts w:ascii="Arial" w:hAnsi="Arial" w:cs="Arial" w:eastAsia="Arial" w:hint="default"/>
                <w:spacing w:val="-5"/>
                <w:sz w:val="18"/>
                <w:szCs w:val="18"/>
              </w:rPr>
              <w:t> </w:t>
            </w:r>
            <w:r>
              <w:rPr>
                <w:rFonts w:ascii="宋体" w:hAnsi="宋体" w:cs="宋体" w:eastAsia="宋体" w:hint="default"/>
                <w:sz w:val="18"/>
                <w:szCs w:val="18"/>
              </w:rPr>
              <w:t>路灯 </w:t>
            </w:r>
            <w:r>
              <w:rPr>
                <w:rFonts w:ascii="宋体" w:hAnsi="宋体" w:cs="宋体" w:eastAsia="宋体" w:hint="default"/>
                <w:spacing w:val="-3"/>
                <w:sz w:val="18"/>
                <w:szCs w:val="18"/>
              </w:rPr>
              <w:t>电源、隧道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灯电源、汽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车充电器、 光伏并网 </w:t>
            </w:r>
            <w:r>
              <w:rPr>
                <w:rFonts w:ascii="宋体" w:hAnsi="宋体" w:cs="宋体" w:eastAsia="宋体" w:hint="default"/>
                <w:spacing w:val="-3"/>
                <w:sz w:val="18"/>
                <w:szCs w:val="18"/>
              </w:rPr>
              <w:t>逆变器、开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关电源、变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压器、电子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元器件、五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金塑胶配 </w:t>
            </w:r>
            <w:r>
              <w:rPr>
                <w:rFonts w:ascii="宋体" w:hAnsi="宋体" w:cs="宋体" w:eastAsia="宋体" w:hint="default"/>
                <w:spacing w:val="-3"/>
                <w:sz w:val="18"/>
                <w:szCs w:val="18"/>
              </w:rPr>
              <w:t>件；货物出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口业务（法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律、行政法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规禁止的、 限制的项 </w:t>
            </w:r>
            <w:r>
              <w:rPr>
                <w:rFonts w:ascii="宋体" w:hAnsi="宋体" w:cs="宋体" w:eastAsia="宋体" w:hint="default"/>
                <w:spacing w:val="-19"/>
                <w:sz w:val="18"/>
                <w:szCs w:val="18"/>
              </w:rPr>
              <w:t>目除外）。</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Arial" w:hAnsi="Arial" w:cs="Arial" w:eastAsia="Arial" w:hint="default"/>
                <w:sz w:val="18"/>
                <w:szCs w:val="18"/>
              </w:rPr>
            </w:pPr>
            <w:r>
              <w:rPr>
                <w:rFonts w:ascii="Arial"/>
                <w:sz w:val="18"/>
              </w:rPr>
              <w:t>10000000</w:t>
            </w:r>
          </w:p>
          <w:p>
            <w:pPr>
              <w:pStyle w:val="TableParagraph"/>
              <w:spacing w:line="240" w:lineRule="auto" w:before="105"/>
              <w:ind w:left="23" w:right="0"/>
              <w:jc w:val="left"/>
              <w:rPr>
                <w:rFonts w:ascii="Arial" w:hAnsi="Arial" w:cs="Arial" w:eastAsia="Arial" w:hint="default"/>
                <w:sz w:val="18"/>
                <w:szCs w:val="18"/>
              </w:rPr>
            </w:pPr>
            <w:r>
              <w:rPr>
                <w:rFonts w:ascii="Arial"/>
                <w:w w:val="99"/>
                <w:sz w:val="18"/>
              </w:rPr>
              <w:t>0</w:t>
            </w:r>
            <w:r>
              <w:rPr>
                <w:rFonts w:ascii="Arial"/>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12" w:right="0"/>
              <w:jc w:val="left"/>
              <w:rPr>
                <w:rFonts w:ascii="Arial" w:hAnsi="Arial" w:cs="Arial" w:eastAsia="Arial" w:hint="default"/>
                <w:sz w:val="18"/>
                <w:szCs w:val="18"/>
              </w:rPr>
            </w:pPr>
            <w:r>
              <w:rPr>
                <w:rFonts w:ascii="Arial"/>
                <w:sz w:val="18"/>
              </w:rPr>
              <w:t>293,191,9</w:t>
            </w:r>
          </w:p>
          <w:p>
            <w:pPr>
              <w:pStyle w:val="TableParagraph"/>
              <w:spacing w:line="240" w:lineRule="auto" w:before="105"/>
              <w:ind w:left="463" w:right="0"/>
              <w:jc w:val="left"/>
              <w:rPr>
                <w:rFonts w:ascii="Arial" w:hAnsi="Arial" w:cs="Arial" w:eastAsia="Arial" w:hint="default"/>
                <w:sz w:val="18"/>
                <w:szCs w:val="18"/>
              </w:rPr>
            </w:pPr>
            <w:r>
              <w:rPr>
                <w:rFonts w:ascii="Arial"/>
                <w:sz w:val="18"/>
              </w:rPr>
              <w:t>77.68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Arial" w:hAnsi="Arial" w:cs="Arial" w:eastAsia="Arial" w:hint="default"/>
                <w:sz w:val="18"/>
                <w:szCs w:val="18"/>
              </w:rPr>
            </w:pPr>
            <w:r>
              <w:rPr>
                <w:rFonts w:ascii="Arial"/>
                <w:sz w:val="18"/>
              </w:rPr>
              <w:t>284,943,8</w:t>
            </w:r>
          </w:p>
          <w:p>
            <w:pPr>
              <w:pStyle w:val="TableParagraph"/>
              <w:spacing w:line="240" w:lineRule="auto" w:before="105"/>
              <w:ind w:left="460" w:right="0"/>
              <w:jc w:val="left"/>
              <w:rPr>
                <w:rFonts w:ascii="Arial" w:hAnsi="Arial" w:cs="Arial" w:eastAsia="Arial" w:hint="default"/>
                <w:sz w:val="18"/>
                <w:szCs w:val="18"/>
              </w:rPr>
            </w:pPr>
            <w:r>
              <w:rPr>
                <w:rFonts w:ascii="Arial"/>
                <w:sz w:val="18"/>
              </w:rPr>
              <w:t>44.80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Arial" w:hAnsi="Arial" w:cs="Arial" w:eastAsia="Arial" w:hint="default"/>
                <w:sz w:val="18"/>
                <w:szCs w:val="18"/>
              </w:rPr>
            </w:pPr>
            <w:r>
              <w:rPr>
                <w:rFonts w:ascii="Arial"/>
                <w:spacing w:val="-1"/>
                <w:sz w:val="18"/>
              </w:rPr>
              <w:t>4,262,006.</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03</w:t>
            </w:r>
            <w:r>
              <w:rPr>
                <w:rFonts w:ascii="Arial"/>
                <w:sz w:val="18"/>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91" w:right="0"/>
              <w:jc w:val="left"/>
              <w:rPr>
                <w:rFonts w:ascii="Arial" w:hAnsi="Arial" w:cs="Arial" w:eastAsia="Arial" w:hint="default"/>
                <w:sz w:val="18"/>
                <w:szCs w:val="18"/>
              </w:rPr>
            </w:pPr>
            <w:r>
              <w:rPr>
                <w:rFonts w:ascii="Arial"/>
                <w:sz w:val="18"/>
              </w:rPr>
              <w:t>3,133,11</w:t>
            </w:r>
          </w:p>
          <w:p>
            <w:pPr>
              <w:pStyle w:val="TableParagraph"/>
              <w:spacing w:line="240" w:lineRule="auto" w:before="105"/>
              <w:ind w:left="427" w:right="0"/>
              <w:jc w:val="left"/>
              <w:rPr>
                <w:rFonts w:ascii="Arial" w:hAnsi="Arial" w:cs="Arial" w:eastAsia="Arial" w:hint="default"/>
                <w:sz w:val="18"/>
                <w:szCs w:val="18"/>
              </w:rPr>
            </w:pPr>
            <w:r>
              <w:rPr>
                <w:rFonts w:ascii="Arial"/>
                <w:sz w:val="18"/>
              </w:rPr>
              <w:t>9.65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pacing w:val="-1"/>
                <w:sz w:val="18"/>
              </w:rPr>
              <w:t>4,307,121.6</w:t>
            </w:r>
          </w:p>
          <w:p>
            <w:pPr>
              <w:pStyle w:val="TableParagraph"/>
              <w:spacing w:line="240" w:lineRule="auto" w:before="105"/>
              <w:ind w:right="20"/>
              <w:jc w:val="right"/>
              <w:rPr>
                <w:rFonts w:ascii="Arial" w:hAnsi="Arial" w:cs="Arial" w:eastAsia="Arial" w:hint="default"/>
                <w:sz w:val="18"/>
                <w:szCs w:val="18"/>
              </w:rPr>
            </w:pPr>
            <w:r>
              <w:rPr>
                <w:rFonts w:ascii="Arial"/>
                <w:w w:val="99"/>
                <w:sz w:val="18"/>
              </w:rPr>
              <w:t>8</w:t>
            </w:r>
            <w:r>
              <w:rPr>
                <w:rFonts w:ascii="Arial"/>
                <w:sz w:val="18"/>
              </w:rPr>
            </w:r>
          </w:p>
        </w:tc>
      </w:tr>
      <w:tr>
        <w:trPr>
          <w:trHeight w:val="192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189"/>
              <w:jc w:val="both"/>
              <w:rPr>
                <w:rFonts w:ascii="宋体" w:hAnsi="宋体" w:cs="宋体" w:eastAsia="宋体" w:hint="default"/>
                <w:sz w:val="18"/>
                <w:szCs w:val="18"/>
              </w:rPr>
            </w:pPr>
            <w:r>
              <w:rPr>
                <w:rFonts w:ascii="宋体" w:hAnsi="宋体" w:cs="宋体" w:eastAsia="宋体" w:hint="default"/>
                <w:sz w:val="18"/>
                <w:szCs w:val="18"/>
              </w:rPr>
              <w:t>深圳茂硕 电子科技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开关电源、 </w:t>
            </w:r>
            <w:r>
              <w:rPr>
                <w:rFonts w:ascii="宋体" w:hAnsi="宋体" w:cs="宋体" w:eastAsia="宋体" w:hint="default"/>
                <w:spacing w:val="-3"/>
                <w:sz w:val="18"/>
                <w:szCs w:val="18"/>
              </w:rPr>
              <w:t>变压器、电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感的设计、 技术开发、 生产和销 </w:t>
            </w:r>
            <w:r>
              <w:rPr>
                <w:rFonts w:ascii="宋体" w:hAnsi="宋体" w:cs="宋体" w:eastAsia="宋体" w:hint="default"/>
                <w:spacing w:val="-3"/>
                <w:sz w:val="18"/>
                <w:szCs w:val="18"/>
              </w:rPr>
              <w:t>售；经营进</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Arial" w:hAnsi="Arial" w:cs="Arial" w:eastAsia="Arial" w:hint="default"/>
                <w:sz w:val="18"/>
                <w:szCs w:val="18"/>
              </w:rPr>
            </w:pPr>
            <w:r>
              <w:rPr>
                <w:rFonts w:ascii="Arial"/>
                <w:sz w:val="18"/>
              </w:rPr>
              <w:t>9800000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12" w:right="0"/>
              <w:jc w:val="left"/>
              <w:rPr>
                <w:rFonts w:ascii="Arial" w:hAnsi="Arial" w:cs="Arial" w:eastAsia="Arial" w:hint="default"/>
                <w:sz w:val="18"/>
                <w:szCs w:val="18"/>
              </w:rPr>
            </w:pPr>
            <w:r>
              <w:rPr>
                <w:rFonts w:ascii="Arial"/>
                <w:sz w:val="18"/>
              </w:rPr>
              <w:t>190,589,3</w:t>
            </w:r>
          </w:p>
          <w:p>
            <w:pPr>
              <w:pStyle w:val="TableParagraph"/>
              <w:spacing w:line="240" w:lineRule="auto" w:before="102"/>
              <w:ind w:left="463" w:right="0"/>
              <w:jc w:val="left"/>
              <w:rPr>
                <w:rFonts w:ascii="Arial" w:hAnsi="Arial" w:cs="Arial" w:eastAsia="Arial" w:hint="default"/>
                <w:sz w:val="18"/>
                <w:szCs w:val="18"/>
              </w:rPr>
            </w:pPr>
            <w:r>
              <w:rPr>
                <w:rFonts w:ascii="Arial"/>
                <w:sz w:val="18"/>
              </w:rPr>
              <w:t>00.17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10" w:right="0"/>
              <w:jc w:val="left"/>
              <w:rPr>
                <w:rFonts w:ascii="Arial" w:hAnsi="Arial" w:cs="Arial" w:eastAsia="Arial" w:hint="default"/>
                <w:sz w:val="18"/>
                <w:szCs w:val="18"/>
              </w:rPr>
            </w:pPr>
            <w:r>
              <w:rPr>
                <w:rFonts w:ascii="Arial"/>
                <w:sz w:val="18"/>
              </w:rPr>
              <w:t>37,515,34</w:t>
            </w:r>
          </w:p>
          <w:p>
            <w:pPr>
              <w:pStyle w:val="TableParagraph"/>
              <w:spacing w:line="240" w:lineRule="auto" w:before="102"/>
              <w:ind w:left="561" w:right="0"/>
              <w:jc w:val="left"/>
              <w:rPr>
                <w:rFonts w:ascii="Arial" w:hAnsi="Arial" w:cs="Arial" w:eastAsia="Arial" w:hint="default"/>
                <w:sz w:val="18"/>
                <w:szCs w:val="18"/>
              </w:rPr>
            </w:pPr>
            <w:r>
              <w:rPr>
                <w:rFonts w:ascii="Arial"/>
                <w:sz w:val="18"/>
              </w:rPr>
              <w:t>4.95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10" w:right="0"/>
              <w:jc w:val="left"/>
              <w:rPr>
                <w:rFonts w:ascii="Arial" w:hAnsi="Arial" w:cs="Arial" w:eastAsia="Arial" w:hint="default"/>
                <w:sz w:val="18"/>
                <w:szCs w:val="18"/>
              </w:rPr>
            </w:pPr>
            <w:r>
              <w:rPr>
                <w:rFonts w:ascii="Arial"/>
                <w:sz w:val="18"/>
              </w:rPr>
              <w:t>356,490,6</w:t>
            </w:r>
          </w:p>
          <w:p>
            <w:pPr>
              <w:pStyle w:val="TableParagraph"/>
              <w:spacing w:line="240" w:lineRule="auto" w:before="102"/>
              <w:ind w:left="460" w:right="0"/>
              <w:jc w:val="left"/>
              <w:rPr>
                <w:rFonts w:ascii="Arial" w:hAnsi="Arial" w:cs="Arial" w:eastAsia="Arial" w:hint="default"/>
                <w:sz w:val="18"/>
                <w:szCs w:val="18"/>
              </w:rPr>
            </w:pPr>
            <w:r>
              <w:rPr>
                <w:rFonts w:ascii="Arial"/>
                <w:sz w:val="18"/>
              </w:rPr>
              <w:t>16.52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76" w:right="0"/>
              <w:jc w:val="left"/>
              <w:rPr>
                <w:rFonts w:ascii="Arial" w:hAnsi="Arial" w:cs="Arial" w:eastAsia="Arial" w:hint="default"/>
                <w:sz w:val="18"/>
                <w:szCs w:val="18"/>
              </w:rPr>
            </w:pPr>
            <w:r>
              <w:rPr>
                <w:rFonts w:ascii="Arial"/>
                <w:sz w:val="18"/>
              </w:rPr>
              <w:t>19,151,0</w:t>
            </w:r>
          </w:p>
          <w:p>
            <w:pPr>
              <w:pStyle w:val="TableParagraph"/>
              <w:spacing w:line="240" w:lineRule="auto" w:before="102"/>
              <w:ind w:left="326" w:right="0"/>
              <w:jc w:val="left"/>
              <w:rPr>
                <w:rFonts w:ascii="Arial" w:hAnsi="Arial" w:cs="Arial" w:eastAsia="Arial" w:hint="default"/>
                <w:sz w:val="18"/>
                <w:szCs w:val="18"/>
              </w:rPr>
            </w:pPr>
            <w:r>
              <w:rPr>
                <w:rFonts w:ascii="Arial"/>
                <w:sz w:val="18"/>
              </w:rPr>
              <w:t>03.24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Arial" w:hAnsi="Arial" w:cs="Arial" w:eastAsia="Arial" w:hint="default"/>
                <w:sz w:val="18"/>
                <w:szCs w:val="18"/>
              </w:rPr>
            </w:pPr>
            <w:r>
              <w:rPr>
                <w:rFonts w:ascii="Arial"/>
                <w:spacing w:val="-1"/>
                <w:sz w:val="18"/>
              </w:rPr>
              <w:t>16,381,044.</w:t>
            </w:r>
          </w:p>
          <w:p>
            <w:pPr>
              <w:pStyle w:val="TableParagraph"/>
              <w:spacing w:line="240" w:lineRule="auto" w:before="102"/>
              <w:ind w:right="17"/>
              <w:jc w:val="right"/>
              <w:rPr>
                <w:rFonts w:ascii="Arial" w:hAnsi="Arial" w:cs="Arial" w:eastAsia="Arial" w:hint="default"/>
                <w:sz w:val="18"/>
                <w:szCs w:val="18"/>
              </w:rPr>
            </w:pPr>
            <w:r>
              <w:rPr>
                <w:rFonts w:ascii="Arial"/>
                <w:w w:val="95"/>
                <w:sz w:val="18"/>
              </w:rPr>
              <w:t>13</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3171"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出口业务</w:t>
            </w:r>
          </w:p>
          <w:p>
            <w:pPr>
              <w:pStyle w:val="TableParagraph"/>
              <w:spacing w:line="316" w:lineRule="auto" w:before="77"/>
              <w:ind w:left="24" w:right="19"/>
              <w:jc w:val="left"/>
              <w:rPr>
                <w:rFonts w:ascii="宋体" w:hAnsi="宋体" w:cs="宋体" w:eastAsia="宋体" w:hint="default"/>
                <w:sz w:val="18"/>
                <w:szCs w:val="18"/>
              </w:rPr>
            </w:pPr>
            <w:r>
              <w:rPr>
                <w:rFonts w:ascii="宋体" w:hAnsi="宋体" w:cs="宋体" w:eastAsia="宋体" w:hint="default"/>
                <w:spacing w:val="-3"/>
                <w:sz w:val="18"/>
                <w:szCs w:val="18"/>
              </w:rPr>
              <w:t>（法律、行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政法规、国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务院决定 禁止的项 </w:t>
            </w:r>
            <w:r>
              <w:rPr>
                <w:rFonts w:ascii="宋体" w:hAnsi="宋体" w:cs="宋体" w:eastAsia="宋体" w:hint="default"/>
                <w:spacing w:val="-3"/>
                <w:sz w:val="18"/>
                <w:szCs w:val="18"/>
              </w:rPr>
              <w:t>目除外，限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制的项目 须取得许 可后方可 </w:t>
            </w:r>
            <w:r>
              <w:rPr>
                <w:rFonts w:ascii="宋体" w:hAnsi="宋体" w:cs="宋体" w:eastAsia="宋体" w:hint="default"/>
                <w:spacing w:val="-23"/>
                <w:sz w:val="18"/>
                <w:szCs w:val="18"/>
              </w:rPr>
              <w:t>经营）。</w:t>
            </w:r>
          </w:p>
        </w:tc>
        <w:tc>
          <w:tcPr>
            <w:tcW w:w="94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190"/>
              <w:jc w:val="both"/>
              <w:rPr>
                <w:rFonts w:ascii="宋体" w:hAnsi="宋体" w:cs="宋体" w:eastAsia="宋体" w:hint="default"/>
                <w:sz w:val="18"/>
                <w:szCs w:val="18"/>
              </w:rPr>
            </w:pPr>
            <w:r>
              <w:rPr>
                <w:rFonts w:ascii="宋体" w:hAnsi="宋体" w:cs="宋体" w:eastAsia="宋体" w:hint="default"/>
                <w:sz w:val="18"/>
                <w:szCs w:val="18"/>
              </w:rPr>
              <w:t>深圳华智 测控技术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远程测控 系统和设 备产品的 研发、设 </w:t>
            </w:r>
            <w:r>
              <w:rPr>
                <w:rFonts w:ascii="宋体" w:hAnsi="宋体" w:cs="宋体" w:eastAsia="宋体" w:hint="default"/>
                <w:spacing w:val="-3"/>
                <w:sz w:val="18"/>
                <w:szCs w:val="18"/>
              </w:rPr>
              <w:t>计、销售及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相关产品 的技术支 持与服务</w:t>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pacing w:val="-3"/>
                <w:sz w:val="18"/>
                <w:szCs w:val="18"/>
              </w:rPr>
              <w:t>（法律、行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政法规、国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务院决定 规定在登 记前须经 批准的项 </w:t>
            </w:r>
            <w:r>
              <w:rPr>
                <w:rFonts w:ascii="宋体" w:hAnsi="宋体" w:cs="宋体" w:eastAsia="宋体" w:hint="default"/>
                <w:spacing w:val="-19"/>
                <w:sz w:val="18"/>
                <w:szCs w:val="18"/>
              </w:rPr>
              <w:t>目除外）。</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Arial" w:hAnsi="Arial" w:cs="Arial" w:eastAsia="Arial" w:hint="default"/>
                <w:sz w:val="18"/>
                <w:szCs w:val="18"/>
              </w:rPr>
            </w:pPr>
            <w:r>
              <w:rPr>
                <w:rFonts w:ascii="Arial"/>
                <w:sz w:val="18"/>
              </w:rPr>
              <w:t>4100000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3,448,130.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57</w:t>
            </w:r>
            <w:r>
              <w:rPr>
                <w:rFonts w:ascii="Arial"/>
                <w:sz w:val="18"/>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2,269,040.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32</w:t>
            </w:r>
            <w:r>
              <w:rPr>
                <w:rFonts w:ascii="Arial"/>
                <w:sz w:val="18"/>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3,944,856.</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06</w:t>
            </w:r>
            <w:r>
              <w:rPr>
                <w:rFonts w:ascii="Arial"/>
                <w:sz w:val="18"/>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17" w:right="0"/>
              <w:jc w:val="left"/>
              <w:rPr>
                <w:rFonts w:ascii="Arial" w:hAnsi="Arial" w:cs="Arial" w:eastAsia="Arial" w:hint="default"/>
                <w:sz w:val="18"/>
                <w:szCs w:val="18"/>
              </w:rPr>
            </w:pPr>
            <w:r>
              <w:rPr>
                <w:rFonts w:ascii="Arial"/>
                <w:sz w:val="18"/>
              </w:rPr>
              <w:t>-1,103,2</w:t>
            </w:r>
          </w:p>
          <w:p>
            <w:pPr>
              <w:pStyle w:val="TableParagraph"/>
              <w:spacing w:line="240" w:lineRule="auto" w:before="105"/>
              <w:ind w:left="326" w:right="0"/>
              <w:jc w:val="left"/>
              <w:rPr>
                <w:rFonts w:ascii="Arial" w:hAnsi="Arial" w:cs="Arial" w:eastAsia="Arial" w:hint="default"/>
                <w:sz w:val="18"/>
                <w:szCs w:val="18"/>
              </w:rPr>
            </w:pPr>
            <w:r>
              <w:rPr>
                <w:rFonts w:ascii="Arial"/>
                <w:sz w:val="18"/>
              </w:rPr>
              <w:t>03.42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3" w:right="0"/>
              <w:jc w:val="center"/>
              <w:rPr>
                <w:rFonts w:ascii="Arial" w:hAnsi="Arial" w:cs="Arial" w:eastAsia="Arial" w:hint="default"/>
                <w:sz w:val="18"/>
                <w:szCs w:val="18"/>
              </w:rPr>
            </w:pPr>
            <w:r>
              <w:rPr>
                <w:rFonts w:ascii="Arial"/>
                <w:sz w:val="18"/>
              </w:rPr>
              <w:t>-824,944.12</w:t>
            </w:r>
          </w:p>
        </w:tc>
      </w:tr>
      <w:tr>
        <w:trPr>
          <w:trHeight w:val="352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89"/>
              <w:jc w:val="both"/>
              <w:rPr>
                <w:rFonts w:ascii="宋体" w:hAnsi="宋体" w:cs="宋体" w:eastAsia="宋体" w:hint="default"/>
                <w:sz w:val="18"/>
                <w:szCs w:val="18"/>
              </w:rPr>
            </w:pPr>
            <w:r>
              <w:rPr>
                <w:rFonts w:ascii="宋体" w:hAnsi="宋体" w:cs="宋体" w:eastAsia="宋体" w:hint="default"/>
                <w:sz w:val="18"/>
                <w:szCs w:val="18"/>
              </w:rPr>
              <w:t>北京茂硕 新能源科 技有限公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技术推广 </w:t>
            </w:r>
            <w:r>
              <w:rPr>
                <w:rFonts w:ascii="宋体" w:hAnsi="宋体" w:cs="宋体" w:eastAsia="宋体" w:hint="default"/>
                <w:spacing w:val="-3"/>
                <w:sz w:val="18"/>
                <w:szCs w:val="18"/>
              </w:rPr>
              <w:t>服务；应用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软件服务； 销售机械 设备五金 </w:t>
            </w:r>
            <w:r>
              <w:rPr>
                <w:rFonts w:ascii="宋体" w:hAnsi="宋体" w:cs="宋体" w:eastAsia="宋体" w:hint="default"/>
                <w:spacing w:val="-3"/>
                <w:sz w:val="18"/>
                <w:szCs w:val="18"/>
              </w:rPr>
              <w:t>交电、家用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电器、计算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机软件及 辅助设备、 通讯设备、 电子产品。</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Arial" w:hAnsi="Arial" w:cs="Arial" w:eastAsia="Arial" w:hint="default"/>
                <w:sz w:val="18"/>
                <w:szCs w:val="18"/>
              </w:rPr>
            </w:pPr>
            <w:r>
              <w:rPr>
                <w:rFonts w:ascii="Arial"/>
                <w:sz w:val="18"/>
              </w:rPr>
              <w:t>10000000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9,828,378.</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04</w:t>
            </w:r>
            <w:r>
              <w:rPr>
                <w:rFonts w:ascii="Arial"/>
                <w:sz w:val="18"/>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9,825,508.</w:t>
            </w:r>
          </w:p>
          <w:p>
            <w:pPr>
              <w:pStyle w:val="TableParagraph"/>
              <w:spacing w:line="240" w:lineRule="auto" w:before="105"/>
              <w:ind w:right="17"/>
              <w:jc w:val="right"/>
              <w:rPr>
                <w:rFonts w:ascii="Arial" w:hAnsi="Arial" w:cs="Arial" w:eastAsia="Arial" w:hint="default"/>
                <w:sz w:val="18"/>
                <w:szCs w:val="18"/>
              </w:rPr>
            </w:pPr>
            <w:r>
              <w:rPr>
                <w:rFonts w:ascii="Arial"/>
                <w:w w:val="95"/>
                <w:sz w:val="18"/>
              </w:rPr>
              <w:t>24</w:t>
            </w:r>
            <w:r>
              <w:rPr>
                <w:rFonts w:ascii="Arial"/>
                <w:sz w:val="18"/>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w:hAnsi="Arial" w:cs="Arial" w:eastAsia="Arial" w:hint="default"/>
                <w:sz w:val="18"/>
                <w:szCs w:val="18"/>
              </w:rPr>
            </w:pPr>
            <w:r>
              <w:rPr>
                <w:rFonts w:ascii="Arial"/>
                <w:sz w:val="18"/>
              </w:rPr>
              <w:t>16,881.20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Arial" w:hAnsi="Arial" w:cs="Arial" w:eastAsia="Arial" w:hint="default"/>
                <w:sz w:val="18"/>
                <w:szCs w:val="18"/>
              </w:rPr>
            </w:pPr>
            <w:r>
              <w:rPr>
                <w:rFonts w:ascii="Arial"/>
                <w:sz w:val="18"/>
              </w:rPr>
              <w:t>-201,599</w:t>
            </w:r>
          </w:p>
          <w:p>
            <w:pPr>
              <w:pStyle w:val="TableParagraph"/>
              <w:spacing w:line="240" w:lineRule="auto" w:before="105"/>
              <w:ind w:left="528" w:right="0"/>
              <w:jc w:val="left"/>
              <w:rPr>
                <w:rFonts w:ascii="Arial" w:hAnsi="Arial" w:cs="Arial" w:eastAsia="Arial" w:hint="default"/>
                <w:sz w:val="18"/>
                <w:szCs w:val="18"/>
              </w:rPr>
            </w:pPr>
            <w:r>
              <w:rPr>
                <w:rFonts w:ascii="Arial"/>
                <w:sz w:val="18"/>
              </w:rPr>
              <w:t>.02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63" w:right="0"/>
              <w:jc w:val="center"/>
              <w:rPr>
                <w:rFonts w:ascii="Arial" w:hAnsi="Arial" w:cs="Arial" w:eastAsia="Arial" w:hint="default"/>
                <w:sz w:val="18"/>
                <w:szCs w:val="18"/>
              </w:rPr>
            </w:pPr>
            <w:r>
              <w:rPr>
                <w:rFonts w:ascii="Arial"/>
                <w:sz w:val="18"/>
              </w:rPr>
              <w:t>-203,713.77</w:t>
            </w:r>
          </w:p>
        </w:tc>
      </w:tr>
    </w:tbl>
    <w:p>
      <w:pPr>
        <w:pStyle w:val="BodyText"/>
        <w:spacing w:line="357" w:lineRule="auto" w:before="49"/>
        <w:ind w:right="8054"/>
        <w:jc w:val="left"/>
      </w:pPr>
      <w:r>
        <w:rPr/>
        <w:t>主要子公司、参股公司情况说明 报告期内取得和处置子公司的情况</w:t>
      </w:r>
    </w:p>
    <w:p>
      <w:pPr>
        <w:pStyle w:val="BodyText"/>
        <w:spacing w:line="240" w:lineRule="auto" w:before="29"/>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1"/>
        <w:jc w:val="left"/>
        <w:rPr>
          <w:b w:val="0"/>
          <w:bCs w:val="0"/>
        </w:rPr>
      </w:pPr>
      <w:r>
        <w:rPr/>
        <w:t>七、公司未来发展的展望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21"/>
        <w:jc w:val="left"/>
      </w:pPr>
      <w:r>
        <w:rPr/>
        <w:t>（一）行业竞争格局和发展趋势</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92" w:right="1121"/>
        <w:jc w:val="left"/>
      </w:pPr>
      <w:r>
        <w:rPr>
          <w:rFonts w:ascii="Arial" w:hAnsi="Arial" w:cs="Arial" w:eastAsia="Arial" w:hint="default"/>
        </w:rPr>
        <w:t>1</w:t>
      </w:r>
      <w:r>
        <w:rPr/>
        <w:t>、行业竞争格局</w:t>
      </w:r>
    </w:p>
    <w:p>
      <w:pPr>
        <w:pStyle w:val="BodyText"/>
        <w:spacing w:line="302" w:lineRule="auto" w:before="64"/>
        <w:ind w:left="513" w:right="1121"/>
        <w:jc w:val="left"/>
      </w:pPr>
      <w:r>
        <w:rPr/>
        <w:t>（</w:t>
      </w:r>
      <w:r>
        <w:rPr>
          <w:rFonts w:ascii="Arial" w:hAnsi="Arial" w:cs="Arial" w:eastAsia="Arial" w:hint="default"/>
        </w:rPr>
        <w:t>1</w:t>
      </w:r>
      <w:r>
        <w:rPr/>
        <w:t>）、消费电子类开关电源行业竞争格局和市场化程度 </w:t>
      </w:r>
      <w:r>
        <w:rPr>
          <w:spacing w:val="-2"/>
        </w:rPr>
        <w:t>在消费电子类开关电源领域，我国已成为全球重要的生产基地，产业发展较为成熟。目前，已经形成了珠三角地区、长</w:t>
      </w:r>
    </w:p>
    <w:p>
      <w:pPr>
        <w:pStyle w:val="BodyText"/>
        <w:spacing w:line="316" w:lineRule="auto" w:before="29"/>
        <w:ind w:right="1133"/>
        <w:jc w:val="both"/>
      </w:pPr>
      <w:r>
        <w:rPr>
          <w:spacing w:val="-2"/>
        </w:rPr>
        <w:t>三角地区，以及北京、天津、河北附近的首都经济圈地区三大产业区，另外在西安、武汉也有少量开关电源企业分布。据中</w:t>
      </w:r>
      <w:r>
        <w:rPr>
          <w:spacing w:val="-68"/>
        </w:rPr>
        <w:t> </w:t>
      </w:r>
      <w:r>
        <w:rPr>
          <w:spacing w:val="-68"/>
        </w:rPr>
      </w:r>
      <w:r>
        <w:rPr/>
        <w:t>国电源学会统计，目前国内生产开关电源的企业超过一千家，行业市场化程度较高，呈现完全竞争的市场格局。</w:t>
      </w:r>
    </w:p>
    <w:p>
      <w:pPr>
        <w:pStyle w:val="BodyText"/>
        <w:spacing w:line="240" w:lineRule="auto" w:before="19"/>
        <w:ind w:left="513" w:right="1121"/>
        <w:jc w:val="left"/>
      </w:pPr>
      <w:r>
        <w:rPr/>
        <w:t>消费电子类开关电源行业竞争格局总体呈现如下特点：</w:t>
      </w:r>
    </w:p>
    <w:p>
      <w:pPr>
        <w:pStyle w:val="BodyText"/>
        <w:spacing w:line="240" w:lineRule="auto" w:before="76"/>
        <w:ind w:left="513" w:right="1121"/>
        <w:jc w:val="left"/>
      </w:pPr>
      <w:r>
        <w:rPr/>
        <w:t>①行业内生产企业众多，但普遍规模较小，市场份额较为分散，行业集中度不高；</w:t>
      </w:r>
    </w:p>
    <w:p>
      <w:pPr>
        <w:pStyle w:val="BodyText"/>
        <w:spacing w:line="316" w:lineRule="auto" w:before="76"/>
        <w:ind w:left="513" w:right="1121"/>
        <w:jc w:val="left"/>
      </w:pPr>
      <w:r>
        <w:rPr/>
        <w:t>②行业内企业普遍技术水平不高，产品附加值较低，难以满足高端客户，尤其是国际主流电子企业的相关需求。 </w:t>
      </w:r>
      <w:r>
        <w:rPr>
          <w:spacing w:val="-2"/>
        </w:rPr>
        <w:t>消费电子类电源行业由于下游企业分布广、数量多，对电源产品的品质和价格要求差异较大，使得不同规模、水平的电</w:t>
      </w:r>
    </w:p>
    <w:p>
      <w:pPr>
        <w:pStyle w:val="BodyText"/>
        <w:spacing w:line="319" w:lineRule="auto" w:before="19"/>
        <w:ind w:right="1129"/>
        <w:jc w:val="both"/>
      </w:pPr>
      <w:r>
        <w:rPr>
          <w:spacing w:val="-2"/>
        </w:rPr>
        <w:t>源企业均可获得一定的市场份额。目前国内领先的消费类开关电源制造商主要是在大陆进行生产的台资企业及以茂硕电源为</w:t>
      </w:r>
      <w:r>
        <w:rPr>
          <w:spacing w:val="-64"/>
        </w:rPr>
        <w:t> </w:t>
      </w:r>
      <w:r>
        <w:rPr>
          <w:spacing w:val="-64"/>
        </w:rPr>
      </w:r>
      <w:r>
        <w:rPr>
          <w:spacing w:val="-2"/>
        </w:rPr>
        <w:t>代表的少数国内领先企业，这些优势企业凭借其在技术研发、生产管理等方面的优势，主要面向国内外主流电子企业提供高</w:t>
      </w:r>
      <w:r>
        <w:rPr>
          <w:spacing w:val="-66"/>
        </w:rPr>
        <w:t> </w:t>
      </w:r>
      <w:r>
        <w:rPr>
          <w:spacing w:val="-66"/>
        </w:rPr>
      </w:r>
      <w:r>
        <w:rPr>
          <w:spacing w:val="-2"/>
        </w:rPr>
        <w:t>端消费类开关电源产品，但各自所占据的市场份额都不高。随着优势企业技术水平、生产能力的不断扩大及自身销售网络的</w:t>
      </w:r>
      <w:r>
        <w:rPr>
          <w:spacing w:val="-63"/>
        </w:rPr>
        <w:t> </w:t>
      </w:r>
      <w:r>
        <w:rPr>
          <w:spacing w:val="-63"/>
        </w:rPr>
      </w:r>
      <w:r>
        <w:rPr>
          <w:spacing w:val="-2"/>
        </w:rPr>
        <w:t>不断拓展，以及下游企业对电源在节能、环保等方面要求的提升，小规模电源生产企业的市场空间正日趋缩小，行业整合的</w:t>
      </w:r>
      <w:r>
        <w:rPr>
          <w:spacing w:val="-63"/>
        </w:rPr>
        <w:t> </w:t>
      </w:r>
      <w:r>
        <w:rPr>
          <w:spacing w:val="-63"/>
        </w:rPr>
      </w:r>
      <w:r>
        <w:rPr/>
        <w:t>趋势日益明显。公司</w:t>
      </w:r>
      <w:r>
        <w:rPr>
          <w:rFonts w:ascii="Arial" w:hAnsi="Arial" w:cs="Arial" w:eastAsia="Arial" w:hint="default"/>
        </w:rPr>
        <w:t>2013</w:t>
      </w:r>
      <w:r>
        <w:rPr/>
        <w:t>年消费电子类开关电源的重点拓展领域：智能手机充电器、平板显示电源、电动工具充电器等。</w:t>
      </w:r>
    </w:p>
    <w:p>
      <w:pPr>
        <w:pStyle w:val="BodyText"/>
        <w:spacing w:line="302" w:lineRule="auto"/>
        <w:ind w:left="513" w:right="1121"/>
        <w:jc w:val="left"/>
      </w:pPr>
      <w:r>
        <w:rPr/>
        <w:t>（</w:t>
      </w:r>
      <w:r>
        <w:rPr>
          <w:rFonts w:ascii="Arial" w:hAnsi="Arial" w:cs="Arial" w:eastAsia="Arial" w:hint="default"/>
        </w:rPr>
        <w:t>2</w:t>
      </w:r>
      <w:r>
        <w:rPr/>
        <w:t>）、</w:t>
      </w:r>
      <w:r>
        <w:rPr>
          <w:rFonts w:ascii="Arial" w:hAnsi="Arial" w:cs="Arial" w:eastAsia="Arial" w:hint="default"/>
        </w:rPr>
        <w:t>LED</w:t>
      </w:r>
      <w:r>
        <w:rPr/>
        <w:t>驱动电源行业竞争格局和市场化程度 </w:t>
      </w:r>
      <w:r>
        <w:rPr>
          <w:spacing w:val="-2"/>
        </w:rPr>
        <w:t>在大功率</w:t>
      </w:r>
      <w:r>
        <w:rPr>
          <w:rFonts w:ascii="Arial" w:hAnsi="Arial" w:cs="Arial" w:eastAsia="Arial" w:hint="default"/>
          <w:spacing w:val="-2"/>
        </w:rPr>
        <w:t>LED</w:t>
      </w:r>
      <w:r>
        <w:rPr>
          <w:spacing w:val="-2"/>
        </w:rPr>
        <w:t>驱动电源领域，由于欧美日发达国家的重心主要放在</w:t>
      </w:r>
      <w:r>
        <w:rPr>
          <w:rFonts w:ascii="Arial" w:hAnsi="Arial" w:cs="Arial" w:eastAsia="Arial" w:hint="default"/>
          <w:spacing w:val="-2"/>
        </w:rPr>
        <w:t>LED</w:t>
      </w:r>
      <w:r>
        <w:rPr>
          <w:spacing w:val="-2"/>
        </w:rPr>
        <w:t>上游</w:t>
      </w:r>
      <w:r>
        <w:rPr>
          <w:rFonts w:ascii="Arial" w:hAnsi="Arial" w:cs="Arial" w:eastAsia="Arial" w:hint="default"/>
          <w:spacing w:val="-2"/>
        </w:rPr>
        <w:t>IC</w:t>
      </w:r>
      <w:r>
        <w:rPr>
          <w:spacing w:val="-2"/>
        </w:rPr>
        <w:t>芯片产业上，目前并无出现大型的大功率</w:t>
      </w:r>
    </w:p>
    <w:p>
      <w:pPr>
        <w:pStyle w:val="BodyText"/>
        <w:spacing w:line="302" w:lineRule="auto" w:before="11"/>
        <w:ind w:left="513" w:right="1121" w:hanging="361"/>
        <w:jc w:val="left"/>
      </w:pPr>
      <w:r>
        <w:rPr>
          <w:rFonts w:ascii="Arial" w:hAnsi="Arial" w:cs="Arial" w:eastAsia="Arial" w:hint="default"/>
        </w:rPr>
        <w:t>LED</w:t>
      </w:r>
      <w:r>
        <w:rPr/>
        <w:t>驱动电源企业。大功率</w:t>
      </w:r>
      <w:r>
        <w:rPr>
          <w:rFonts w:ascii="Arial" w:hAnsi="Arial" w:cs="Arial" w:eastAsia="Arial" w:hint="default"/>
        </w:rPr>
        <w:t>LED</w:t>
      </w:r>
      <w:r>
        <w:rPr/>
        <w:t>驱动电源的主要厂家集中在中国大陆及中国台湾地区。 </w:t>
      </w:r>
      <w:r>
        <w:rPr>
          <w:spacing w:val="-2"/>
        </w:rPr>
        <w:t>大功率</w:t>
      </w:r>
      <w:r>
        <w:rPr>
          <w:rFonts w:ascii="Arial" w:hAnsi="Arial" w:cs="Arial" w:eastAsia="Arial" w:hint="default"/>
          <w:spacing w:val="-2"/>
        </w:rPr>
        <w:t>LED</w:t>
      </w:r>
      <w:r>
        <w:rPr>
          <w:spacing w:val="-2"/>
        </w:rPr>
        <w:t>驱动电源主要应用于</w:t>
      </w:r>
      <w:r>
        <w:rPr>
          <w:rFonts w:ascii="Arial" w:hAnsi="Arial" w:cs="Arial" w:eastAsia="Arial" w:hint="default"/>
          <w:spacing w:val="-2"/>
        </w:rPr>
        <w:t>LED</w:t>
      </w:r>
      <w:r>
        <w:rPr>
          <w:spacing w:val="-2"/>
        </w:rPr>
        <w:t>路灯、隧道灯，对驱动电源的技术水平、可靠性要求很高，因此，进入该领域的技</w:t>
      </w:r>
    </w:p>
    <w:p>
      <w:pPr>
        <w:pStyle w:val="BodyText"/>
        <w:spacing w:line="302" w:lineRule="auto" w:before="11"/>
        <w:ind w:right="1132"/>
        <w:jc w:val="both"/>
      </w:pPr>
      <w:r>
        <w:rPr/>
        <w:t>术门槛较高。同时，由于大功率</w:t>
      </w:r>
      <w:r>
        <w:rPr>
          <w:rFonts w:ascii="Arial" w:hAnsi="Arial" w:cs="Arial" w:eastAsia="Arial" w:hint="default"/>
        </w:rPr>
        <w:t>LED</w:t>
      </w:r>
      <w:r>
        <w:rPr/>
        <w:t>照明行业属于近年来兴起的行业，发展的时间较短（市场在</w:t>
      </w:r>
      <w:r>
        <w:rPr>
          <w:rFonts w:ascii="Arial" w:hAnsi="Arial" w:cs="Arial" w:eastAsia="Arial" w:hint="default"/>
        </w:rPr>
        <w:t>2009</w:t>
      </w:r>
      <w:r>
        <w:rPr/>
        <w:t>年下半年才出现跨跃</w:t>
      </w:r>
      <w:r>
        <w:rPr>
          <w:spacing w:val="-30"/>
        </w:rPr>
        <w:t> </w:t>
      </w:r>
      <w:r>
        <w:rPr>
          <w:spacing w:val="-30"/>
        </w:rPr>
      </w:r>
      <w:r>
        <w:rPr>
          <w:spacing w:val="-2"/>
        </w:rPr>
        <w:t>式发展），因此，目前国内可提供高可靠大功率</w:t>
      </w:r>
      <w:r>
        <w:rPr>
          <w:rFonts w:ascii="Arial" w:hAnsi="Arial" w:cs="Arial" w:eastAsia="Arial" w:hint="default"/>
          <w:spacing w:val="-2"/>
        </w:rPr>
        <w:t>LED</w:t>
      </w:r>
      <w:r>
        <w:rPr>
          <w:spacing w:val="-2"/>
        </w:rPr>
        <w:t>驱动电源的企业数量较少，市场份额主要集中于少数企业，但随着市场</w:t>
      </w:r>
      <w:r>
        <w:rPr>
          <w:spacing w:val="-56"/>
        </w:rPr>
        <w:t> </w:t>
      </w:r>
      <w:r>
        <w:rPr>
          <w:spacing w:val="-56"/>
        </w:rPr>
      </w:r>
      <w:r>
        <w:rPr/>
        <w:t>容量不断扩大，以及新兴企业逐步进入，市场竞争将日趋激烈。</w:t>
      </w:r>
    </w:p>
    <w:p>
      <w:pPr>
        <w:pStyle w:val="BodyText"/>
        <w:spacing w:line="302" w:lineRule="auto" w:before="29"/>
        <w:ind w:right="1070" w:firstLine="360"/>
        <w:jc w:val="both"/>
      </w:pPr>
      <w:r>
        <w:rPr/>
        <w:t>目前</w:t>
      </w:r>
      <w:r>
        <w:rPr>
          <w:rFonts w:ascii="Arial" w:hAnsi="Arial" w:cs="Arial" w:eastAsia="Arial" w:hint="default"/>
        </w:rPr>
        <w:t>LED</w:t>
      </w:r>
      <w:r>
        <w:rPr/>
        <w:t>路灯是大功率</w:t>
      </w:r>
      <w:r>
        <w:rPr>
          <w:rFonts w:ascii="Arial" w:hAnsi="Arial" w:cs="Arial" w:eastAsia="Arial" w:hint="default"/>
        </w:rPr>
        <w:t>LED</w:t>
      </w:r>
      <w:r>
        <w:rPr/>
        <w:t>驱动电源最主要的应用领域，茂硕电源在该领域内的市场占有率名列前茅，领先优势明显。 </w:t>
      </w:r>
      <w:r>
        <w:rPr>
          <w:rFonts w:ascii="Arial" w:hAnsi="Arial" w:cs="Arial" w:eastAsia="Arial" w:hint="default"/>
        </w:rPr>
        <w:t>2013</w:t>
      </w:r>
      <w:r>
        <w:rPr/>
        <w:t>年，室内照明的</w:t>
      </w:r>
      <w:r>
        <w:rPr>
          <w:rFonts w:ascii="Arial" w:hAnsi="Arial" w:cs="Arial" w:eastAsia="Arial" w:hint="default"/>
        </w:rPr>
        <w:t>LED</w:t>
      </w:r>
      <w:r>
        <w:rPr/>
        <w:t>驱动电源将是公司重点拓展的领域之一，驱动电源是</w:t>
      </w:r>
      <w:r>
        <w:rPr>
          <w:rFonts w:ascii="Arial" w:hAnsi="Arial" w:cs="Arial" w:eastAsia="Arial" w:hint="default"/>
        </w:rPr>
        <w:t>LED</w:t>
      </w:r>
      <w:r>
        <w:rPr/>
        <w:t>产业链发展的重要环节，</w:t>
      </w:r>
      <w:r>
        <w:rPr>
          <w:rFonts w:ascii="Arial" w:hAnsi="Arial" w:cs="Arial" w:eastAsia="Arial" w:hint="default"/>
        </w:rPr>
        <w:t>LED</w:t>
      </w:r>
      <w:r>
        <w:rPr/>
        <w:t>驱动电源</w:t>
      </w:r>
      <w:r>
        <w:rPr>
          <w:spacing w:val="-13"/>
        </w:rPr>
        <w:t> </w:t>
      </w:r>
      <w:r>
        <w:rPr>
          <w:spacing w:val="-13"/>
        </w:rPr>
      </w:r>
      <w:r>
        <w:rPr/>
        <w:t>的品质直接制约了</w:t>
      </w:r>
      <w:r>
        <w:rPr>
          <w:rFonts w:ascii="Arial" w:hAnsi="Arial" w:cs="Arial" w:eastAsia="Arial" w:hint="default"/>
        </w:rPr>
        <w:t>LED</w:t>
      </w:r>
      <w:r>
        <w:rPr/>
        <w:t>照明产品的可靠性，因此，在</w:t>
      </w:r>
      <w:r>
        <w:rPr>
          <w:rFonts w:ascii="Arial" w:hAnsi="Arial" w:cs="Arial" w:eastAsia="Arial" w:hint="default"/>
        </w:rPr>
        <w:t>LED</w:t>
      </w:r>
      <w:r>
        <w:rPr/>
        <w:t>产业地位日趋凸显的今天，以茂硕电源为代表的</w:t>
      </w:r>
      <w:r>
        <w:rPr>
          <w:rFonts w:ascii="Arial" w:hAnsi="Arial" w:cs="Arial" w:eastAsia="Arial" w:hint="default"/>
        </w:rPr>
        <w:t>LED </w:t>
      </w:r>
      <w:r>
        <w:rPr/>
        <w:t>驱动电源供</w:t>
      </w:r>
      <w:r>
        <w:rPr>
          <w:spacing w:val="-69"/>
        </w:rPr>
        <w:t> </w:t>
      </w:r>
      <w:r>
        <w:rPr>
          <w:spacing w:val="-69"/>
        </w:rPr>
      </w:r>
      <w:r>
        <w:rPr/>
        <w:t>应商的发展壮大，将明显提升中国在全球</w:t>
      </w:r>
      <w:r>
        <w:rPr>
          <w:rFonts w:ascii="Arial" w:hAnsi="Arial" w:cs="Arial" w:eastAsia="Arial" w:hint="default"/>
        </w:rPr>
        <w:t>LED</w:t>
      </w:r>
      <w:r>
        <w:rPr/>
        <w:t>产业链上的地位。</w:t>
      </w:r>
    </w:p>
    <w:p>
      <w:pPr>
        <w:pStyle w:val="BodyText"/>
        <w:spacing w:line="240" w:lineRule="auto" w:before="11"/>
        <w:ind w:left="592" w:right="1121"/>
        <w:jc w:val="left"/>
      </w:pPr>
      <w:r>
        <w:rPr>
          <w:rFonts w:ascii="Arial" w:hAnsi="Arial" w:cs="Arial" w:eastAsia="Arial" w:hint="default"/>
        </w:rPr>
        <w:t>2</w:t>
      </w:r>
      <w:r>
        <w:rPr/>
        <w:t>、行业发展趋势</w:t>
      </w:r>
    </w:p>
    <w:p>
      <w:pPr>
        <w:pStyle w:val="BodyText"/>
        <w:spacing w:line="240" w:lineRule="auto" w:before="63"/>
        <w:ind w:left="513" w:right="1121"/>
        <w:jc w:val="left"/>
      </w:pPr>
      <w:r>
        <w:rPr/>
        <w:t>（</w:t>
      </w:r>
      <w:r>
        <w:rPr>
          <w:rFonts w:ascii="Arial" w:hAnsi="Arial" w:cs="Arial" w:eastAsia="Arial" w:hint="default"/>
        </w:rPr>
        <w:t>1</w:t>
      </w:r>
      <w:r>
        <w:rPr/>
        <w:t>）、消费电子类电源行业发展趋势</w:t>
      </w:r>
    </w:p>
    <w:p>
      <w:pPr>
        <w:pStyle w:val="BodyText"/>
        <w:spacing w:line="316" w:lineRule="auto" w:before="63"/>
        <w:ind w:left="513" w:right="1121"/>
        <w:jc w:val="left"/>
      </w:pPr>
      <w:r>
        <w:rPr/>
        <w:t>①客户集中化 </w:t>
      </w:r>
      <w:r>
        <w:rPr>
          <w:spacing w:val="-2"/>
        </w:rPr>
        <w:t>据美国消费电子协会介绍，全球消费电子行业已经进入相对稳定的成熟期，其特点在于盈利空间逐渐下降，而市场竞争</w:t>
      </w:r>
    </w:p>
    <w:p>
      <w:pPr>
        <w:pStyle w:val="BodyText"/>
        <w:spacing w:line="316" w:lineRule="auto" w:before="19"/>
        <w:ind w:right="1044"/>
        <w:jc w:val="both"/>
      </w:pPr>
      <w:r>
        <w:rPr>
          <w:spacing w:val="-4"/>
        </w:rPr>
        <w:t>日趋激烈。在这一背景下，主要的消费电子企业纷纷通过规模扩张来强化其竞争力。因此，品牌整合、收购和兼并司空见惯，</w:t>
      </w:r>
      <w:r>
        <w:rPr>
          <w:spacing w:val="-46"/>
        </w:rPr>
        <w:t> </w:t>
      </w:r>
      <w:r>
        <w:rPr>
          <w:spacing w:val="-46"/>
        </w:rPr>
      </w:r>
      <w:r>
        <w:rPr/>
        <w:t>并且成为大公司保持领先地位的重要手段。随着客户的整合，做强，消费电子类电源产品销售将逐步向大客户集中。</w:t>
      </w:r>
    </w:p>
    <w:p>
      <w:pPr>
        <w:pStyle w:val="BodyText"/>
        <w:spacing w:line="316" w:lineRule="auto" w:before="19"/>
        <w:ind w:left="513" w:right="1121"/>
        <w:jc w:val="left"/>
      </w:pPr>
      <w:r>
        <w:rPr/>
        <w:t>②产品品质、创新将更加重要 </w:t>
      </w:r>
      <w:r>
        <w:rPr>
          <w:spacing w:val="-2"/>
        </w:rPr>
        <w:t>随着竞争激烈，盈利空间下降，只有保持良好的品质，不断创新，能够为客户提优秀的电源解决方案，才能够保持盈利</w:t>
      </w:r>
    </w:p>
    <w:p>
      <w:pPr>
        <w:pStyle w:val="BodyText"/>
        <w:spacing w:line="240" w:lineRule="auto" w:before="19"/>
        <w:ind w:right="0"/>
        <w:jc w:val="both"/>
      </w:pPr>
      <w:r>
        <w:rPr/>
        <w:t>稳定，逐步增长。</w:t>
      </w:r>
    </w:p>
    <w:p>
      <w:pPr>
        <w:pStyle w:val="BodyText"/>
        <w:spacing w:line="319" w:lineRule="auto" w:before="76"/>
        <w:ind w:left="513" w:right="1121"/>
        <w:jc w:val="left"/>
      </w:pPr>
      <w:r>
        <w:rPr/>
        <w:t>③绿色、低碳成为主流 </w:t>
      </w:r>
      <w:r>
        <w:rPr>
          <w:spacing w:val="-2"/>
        </w:rPr>
        <w:t>近年来，绿色和低碳经济成为具有社会责任的消费电子企业的共识，绿色、低碳技术和产品为这些企业带来了新的增长</w:t>
      </w:r>
    </w:p>
    <w:p>
      <w:pPr>
        <w:pStyle w:val="BodyText"/>
        <w:spacing w:line="309" w:lineRule="auto" w:before="17"/>
        <w:ind w:right="1135"/>
        <w:jc w:val="both"/>
      </w:pPr>
      <w:r>
        <w:rPr/>
        <w:t>点。通用电气、惠普、松下、三星、苹果、</w:t>
      </w:r>
      <w:r>
        <w:rPr>
          <w:rFonts w:ascii="Arial" w:hAnsi="Arial" w:cs="Arial" w:eastAsia="Arial" w:hint="default"/>
        </w:rPr>
        <w:t>LG</w:t>
      </w:r>
      <w:r>
        <w:rPr/>
        <w:t>、索尼、海尔、</w:t>
      </w:r>
      <w:r>
        <w:rPr>
          <w:rFonts w:ascii="Arial" w:hAnsi="Arial" w:cs="Arial" w:eastAsia="Arial" w:hint="default"/>
        </w:rPr>
        <w:t>TCL</w:t>
      </w:r>
      <w:r>
        <w:rPr/>
        <w:t>等知名企业是推动绿色与低碳技术的典型。这些大公司</w:t>
      </w:r>
      <w:r>
        <w:rPr>
          <w:spacing w:val="-44"/>
        </w:rPr>
        <w:t> </w:t>
      </w:r>
      <w:r>
        <w:rPr>
          <w:spacing w:val="-44"/>
        </w:rPr>
      </w:r>
      <w:r>
        <w:rPr>
          <w:spacing w:val="-2"/>
        </w:rPr>
        <w:t>纷纷提早布局，培育市场，将技术创新与品牌建设融合，为可持续增长奠定基础。消费电子类电源作为配套产品，也必将向</w:t>
      </w:r>
      <w:r>
        <w:rPr>
          <w:spacing w:val="-67"/>
        </w:rPr>
        <w:t> </w:t>
      </w:r>
      <w:r>
        <w:rPr>
          <w:spacing w:val="-67"/>
        </w:rPr>
      </w:r>
      <w:r>
        <w:rPr/>
        <w:t>绿色、低碳方向发展。</w:t>
      </w:r>
    </w:p>
    <w:p>
      <w:pPr>
        <w:pStyle w:val="BodyText"/>
        <w:spacing w:line="240" w:lineRule="auto" w:before="24"/>
        <w:ind w:left="513" w:right="1121"/>
        <w:jc w:val="left"/>
      </w:pPr>
      <w:r>
        <w:rPr/>
        <w:t>（</w:t>
      </w:r>
      <w:r>
        <w:rPr>
          <w:rFonts w:ascii="Arial" w:hAnsi="Arial" w:cs="Arial" w:eastAsia="Arial" w:hint="default"/>
        </w:rPr>
        <w:t>2</w:t>
      </w:r>
      <w:r>
        <w:rPr/>
        <w:t>）、</w:t>
      </w:r>
      <w:r>
        <w:rPr>
          <w:rFonts w:ascii="Arial" w:hAnsi="Arial" w:cs="Arial" w:eastAsia="Arial" w:hint="default"/>
        </w:rPr>
        <w:t>LED</w:t>
      </w:r>
      <w:r>
        <w:rPr/>
        <w:t>驱动电源行业发展趋势</w:t>
      </w:r>
    </w:p>
    <w:p>
      <w:pPr>
        <w:pStyle w:val="BodyText"/>
        <w:spacing w:line="240" w:lineRule="auto" w:before="63"/>
        <w:ind w:left="513" w:right="1121"/>
        <w:jc w:val="left"/>
      </w:pPr>
      <w:r>
        <w:rPr/>
        <w:t>①</w:t>
      </w:r>
      <w:r>
        <w:rPr>
          <w:rFonts w:ascii="Arial" w:hAnsi="Arial" w:cs="Arial" w:eastAsia="Arial" w:hint="default"/>
        </w:rPr>
        <w:t>LED</w:t>
      </w:r>
      <w:r>
        <w:rPr/>
        <w:t>下游产品将由大功率路灯开始逐步向室内照明发展，行业将逐渐细分。</w:t>
      </w:r>
    </w:p>
    <w:p>
      <w:pPr>
        <w:pStyle w:val="BodyText"/>
        <w:spacing w:line="302" w:lineRule="auto" w:before="63"/>
        <w:ind w:right="1132" w:firstLine="360"/>
        <w:jc w:val="both"/>
      </w:pPr>
      <w:r>
        <w:rPr>
          <w:rFonts w:ascii="Arial" w:hAnsi="Arial" w:cs="Arial" w:eastAsia="Arial" w:hint="default"/>
          <w:spacing w:val="-2"/>
        </w:rPr>
        <w:t>LED</w:t>
      </w:r>
      <w:r>
        <w:rPr>
          <w:spacing w:val="-2"/>
        </w:rPr>
        <w:t>产品能够在很大程度上降低能源消耗，非常符合现阶段国家节能减排的发展方向，因此，在国家相关政策的支持下</w:t>
      </w:r>
      <w:r>
        <w:rPr/>
        <w:t> 大功率</w:t>
      </w:r>
      <w:r>
        <w:rPr>
          <w:rFonts w:ascii="Arial" w:hAnsi="Arial" w:cs="Arial" w:eastAsia="Arial" w:hint="default"/>
        </w:rPr>
        <w:t>LED </w:t>
      </w:r>
      <w:r>
        <w:rPr/>
        <w:t>路灯已成为各地政府基础建设投资中的重点。但随着节能减排理念的不断深入，</w:t>
      </w:r>
      <w:r>
        <w:rPr>
          <w:rFonts w:ascii="Arial" w:hAnsi="Arial" w:cs="Arial" w:eastAsia="Arial" w:hint="default"/>
        </w:rPr>
        <w:t>LED</w:t>
      </w:r>
      <w:r>
        <w:rPr/>
        <w:t>产品的应用将逐步从政府</w:t>
      </w:r>
      <w:r>
        <w:rPr>
          <w:spacing w:val="-78"/>
        </w:rPr>
        <w:t> </w:t>
      </w:r>
      <w:r>
        <w:rPr>
          <w:spacing w:val="-78"/>
        </w:rPr>
      </w:r>
      <w:r>
        <w:rPr/>
        <w:t>工程主导转变为民用照明主导，而随着</w:t>
      </w:r>
      <w:r>
        <w:rPr>
          <w:rFonts w:ascii="Arial" w:hAnsi="Arial" w:cs="Arial" w:eastAsia="Arial" w:hint="default"/>
        </w:rPr>
        <w:t>LED</w:t>
      </w:r>
      <w:r>
        <w:rPr/>
        <w:t>产业的不断发展，行业将逐步细分。</w:t>
      </w:r>
    </w:p>
    <w:p>
      <w:pPr>
        <w:spacing w:after="0" w:line="302" w:lineRule="auto"/>
        <w:jc w:val="both"/>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02" w:lineRule="auto" w:before="44"/>
        <w:ind w:left="513" w:right="1121"/>
        <w:jc w:val="left"/>
      </w:pPr>
      <w:r>
        <w:rPr/>
        <w:t>②</w:t>
      </w:r>
      <w:r>
        <w:rPr>
          <w:rFonts w:ascii="Arial" w:hAnsi="Arial" w:cs="Arial" w:eastAsia="Arial" w:hint="default"/>
        </w:rPr>
        <w:t>LED</w:t>
      </w:r>
      <w:r>
        <w:rPr/>
        <w:t>照明芯片流明度技术的提高，对产品功率要求降低。 </w:t>
      </w:r>
      <w:r>
        <w:rPr>
          <w:spacing w:val="-2"/>
        </w:rPr>
        <w:t>随着</w:t>
      </w:r>
      <w:r>
        <w:rPr>
          <w:rFonts w:ascii="Arial" w:hAnsi="Arial" w:cs="Arial" w:eastAsia="Arial" w:hint="default"/>
          <w:spacing w:val="-2"/>
        </w:rPr>
        <w:t>LED</w:t>
      </w:r>
      <w:r>
        <w:rPr>
          <w:spacing w:val="-2"/>
        </w:rPr>
        <w:t>照明产品流明度的提升（流明是光通量单位，每瓦流明值越高，产品越亮），相同照明效果产品功率将逐步降</w:t>
      </w:r>
    </w:p>
    <w:p>
      <w:pPr>
        <w:pStyle w:val="BodyText"/>
        <w:spacing w:line="240" w:lineRule="auto" w:before="11"/>
        <w:ind w:right="1121"/>
        <w:jc w:val="left"/>
      </w:pPr>
      <w:r>
        <w:rPr/>
        <w:t>低。</w:t>
      </w:r>
    </w:p>
    <w:p>
      <w:pPr>
        <w:pStyle w:val="BodyText"/>
        <w:spacing w:line="302" w:lineRule="auto" w:before="76"/>
        <w:ind w:left="513" w:right="1121"/>
        <w:jc w:val="left"/>
      </w:pPr>
      <w:r>
        <w:rPr/>
        <w:t>③</w:t>
      </w:r>
      <w:r>
        <w:rPr>
          <w:rFonts w:ascii="Arial" w:hAnsi="Arial" w:cs="Arial" w:eastAsia="Arial" w:hint="default"/>
        </w:rPr>
        <w:t>LED</w:t>
      </w:r>
      <w:r>
        <w:rPr/>
        <w:t>驱动电源产品逐步向模块化、智能化方面发展。 </w:t>
      </w:r>
      <w:r>
        <w:rPr>
          <w:spacing w:val="-2"/>
        </w:rPr>
        <w:t>目前，部分大功率</w:t>
      </w:r>
      <w:r>
        <w:rPr>
          <w:rFonts w:ascii="Arial" w:hAnsi="Arial" w:cs="Arial" w:eastAsia="Arial" w:hint="default"/>
          <w:spacing w:val="-2"/>
        </w:rPr>
        <w:t>LED</w:t>
      </w:r>
      <w:r>
        <w:rPr>
          <w:spacing w:val="-2"/>
        </w:rPr>
        <w:t>驱动电源产品尚处于恒压源配备恒流模块使用阶段，随着客户对产品性能、外观等方面要求的提</w:t>
      </w:r>
    </w:p>
    <w:p>
      <w:pPr>
        <w:pStyle w:val="BodyText"/>
        <w:spacing w:line="240" w:lineRule="auto" w:before="11"/>
        <w:ind w:right="1121"/>
        <w:jc w:val="left"/>
      </w:pPr>
      <w:r>
        <w:rPr/>
        <w:t>高，配备恒流模块的恒压源产品将逐步被恒压恒流一体化的模块化产品所取代，产品也将逐步增加智能控制功效。</w:t>
      </w:r>
    </w:p>
    <w:p>
      <w:pPr>
        <w:pStyle w:val="BodyText"/>
        <w:spacing w:line="316" w:lineRule="auto" w:before="76"/>
        <w:ind w:left="513" w:right="1121"/>
        <w:jc w:val="left"/>
      </w:pPr>
      <w:r>
        <w:rPr/>
        <w:t>④市场从目前以国内为主，逐步转变为以国际为主。 由于大功率</w:t>
      </w:r>
      <w:r>
        <w:rPr>
          <w:rFonts w:ascii="Arial" w:hAnsi="Arial" w:cs="Arial" w:eastAsia="Arial" w:hint="default"/>
        </w:rPr>
        <w:t>LED</w:t>
      </w:r>
      <w:r>
        <w:rPr/>
        <w:t>电源主要用于路灯、景观等公共照明领域，</w:t>
      </w:r>
      <w:r>
        <w:rPr>
          <w:rFonts w:ascii="Arial" w:hAnsi="Arial" w:cs="Arial" w:eastAsia="Arial" w:hint="default"/>
        </w:rPr>
        <w:t>2008</w:t>
      </w:r>
      <w:r>
        <w:rPr/>
        <w:t>年以来受国际金融危机及欧美债务危机的影响，国外</w:t>
      </w:r>
    </w:p>
    <w:p>
      <w:pPr>
        <w:pStyle w:val="BodyText"/>
        <w:spacing w:line="302" w:lineRule="auto"/>
        <w:ind w:right="1121"/>
        <w:jc w:val="left"/>
      </w:pPr>
      <w:r>
        <w:rPr>
          <w:spacing w:val="-2"/>
        </w:rPr>
        <w:t>在大功率</w:t>
      </w:r>
      <w:r>
        <w:rPr>
          <w:rFonts w:ascii="Arial" w:hAnsi="Arial" w:cs="Arial" w:eastAsia="Arial" w:hint="default"/>
          <w:spacing w:val="-2"/>
        </w:rPr>
        <w:t>LED</w:t>
      </w:r>
      <w:r>
        <w:rPr>
          <w:spacing w:val="-2"/>
        </w:rPr>
        <w:t>照明领域的投资和增长较为有限，产品销售以国内市场为主，但随着各国对白炽灯的禁用及</w:t>
      </w:r>
      <w:r>
        <w:rPr>
          <w:rFonts w:ascii="Arial" w:hAnsi="Arial" w:cs="Arial" w:eastAsia="Arial" w:hint="default"/>
          <w:spacing w:val="-2"/>
        </w:rPr>
        <w:t>LED</w:t>
      </w:r>
      <w:r>
        <w:rPr>
          <w:spacing w:val="-2"/>
        </w:rPr>
        <w:t>照明产品的推</w:t>
      </w:r>
      <w:r>
        <w:rPr>
          <w:spacing w:val="-44"/>
        </w:rPr>
        <w:t> </w:t>
      </w:r>
      <w:r>
        <w:rPr/>
        <w:t>广，国际市场将逐步扩大。近年国内</w:t>
      </w:r>
      <w:r>
        <w:rPr>
          <w:rFonts w:ascii="Arial" w:hAnsi="Arial" w:cs="Arial" w:eastAsia="Arial" w:hint="default"/>
        </w:rPr>
        <w:t>LED</w:t>
      </w:r>
      <w:r>
        <w:rPr/>
        <w:t>照明企业快速发展，将有益于我国迅速进入国际市场。</w:t>
      </w:r>
    </w:p>
    <w:p>
      <w:pPr>
        <w:pStyle w:val="BodyText"/>
        <w:spacing w:line="240" w:lineRule="auto" w:before="11"/>
        <w:ind w:left="513" w:right="1121"/>
        <w:jc w:val="left"/>
      </w:pPr>
      <w:r>
        <w:rPr/>
        <w:t>（二）未来发展战略</w:t>
      </w:r>
    </w:p>
    <w:p>
      <w:pPr>
        <w:pStyle w:val="BodyText"/>
        <w:spacing w:line="302" w:lineRule="auto" w:before="76"/>
        <w:ind w:left="513" w:right="1121"/>
        <w:jc w:val="left"/>
      </w:pPr>
      <w:r>
        <w:rPr>
          <w:rFonts w:ascii="Arial" w:hAnsi="Arial" w:cs="Arial" w:eastAsia="Arial" w:hint="default"/>
        </w:rPr>
        <w:t>1</w:t>
      </w:r>
      <w:r>
        <w:rPr/>
        <w:t>、国际化战略 </w:t>
      </w:r>
      <w:r>
        <w:rPr>
          <w:spacing w:val="-2"/>
        </w:rPr>
        <w:t>公司将在现有销售服务网络的基础上完善并扩大经营业务全球化布局，致力于为全球更多客户提供优质、可靠的产品和</w:t>
      </w:r>
    </w:p>
    <w:p>
      <w:pPr>
        <w:pStyle w:val="BodyText"/>
        <w:spacing w:line="316" w:lineRule="auto" w:before="29"/>
        <w:ind w:right="1121"/>
        <w:jc w:val="left"/>
      </w:pPr>
      <w:r>
        <w:rPr>
          <w:spacing w:val="-2"/>
        </w:rPr>
        <w:t>服务。公司将凭借强大的研发设计能力、完善的生产配套设施及快速响应市场需求的能力跻身于世界新能源产业领先厂商之</w:t>
      </w:r>
      <w:r>
        <w:rPr>
          <w:spacing w:val="-64"/>
        </w:rPr>
        <w:t> </w:t>
      </w:r>
      <w:r>
        <w:rPr>
          <w:spacing w:val="-64"/>
        </w:rPr>
      </w:r>
      <w:r>
        <w:rPr/>
        <w:t>列。</w:t>
      </w:r>
    </w:p>
    <w:p>
      <w:pPr>
        <w:pStyle w:val="BodyText"/>
        <w:spacing w:line="309" w:lineRule="auto" w:before="19"/>
        <w:ind w:right="1044" w:firstLine="360"/>
        <w:jc w:val="left"/>
      </w:pPr>
      <w:r>
        <w:rPr>
          <w:spacing w:val="-2"/>
        </w:rPr>
        <w:t>公司将在消费类电子和</w:t>
      </w:r>
      <w:r>
        <w:rPr>
          <w:rFonts w:ascii="Arial" w:hAnsi="Arial" w:cs="Arial" w:eastAsia="Arial" w:hint="default"/>
          <w:spacing w:val="-2"/>
        </w:rPr>
        <w:t>LED</w:t>
      </w:r>
      <w:r>
        <w:rPr>
          <w:spacing w:val="-2"/>
        </w:rPr>
        <w:t>照明驱动电源领域，进一步发展和深化国际知名企业的战略合作关系。目前已与公司建立联</w:t>
      </w:r>
      <w:r>
        <w:rPr/>
        <w:t> </w:t>
      </w:r>
      <w:r>
        <w:rPr>
          <w:spacing w:val="-4"/>
        </w:rPr>
        <w:t>盟伙伴关系的企业有：勤上光电、富士康、比亚迪、真明丽集团、德豪润达、国星光电、山东中微、北京朗波尔、西安立明、</w:t>
      </w:r>
      <w:r>
        <w:rPr>
          <w:spacing w:val="-50"/>
        </w:rPr>
        <w:t> </w:t>
      </w:r>
      <w:r>
        <w:rPr>
          <w:spacing w:val="-50"/>
        </w:rPr>
      </w:r>
      <w:r>
        <w:rPr/>
        <w:t>万润科技、洲明科技、华为、创维、卓翼科技、</w:t>
      </w:r>
      <w:r>
        <w:rPr>
          <w:rFonts w:ascii="Arial" w:hAnsi="Arial" w:cs="Arial" w:eastAsia="Arial" w:hint="default"/>
        </w:rPr>
        <w:t>SAGEM</w:t>
      </w:r>
      <w:r>
        <w:rPr/>
        <w:t>、</w:t>
      </w:r>
      <w:r>
        <w:rPr>
          <w:rFonts w:ascii="Arial" w:hAnsi="Arial" w:cs="Arial" w:eastAsia="Arial" w:hint="default"/>
        </w:rPr>
        <w:t>SEB</w:t>
      </w:r>
      <w:r>
        <w:rPr/>
        <w:t>、</w:t>
      </w:r>
      <w:r>
        <w:rPr>
          <w:rFonts w:ascii="Arial" w:hAnsi="Arial" w:cs="Arial" w:eastAsia="Arial" w:hint="default"/>
        </w:rPr>
        <w:t>SHARP</w:t>
      </w:r>
      <w:r>
        <w:rPr/>
        <w:t>、</w:t>
      </w:r>
      <w:r>
        <w:rPr>
          <w:rFonts w:ascii="Arial" w:hAnsi="Arial" w:cs="Arial" w:eastAsia="Arial" w:hint="default"/>
        </w:rPr>
        <w:t>D-LINK</w:t>
      </w:r>
      <w:r>
        <w:rPr/>
        <w:t>等。为适应客户市场的全球化运作，公</w:t>
      </w:r>
      <w:r>
        <w:rPr>
          <w:spacing w:val="-56"/>
        </w:rPr>
        <w:t> </w:t>
      </w:r>
      <w:r>
        <w:rPr>
          <w:spacing w:val="-56"/>
        </w:rPr>
      </w:r>
      <w:r>
        <w:rPr>
          <w:spacing w:val="-2"/>
        </w:rPr>
        <w:t>司计划未来在部分客户工厂处设立配套电源生产基地，以完全支撑客户核心部件的运作需要，从而保障双方在知识和技术方</w:t>
      </w:r>
      <w:r>
        <w:rPr>
          <w:spacing w:val="-65"/>
        </w:rPr>
        <w:t> </w:t>
      </w:r>
      <w:r>
        <w:rPr>
          <w:spacing w:val="-65"/>
        </w:rPr>
      </w:r>
      <w:r>
        <w:rPr/>
        <w:t>面的密切配合。</w:t>
      </w:r>
    </w:p>
    <w:p>
      <w:pPr>
        <w:pStyle w:val="BodyText"/>
        <w:spacing w:line="302" w:lineRule="auto" w:before="24"/>
        <w:ind w:left="513" w:right="1121"/>
        <w:jc w:val="left"/>
      </w:pPr>
      <w:r>
        <w:rPr>
          <w:rFonts w:ascii="Arial" w:hAnsi="Arial" w:cs="Arial" w:eastAsia="Arial" w:hint="default"/>
        </w:rPr>
        <w:t>2</w:t>
      </w:r>
      <w:r>
        <w:rPr/>
        <w:t>、信息化管理战略 </w:t>
      </w:r>
      <w:r>
        <w:rPr>
          <w:spacing w:val="-2"/>
        </w:rPr>
        <w:t>企业的竞争优势除了需具备国际的科学管理思路及方法，更要有足以支撑企业高速发展的信息化管理系统。公司现阶段</w:t>
      </w:r>
    </w:p>
    <w:p>
      <w:pPr>
        <w:pStyle w:val="BodyText"/>
        <w:spacing w:line="302" w:lineRule="auto" w:before="29"/>
        <w:ind w:right="1131"/>
        <w:jc w:val="both"/>
      </w:pPr>
      <w:r>
        <w:rPr/>
        <w:t>已导入了</w:t>
      </w:r>
      <w:r>
        <w:rPr>
          <w:rFonts w:ascii="Arial" w:hAnsi="Arial" w:cs="Arial" w:eastAsia="Arial" w:hint="default"/>
        </w:rPr>
        <w:t>OA</w:t>
      </w:r>
      <w:r>
        <w:rPr/>
        <w:t>、</w:t>
      </w:r>
      <w:r>
        <w:rPr>
          <w:rFonts w:ascii="Arial" w:hAnsi="Arial" w:cs="Arial" w:eastAsia="Arial" w:hint="default"/>
        </w:rPr>
        <w:t>MES</w:t>
      </w:r>
      <w:r>
        <w:rPr/>
        <w:t>、</w:t>
      </w:r>
      <w:r>
        <w:rPr>
          <w:rFonts w:ascii="Arial" w:hAnsi="Arial" w:cs="Arial" w:eastAsia="Arial" w:hint="default"/>
        </w:rPr>
        <w:t>SAP</w:t>
      </w:r>
      <w:r>
        <w:rPr/>
        <w:t>、</w:t>
      </w:r>
      <w:r>
        <w:rPr>
          <w:rFonts w:ascii="Arial" w:hAnsi="Arial" w:cs="Arial" w:eastAsia="Arial" w:hint="default"/>
        </w:rPr>
        <w:t>CRM</w:t>
      </w:r>
      <w:r>
        <w:rPr/>
        <w:t>、</w:t>
      </w:r>
      <w:r>
        <w:rPr>
          <w:rFonts w:ascii="Arial" w:hAnsi="Arial" w:cs="Arial" w:eastAsia="Arial" w:hint="default"/>
        </w:rPr>
        <w:t>PDM</w:t>
      </w:r>
      <w:r>
        <w:rPr/>
        <w:t>等系统，按照公司的管理平台实施对公司信息化管理平台的建设，提升公司整体</w:t>
      </w:r>
      <w:r>
        <w:rPr>
          <w:spacing w:val="-30"/>
        </w:rPr>
        <w:t> </w:t>
      </w:r>
      <w:r>
        <w:rPr>
          <w:spacing w:val="-30"/>
        </w:rPr>
      </w:r>
      <w:r>
        <w:rPr/>
        <w:t>工作效率，使公司逐渐成为正规化、国际化的行业领军人。</w:t>
      </w:r>
    </w:p>
    <w:p>
      <w:pPr>
        <w:pStyle w:val="BodyText"/>
        <w:spacing w:line="302" w:lineRule="auto" w:before="30"/>
        <w:ind w:left="513" w:right="1121" w:firstLine="79"/>
        <w:jc w:val="left"/>
      </w:pPr>
      <w:r>
        <w:rPr>
          <w:rFonts w:ascii="Arial" w:hAnsi="Arial" w:cs="Arial" w:eastAsia="Arial" w:hint="default"/>
        </w:rPr>
        <w:t>3</w:t>
      </w:r>
      <w:r>
        <w:rPr/>
        <w:t>、品牌战略 </w:t>
      </w:r>
      <w:r>
        <w:rPr>
          <w:spacing w:val="-2"/>
        </w:rPr>
        <w:t>公司注重品牌效应，其对市场竞争力的影响不可小视。为此公司专门成立品牌管理中心，并聘请专业品牌及营销策划专</w:t>
      </w:r>
    </w:p>
    <w:p>
      <w:pPr>
        <w:pStyle w:val="BodyText"/>
        <w:spacing w:line="309" w:lineRule="auto" w:before="29"/>
        <w:ind w:right="1132"/>
        <w:jc w:val="both"/>
      </w:pPr>
      <w:r>
        <w:rPr>
          <w:spacing w:val="-2"/>
        </w:rPr>
        <w:t>家为公司进行品牌设计，以此强化公司在</w:t>
      </w:r>
      <w:r>
        <w:rPr>
          <w:rFonts w:ascii="Arial" w:hAnsi="Arial" w:cs="Arial" w:eastAsia="Arial" w:hint="default"/>
          <w:spacing w:val="-2"/>
        </w:rPr>
        <w:t>LED</w:t>
      </w:r>
      <w:r>
        <w:rPr>
          <w:spacing w:val="-2"/>
        </w:rPr>
        <w:t>驱动电源行业的品牌个性。经过全方位的品牌推广，并定期参与国内外有影响</w:t>
      </w:r>
      <w:r>
        <w:rPr>
          <w:spacing w:val="-53"/>
        </w:rPr>
        <w:t> </w:t>
      </w:r>
      <w:r>
        <w:rPr>
          <w:spacing w:val="-53"/>
        </w:rPr>
      </w:r>
      <w:r>
        <w:rPr>
          <w:spacing w:val="-2"/>
        </w:rPr>
        <w:t>力的展会，公司已在国际、国内市场上树立了良好的品牌形象。公司将在未来继续加大广告等宣传投入和品牌营销力度，进</w:t>
      </w:r>
      <w:r>
        <w:rPr>
          <w:spacing w:val="-66"/>
        </w:rPr>
        <w:t> </w:t>
      </w:r>
      <w:r>
        <w:rPr>
          <w:spacing w:val="-66"/>
        </w:rPr>
      </w:r>
      <w:r>
        <w:rPr/>
        <w:t>而提升公司形象和产品影响力。</w:t>
      </w:r>
    </w:p>
    <w:p>
      <w:pPr>
        <w:pStyle w:val="BodyText"/>
        <w:spacing w:line="240" w:lineRule="auto" w:before="24"/>
        <w:ind w:left="513" w:right="1121"/>
        <w:jc w:val="left"/>
      </w:pPr>
      <w:r>
        <w:rPr>
          <w:rFonts w:ascii="Arial" w:hAnsi="Arial" w:cs="Arial" w:eastAsia="Arial" w:hint="default"/>
        </w:rPr>
        <w:t>4</w:t>
      </w:r>
      <w:r>
        <w:rPr/>
        <w:t>、市场开发及营销网络建设计划</w:t>
      </w:r>
    </w:p>
    <w:p>
      <w:pPr>
        <w:pStyle w:val="BodyText"/>
        <w:spacing w:line="316" w:lineRule="auto" w:before="63"/>
        <w:ind w:left="513" w:right="1121"/>
        <w:jc w:val="left"/>
      </w:pPr>
      <w:r>
        <w:rPr/>
        <w:t>①建立国际化销售和服务组织。 </w:t>
      </w:r>
      <w:r>
        <w:rPr>
          <w:spacing w:val="-2"/>
        </w:rPr>
        <w:t>目前，公司已在亚太地区建立了完善的销售渠道，为更快地开拓亚太市场提供了基础保障。公司在大功率</w:t>
      </w:r>
      <w:r>
        <w:rPr>
          <w:rFonts w:ascii="Arial" w:hAnsi="Arial" w:cs="Arial" w:eastAsia="Arial" w:hint="default"/>
          <w:spacing w:val="-2"/>
        </w:rPr>
        <w:t>LED</w:t>
      </w:r>
      <w:r>
        <w:rPr>
          <w:spacing w:val="-2"/>
        </w:rPr>
        <w:t>驱动电源</w:t>
      </w:r>
    </w:p>
    <w:p>
      <w:pPr>
        <w:pStyle w:val="BodyText"/>
        <w:spacing w:line="302" w:lineRule="auto"/>
        <w:ind w:right="1130"/>
        <w:jc w:val="both"/>
      </w:pPr>
      <w:r>
        <w:rPr>
          <w:spacing w:val="-2"/>
        </w:rPr>
        <w:t>市场已占有极高的市场份额，为了更大程度地角逐全球</w:t>
      </w:r>
      <w:r>
        <w:rPr>
          <w:rFonts w:ascii="Arial" w:hAnsi="Arial" w:cs="Arial" w:eastAsia="Arial" w:hint="default"/>
          <w:spacing w:val="-2"/>
        </w:rPr>
        <w:t>LED</w:t>
      </w:r>
      <w:r>
        <w:rPr>
          <w:spacing w:val="-2"/>
        </w:rPr>
        <w:t>照明驱动电源市场，公司已在美国、欧洲设立销售公司，全面拓</w:t>
      </w:r>
      <w:r>
        <w:rPr>
          <w:spacing w:val="-55"/>
        </w:rPr>
        <w:t> </w:t>
      </w:r>
      <w:r>
        <w:rPr>
          <w:spacing w:val="-55"/>
        </w:rPr>
      </w:r>
      <w:r>
        <w:rPr/>
        <w:t>展全球</w:t>
      </w:r>
      <w:r>
        <w:rPr>
          <w:rFonts w:ascii="Arial" w:hAnsi="Arial" w:cs="Arial" w:eastAsia="Arial" w:hint="default"/>
        </w:rPr>
        <w:t>LED</w:t>
      </w:r>
      <w:r>
        <w:rPr/>
        <w:t>照明驱动电源市场。</w:t>
      </w:r>
    </w:p>
    <w:p>
      <w:pPr>
        <w:pStyle w:val="BodyText"/>
        <w:spacing w:line="240" w:lineRule="auto" w:before="11"/>
        <w:ind w:left="513" w:right="0"/>
        <w:jc w:val="left"/>
      </w:pPr>
      <w:r>
        <w:rPr/>
        <w:t>除此之外</w:t>
      </w:r>
      <w:r>
        <w:rPr>
          <w:spacing w:val="-87"/>
        </w:rPr>
        <w:t>，</w:t>
      </w:r>
      <w:r>
        <w:rPr/>
        <w:t>公司还将建立面向客户照明工程的服务中心</w:t>
      </w:r>
      <w:r>
        <w:rPr>
          <w:spacing w:val="-87"/>
        </w:rPr>
        <w:t>，</w:t>
      </w:r>
      <w:r>
        <w:rPr/>
        <w:t>服务中心的服务人员将为客户工程提供全面的技术支持与服务。</w:t>
      </w:r>
    </w:p>
    <w:p>
      <w:pPr>
        <w:pStyle w:val="BodyText"/>
        <w:spacing w:line="316" w:lineRule="auto" w:before="77"/>
        <w:ind w:left="513" w:right="1121"/>
        <w:jc w:val="left"/>
      </w:pPr>
      <w:r>
        <w:rPr/>
        <w:t>②进一步加大国际化采购和销售。 </w:t>
      </w:r>
      <w:r>
        <w:rPr>
          <w:spacing w:val="-2"/>
        </w:rPr>
        <w:t>为了保证</w:t>
      </w:r>
      <w:r>
        <w:rPr>
          <w:rFonts w:ascii="Arial" w:hAnsi="Arial" w:cs="Arial" w:eastAsia="Arial" w:hint="default"/>
          <w:spacing w:val="-2"/>
        </w:rPr>
        <w:t>LED</w:t>
      </w:r>
      <w:r>
        <w:rPr>
          <w:spacing w:val="-2"/>
        </w:rPr>
        <w:t>驱动电源的高可靠和长寿命，公司产品的主要原材料电子元器件大部分采用国外高科技公司的先进技术和</w:t>
      </w:r>
    </w:p>
    <w:p>
      <w:pPr>
        <w:pStyle w:val="BodyText"/>
        <w:spacing w:line="302" w:lineRule="auto"/>
        <w:ind w:right="1070"/>
        <w:jc w:val="both"/>
      </w:pPr>
      <w:r>
        <w:rPr/>
        <w:t>产品。</w:t>
      </w:r>
      <w:r>
        <w:rPr>
          <w:rFonts w:ascii="Arial" w:hAnsi="Arial" w:cs="Arial" w:eastAsia="Arial" w:hint="default"/>
        </w:rPr>
        <w:t>2009</w:t>
      </w:r>
      <w:r>
        <w:rPr/>
        <w:t>年</w:t>
      </w:r>
      <w:r>
        <w:rPr>
          <w:rFonts w:ascii="Arial" w:hAnsi="Arial" w:cs="Arial" w:eastAsia="Arial" w:hint="default"/>
        </w:rPr>
        <w:t>5</w:t>
      </w:r>
      <w:r>
        <w:rPr/>
        <w:t>月</w:t>
      </w:r>
      <w:r>
        <w:rPr>
          <w:rFonts w:ascii="Arial" w:hAnsi="Arial" w:cs="Arial" w:eastAsia="Arial" w:hint="default"/>
        </w:rPr>
        <w:t>26</w:t>
      </w:r>
      <w:r>
        <w:rPr/>
        <w:t>日香港茂硕设立后，公司通过香港茂硕采购电子元器件，逐步构建完善的国际化采购渠道和采购组织。 这样一方面采购原材料的可靠性有了保障，另一方面汇兑损益风险也得到了有效的控制。</w:t>
      </w:r>
    </w:p>
    <w:p>
      <w:pPr>
        <w:pStyle w:val="BodyText"/>
        <w:spacing w:line="302" w:lineRule="auto" w:before="29"/>
        <w:ind w:left="513" w:right="6263"/>
        <w:jc w:val="left"/>
      </w:pPr>
      <w:r>
        <w:rPr>
          <w:rFonts w:ascii="Arial" w:hAnsi="Arial" w:cs="Arial" w:eastAsia="Arial" w:hint="default"/>
        </w:rPr>
        <w:t>5</w:t>
      </w:r>
      <w:r>
        <w:rPr/>
        <w:t>、技术开发战略 本公司以消费类开关电源和</w:t>
      </w:r>
      <w:r>
        <w:rPr>
          <w:rFonts w:ascii="Arial" w:hAnsi="Arial" w:cs="Arial" w:eastAsia="Arial" w:hint="default"/>
        </w:rPr>
        <w:t>LED</w:t>
      </w:r>
      <w:r>
        <w:rPr/>
        <w:t>驱动电源行业为主：</w:t>
      </w:r>
    </w:p>
    <w:p>
      <w:pPr>
        <w:pStyle w:val="BodyText"/>
        <w:spacing w:line="316" w:lineRule="auto" w:before="11"/>
        <w:ind w:right="1121" w:firstLine="360"/>
        <w:jc w:val="left"/>
      </w:pPr>
      <w:r>
        <w:rPr>
          <w:spacing w:val="-2"/>
        </w:rPr>
        <w:t>①公司与电子科技大学已建立新能源技术联合实验室，并通过投资高端仪器设备和高可靠品质验证技术来提升产品的品</w:t>
      </w:r>
      <w:r>
        <w:rPr/>
        <w:t> 质可靠性。</w:t>
      </w:r>
    </w:p>
    <w:p>
      <w:pPr>
        <w:pStyle w:val="BodyText"/>
        <w:spacing w:line="240" w:lineRule="auto" w:before="18"/>
        <w:ind w:left="513" w:right="0"/>
        <w:jc w:val="left"/>
      </w:pPr>
      <w:r>
        <w:rPr/>
        <w:t>②引进高层次专业人才，不断开发具有市场潜力的新产品、新技术、新工艺、新方案，通过茂硕电源这个平台将技术转</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化为产品推向市场。</w:t>
      </w:r>
    </w:p>
    <w:p>
      <w:pPr>
        <w:pStyle w:val="BodyText"/>
        <w:spacing w:line="240" w:lineRule="auto" w:before="77"/>
        <w:ind w:left="513" w:right="1121"/>
        <w:jc w:val="left"/>
      </w:pPr>
      <w:r>
        <w:rPr/>
        <w:t>③聘请国内顶尖研发管理咨询公司，帮助公司导入研发</w:t>
      </w:r>
      <w:r>
        <w:rPr>
          <w:rFonts w:ascii="Arial" w:hAnsi="Arial" w:cs="Arial" w:eastAsia="Arial" w:hint="default"/>
        </w:rPr>
        <w:t>PDM</w:t>
      </w:r>
      <w:r>
        <w:rPr/>
        <w:t>管理系统，以全面提升研发管理能力。</w:t>
      </w:r>
    </w:p>
    <w:p>
      <w:pPr>
        <w:pStyle w:val="BodyText"/>
        <w:spacing w:line="302" w:lineRule="auto" w:before="63"/>
        <w:ind w:left="513" w:right="1033"/>
        <w:jc w:val="left"/>
      </w:pPr>
      <w:r>
        <w:rPr>
          <w:rFonts w:ascii="Arial" w:hAnsi="Arial" w:cs="Arial" w:eastAsia="Arial" w:hint="default"/>
        </w:rPr>
        <w:t>6</w:t>
      </w:r>
      <w:r>
        <w:rPr/>
        <w:t>、人才发展战略 茂硕电源人力资源开发与培训管理的目标是实现人力资本的全面增值，促使员工做好工作的同时，不断提升自我能力，</w:t>
      </w:r>
    </w:p>
    <w:p>
      <w:pPr>
        <w:pStyle w:val="BodyText"/>
        <w:spacing w:line="316" w:lineRule="auto" w:before="29"/>
        <w:ind w:right="1043"/>
        <w:jc w:val="both"/>
      </w:pPr>
      <w:r>
        <w:rPr>
          <w:spacing w:val="-2"/>
        </w:rPr>
        <w:t>实现职业生涯的不断发展与突破。为实现公司人力资本的全面增值，公司围绕人才的选、用、育、留工作，全面有效开展招</w:t>
      </w:r>
      <w:r>
        <w:rPr>
          <w:spacing w:val="-68"/>
        </w:rPr>
        <w:t> </w:t>
      </w:r>
      <w:r>
        <w:rPr>
          <w:spacing w:val="-68"/>
        </w:rPr>
      </w:r>
      <w:r>
        <w:rPr>
          <w:spacing w:val="-4"/>
        </w:rPr>
        <w:t>聘与配置及培训管理，公司已形成一整套科学、系统的人力资源管理体系，实现了人力资源管理的系统化、规范化和科学化。</w:t>
      </w:r>
    </w:p>
    <w:p>
      <w:pPr>
        <w:pStyle w:val="BodyText"/>
        <w:spacing w:line="316" w:lineRule="auto" w:before="19"/>
        <w:ind w:left="513" w:right="1121"/>
        <w:jc w:val="left"/>
      </w:pPr>
      <w:r>
        <w:rPr/>
        <w:t>①人员扩充计划 </w:t>
      </w:r>
      <w:r>
        <w:rPr>
          <w:spacing w:val="-2"/>
        </w:rPr>
        <w:t>募集资金到位后，伴随着公司的快速发展，未来三年的人力资源需求总量将呈爆发式增长。根据公司发展战略与经营目</w:t>
      </w:r>
    </w:p>
    <w:p>
      <w:pPr>
        <w:pStyle w:val="BodyText"/>
        <w:spacing w:line="240" w:lineRule="auto" w:before="19"/>
        <w:ind w:right="0"/>
        <w:jc w:val="both"/>
      </w:pPr>
      <w:r>
        <w:rPr/>
        <w:t>标，结合人力资源战略规划，未来三年（</w:t>
      </w:r>
      <w:r>
        <w:rPr>
          <w:rFonts w:ascii="Arial" w:hAnsi="Arial" w:cs="Arial" w:eastAsia="Arial" w:hint="default"/>
        </w:rPr>
        <w:t>2012-2014</w:t>
      </w:r>
      <w:r>
        <w:rPr/>
        <w:t>年）公司人员总体规模预计将有一定幅度的增长。</w:t>
      </w:r>
    </w:p>
    <w:p>
      <w:pPr>
        <w:pStyle w:val="BodyText"/>
        <w:spacing w:line="316" w:lineRule="auto" w:before="63"/>
        <w:ind w:left="513" w:right="1121"/>
        <w:jc w:val="left"/>
      </w:pPr>
      <w:r>
        <w:rPr/>
        <w:t>②人力资源培养计划 </w:t>
      </w:r>
      <w:r>
        <w:rPr>
          <w:spacing w:val="-2"/>
        </w:rPr>
        <w:t>公司不仅为员工创造多渠道的职业生涯发展途径，通过进一步完善培训管理体系和规范员工培训运作流程，建立茂硕电</w:t>
      </w:r>
    </w:p>
    <w:p>
      <w:pPr>
        <w:pStyle w:val="BodyText"/>
        <w:spacing w:line="319" w:lineRule="auto" w:before="19"/>
        <w:ind w:right="1042"/>
        <w:jc w:val="both"/>
      </w:pPr>
      <w:r>
        <w:rPr>
          <w:spacing w:val="-4"/>
        </w:rPr>
        <w:t>源独特的人才培养与梯队建设体制。根据工作类别的不同，员工培训分为管理类培训、专业技术类培训、市场与营销类培训、</w:t>
      </w:r>
      <w:r>
        <w:rPr>
          <w:spacing w:val="-45"/>
        </w:rPr>
        <w:t> </w:t>
      </w:r>
      <w:r>
        <w:rPr>
          <w:spacing w:val="-45"/>
        </w:rPr>
      </w:r>
      <w:r>
        <w:rPr/>
        <w:t>操作类培训、新员工培训、语言类专项培训、学历类专项培训、系统应用类培训等。</w:t>
      </w:r>
    </w:p>
    <w:p>
      <w:pPr>
        <w:pStyle w:val="BodyText"/>
        <w:spacing w:line="302" w:lineRule="auto" w:before="17"/>
        <w:ind w:left="513" w:right="1121"/>
        <w:jc w:val="left"/>
      </w:pPr>
      <w:r>
        <w:rPr>
          <w:rFonts w:ascii="Arial" w:hAnsi="Arial" w:cs="Arial" w:eastAsia="Arial" w:hint="default"/>
        </w:rPr>
        <w:t>7</w:t>
      </w:r>
      <w:r>
        <w:rPr/>
        <w:t>、客户价值战略 </w:t>
      </w:r>
      <w:r>
        <w:rPr>
          <w:spacing w:val="-2"/>
        </w:rPr>
        <w:t>公司不断的改进和完善产品、技术及服务体系，扩大国内、国际市场销售和服务网络的覆盖面，通过全国大区、分公司</w:t>
      </w:r>
    </w:p>
    <w:p>
      <w:pPr>
        <w:pStyle w:val="BodyText"/>
        <w:spacing w:line="309" w:lineRule="auto" w:before="29"/>
        <w:ind w:right="1129"/>
        <w:jc w:val="both"/>
      </w:pPr>
      <w:r>
        <w:rPr>
          <w:spacing w:val="-2"/>
        </w:rPr>
        <w:t>及办事处的建立完成销售与服务的快速响应，提高服务效率。公司建立个性化服务体系、快速响应机制等，凭借公司一流的</w:t>
      </w:r>
      <w:r>
        <w:rPr>
          <w:spacing w:val="-64"/>
        </w:rPr>
        <w:t> </w:t>
      </w:r>
      <w:r>
        <w:rPr>
          <w:spacing w:val="-64"/>
        </w:rPr>
      </w:r>
      <w:r>
        <w:rPr>
          <w:spacing w:val="-3"/>
        </w:rPr>
        <w:t>技术和服务促进公司的市场拓展，从而实现公司在国内、国际市场的战略布局。依据</w:t>
      </w:r>
      <w:r>
        <w:rPr>
          <w:rFonts w:ascii="Arial" w:hAnsi="Arial" w:cs="Arial" w:eastAsia="Arial" w:hint="default"/>
          <w:spacing w:val="-3"/>
        </w:rPr>
        <w:t>20/80</w:t>
      </w:r>
      <w:r>
        <w:rPr>
          <w:spacing w:val="-3"/>
        </w:rPr>
        <w:t>原则，</w:t>
      </w:r>
      <w:r>
        <w:rPr>
          <w:rFonts w:ascii="Arial" w:hAnsi="Arial" w:cs="Arial" w:eastAsia="Arial" w:hint="default"/>
          <w:spacing w:val="-3"/>
        </w:rPr>
        <w:t>20%</w:t>
      </w:r>
      <w:r>
        <w:rPr>
          <w:spacing w:val="-3"/>
        </w:rPr>
        <w:t>的客户创造了企业</w:t>
      </w:r>
      <w:r>
        <w:rPr>
          <w:rFonts w:ascii="Arial" w:hAnsi="Arial" w:cs="Arial" w:eastAsia="Arial" w:hint="default"/>
          <w:spacing w:val="-3"/>
        </w:rPr>
        <w:t>80%</w:t>
      </w:r>
      <w:r>
        <w:rPr>
          <w:rFonts w:ascii="Arial" w:hAnsi="Arial" w:cs="Arial" w:eastAsia="Arial" w:hint="default"/>
          <w:w w:val="99"/>
        </w:rPr>
        <w:t> </w:t>
      </w:r>
      <w:r>
        <w:rPr/>
        <w:t>的收入，公司聚焦</w:t>
      </w:r>
      <w:r>
        <w:rPr>
          <w:rFonts w:ascii="Arial" w:hAnsi="Arial" w:cs="Arial" w:eastAsia="Arial" w:hint="default"/>
        </w:rPr>
        <w:t>20%</w:t>
      </w:r>
      <w:r>
        <w:rPr/>
        <w:t>的高端客户，提供全方位和个性化服务，实现独特客户价值。</w:t>
      </w:r>
    </w:p>
    <w:p>
      <w:pPr>
        <w:pStyle w:val="BodyText"/>
        <w:spacing w:line="302" w:lineRule="auto" w:before="5"/>
        <w:ind w:left="513" w:right="0"/>
        <w:jc w:val="left"/>
      </w:pPr>
      <w:r>
        <w:rPr>
          <w:rFonts w:ascii="Arial" w:hAnsi="Arial" w:cs="Arial" w:eastAsia="Arial" w:hint="default"/>
        </w:rPr>
        <w:t>8</w:t>
      </w:r>
      <w:r>
        <w:rPr/>
        <w:t>、再融资计划 </w:t>
      </w:r>
      <w:r>
        <w:rPr>
          <w:spacing w:val="-4"/>
        </w:rPr>
        <w:t>公司募集资金到位后，公司将按照本次招股说明书的规划严格管理和使用募集资金。公司将继续加强企业财务风险控制、</w:t>
      </w:r>
    </w:p>
    <w:p>
      <w:pPr>
        <w:pStyle w:val="BodyText"/>
        <w:spacing w:line="316" w:lineRule="auto" w:before="29"/>
        <w:ind w:right="1130"/>
        <w:jc w:val="both"/>
      </w:pPr>
      <w:r>
        <w:rPr>
          <w:spacing w:val="-2"/>
        </w:rPr>
        <w:t>财务预算和成本管理，建立健全有效的公司内控制度，以优良的经营业绩和持续的增长回报广大的投资者。本公司将根据项</w:t>
      </w:r>
      <w:r>
        <w:rPr>
          <w:spacing w:val="-63"/>
        </w:rPr>
        <w:t> </w:t>
      </w:r>
      <w:r>
        <w:rPr>
          <w:spacing w:val="-63"/>
        </w:rPr>
      </w:r>
      <w:r>
        <w:rPr>
          <w:spacing w:val="-2"/>
        </w:rPr>
        <w:t>目投资和业务发展的需要，制定相应的资金筹措计划，若发掘到市场前景广阔、经济效益良好的新投资项目，在优先以公司</w:t>
      </w:r>
      <w:r>
        <w:rPr>
          <w:spacing w:val="-65"/>
        </w:rPr>
        <w:t> </w:t>
      </w:r>
      <w:r>
        <w:rPr>
          <w:spacing w:val="-65"/>
        </w:rPr>
      </w:r>
      <w:r>
        <w:rPr/>
        <w:t>自有资金和合理的债务融资难以满足大额资金需求的情况下，适时采用公司债券、增发等多种形式筹集资金。</w:t>
      </w:r>
    </w:p>
    <w:p>
      <w:pPr>
        <w:pStyle w:val="BodyText"/>
        <w:spacing w:line="302" w:lineRule="auto" w:before="19"/>
        <w:ind w:left="513" w:right="1121"/>
        <w:jc w:val="left"/>
      </w:pPr>
      <w:r>
        <w:rPr>
          <w:rFonts w:ascii="Arial" w:hAnsi="Arial" w:cs="Arial" w:eastAsia="Arial" w:hint="default"/>
        </w:rPr>
        <w:t>9</w:t>
      </w:r>
      <w:r>
        <w:rPr/>
        <w:t>、收购兼并及对外扩充计划 </w:t>
      </w:r>
      <w:r>
        <w:rPr>
          <w:spacing w:val="-2"/>
        </w:rPr>
        <w:t>公司将本着股东利益最大化的基本原则，在适当的时机，围绕公司核心业务，以战略联盟、合作开发、资产重组或企业</w:t>
      </w:r>
    </w:p>
    <w:p>
      <w:pPr>
        <w:pStyle w:val="BodyText"/>
        <w:spacing w:line="316" w:lineRule="auto" w:before="29"/>
        <w:ind w:right="1133"/>
        <w:jc w:val="both"/>
      </w:pPr>
      <w:r>
        <w:rPr>
          <w:spacing w:val="-2"/>
        </w:rPr>
        <w:t>并购等方式，收购、兼并其他本行业领域内有相关产品资质或具备研发优势的优质企业，进一步保持并加强公司在行业内的</w:t>
      </w:r>
      <w:r>
        <w:rPr>
          <w:spacing w:val="-66"/>
        </w:rPr>
        <w:t> </w:t>
      </w:r>
      <w:r>
        <w:rPr>
          <w:spacing w:val="-66"/>
        </w:rPr>
      </w:r>
      <w:r>
        <w:rPr/>
        <w:t>领先地位。</w:t>
      </w:r>
    </w:p>
    <w:p>
      <w:pPr>
        <w:pStyle w:val="BodyText"/>
        <w:spacing w:line="240" w:lineRule="auto" w:before="19"/>
        <w:ind w:left="513" w:right="1121"/>
        <w:jc w:val="left"/>
      </w:pPr>
      <w:r>
        <w:rPr/>
        <w:t>（三）</w:t>
      </w:r>
      <w:r>
        <w:rPr>
          <w:rFonts w:ascii="Arial" w:hAnsi="Arial" w:cs="Arial" w:eastAsia="Arial" w:hint="default"/>
        </w:rPr>
        <w:t>2013</w:t>
      </w:r>
      <w:r>
        <w:rPr/>
        <w:t>年年度经营计划</w:t>
      </w:r>
    </w:p>
    <w:p>
      <w:pPr>
        <w:pStyle w:val="BodyText"/>
        <w:spacing w:line="240" w:lineRule="auto" w:before="63"/>
        <w:ind w:left="513" w:right="1121"/>
        <w:jc w:val="left"/>
      </w:pPr>
      <w:r>
        <w:rPr>
          <w:rFonts w:ascii="Arial" w:hAnsi="Arial" w:cs="Arial" w:eastAsia="Arial" w:hint="default"/>
        </w:rPr>
        <w:t>1</w:t>
      </w:r>
      <w:r>
        <w:rPr/>
        <w:t>、市场营销方面：</w:t>
      </w:r>
    </w:p>
    <w:p>
      <w:pPr>
        <w:pStyle w:val="BodyText"/>
        <w:spacing w:line="302" w:lineRule="auto" w:before="63"/>
        <w:ind w:right="1121" w:firstLine="360"/>
        <w:jc w:val="left"/>
      </w:pPr>
      <w:r>
        <w:rPr/>
        <w:t>①推动</w:t>
      </w:r>
      <w:r>
        <w:rPr>
          <w:rFonts w:ascii="Arial" w:hAnsi="Arial" w:cs="Arial" w:eastAsia="Arial" w:hint="default"/>
        </w:rPr>
        <w:t>CRM</w:t>
      </w:r>
      <w:r>
        <w:rPr/>
        <w:t>全面上线，缩减销售周期和销售成本、增加收入、寻找扩展业务所需的新的市场和渠道以及提高客户的满 意度和忠诚度。</w:t>
      </w:r>
    </w:p>
    <w:p>
      <w:pPr>
        <w:pStyle w:val="BodyText"/>
        <w:spacing w:line="302" w:lineRule="auto" w:before="29"/>
        <w:ind w:right="1121" w:firstLine="360"/>
        <w:jc w:val="left"/>
      </w:pPr>
      <w:r>
        <w:rPr>
          <w:spacing w:val="-1"/>
        </w:rPr>
        <w:t>②提升现有销售团队的销售技术与谈判能力，整合并维护现有</w:t>
      </w:r>
      <w:r>
        <w:rPr>
          <w:rFonts w:ascii="Arial" w:hAnsi="Arial" w:cs="Arial" w:eastAsia="Arial" w:hint="default"/>
          <w:spacing w:val="-1"/>
        </w:rPr>
        <w:t>VIP</w:t>
      </w:r>
      <w:r>
        <w:rPr>
          <w:spacing w:val="-1"/>
        </w:rPr>
        <w:t>客户，将</w:t>
      </w:r>
      <w:r>
        <w:rPr>
          <w:rFonts w:ascii="Arial" w:hAnsi="Arial" w:cs="Arial" w:eastAsia="Arial" w:hint="default"/>
          <w:spacing w:val="-1"/>
        </w:rPr>
        <w:t>80%</w:t>
      </w:r>
      <w:r>
        <w:rPr>
          <w:spacing w:val="-1"/>
        </w:rPr>
        <w:t>的时间重点服务</w:t>
      </w:r>
      <w:r>
        <w:rPr>
          <w:rFonts w:ascii="Arial" w:hAnsi="Arial" w:cs="Arial" w:eastAsia="Arial" w:hint="default"/>
          <w:spacing w:val="-1"/>
        </w:rPr>
        <w:t>20%</w:t>
      </w:r>
      <w:r>
        <w:rPr>
          <w:spacing w:val="-1"/>
        </w:rPr>
        <w:t>的大客户，开发和</w:t>
      </w:r>
      <w:r>
        <w:rPr/>
        <w:t> 挖掘行业中新出现的、有潜力的客户。</w:t>
      </w:r>
    </w:p>
    <w:p>
      <w:pPr>
        <w:pStyle w:val="BodyText"/>
        <w:spacing w:line="316" w:lineRule="auto" w:before="29"/>
        <w:ind w:right="1120" w:firstLine="360"/>
        <w:jc w:val="left"/>
      </w:pPr>
      <w:r>
        <w:rPr/>
        <w:t>③在全球范围内增加销售渠道，特别在国内经济热点地区、发达地区，投入较大的人力、物力，持续</w:t>
      </w:r>
      <w:r>
        <w:rPr>
          <w:spacing w:val="4"/>
        </w:rPr>
        <w:t> </w:t>
      </w:r>
      <w:r>
        <w:rPr/>
        <w:t>开发、维护，保</w:t>
      </w:r>
      <w:r>
        <w:rPr/>
        <w:t> 证在该地区的市场份额及行业影响力。</w:t>
      </w:r>
    </w:p>
    <w:p>
      <w:pPr>
        <w:pStyle w:val="BodyText"/>
        <w:spacing w:line="240" w:lineRule="auto" w:before="19"/>
        <w:ind w:left="513" w:right="0"/>
        <w:jc w:val="left"/>
      </w:pPr>
      <w:r>
        <w:rPr/>
        <w:t>④重点客户，采取资源倾斜的方针，重点项目，采取项目制管理模式，配置资源、设定节点，提高响应速度及准时性。</w:t>
      </w:r>
    </w:p>
    <w:p>
      <w:pPr>
        <w:pStyle w:val="BodyText"/>
        <w:spacing w:line="240" w:lineRule="auto" w:before="76"/>
        <w:ind w:left="513" w:right="1121"/>
        <w:jc w:val="left"/>
      </w:pPr>
      <w:r>
        <w:rPr>
          <w:rFonts w:ascii="Arial" w:hAnsi="Arial" w:cs="Arial" w:eastAsia="Arial" w:hint="default"/>
        </w:rPr>
        <w:t>2</w:t>
      </w:r>
      <w:r>
        <w:rPr/>
        <w:t>、产品研发及创新方面：</w:t>
      </w:r>
    </w:p>
    <w:p>
      <w:pPr>
        <w:pStyle w:val="BodyText"/>
        <w:spacing w:line="302" w:lineRule="auto" w:before="63"/>
        <w:ind w:right="1114" w:firstLine="360"/>
        <w:jc w:val="left"/>
      </w:pPr>
      <w:r>
        <w:rPr/>
        <w:t>①产品实现流程改善。凭借着业界先进的</w:t>
      </w:r>
      <w:r>
        <w:rPr>
          <w:rFonts w:ascii="Arial" w:hAnsi="Arial" w:cs="Arial" w:eastAsia="Arial" w:hint="default"/>
        </w:rPr>
        <w:t>PLM/PDM</w:t>
      </w:r>
      <w:r>
        <w:rPr/>
        <w:t>管理系统的上线，对既有的流程进行固化与沉淀，从而更大程度及</w:t>
      </w:r>
      <w:r>
        <w:rPr>
          <w:w w:val="99"/>
        </w:rPr>
        <w:t> </w:t>
      </w:r>
      <w:r>
        <w:rPr/>
        <w:t>更快速度地提升公司产品质量。</w:t>
      </w:r>
    </w:p>
    <w:p>
      <w:pPr>
        <w:pStyle w:val="BodyText"/>
        <w:spacing w:line="240" w:lineRule="auto" w:before="29"/>
        <w:ind w:left="513" w:right="1121"/>
        <w:jc w:val="left"/>
      </w:pPr>
      <w:r>
        <w:rPr/>
        <w:t>②加强设计可制造性评估。建立标准化、自动化设计标准要求，及早发现技术缺陷。</w:t>
      </w:r>
    </w:p>
    <w:p>
      <w:pPr>
        <w:pStyle w:val="BodyText"/>
        <w:spacing w:line="316" w:lineRule="auto" w:before="76"/>
        <w:ind w:right="1121" w:firstLine="360"/>
        <w:jc w:val="left"/>
      </w:pPr>
      <w:r>
        <w:rPr>
          <w:spacing w:val="-2"/>
        </w:rPr>
        <w:t>③高端产品开发。采用软件智能技术，开发新一代功能、成本性价比更高、更适合与市场推广的自适应、自供电恒流驱</w:t>
      </w:r>
      <w:r>
        <w:rPr/>
        <w:t> 动电源。</w:t>
      </w:r>
    </w:p>
    <w:p>
      <w:pPr>
        <w:pStyle w:val="BodyText"/>
        <w:spacing w:line="240" w:lineRule="auto" w:before="19"/>
        <w:ind w:left="513" w:right="1121"/>
        <w:jc w:val="left"/>
      </w:pPr>
      <w:r>
        <w:rPr/>
        <w:t>④产品前端全面导入可制造性、可测性及可维护性设计，降低生产和维护成本。</w:t>
      </w:r>
    </w:p>
    <w:p>
      <w:pPr>
        <w:pStyle w:val="BodyText"/>
        <w:spacing w:line="240" w:lineRule="auto" w:before="76"/>
        <w:ind w:left="513" w:right="1121"/>
        <w:jc w:val="left"/>
      </w:pPr>
      <w:r>
        <w:rPr>
          <w:rFonts w:ascii="Arial" w:hAnsi="Arial" w:cs="Arial" w:eastAsia="Arial" w:hint="default"/>
        </w:rPr>
        <w:t>3</w:t>
      </w:r>
      <w:r>
        <w:rPr/>
        <w:t>、人才引进及培养方面：</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21"/>
        <w:jc w:val="left"/>
      </w:pPr>
      <w:r>
        <w:rPr/>
        <w:t>①引进业界优秀经营管理和技术骨干人才；</w:t>
      </w:r>
    </w:p>
    <w:p>
      <w:pPr>
        <w:pStyle w:val="BodyText"/>
        <w:spacing w:line="240" w:lineRule="auto" w:before="77"/>
        <w:ind w:left="513" w:right="1121"/>
        <w:jc w:val="left"/>
      </w:pPr>
      <w:r>
        <w:rPr/>
        <w:t>②加大投入对现有人员进行技术及能力提升的培训；</w:t>
      </w:r>
    </w:p>
    <w:p>
      <w:pPr>
        <w:pStyle w:val="BodyText"/>
        <w:spacing w:line="240" w:lineRule="auto" w:before="76"/>
        <w:ind w:left="513" w:right="1121"/>
        <w:jc w:val="left"/>
      </w:pPr>
      <w:r>
        <w:rPr/>
        <w:t>③提升基层人员的整体素质要求。</w:t>
      </w:r>
    </w:p>
    <w:p>
      <w:pPr>
        <w:pStyle w:val="BodyText"/>
        <w:spacing w:line="240" w:lineRule="auto" w:before="76"/>
        <w:ind w:left="592" w:right="1121"/>
        <w:jc w:val="left"/>
      </w:pPr>
      <w:r>
        <w:rPr>
          <w:rFonts w:ascii="Arial" w:hAnsi="Arial" w:cs="Arial" w:eastAsia="Arial" w:hint="default"/>
        </w:rPr>
        <w:t>4</w:t>
      </w:r>
      <w:r>
        <w:rPr/>
        <w:t>、供应链管理方面：</w:t>
      </w:r>
    </w:p>
    <w:p>
      <w:pPr>
        <w:pStyle w:val="BodyText"/>
        <w:spacing w:line="316" w:lineRule="auto" w:before="63"/>
        <w:ind w:right="1121" w:firstLine="360"/>
        <w:jc w:val="left"/>
      </w:pPr>
      <w:r>
        <w:rPr>
          <w:spacing w:val="-2"/>
        </w:rPr>
        <w:t>①整合资源，搭建集中供应平台，与供应商实现战略合作，带动发展。增加原材料供应弹性和灵活性，保证原材料的产</w:t>
      </w:r>
      <w:r>
        <w:rPr/>
        <w:t> 能和供应速度，同时维持多家供应商价格竞争，驱动成本下降；</w:t>
      </w:r>
    </w:p>
    <w:p>
      <w:pPr>
        <w:pStyle w:val="BodyText"/>
        <w:spacing w:line="240" w:lineRule="auto" w:before="19"/>
        <w:ind w:left="513" w:right="1121"/>
        <w:jc w:val="left"/>
      </w:pPr>
      <w:r>
        <w:rPr/>
        <w:t>②建立并运用器件优选库，以达到从设计端介入成本控制；</w:t>
      </w:r>
    </w:p>
    <w:p>
      <w:pPr>
        <w:pStyle w:val="BodyText"/>
        <w:spacing w:line="240" w:lineRule="auto" w:before="76"/>
        <w:ind w:left="513" w:right="1121"/>
        <w:jc w:val="left"/>
      </w:pPr>
      <w:r>
        <w:rPr/>
        <w:t>③对供应商引进作严格把控，从源头抓好品质管控，减少质量成本的产生。</w:t>
      </w:r>
    </w:p>
    <w:p>
      <w:pPr>
        <w:pStyle w:val="BodyText"/>
        <w:spacing w:line="240" w:lineRule="auto" w:before="76"/>
        <w:ind w:left="513" w:right="1121"/>
        <w:jc w:val="left"/>
      </w:pPr>
      <w:r>
        <w:rPr>
          <w:rFonts w:ascii="Arial" w:hAnsi="Arial" w:cs="Arial" w:eastAsia="Arial" w:hint="default"/>
        </w:rPr>
        <w:t>5</w:t>
      </w:r>
      <w:r>
        <w:rPr/>
        <w:t>、生产制造方面</w:t>
      </w:r>
    </w:p>
    <w:p>
      <w:pPr>
        <w:pStyle w:val="BodyText"/>
        <w:spacing w:line="240" w:lineRule="auto" w:before="63"/>
        <w:ind w:left="513" w:right="1121"/>
        <w:jc w:val="left"/>
      </w:pPr>
      <w:r>
        <w:rPr/>
        <w:t>①全面推动自动化流水线的正常运行，减少人员投入及降低制造成本。</w:t>
      </w:r>
    </w:p>
    <w:p>
      <w:pPr>
        <w:pStyle w:val="BodyText"/>
        <w:spacing w:line="240" w:lineRule="auto" w:before="76"/>
        <w:ind w:left="513" w:right="1121"/>
        <w:jc w:val="left"/>
      </w:pPr>
      <w:r>
        <w:rPr/>
        <w:t>②加工自动化设备的再投入，提升生产效率。</w:t>
      </w:r>
    </w:p>
    <w:p>
      <w:pPr>
        <w:pStyle w:val="BodyText"/>
        <w:spacing w:line="240" w:lineRule="auto" w:before="76"/>
        <w:ind w:left="513" w:right="1121"/>
        <w:jc w:val="left"/>
      </w:pPr>
      <w:r>
        <w:rPr>
          <w:rFonts w:ascii="Arial" w:hAnsi="Arial" w:cs="Arial" w:eastAsia="Arial" w:hint="default"/>
        </w:rPr>
        <w:t>6</w:t>
      </w:r>
      <w:r>
        <w:rPr/>
        <w:t>、交付管理方面：</w:t>
      </w:r>
    </w:p>
    <w:p>
      <w:pPr>
        <w:pStyle w:val="BodyText"/>
        <w:spacing w:line="240" w:lineRule="auto" w:before="64"/>
        <w:ind w:left="513" w:right="1121"/>
        <w:jc w:val="left"/>
      </w:pPr>
      <w:r>
        <w:rPr/>
        <w:t>①以项目制推动管理，实现短平快的端到端交付体系；</w:t>
      </w:r>
    </w:p>
    <w:p>
      <w:pPr>
        <w:pStyle w:val="BodyText"/>
        <w:spacing w:line="240" w:lineRule="auto" w:before="76"/>
        <w:ind w:left="513" w:right="1121"/>
        <w:jc w:val="left"/>
      </w:pPr>
      <w:r>
        <w:rPr/>
        <w:t>②建立一套科学的信息化系统管理体系</w:t>
      </w:r>
      <w:r>
        <w:rPr>
          <w:rFonts w:ascii="Arial" w:hAnsi="Arial" w:cs="Arial" w:eastAsia="Arial" w:hint="default"/>
        </w:rPr>
        <w:t>——</w:t>
      </w:r>
      <w:r>
        <w:rPr/>
        <w:t>订单评审和执行系统、交期提前预警系统。</w:t>
      </w:r>
    </w:p>
    <w:p>
      <w:pPr>
        <w:pStyle w:val="BodyText"/>
        <w:spacing w:line="240" w:lineRule="auto" w:before="63"/>
        <w:ind w:left="513" w:right="1121"/>
        <w:jc w:val="left"/>
      </w:pPr>
      <w:r>
        <w:rPr>
          <w:rFonts w:ascii="Arial" w:hAnsi="Arial" w:cs="Arial" w:eastAsia="Arial" w:hint="default"/>
        </w:rPr>
        <w:t>7</w:t>
      </w:r>
      <w:r>
        <w:rPr/>
        <w:t>、财务管理方面：</w:t>
      </w:r>
    </w:p>
    <w:p>
      <w:pPr>
        <w:pStyle w:val="BodyText"/>
        <w:spacing w:line="240" w:lineRule="auto" w:before="63"/>
        <w:ind w:left="513" w:right="1121"/>
        <w:jc w:val="left"/>
      </w:pPr>
      <w:r>
        <w:rPr/>
        <w:t>①做好成本管控，找出产品的盈亏平衡点，实现组织价值最大；</w:t>
      </w:r>
    </w:p>
    <w:p>
      <w:pPr>
        <w:pStyle w:val="BodyText"/>
        <w:spacing w:line="240" w:lineRule="auto" w:before="76"/>
        <w:ind w:left="513" w:right="1121"/>
        <w:jc w:val="left"/>
      </w:pPr>
      <w:r>
        <w:rPr/>
        <w:t>②加大力度和措施推行预算管理，强化财务对内部费用的控制能力和监督机制；</w:t>
      </w:r>
    </w:p>
    <w:p>
      <w:pPr>
        <w:pStyle w:val="BodyText"/>
        <w:spacing w:line="240" w:lineRule="auto" w:before="76"/>
        <w:ind w:left="513" w:right="1121"/>
        <w:jc w:val="left"/>
      </w:pPr>
      <w:r>
        <w:rPr/>
        <w:t>③加大风险防范能力，减少资金占用，保证现金流充足；</w:t>
      </w:r>
    </w:p>
    <w:p>
      <w:pPr>
        <w:pStyle w:val="BodyText"/>
        <w:spacing w:line="240" w:lineRule="auto" w:before="76"/>
        <w:ind w:left="513" w:right="1121"/>
        <w:jc w:val="left"/>
      </w:pPr>
      <w:r>
        <w:rPr/>
        <w:t>④提升风险预测的能力，做好再融资规划与实施工作。</w:t>
      </w:r>
    </w:p>
    <w:p>
      <w:pPr>
        <w:pStyle w:val="BodyText"/>
        <w:spacing w:line="240" w:lineRule="auto" w:before="76"/>
        <w:ind w:left="513" w:right="1121"/>
        <w:jc w:val="left"/>
      </w:pPr>
      <w:r>
        <w:rPr/>
        <w:t>（四）可能面临的风险</w:t>
      </w:r>
    </w:p>
    <w:p>
      <w:pPr>
        <w:pStyle w:val="BodyText"/>
        <w:spacing w:line="240" w:lineRule="auto" w:before="76"/>
        <w:ind w:left="513" w:right="1121"/>
        <w:jc w:val="left"/>
      </w:pPr>
      <w:r>
        <w:rPr>
          <w:rFonts w:ascii="Arial" w:hAnsi="Arial" w:cs="Arial" w:eastAsia="Arial" w:hint="default"/>
        </w:rPr>
        <w:t>1</w:t>
      </w:r>
      <w:r>
        <w:rPr/>
        <w:t>、市场竞争加剧及毛利率下降风险</w:t>
      </w:r>
    </w:p>
    <w:p>
      <w:pPr>
        <w:pStyle w:val="BodyText"/>
        <w:spacing w:line="307" w:lineRule="auto" w:before="63"/>
        <w:ind w:right="1130" w:firstLine="360"/>
        <w:jc w:val="both"/>
      </w:pPr>
      <w:r>
        <w:rPr/>
        <w:t>经过</w:t>
      </w:r>
      <w:r>
        <w:rPr>
          <w:rFonts w:ascii="Arial" w:hAnsi="Arial" w:cs="Arial" w:eastAsia="Arial" w:hint="default"/>
        </w:rPr>
        <w:t>30</w:t>
      </w:r>
      <w:r>
        <w:rPr/>
        <w:t>年的快速发展，中国已成为世界公认的全球最大的消费类开关电源制造基地。目前，中国约有各类开关电源企 业</w:t>
      </w:r>
      <w:r>
        <w:rPr>
          <w:rFonts w:ascii="Arial" w:hAnsi="Arial" w:cs="Arial" w:eastAsia="Arial" w:hint="default"/>
        </w:rPr>
        <w:t>1,000</w:t>
      </w:r>
      <w:r>
        <w:rPr/>
        <w:t>多家，其他电源生产企业数千家。普通开关电源行业是一个充分竞争的行业，作为一个传统行业，产品生产进入门</w:t>
      </w:r>
      <w:r>
        <w:rPr>
          <w:spacing w:val="-84"/>
        </w:rPr>
        <w:t> </w:t>
      </w:r>
      <w:r>
        <w:rPr>
          <w:spacing w:val="-84"/>
        </w:rPr>
      </w:r>
      <w:r>
        <w:rPr>
          <w:spacing w:val="-2"/>
        </w:rPr>
        <w:t>槛相对较低，其竞争主要体现在产品质量、营销渠道、研发设计、客户服务等方面。普通开关电源各品牌的市场集中度相对</w:t>
      </w:r>
      <w:r>
        <w:rPr>
          <w:spacing w:val="-67"/>
        </w:rPr>
        <w:t> </w:t>
      </w:r>
      <w:r>
        <w:rPr>
          <w:spacing w:val="-67"/>
        </w:rPr>
      </w:r>
      <w:r>
        <w:rPr>
          <w:spacing w:val="-2"/>
        </w:rPr>
        <w:t>较低，各品牌之间的竞争较为激烈。</w:t>
      </w:r>
      <w:r>
        <w:rPr>
          <w:rFonts w:ascii="Arial" w:hAnsi="Arial" w:cs="Arial" w:eastAsia="Arial" w:hint="default"/>
          <w:spacing w:val="-2"/>
        </w:rPr>
        <w:t>LED</w:t>
      </w:r>
      <w:r>
        <w:rPr>
          <w:spacing w:val="-2"/>
        </w:rPr>
        <w:t>驱动电源虽然为开关电源行业中的新兴细分产业，但新进制造商的不断增加也使其</w:t>
      </w:r>
      <w:r>
        <w:rPr>
          <w:spacing w:val="-53"/>
        </w:rPr>
        <w:t> </w:t>
      </w:r>
      <w:r>
        <w:rPr>
          <w:spacing w:val="-53"/>
        </w:rPr>
      </w:r>
      <w:r>
        <w:rPr>
          <w:spacing w:val="-2"/>
        </w:rPr>
        <w:t>竞争日趋激烈，随着市场的不断细分，来自国内外的竞争压力仍将持续甚至加大，可能导致企业的产品售价降低及毛利率降</w:t>
      </w:r>
      <w:r>
        <w:rPr>
          <w:spacing w:val="-63"/>
        </w:rPr>
        <w:t> </w:t>
      </w:r>
      <w:r>
        <w:rPr>
          <w:spacing w:val="-63"/>
        </w:rPr>
      </w:r>
      <w:r>
        <w:rPr/>
        <w:t>低，从而影响到企业的财务状况和经营业绩。</w:t>
      </w:r>
    </w:p>
    <w:p>
      <w:pPr>
        <w:pStyle w:val="BodyText"/>
        <w:spacing w:line="302" w:lineRule="auto" w:before="26"/>
        <w:ind w:left="513" w:right="0"/>
        <w:jc w:val="left"/>
      </w:pPr>
      <w:r>
        <w:rPr>
          <w:rFonts w:ascii="Arial" w:hAnsi="Arial" w:cs="Arial" w:eastAsia="Arial" w:hint="default"/>
        </w:rPr>
        <w:t>2</w:t>
      </w:r>
      <w:r>
        <w:rPr/>
        <w:t>、技术及产品研发风险 </w:t>
      </w:r>
      <w:r>
        <w:rPr>
          <w:spacing w:val="-4"/>
        </w:rPr>
        <w:t>公司十分重视开关电源技术及产品的研发，逐步增强自身的研发实力。随着电源产品向高频、高功率、高效率、高可靠、</w:t>
      </w:r>
    </w:p>
    <w:p>
      <w:pPr>
        <w:pStyle w:val="BodyText"/>
        <w:spacing w:line="309" w:lineRule="auto" w:before="29"/>
        <w:ind w:right="1032"/>
        <w:jc w:val="left"/>
      </w:pPr>
      <w:r>
        <w:rPr>
          <w:spacing w:val="-3"/>
        </w:rPr>
        <w:t>智能化方向发展，电源的研发技术要求，尤其是大功率</w:t>
      </w:r>
      <w:r>
        <w:rPr>
          <w:rFonts w:ascii="Arial" w:hAnsi="Arial" w:cs="Arial" w:eastAsia="Arial" w:hint="default"/>
          <w:spacing w:val="-3"/>
        </w:rPr>
        <w:t>LED</w:t>
      </w:r>
      <w:r>
        <w:rPr>
          <w:spacing w:val="-3"/>
        </w:rPr>
        <w:t>驱动电源的技术要求显著提高，工艺技术和行业经验也非常重要，</w:t>
      </w:r>
      <w:r>
        <w:rPr>
          <w:spacing w:val="-86"/>
        </w:rPr>
        <w:t> </w:t>
      </w:r>
      <w:r>
        <w:rPr>
          <w:spacing w:val="-86"/>
        </w:rPr>
      </w:r>
      <w:r>
        <w:rPr>
          <w:spacing w:val="-2"/>
        </w:rPr>
        <w:t>需要长时间的行业累积。虽然公司对电源的技术研发一直处于行业领先水平，但是如果公司技术不能持续进步、保持行业领</w:t>
      </w:r>
      <w:r>
        <w:rPr>
          <w:spacing w:val="-62"/>
        </w:rPr>
        <w:t> </w:t>
      </w:r>
      <w:r>
        <w:rPr>
          <w:spacing w:val="-62"/>
        </w:rPr>
      </w:r>
      <w:r>
        <w:rPr/>
        <w:t>先，或是研发方向决策错误，开发的新产品不能很好的适应市场需求，公司的竞争能力将被削弱。</w:t>
      </w:r>
    </w:p>
    <w:p>
      <w:pPr>
        <w:pStyle w:val="BodyText"/>
        <w:spacing w:line="240" w:lineRule="auto" w:before="24"/>
        <w:ind w:left="513" w:right="1121"/>
        <w:jc w:val="left"/>
      </w:pPr>
      <w:r>
        <w:rPr>
          <w:rFonts w:ascii="Arial" w:hAnsi="Arial" w:cs="Arial" w:eastAsia="Arial" w:hint="default"/>
        </w:rPr>
        <w:t>3</w:t>
      </w:r>
      <w:r>
        <w:rPr/>
        <w:t>、应收账款发生坏账的风险</w:t>
      </w:r>
    </w:p>
    <w:p>
      <w:pPr>
        <w:pStyle w:val="BodyText"/>
        <w:spacing w:line="304" w:lineRule="auto" w:before="63"/>
        <w:ind w:right="0" w:firstLine="360"/>
        <w:jc w:val="left"/>
      </w:pPr>
      <w:r>
        <w:rPr>
          <w:spacing w:val="3"/>
        </w:rPr>
        <w:t>近三年，由于内销规模的增加以及公司信用政策的调整，公司应收账款规模不断增长，应收账款余额从</w:t>
      </w:r>
      <w:r>
        <w:rPr>
          <w:rFonts w:ascii="Arial" w:hAnsi="Arial" w:cs="Arial" w:eastAsia="Arial" w:hint="default"/>
          <w:spacing w:val="3"/>
        </w:rPr>
        <w:t>2010</w:t>
      </w:r>
      <w:r>
        <w:rPr>
          <w:spacing w:val="3"/>
        </w:rPr>
        <w:t>年末的</w:t>
      </w:r>
      <w:r>
        <w:rPr>
          <w:spacing w:val="4"/>
        </w:rPr>
        <w:t> </w:t>
      </w:r>
      <w:r>
        <w:rPr>
          <w:rFonts w:ascii="Arial" w:hAnsi="Arial" w:cs="Arial" w:eastAsia="Arial" w:hint="default"/>
          <w:spacing w:val="-2"/>
        </w:rPr>
        <w:t>17,611.07</w:t>
      </w:r>
      <w:r>
        <w:rPr>
          <w:spacing w:val="-2"/>
        </w:rPr>
        <w:t>万元增长到</w:t>
      </w:r>
      <w:r>
        <w:rPr>
          <w:rFonts w:ascii="Arial" w:hAnsi="Arial" w:cs="Arial" w:eastAsia="Arial" w:hint="default"/>
          <w:spacing w:val="-2"/>
        </w:rPr>
        <w:t>2012</w:t>
      </w:r>
      <w:r>
        <w:rPr>
          <w:spacing w:val="-2"/>
        </w:rPr>
        <w:t>年末的</w:t>
      </w:r>
      <w:r>
        <w:rPr>
          <w:rFonts w:ascii="Arial" w:hAnsi="Arial" w:cs="Arial" w:eastAsia="Arial" w:hint="default"/>
          <w:spacing w:val="-2"/>
        </w:rPr>
        <w:t>24,284.08</w:t>
      </w:r>
      <w:r>
        <w:rPr>
          <w:spacing w:val="-2"/>
        </w:rPr>
        <w:t>万元，增长率为</w:t>
      </w:r>
      <w:r>
        <w:rPr>
          <w:rFonts w:ascii="Arial" w:hAnsi="Arial" w:cs="Arial" w:eastAsia="Arial" w:hint="default"/>
          <w:spacing w:val="-2"/>
        </w:rPr>
        <w:t>37.89%</w:t>
      </w:r>
      <w:r>
        <w:rPr>
          <w:spacing w:val="-2"/>
        </w:rPr>
        <w:t>；同期营业收入从</w:t>
      </w:r>
      <w:r>
        <w:rPr>
          <w:rFonts w:ascii="Arial" w:hAnsi="Arial" w:cs="Arial" w:eastAsia="Arial" w:hint="default"/>
          <w:spacing w:val="-2"/>
        </w:rPr>
        <w:t>48,715.26</w:t>
      </w:r>
      <w:r>
        <w:rPr>
          <w:spacing w:val="-2"/>
        </w:rPr>
        <w:t>万元增长到</w:t>
      </w:r>
      <w:r>
        <w:rPr>
          <w:rFonts w:ascii="Arial" w:hAnsi="Arial" w:cs="Arial" w:eastAsia="Arial" w:hint="default"/>
          <w:spacing w:val="-2"/>
        </w:rPr>
        <w:t>55,003.07</w:t>
      </w:r>
      <w:r>
        <w:rPr>
          <w:spacing w:val="-2"/>
        </w:rPr>
        <w:t>万元，</w:t>
      </w:r>
      <w:r>
        <w:rPr>
          <w:spacing w:val="-24"/>
        </w:rPr>
        <w:t> </w:t>
      </w:r>
      <w:r>
        <w:rPr>
          <w:spacing w:val="-24"/>
        </w:rPr>
      </w:r>
      <w:r>
        <w:rPr/>
        <w:t>增长率为</w:t>
      </w:r>
      <w:r>
        <w:rPr>
          <w:rFonts w:ascii="Arial" w:hAnsi="Arial" w:cs="Arial" w:eastAsia="Arial" w:hint="default"/>
        </w:rPr>
        <w:t>12.91%</w:t>
      </w:r>
      <w:r>
        <w:rPr/>
        <w:t>，公司一直重视应收账款的回收情况，未来，随着公司销售规模的继续扩大，应收账款可能进一步增长，</w:t>
      </w:r>
      <w:r>
        <w:rPr>
          <w:spacing w:val="-69"/>
        </w:rPr>
        <w:t> </w:t>
      </w:r>
      <w:r>
        <w:rPr>
          <w:spacing w:val="-69"/>
        </w:rPr>
      </w:r>
      <w:r>
        <w:rPr>
          <w:spacing w:val="-4"/>
        </w:rPr>
        <w:t>虽然公司强化了客户信用管理和应收账款管理，且报告期内未发生大额应收账款无法收回的情况，但由于应收账款余额较大，</w:t>
      </w:r>
      <w:r>
        <w:rPr>
          <w:spacing w:val="-44"/>
        </w:rPr>
        <w:t> </w:t>
      </w:r>
      <w:r>
        <w:rPr>
          <w:spacing w:val="-44"/>
        </w:rPr>
      </w:r>
      <w:r>
        <w:rPr/>
        <w:t>可能发生坏账而使公司遭受损失。</w:t>
      </w:r>
    </w:p>
    <w:p>
      <w:pPr>
        <w:pStyle w:val="BodyText"/>
        <w:spacing w:line="302" w:lineRule="auto" w:before="28"/>
        <w:ind w:left="513" w:right="1121"/>
        <w:jc w:val="left"/>
      </w:pPr>
      <w:r>
        <w:rPr>
          <w:rFonts w:ascii="Arial" w:hAnsi="Arial" w:cs="Arial" w:eastAsia="Arial" w:hint="default"/>
        </w:rPr>
        <w:t>4</w:t>
      </w:r>
      <w:r>
        <w:rPr/>
        <w:t>、人力资源流失风险 </w:t>
      </w:r>
      <w:r>
        <w:rPr>
          <w:spacing w:val="-2"/>
        </w:rPr>
        <w:t>作为高新技术企业，拥有优秀的技术人员和营销、管理等专业人员队伍，是公司可持续发展的关键因素。公司一直重视</w:t>
      </w:r>
    </w:p>
    <w:p>
      <w:pPr>
        <w:pStyle w:val="BodyText"/>
        <w:spacing w:line="316" w:lineRule="auto" w:before="29"/>
        <w:ind w:right="1129"/>
        <w:jc w:val="both"/>
      </w:pPr>
      <w:r>
        <w:rPr>
          <w:spacing w:val="-2"/>
        </w:rPr>
        <w:t>人力资源的科学管理，建立了合理的绩效考核评估体系，实行包括薪酬、福利、股权等一系列完善的激励措施。目前，公司</w:t>
      </w:r>
      <w:r>
        <w:rPr>
          <w:spacing w:val="-68"/>
        </w:rPr>
        <w:t> </w:t>
      </w:r>
      <w:r>
        <w:rPr>
          <w:spacing w:val="-68"/>
        </w:rPr>
      </w:r>
      <w:r>
        <w:rPr>
          <w:spacing w:val="-2"/>
        </w:rPr>
        <w:t>正处于高速发展时期，对人才的需求越来越大。虽然公司拥有一批精干的管理团队，并具有较为灵活的用人机制和完善的约</w:t>
      </w:r>
      <w:r>
        <w:rPr>
          <w:spacing w:val="-62"/>
        </w:rPr>
        <w:t> </w:t>
      </w:r>
      <w:r>
        <w:rPr>
          <w:spacing w:val="-62"/>
        </w:rPr>
      </w:r>
      <w:r>
        <w:rPr/>
        <w:t>束与激励机制，但不排除核心技术人员和高级管理人员的流失给公司带来的人力资源流失风险。</w:t>
      </w:r>
    </w:p>
    <w:p>
      <w:pPr>
        <w:spacing w:after="0" w:line="316" w:lineRule="auto"/>
        <w:jc w:val="both"/>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right="0"/>
        <w:jc w:val="both"/>
        <w:rPr>
          <w:b w:val="0"/>
          <w:bCs w:val="0"/>
        </w:rPr>
      </w:pPr>
      <w:r>
        <w:rPr/>
        <w:t>八、与上年度财务报告相比，会计政策、会计估计和核算方法发生变化的情况说明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与上年度财务报告相比，会计政策、会计估计和核算方法未发生变化。</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九、报告期内发生重大会计差错更正需追溯重述的情况说明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与上年度财务报告相比，</w:t>
      </w:r>
      <w:r>
        <w:rPr>
          <w:rFonts w:ascii="Arial" w:hAnsi="Arial" w:cs="Arial" w:eastAsia="Arial" w:hint="default"/>
        </w:rPr>
        <w:t>2012</w:t>
      </w:r>
      <w:r>
        <w:rPr/>
        <w:t>年财务报表合并范围内未发生变化。</w:t>
      </w:r>
    </w:p>
    <w:p>
      <w:pPr>
        <w:spacing w:line="240" w:lineRule="auto" w:before="4"/>
        <w:rPr>
          <w:rFonts w:ascii="宋体" w:hAnsi="宋体" w:cs="宋体" w:eastAsia="宋体" w:hint="default"/>
          <w:sz w:val="24"/>
          <w:szCs w:val="24"/>
        </w:rPr>
      </w:pPr>
    </w:p>
    <w:p>
      <w:pPr>
        <w:pStyle w:val="Heading2"/>
        <w:spacing w:line="240" w:lineRule="auto"/>
        <w:ind w:right="0"/>
        <w:jc w:val="both"/>
        <w:rPr>
          <w:b w:val="0"/>
          <w:bCs w:val="0"/>
        </w:rPr>
      </w:pPr>
      <w:r>
        <w:rPr/>
        <w:t>十一、公司利润分配及分红派息情况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报告期内利润分配政策特别是现金分红政策的制定、执行或调整情况</w:t>
      </w:r>
    </w:p>
    <w:p>
      <w:pPr>
        <w:pStyle w:val="BodyText"/>
        <w:spacing w:line="302" w:lineRule="auto" w:before="117"/>
        <w:ind w:right="1130" w:firstLine="317"/>
        <w:jc w:val="both"/>
      </w:pPr>
      <w:r>
        <w:rPr>
          <w:rFonts w:ascii="Arial" w:hAnsi="Arial" w:cs="Arial" w:eastAsia="Arial" w:hint="default"/>
          <w:spacing w:val="-3"/>
        </w:rPr>
        <w:t>1</w:t>
      </w:r>
      <w:r>
        <w:rPr>
          <w:spacing w:val="-3"/>
        </w:rPr>
        <w:t>、根据中国证券监督管理委员会下发的《关于进一步落实上市公司现金分红有关事项的通知》和深圳证监局下发的《关</w:t>
      </w:r>
      <w:r>
        <w:rPr/>
        <w:t> </w:t>
      </w:r>
      <w:r>
        <w:rPr>
          <w:spacing w:val="-4"/>
        </w:rPr>
        <w:t>于认真贯彻落实</w:t>
      </w:r>
      <w:r>
        <w:rPr>
          <w:rFonts w:ascii="Arial" w:hAnsi="Arial" w:cs="Arial" w:eastAsia="Arial" w:hint="default"/>
          <w:spacing w:val="-4"/>
        </w:rPr>
        <w:t>&lt;</w:t>
      </w:r>
      <w:r>
        <w:rPr>
          <w:spacing w:val="-4"/>
        </w:rPr>
        <w:t>关于进一步落实上市公司现金分红有关事项的通知</w:t>
      </w:r>
      <w:r>
        <w:rPr>
          <w:rFonts w:ascii="Arial" w:hAnsi="Arial" w:cs="Arial" w:eastAsia="Arial" w:hint="default"/>
          <w:spacing w:val="-4"/>
        </w:rPr>
        <w:t>&gt;</w:t>
      </w:r>
      <w:r>
        <w:rPr>
          <w:spacing w:val="-4"/>
        </w:rPr>
        <w:t>有关要求的通知》（深证局公司字〔</w:t>
      </w:r>
      <w:r>
        <w:rPr>
          <w:rFonts w:ascii="Arial" w:hAnsi="Arial" w:cs="Arial" w:eastAsia="Arial" w:hint="default"/>
          <w:spacing w:val="-4"/>
        </w:rPr>
        <w:t>2012</w:t>
      </w:r>
      <w:r>
        <w:rPr>
          <w:spacing w:val="-4"/>
        </w:rPr>
        <w:t>〕</w:t>
      </w:r>
      <w:r>
        <w:rPr>
          <w:rFonts w:ascii="Arial" w:hAnsi="Arial" w:cs="Arial" w:eastAsia="Arial" w:hint="default"/>
          <w:spacing w:val="-4"/>
        </w:rPr>
        <w:t>43</w:t>
      </w:r>
      <w:r>
        <w:rPr>
          <w:spacing w:val="-4"/>
        </w:rPr>
        <w:t>号）（以</w:t>
      </w:r>
      <w:r>
        <w:rPr>
          <w:spacing w:val="-37"/>
        </w:rPr>
        <w:t> </w:t>
      </w:r>
      <w:r>
        <w:rPr>
          <w:spacing w:val="-37"/>
        </w:rPr>
      </w:r>
      <w:r>
        <w:rPr>
          <w:spacing w:val="-1"/>
        </w:rPr>
        <w:t>下简称</w:t>
      </w:r>
      <w:r>
        <w:rPr>
          <w:rFonts w:ascii="Arial" w:hAnsi="Arial" w:cs="Arial" w:eastAsia="Arial" w:hint="default"/>
          <w:spacing w:val="-1"/>
        </w:rPr>
        <w:t>“</w:t>
      </w:r>
      <w:r>
        <w:rPr>
          <w:spacing w:val="-1"/>
        </w:rPr>
        <w:t>《通知》</w:t>
      </w:r>
      <w:r>
        <w:rPr>
          <w:rFonts w:ascii="Arial" w:hAnsi="Arial" w:cs="Arial" w:eastAsia="Arial" w:hint="default"/>
          <w:spacing w:val="-1"/>
        </w:rPr>
        <w:t>”</w:t>
      </w:r>
      <w:r>
        <w:rPr>
          <w:spacing w:val="-1"/>
        </w:rPr>
        <w:t>）相关规定和要求，为了完善公司利润分配政策，建立持续、科学、稳定的分红机制，增强利润分配的透</w:t>
      </w:r>
      <w:r>
        <w:rPr>
          <w:spacing w:val="-59"/>
        </w:rPr>
        <w:t> </w:t>
      </w:r>
      <w:r>
        <w:rPr>
          <w:spacing w:val="-59"/>
        </w:rPr>
      </w:r>
      <w:r>
        <w:rPr>
          <w:spacing w:val="-2"/>
        </w:rPr>
        <w:t>明度，保护中小投资者合法权益，保障公司可持续性发展，公司董事会对于股东回报规划事宜进行了专项研究论证，形成了</w:t>
      </w:r>
    </w:p>
    <w:p>
      <w:pPr>
        <w:pStyle w:val="BodyText"/>
        <w:spacing w:line="309" w:lineRule="auto" w:before="29"/>
        <w:ind w:right="1129"/>
        <w:jc w:val="both"/>
      </w:pPr>
      <w:r>
        <w:rPr>
          <w:spacing w:val="-2"/>
        </w:rPr>
        <w:t>《关于股东回报规划事宜的论证报告》；根据论证报告拟定了公司利润分配决策程序和调整机制，董事会对公司章程进行了</w:t>
      </w:r>
      <w:r>
        <w:rPr>
          <w:spacing w:val="-65"/>
        </w:rPr>
        <w:t> </w:t>
      </w:r>
      <w:r>
        <w:rPr>
          <w:spacing w:val="-65"/>
        </w:rPr>
      </w:r>
      <w:r>
        <w:rPr>
          <w:spacing w:val="-4"/>
        </w:rPr>
        <w:t>修订并制定了《未来三年（</w:t>
      </w:r>
      <w:r>
        <w:rPr>
          <w:rFonts w:ascii="Arial" w:hAnsi="Arial" w:cs="Arial" w:eastAsia="Arial" w:hint="default"/>
          <w:spacing w:val="-4"/>
        </w:rPr>
        <w:t>2012-2014</w:t>
      </w:r>
      <w:r>
        <w:rPr>
          <w:spacing w:val="-4"/>
        </w:rPr>
        <w:t>年）股东回报规划》，经公司第二届董事会</w:t>
      </w:r>
      <w:r>
        <w:rPr>
          <w:rFonts w:ascii="Arial" w:hAnsi="Arial" w:cs="Arial" w:eastAsia="Arial" w:hint="default"/>
          <w:spacing w:val="-4"/>
        </w:rPr>
        <w:t>2012</w:t>
      </w:r>
      <w:r>
        <w:rPr>
          <w:spacing w:val="-4"/>
        </w:rPr>
        <w:t>年第</w:t>
      </w:r>
      <w:r>
        <w:rPr>
          <w:rFonts w:ascii="Arial" w:hAnsi="Arial" w:cs="Arial" w:eastAsia="Arial" w:hint="default"/>
          <w:spacing w:val="-4"/>
        </w:rPr>
        <w:t>5</w:t>
      </w:r>
      <w:r>
        <w:rPr>
          <w:spacing w:val="-4"/>
        </w:rPr>
        <w:t>次临时会议审议后提交公司</w:t>
      </w:r>
      <w:r>
        <w:rPr>
          <w:rFonts w:ascii="Arial" w:hAnsi="Arial" w:cs="Arial" w:eastAsia="Arial" w:hint="default"/>
          <w:spacing w:val="-4"/>
        </w:rPr>
        <w:t>2012</w:t>
      </w:r>
      <w:r>
        <w:rPr>
          <w:rFonts w:ascii="Arial" w:hAnsi="Arial" w:cs="Arial" w:eastAsia="Arial" w:hint="default"/>
          <w:spacing w:val="-32"/>
        </w:rPr>
        <w:t> </w:t>
      </w:r>
      <w:r>
        <w:rPr>
          <w:rFonts w:ascii="Arial" w:hAnsi="Arial" w:cs="Arial" w:eastAsia="Arial" w:hint="default"/>
          <w:spacing w:val="-32"/>
        </w:rPr>
      </w:r>
      <w:r>
        <w:rPr/>
        <w:t>年第</w:t>
      </w:r>
      <w:r>
        <w:rPr>
          <w:rFonts w:ascii="Arial" w:hAnsi="Arial" w:cs="Arial" w:eastAsia="Arial" w:hint="default"/>
        </w:rPr>
        <w:t>3</w:t>
      </w:r>
      <w:r>
        <w:rPr/>
        <w:t>次临时股东大会审议通过，完善了公司现金分红政策。</w:t>
      </w:r>
    </w:p>
    <w:p>
      <w:pPr>
        <w:pStyle w:val="BodyText"/>
        <w:spacing w:line="316" w:lineRule="auto" w:before="5"/>
        <w:ind w:right="1041" w:firstLine="317"/>
        <w:jc w:val="both"/>
      </w:pPr>
      <w:r>
        <w:rPr/>
        <w:t>公司在制定股东回报规划和现金分红政策的过程中，为保证广大中小股东的利益，充分征求了中小股东的意见和建议， </w:t>
      </w:r>
      <w:r>
        <w:rPr>
          <w:spacing w:val="-2"/>
        </w:rPr>
        <w:t>还充分征求了独立董事意见，独立董事对此发表了独立意见。公司制定的现金分红政策符合中国证监会的相关要求，修订后</w:t>
      </w:r>
      <w:r>
        <w:rPr>
          <w:spacing w:val="-63"/>
        </w:rPr>
        <w:t> </w:t>
      </w:r>
      <w:r>
        <w:rPr>
          <w:spacing w:val="-63"/>
        </w:rPr>
      </w:r>
      <w:r>
        <w:rPr>
          <w:spacing w:val="-4"/>
        </w:rPr>
        <w:t>的《公司章程》补充完善了利润分配相关条款，明确规定了利润分配的程序和形式、实施现金分红的条件、现金分红的比例、</w:t>
      </w:r>
      <w:r>
        <w:rPr>
          <w:spacing w:val="-42"/>
        </w:rPr>
        <w:t> </w:t>
      </w:r>
      <w:r>
        <w:rPr>
          <w:spacing w:val="-42"/>
        </w:rPr>
      </w:r>
      <w:r>
        <w:rPr/>
        <w:t>现金分红政策的决策程序和机制。</w:t>
      </w:r>
    </w:p>
    <w:p>
      <w:pPr>
        <w:pStyle w:val="BodyText"/>
        <w:spacing w:line="302" w:lineRule="auto" w:before="19"/>
        <w:ind w:right="1093" w:firstLine="396"/>
        <w:jc w:val="left"/>
      </w:pPr>
      <w:r>
        <w:rPr>
          <w:rFonts w:ascii="Arial" w:hAnsi="Arial" w:cs="Arial" w:eastAsia="Arial" w:hint="default"/>
        </w:rPr>
        <w:t>2</w:t>
      </w:r>
      <w:r>
        <w:rPr/>
        <w:t>、根据</w:t>
      </w:r>
      <w:r>
        <w:rPr>
          <w:rFonts w:ascii="Arial" w:hAnsi="Arial" w:cs="Arial" w:eastAsia="Arial" w:hint="default"/>
        </w:rPr>
        <w:t>2011</w:t>
      </w:r>
      <w:r>
        <w:rPr/>
        <w:t>年年度股东大会决议，公司</w:t>
      </w:r>
      <w:r>
        <w:rPr>
          <w:rFonts w:ascii="Arial" w:hAnsi="Arial" w:cs="Arial" w:eastAsia="Arial" w:hint="default"/>
        </w:rPr>
        <w:t>2011</w:t>
      </w:r>
      <w:r>
        <w:rPr/>
        <w:t>年年度权益分派方案为：以公司现有总股本</w:t>
      </w:r>
      <w:r>
        <w:rPr>
          <w:rFonts w:ascii="Arial" w:hAnsi="Arial" w:cs="Arial" w:eastAsia="Arial" w:hint="default"/>
        </w:rPr>
        <w:t>97,080,000</w:t>
      </w:r>
      <w:r>
        <w:rPr/>
        <w:t>股为基数，向全 体股东每</w:t>
      </w:r>
      <w:r>
        <w:rPr>
          <w:rFonts w:ascii="Arial" w:hAnsi="Arial" w:cs="Arial" w:eastAsia="Arial" w:hint="default"/>
        </w:rPr>
        <w:t>10</w:t>
      </w:r>
      <w:r>
        <w:rPr/>
        <w:t>股派</w:t>
      </w:r>
      <w:r>
        <w:rPr>
          <w:rFonts w:ascii="Arial" w:hAnsi="Arial" w:cs="Arial" w:eastAsia="Arial" w:hint="default"/>
        </w:rPr>
        <w:t>2.000000</w:t>
      </w:r>
      <w:r>
        <w:rPr/>
        <w:t>元人民币现金（含税；扣税后，个人、证券投资基金、</w:t>
      </w:r>
      <w:r>
        <w:rPr>
          <w:rFonts w:ascii="Arial" w:hAnsi="Arial" w:cs="Arial" w:eastAsia="Arial" w:hint="default"/>
        </w:rPr>
        <w:t>QFII</w:t>
      </w:r>
      <w:r>
        <w:rPr/>
        <w:t>、</w:t>
      </w:r>
      <w:r>
        <w:rPr>
          <w:rFonts w:ascii="Arial" w:hAnsi="Arial" w:cs="Arial" w:eastAsia="Arial" w:hint="default"/>
        </w:rPr>
        <w:t>RQFII</w:t>
      </w:r>
      <w:r>
        <w:rPr/>
        <w:t>实际每</w:t>
      </w:r>
      <w:r>
        <w:rPr>
          <w:rFonts w:ascii="Arial" w:hAnsi="Arial" w:cs="Arial" w:eastAsia="Arial" w:hint="default"/>
        </w:rPr>
        <w:t>10</w:t>
      </w:r>
      <w:r>
        <w:rPr/>
        <w:t>股派</w:t>
      </w:r>
      <w:r>
        <w:rPr>
          <w:rFonts w:ascii="Arial" w:hAnsi="Arial" w:cs="Arial" w:eastAsia="Arial" w:hint="default"/>
        </w:rPr>
        <w:t>1.800000</w:t>
      </w:r>
      <w:r>
        <w:rPr/>
        <w:t>元； 对于</w:t>
      </w:r>
      <w:r>
        <w:rPr>
          <w:rFonts w:ascii="Arial" w:hAnsi="Arial" w:cs="Arial" w:eastAsia="Arial" w:hint="default"/>
        </w:rPr>
        <w:t>QFII</w:t>
      </w:r>
      <w:r>
        <w:rPr/>
        <w:t>、</w:t>
      </w:r>
      <w:r>
        <w:rPr>
          <w:rFonts w:ascii="Arial" w:hAnsi="Arial" w:cs="Arial" w:eastAsia="Arial" w:hint="default"/>
        </w:rPr>
        <w:t>RQFII</w:t>
      </w:r>
      <w:r>
        <w:rPr/>
        <w:t>外的其他非居民企业，本公司未代扣代缴所得税，由纳税人在所得发生地缴纳）。共计派发</w:t>
      </w:r>
      <w:r>
        <w:rPr>
          <w:rFonts w:ascii="Arial" w:hAnsi="Arial" w:cs="Arial" w:eastAsia="Arial" w:hint="default"/>
        </w:rPr>
        <w:t>1941.6</w:t>
      </w:r>
      <w:r>
        <w:rPr/>
        <w:t>万元， 公司</w:t>
      </w:r>
      <w:r>
        <w:rPr>
          <w:rFonts w:ascii="Arial" w:hAnsi="Arial" w:cs="Arial" w:eastAsia="Arial" w:hint="default"/>
        </w:rPr>
        <w:t>2011</w:t>
      </w:r>
      <w:r>
        <w:rPr/>
        <w:t>年实现的净利润为</w:t>
      </w:r>
      <w:r>
        <w:rPr>
          <w:rFonts w:ascii="Arial" w:hAnsi="Arial" w:cs="Arial" w:eastAsia="Arial" w:hint="default"/>
        </w:rPr>
        <w:t>5379.02</w:t>
      </w:r>
      <w:r>
        <w:rPr/>
        <w:t>万元，派发金额达到当年净利润的</w:t>
      </w:r>
      <w:r>
        <w:rPr>
          <w:rFonts w:ascii="Arial" w:hAnsi="Arial" w:cs="Arial" w:eastAsia="Arial" w:hint="default"/>
        </w:rPr>
        <w:t>36.14%</w:t>
      </w:r>
      <w:r>
        <w:rPr/>
        <w:t>。</w:t>
      </w:r>
    </w:p>
    <w:p>
      <w:pPr>
        <w:spacing w:line="240" w:lineRule="auto" w:before="0"/>
        <w:rPr>
          <w:rFonts w:ascii="宋体" w:hAnsi="宋体" w:cs="宋体" w:eastAsia="宋体" w:hint="default"/>
          <w:sz w:val="18"/>
          <w:szCs w:val="18"/>
        </w:rPr>
      </w:pPr>
    </w:p>
    <w:p>
      <w:pPr>
        <w:pStyle w:val="BodyText"/>
        <w:spacing w:line="240" w:lineRule="auto" w:before="128"/>
        <w:ind w:right="0"/>
        <w:jc w:val="both"/>
      </w:pPr>
      <w:r>
        <w:rPr/>
        <w:t>本年度利润分配及资本公积金转增股本预案</w:t>
      </w:r>
    </w:p>
    <w:p>
      <w:pPr>
        <w:pStyle w:val="BodyText"/>
        <w:spacing w:line="240" w:lineRule="auto" w:before="115"/>
        <w:ind w:right="0"/>
        <w:jc w:val="both"/>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5"/>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Arial" w:hAnsi="Arial" w:cs="Arial" w:eastAsia="Arial" w:hint="default"/>
                <w:w w:val="99"/>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1</w:t>
            </w:r>
            <w:r>
              <w:rPr>
                <w:rFonts w:ascii="Arial"/>
                <w:sz w:val="18"/>
              </w:rPr>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10</w:t>
            </w:r>
            <w:r>
              <w:rPr>
                <w:rFonts w:ascii="Arial"/>
                <w:sz w:val="18"/>
              </w:rPr>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98,631,800.00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9,863,180.00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104,243,377.99</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1"/>
        <w:jc w:val="left"/>
      </w:pPr>
      <w:r>
        <w:rPr/>
        <w:t>公司近</w:t>
      </w:r>
      <w:r>
        <w:rPr>
          <w:spacing w:val="-46"/>
        </w:rPr>
        <w:t> </w:t>
      </w:r>
      <w:r>
        <w:rPr>
          <w:rFonts w:ascii="Arial" w:hAnsi="Arial" w:cs="Arial" w:eastAsia="Arial" w:hint="default"/>
        </w:rPr>
        <w:t>3</w:t>
      </w:r>
      <w:r>
        <w:rPr>
          <w:rFonts w:ascii="Arial" w:hAnsi="Arial" w:cs="Arial" w:eastAsia="Arial" w:hint="default"/>
          <w:spacing w:val="-6"/>
        </w:rPr>
        <w:t> </w:t>
      </w:r>
      <w:r>
        <w:rPr/>
        <w:t>年（含报告期）的利润分配方案及资本公积金转增股本方案情况</w:t>
      </w:r>
    </w:p>
    <w:p>
      <w:pPr>
        <w:pStyle w:val="BodyText"/>
        <w:spacing w:line="240" w:lineRule="auto" w:before="105"/>
        <w:ind w:right="1121"/>
        <w:jc w:val="left"/>
      </w:pPr>
      <w:r>
        <w:rPr>
          <w:rFonts w:ascii="Arial" w:hAnsi="Arial" w:cs="Arial" w:eastAsia="Arial" w:hint="default"/>
        </w:rPr>
        <w:t>1</w:t>
      </w:r>
      <w:r>
        <w:rPr/>
        <w:t>、</w:t>
      </w:r>
      <w:r>
        <w:rPr>
          <w:rFonts w:ascii="Arial" w:hAnsi="Arial" w:cs="Arial" w:eastAsia="Arial" w:hint="default"/>
        </w:rPr>
        <w:t>2010</w:t>
      </w:r>
      <w:r>
        <w:rPr/>
        <w:t>年度利润分配方案：无。</w:t>
      </w:r>
    </w:p>
    <w:p>
      <w:pPr>
        <w:pStyle w:val="BodyText"/>
        <w:spacing w:line="240" w:lineRule="auto" w:before="63"/>
        <w:ind w:right="0"/>
        <w:jc w:val="left"/>
      </w:pPr>
      <w:r>
        <w:rPr>
          <w:rFonts w:ascii="Arial" w:hAnsi="Arial" w:cs="Arial" w:eastAsia="Arial" w:hint="default"/>
        </w:rPr>
        <w:t>2</w:t>
      </w:r>
      <w:r>
        <w:rPr/>
        <w:t>、</w:t>
      </w:r>
      <w:r>
        <w:rPr>
          <w:rFonts w:ascii="Arial" w:hAnsi="Arial" w:cs="Arial" w:eastAsia="Arial" w:hint="default"/>
        </w:rPr>
        <w:t>2011</w:t>
      </w:r>
      <w:r>
        <w:rPr/>
        <w:t>年度利润分配方案：以</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16</w:t>
      </w:r>
      <w:r>
        <w:rPr/>
        <w:t>日</w:t>
      </w:r>
      <w:r>
        <w:rPr>
          <w:rFonts w:ascii="Arial" w:hAnsi="Arial" w:cs="Arial" w:eastAsia="Arial" w:hint="default"/>
        </w:rPr>
        <w:t>A</w:t>
      </w:r>
      <w:r>
        <w:rPr/>
        <w:t>股发行并上市后的总股本</w:t>
      </w:r>
      <w:r>
        <w:rPr>
          <w:rFonts w:ascii="Arial" w:hAnsi="Arial" w:cs="Arial" w:eastAsia="Arial" w:hint="default"/>
        </w:rPr>
        <w:t>9,708</w:t>
      </w:r>
      <w:r>
        <w:rPr/>
        <w:t>万股为基数，按每</w:t>
      </w:r>
      <w:r>
        <w:rPr>
          <w:rFonts w:ascii="Arial" w:hAnsi="Arial" w:cs="Arial" w:eastAsia="Arial" w:hint="default"/>
        </w:rPr>
        <w:t>10</w:t>
      </w:r>
      <w:r>
        <w:rPr/>
        <w:t>股派发现金股利人民币</w:t>
      </w:r>
    </w:p>
    <w:p>
      <w:pPr>
        <w:pStyle w:val="BodyText"/>
        <w:spacing w:line="240" w:lineRule="auto" w:before="63"/>
        <w:ind w:right="1121"/>
        <w:jc w:val="left"/>
      </w:pPr>
      <w:r>
        <w:rPr>
          <w:rFonts w:ascii="Arial" w:hAnsi="Arial" w:cs="Arial" w:eastAsia="Arial" w:hint="default"/>
        </w:rPr>
        <w:t>2.0</w:t>
      </w:r>
      <w:r>
        <w:rPr/>
        <w:t>元（含税），共计派发</w:t>
      </w:r>
      <w:r>
        <w:rPr>
          <w:rFonts w:ascii="Arial" w:hAnsi="Arial" w:cs="Arial" w:eastAsia="Arial" w:hint="default"/>
        </w:rPr>
        <w:t>1941.6</w:t>
      </w:r>
      <w:r>
        <w:rPr/>
        <w:t>万元。</w:t>
      </w:r>
    </w:p>
    <w:p>
      <w:pPr>
        <w:pStyle w:val="BodyText"/>
        <w:spacing w:line="240" w:lineRule="auto" w:before="63"/>
        <w:ind w:right="0"/>
        <w:jc w:val="left"/>
      </w:pPr>
      <w:r>
        <w:rPr>
          <w:rFonts w:ascii="Arial" w:hAnsi="Arial" w:cs="Arial" w:eastAsia="Arial" w:hint="default"/>
        </w:rPr>
        <w:t>3</w:t>
      </w:r>
      <w:r>
        <w:rPr/>
        <w:t>、茂硕电源科技股份有限公司（以下简称</w:t>
      </w:r>
      <w:r>
        <w:rPr>
          <w:rFonts w:ascii="Arial" w:hAnsi="Arial" w:cs="Arial" w:eastAsia="Arial" w:hint="default"/>
        </w:rPr>
        <w:t>“</w:t>
      </w:r>
      <w:r>
        <w:rPr/>
        <w:t>公司</w:t>
      </w:r>
      <w:r>
        <w:rPr>
          <w:rFonts w:ascii="Arial" w:hAnsi="Arial" w:cs="Arial" w:eastAsia="Arial" w:hint="default"/>
        </w:rPr>
        <w:t>”</w:t>
      </w:r>
      <w:r>
        <w:rPr/>
        <w:t>）目前的总股本为</w:t>
      </w:r>
      <w:r>
        <w:rPr>
          <w:rFonts w:ascii="Arial" w:hAnsi="Arial" w:cs="Arial" w:eastAsia="Arial" w:hint="default"/>
        </w:rPr>
        <w:t>9,878.88</w:t>
      </w:r>
      <w:r>
        <w:rPr/>
        <w:t>万股，由于公司于</w:t>
      </w:r>
      <w:r>
        <w:rPr>
          <w:rFonts w:ascii="Arial" w:hAnsi="Arial" w:cs="Arial" w:eastAsia="Arial" w:hint="default"/>
        </w:rPr>
        <w:t>2013</w:t>
      </w:r>
      <w:r>
        <w:rPr/>
        <w:t>年</w:t>
      </w:r>
      <w:r>
        <w:rPr>
          <w:rFonts w:ascii="Arial" w:hAnsi="Arial" w:cs="Arial" w:eastAsia="Arial" w:hint="default"/>
        </w:rPr>
        <w:t>2</w:t>
      </w:r>
      <w:r>
        <w:rPr/>
        <w:t>月</w:t>
      </w:r>
      <w:r>
        <w:rPr>
          <w:rFonts w:ascii="Arial" w:hAnsi="Arial" w:cs="Arial" w:eastAsia="Arial" w:hint="default"/>
        </w:rPr>
        <w:t>1</w:t>
      </w:r>
      <w:r>
        <w:rPr/>
        <w:t>日第二届董事会</w:t>
      </w:r>
    </w:p>
    <w:p>
      <w:pPr>
        <w:pStyle w:val="BodyText"/>
        <w:spacing w:line="304" w:lineRule="auto" w:before="63"/>
        <w:ind w:right="1102"/>
        <w:jc w:val="left"/>
      </w:pPr>
      <w:r>
        <w:rPr>
          <w:rFonts w:ascii="Arial" w:hAnsi="Arial" w:cs="Arial" w:eastAsia="Arial" w:hint="default"/>
          <w:spacing w:val="-1"/>
        </w:rPr>
        <w:t>2013</w:t>
      </w:r>
      <w:r>
        <w:rPr>
          <w:spacing w:val="-1"/>
        </w:rPr>
        <w:t>年第</w:t>
      </w:r>
      <w:r>
        <w:rPr>
          <w:rFonts w:ascii="Arial" w:hAnsi="Arial" w:cs="Arial" w:eastAsia="Arial" w:hint="default"/>
          <w:spacing w:val="-1"/>
        </w:rPr>
        <w:t>1</w:t>
      </w:r>
      <w:r>
        <w:rPr>
          <w:spacing w:val="-1"/>
        </w:rPr>
        <w:t>次临时会议审议通过了《关于回购注销已不符合激励条件激励对象已获授但尚未解锁的限制性股票的议案》，原</w:t>
      </w:r>
      <w:r>
        <w:rPr>
          <w:spacing w:val="-82"/>
        </w:rPr>
        <w:t> </w:t>
      </w:r>
      <w:r>
        <w:rPr>
          <w:spacing w:val="-82"/>
        </w:rPr>
      </w:r>
      <w:r>
        <w:rPr/>
        <w:t>限制性股票激励对象张爱花、韦利华、严娜分别获授公司限制性股票</w:t>
      </w:r>
      <w:r>
        <w:rPr>
          <w:rFonts w:ascii="Arial" w:hAnsi="Arial" w:cs="Arial" w:eastAsia="Arial" w:hint="default"/>
        </w:rPr>
        <w:t>90,000</w:t>
      </w:r>
      <w:r>
        <w:rPr/>
        <w:t>股、</w:t>
      </w:r>
      <w:r>
        <w:rPr>
          <w:rFonts w:ascii="Arial" w:hAnsi="Arial" w:cs="Arial" w:eastAsia="Arial" w:hint="default"/>
        </w:rPr>
        <w:t>65,000</w:t>
      </w:r>
      <w:r>
        <w:rPr/>
        <w:t>股和</w:t>
      </w:r>
      <w:r>
        <w:rPr>
          <w:rFonts w:ascii="Arial" w:hAnsi="Arial" w:cs="Arial" w:eastAsia="Arial" w:hint="default"/>
        </w:rPr>
        <w:t>2,000</w:t>
      </w:r>
      <w:r>
        <w:rPr/>
        <w:t>股，现激励对象张爱花、 </w:t>
      </w:r>
      <w:r>
        <w:rPr>
          <w:spacing w:val="-2"/>
        </w:rPr>
        <w:t>韦利华、严娜因个人原因离职已不符合激励条件。根据公司《限制性股票激励计划》（修订案）的相关规定，公司将回购注</w:t>
      </w:r>
      <w:r>
        <w:rPr>
          <w:spacing w:val="-71"/>
        </w:rPr>
        <w:t> </w:t>
      </w:r>
      <w:r>
        <w:rPr>
          <w:spacing w:val="-71"/>
        </w:rPr>
      </w:r>
      <w:r>
        <w:rPr/>
        <w:t>销该部分已获授但尚未解锁的限制性股票共计</w:t>
      </w:r>
      <w:r>
        <w:rPr>
          <w:rFonts w:ascii="Arial" w:hAnsi="Arial" w:cs="Arial" w:eastAsia="Arial" w:hint="default"/>
        </w:rPr>
        <w:t>157,000</w:t>
      </w:r>
      <w:r>
        <w:rPr/>
        <w:t>股，回购价格</w:t>
      </w:r>
      <w:r>
        <w:rPr>
          <w:rFonts w:ascii="Arial" w:hAnsi="Arial" w:cs="Arial" w:eastAsia="Arial" w:hint="default"/>
        </w:rPr>
        <w:t>9.2</w:t>
      </w:r>
      <w:r>
        <w:rPr/>
        <w:t>元</w:t>
      </w:r>
      <w:r>
        <w:rPr>
          <w:rFonts w:ascii="Arial" w:hAnsi="Arial" w:cs="Arial" w:eastAsia="Arial" w:hint="default"/>
        </w:rPr>
        <w:t>/</w:t>
      </w:r>
      <w:r>
        <w:rPr/>
        <w:t>股。本次回购注销完成后，公司股份总数将由 </w:t>
      </w:r>
      <w:r>
        <w:rPr>
          <w:rFonts w:ascii="Arial" w:hAnsi="Arial" w:cs="Arial" w:eastAsia="Arial" w:hint="default"/>
          <w:spacing w:val="-1"/>
        </w:rPr>
        <w:t>9,878.88</w:t>
      </w:r>
      <w:r>
        <w:rPr>
          <w:spacing w:val="-1"/>
        </w:rPr>
        <w:t>万股变更为</w:t>
      </w:r>
      <w:r>
        <w:rPr>
          <w:rFonts w:ascii="Arial" w:hAnsi="Arial" w:cs="Arial" w:eastAsia="Arial" w:hint="default"/>
          <w:spacing w:val="-1"/>
        </w:rPr>
        <w:t>9,863.18</w:t>
      </w:r>
      <w:r>
        <w:rPr>
          <w:spacing w:val="-1"/>
        </w:rPr>
        <w:t>万股，公司将于本次回购完成后依法履行相应的减资程序，目前减资程序尚未完成，公司将于</w:t>
      </w:r>
    </w:p>
    <w:p>
      <w:pPr>
        <w:pStyle w:val="BodyText"/>
        <w:spacing w:line="240" w:lineRule="auto" w:before="9"/>
        <w:ind w:right="1121"/>
        <w:jc w:val="left"/>
      </w:pPr>
      <w:r>
        <w:rPr>
          <w:rFonts w:ascii="Arial" w:hAnsi="Arial" w:cs="Arial" w:eastAsia="Arial" w:hint="default"/>
        </w:rPr>
        <w:t>2012</w:t>
      </w:r>
      <w:r>
        <w:rPr/>
        <w:t>年年度股东大会股权登记日前完成本次回购注销相关事宜，该部分回购注销的股份不参加</w:t>
      </w:r>
      <w:r>
        <w:rPr>
          <w:rFonts w:ascii="Arial" w:hAnsi="Arial" w:cs="Arial" w:eastAsia="Arial" w:hint="default"/>
        </w:rPr>
        <w:t>2012</w:t>
      </w:r>
      <w:r>
        <w:rPr/>
        <w:t>年度利润分配。</w:t>
      </w:r>
    </w:p>
    <w:p>
      <w:pPr>
        <w:pStyle w:val="BodyText"/>
        <w:spacing w:line="302" w:lineRule="auto" w:before="63"/>
        <w:ind w:right="1121" w:firstLine="396"/>
        <w:jc w:val="left"/>
      </w:pPr>
      <w:r>
        <w:rPr>
          <w:rFonts w:ascii="Arial" w:hAnsi="Arial" w:cs="Arial" w:eastAsia="Arial" w:hint="default"/>
          <w:spacing w:val="-2"/>
        </w:rPr>
        <w:t>2012</w:t>
      </w:r>
      <w:r>
        <w:rPr>
          <w:spacing w:val="-2"/>
        </w:rPr>
        <w:t>年度利润分配预案为：以回购注销完成后的总股本</w:t>
      </w:r>
      <w:r>
        <w:rPr>
          <w:rFonts w:ascii="Arial" w:hAnsi="Arial" w:cs="Arial" w:eastAsia="Arial" w:hint="default"/>
          <w:spacing w:val="-2"/>
        </w:rPr>
        <w:t>9,863.18</w:t>
      </w:r>
      <w:r>
        <w:rPr>
          <w:spacing w:val="-2"/>
        </w:rPr>
        <w:t>万股为基数，向全体股东每</w:t>
      </w:r>
      <w:r>
        <w:rPr>
          <w:rFonts w:ascii="Arial" w:hAnsi="Arial" w:cs="Arial" w:eastAsia="Arial" w:hint="default"/>
          <w:spacing w:val="-2"/>
        </w:rPr>
        <w:t>10</w:t>
      </w:r>
      <w:r>
        <w:rPr>
          <w:spacing w:val="-2"/>
        </w:rPr>
        <w:t>股派发现金股利</w:t>
      </w:r>
      <w:r>
        <w:rPr>
          <w:rFonts w:ascii="Arial" w:hAnsi="Arial" w:cs="Arial" w:eastAsia="Arial" w:hint="default"/>
          <w:spacing w:val="-2"/>
        </w:rPr>
        <w:t>1</w:t>
      </w:r>
      <w:r>
        <w:rPr>
          <w:spacing w:val="-2"/>
        </w:rPr>
        <w:t>元人民</w:t>
      </w:r>
      <w:r>
        <w:rPr/>
        <w:t> 币（含税）；同时进行资本公积金转增股本，以公司总股本</w:t>
      </w:r>
      <w:r>
        <w:rPr>
          <w:rFonts w:ascii="Arial" w:hAnsi="Arial" w:cs="Arial" w:eastAsia="Arial" w:hint="default"/>
        </w:rPr>
        <w:t>9,863.18</w:t>
      </w:r>
      <w:r>
        <w:rPr/>
        <w:t>万股为基数向全体股东每</w:t>
      </w:r>
      <w:r>
        <w:rPr>
          <w:rFonts w:ascii="Arial" w:hAnsi="Arial" w:cs="Arial" w:eastAsia="Arial" w:hint="default"/>
        </w:rPr>
        <w:t>10</w:t>
      </w:r>
      <w:r>
        <w:rPr/>
        <w:t>股转增</w:t>
      </w:r>
      <w:r>
        <w:rPr>
          <w:rFonts w:ascii="Arial" w:hAnsi="Arial" w:cs="Arial" w:eastAsia="Arial" w:hint="default"/>
        </w:rPr>
        <w:t>10</w:t>
      </w:r>
      <w:r>
        <w:rPr/>
        <w:t>股，转增后公司 总股本将增加至</w:t>
      </w:r>
      <w:r>
        <w:rPr>
          <w:rFonts w:ascii="Arial" w:hAnsi="Arial" w:cs="Arial" w:eastAsia="Arial" w:hint="default"/>
        </w:rPr>
        <w:t>19,726.36</w:t>
      </w:r>
      <w:r>
        <w:rPr/>
        <w:t>万股。</w:t>
      </w:r>
    </w:p>
    <w:p>
      <w:pPr>
        <w:pStyle w:val="BodyText"/>
        <w:spacing w:line="240" w:lineRule="auto" w:before="52"/>
        <w:ind w:right="1121"/>
        <w:jc w:val="left"/>
      </w:pPr>
      <w:r>
        <w:rPr/>
        <w:t>公司近三年现金分红情况表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1" w:right="29" w:firstLine="79"/>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Arial" w:hAnsi="Arial" w:cs="Arial" w:eastAsia="Arial"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9,863,180.00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47,516,095.88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20.76%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19,416,000.00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53,725,493.21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36.14%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47,098,719.66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0%</w:t>
            </w:r>
            <w:r>
              <w:rPr>
                <w:rFonts w:ascii="Arial"/>
                <w:sz w:val="18"/>
              </w:rPr>
            </w:r>
          </w:p>
        </w:tc>
      </w:tr>
    </w:tbl>
    <w:p>
      <w:pPr>
        <w:pStyle w:val="BodyText"/>
        <w:spacing w:line="240" w:lineRule="auto" w:before="49"/>
        <w:ind w:right="1121"/>
        <w:jc w:val="left"/>
      </w:pPr>
      <w:r>
        <w:rPr/>
        <w:t>公司报告期内盈利且母公司未分配利润为正但未提出现金红利分配预案</w:t>
      </w:r>
    </w:p>
    <w:p>
      <w:pPr>
        <w:pStyle w:val="BodyText"/>
        <w:spacing w:line="240" w:lineRule="auto" w:before="115"/>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1"/>
        <w:jc w:val="left"/>
        <w:rPr>
          <w:b w:val="0"/>
          <w:bCs w:val="0"/>
        </w:rPr>
      </w:pPr>
      <w:r>
        <w:rPr/>
        <w:t>十二、社会责任情况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作为在深圳证券交易所中小板上市公司，公司严格按照《公司法》、《证券法》、《深圳证券交易所中小企业板上市公</w:t>
      </w:r>
      <w:r>
        <w:rPr/>
        <w:t> </w:t>
      </w:r>
      <w:r>
        <w:rPr>
          <w:spacing w:val="-2"/>
        </w:rPr>
        <w:t>司规范运作指引》等相关法律法规的要求，完善了行之有效的风险控制体系，对经营风险、财务风险、市场风险、政策法规</w:t>
      </w:r>
      <w:r>
        <w:rPr>
          <w:spacing w:val="-70"/>
        </w:rPr>
        <w:t> </w:t>
      </w:r>
      <w:r>
        <w:rPr>
          <w:spacing w:val="-70"/>
        </w:rPr>
      </w:r>
      <w:r>
        <w:rPr>
          <w:spacing w:val="-2"/>
        </w:rPr>
        <w:t>风险等进行持续监控，强化风险管理，确保股东大会、董事会和监事会等机构合法运行、科学决策、公司各项经营活动正常</w:t>
      </w:r>
      <w:r>
        <w:rPr>
          <w:spacing w:val="-67"/>
        </w:rPr>
        <w:t> </w:t>
      </w:r>
      <w:r>
        <w:rPr>
          <w:spacing w:val="-67"/>
        </w:rPr>
      </w:r>
      <w:r>
        <w:rPr/>
        <w:t>有序的进行，以切实保障全体股东及债权人的权益。</w:t>
      </w:r>
    </w:p>
    <w:p>
      <w:pPr>
        <w:pStyle w:val="BodyText"/>
        <w:spacing w:line="302" w:lineRule="auto" w:before="19"/>
        <w:ind w:right="1129" w:firstLine="360"/>
        <w:jc w:val="both"/>
      </w:pPr>
      <w:r>
        <w:rPr>
          <w:spacing w:val="-1"/>
        </w:rPr>
        <w:t>公司重视企业社会价值的实现，并一直秉承</w:t>
      </w:r>
      <w:r>
        <w:rPr>
          <w:rFonts w:ascii="Arial" w:hAnsi="Arial" w:cs="Arial" w:eastAsia="Arial" w:hint="default"/>
          <w:spacing w:val="-1"/>
        </w:rPr>
        <w:t>“</w:t>
      </w:r>
      <w:r>
        <w:rPr>
          <w:spacing w:val="-1"/>
        </w:rPr>
        <w:t>高效节能第一品牌</w:t>
      </w:r>
      <w:r>
        <w:rPr>
          <w:rFonts w:ascii="Arial" w:hAnsi="Arial" w:cs="Arial" w:eastAsia="Arial" w:hint="default"/>
          <w:spacing w:val="-1"/>
        </w:rPr>
        <w:t>”</w:t>
      </w:r>
      <w:r>
        <w:rPr>
          <w:spacing w:val="-1"/>
        </w:rPr>
        <w:t>的企业使命，重视研发及生产真正高效、节能、智能的</w:t>
      </w:r>
      <w:r>
        <w:rPr/>
        <w:t> 优质产品、践行企业社会责任。</w:t>
      </w:r>
    </w:p>
    <w:p>
      <w:pPr>
        <w:pStyle w:val="BodyText"/>
        <w:spacing w:line="319" w:lineRule="auto" w:before="29"/>
        <w:ind w:left="513" w:right="1121"/>
        <w:jc w:val="left"/>
      </w:pPr>
      <w:r>
        <w:rPr/>
        <w:t>（一）股东权益保护 </w:t>
      </w:r>
      <w:r>
        <w:rPr>
          <w:spacing w:val="-2"/>
        </w:rPr>
        <w:t>公司建立了较为完善的公司治理结构，形成了完整的内控制度，在机制上保证了对所有股东的公平、公正、公开，并充</w:t>
      </w:r>
    </w:p>
    <w:p>
      <w:pPr>
        <w:pStyle w:val="BodyText"/>
        <w:spacing w:line="314" w:lineRule="auto" w:before="17"/>
        <w:ind w:right="1034"/>
        <w:jc w:val="left"/>
      </w:pPr>
      <w:r>
        <w:rPr/>
        <w:t>分享有法律、法规、规章所规定的各项合法权益。报告期内，公司召开了</w:t>
      </w:r>
      <w:r>
        <w:rPr>
          <w:rFonts w:ascii="Arial" w:hAnsi="Arial" w:cs="Arial" w:eastAsia="Arial" w:hint="default"/>
        </w:rPr>
        <w:t>7</w:t>
      </w:r>
      <w:r>
        <w:rPr/>
        <w:t>次股东大会，包括</w:t>
      </w:r>
      <w:r>
        <w:rPr>
          <w:rFonts w:ascii="Arial" w:hAnsi="Arial" w:cs="Arial" w:eastAsia="Arial" w:hint="default"/>
        </w:rPr>
        <w:t>1</w:t>
      </w:r>
      <w:r>
        <w:rPr/>
        <w:t>次定期会议和</w:t>
      </w:r>
      <w:r>
        <w:rPr>
          <w:rFonts w:ascii="Arial" w:hAnsi="Arial" w:cs="Arial" w:eastAsia="Arial" w:hint="default"/>
        </w:rPr>
        <w:t>6</w:t>
      </w:r>
      <w:r>
        <w:rPr/>
        <w:t>次临时会议， </w:t>
      </w:r>
      <w:r>
        <w:rPr>
          <w:spacing w:val="-2"/>
        </w:rPr>
        <w:t>会议的召集、召开与表决程序符合法律、法规及《公司章程》等的规定。同时，公司严格按照有关法律、法规和公司相关制</w:t>
      </w:r>
      <w:r>
        <w:rPr>
          <w:spacing w:val="-73"/>
        </w:rPr>
        <w:t> </w:t>
      </w:r>
      <w:r>
        <w:rPr>
          <w:spacing w:val="-73"/>
        </w:rPr>
      </w:r>
      <w:r>
        <w:rPr>
          <w:spacing w:val="-2"/>
        </w:rPr>
        <w:t>度的要求，及时、真实、准确、完整地进行常规信息披露，确保公司所有股东能够以平等的机会获得公司信息，保障全体股</w:t>
      </w:r>
      <w:r>
        <w:rPr>
          <w:spacing w:val="-68"/>
        </w:rPr>
        <w:t> </w:t>
      </w:r>
      <w:r>
        <w:rPr>
          <w:spacing w:val="-68"/>
        </w:rPr>
      </w:r>
      <w:r>
        <w:rPr/>
        <w:t>东的合法权益。此外，公司还通过投资者电话、传真、电子邮箱和投资者关系互动平台等多种方式与投资者进行沟通交流，</w:t>
      </w:r>
      <w:r>
        <w:rPr/>
        <w:t> 建立了良好的互动平台，提高了公司的透明度和诚信度。</w:t>
      </w:r>
    </w:p>
    <w:p>
      <w:pPr>
        <w:pStyle w:val="BodyText"/>
        <w:spacing w:line="316" w:lineRule="auto" w:before="20"/>
        <w:ind w:left="513" w:right="1121"/>
        <w:jc w:val="left"/>
      </w:pPr>
      <w:r>
        <w:rPr/>
        <w:t>（二）员工关怀方面 </w:t>
      </w:r>
      <w:r>
        <w:rPr>
          <w:spacing w:val="-2"/>
        </w:rPr>
        <w:t>公司为充分调动员工的工作积极性，积极搜集外部薪酬信息与市场优秀企业的薪酬，与员工充分沟通、调研，优化完善</w:t>
      </w:r>
    </w:p>
    <w:p>
      <w:pPr>
        <w:pStyle w:val="BodyText"/>
        <w:spacing w:line="240" w:lineRule="auto" w:before="18"/>
        <w:ind w:right="0"/>
        <w:jc w:val="left"/>
      </w:pPr>
      <w:r>
        <w:rPr>
          <w:spacing w:val="-4"/>
        </w:rPr>
        <w:t>了《薪酬管理制度》，更好地使员工通过自身的努力，在为公司的生产经营多做贡献的同时，分享到公司的经营与发展成果。</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r>
        <w:rPr/>
        <w:pict>
          <v:shape style="position:absolute;margin-left:388.993011pt;margin-top:653.019958pt;width:144.9pt;height:15.6pt;mso-position-horizontal-relative:page;mso-position-vertical-relative:page;z-index:-1034512" type="#_x0000_t202" filled="false" stroked="false">
            <v:textbox inset="0,0,0,0">
              <w:txbxContent>
                <w:p>
                  <w:pPr>
                    <w:pStyle w:val="BodyText"/>
                    <w:spacing w:line="240" w:lineRule="auto" w:before="8"/>
                    <w:ind w:left="0" w:right="0"/>
                    <w:jc w:val="left"/>
                  </w:pPr>
                  <w:r>
                    <w:rPr/>
                    <w:t>申银万国、</w:t>
                  </w:r>
                </w:p>
              </w:txbxContent>
            </v:textbox>
            <w10:wrap type="none"/>
          </v:shape>
        </w:pict>
      </w:r>
      <w:r>
        <w:rPr/>
        <w:pict>
          <v:group style="position:absolute;margin-left:432.309998pt;margin-top:653.019958pt;width:101.55pt;height:15.6pt;mso-position-horizontal-relative:page;mso-position-vertical-relative:page;z-index:-1034488" coordorigin="8646,13060" coordsize="2031,312">
            <v:shape style="position:absolute;left:8646;top:13060;width:2031;height:312" coordorigin="8646,13060" coordsize="2031,312" path="m8646,13372l10677,13372,10677,13060,8646,13060,8646,13372xe" filled="true" fillcolor="#ffffff" stroked="false">
              <v:path arrowok="t"/>
              <v:fill type="solid"/>
            </v:shape>
            <w10:wrap type="none"/>
          </v:group>
        </w:pict>
      </w:r>
      <w:r>
        <w:rPr/>
        <w:pict>
          <v:group style="position:absolute;margin-left:460.320007pt;margin-top:764.919983pt;width:135pt;height:77pt;mso-position-horizontal-relative:page;mso-position-vertical-relative:page;z-index:-1034440"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35</w:t>
                    </w:r>
                  </w:p>
                </w:txbxContent>
              </v:textbox>
              <w10:wrap type="none"/>
            </v:shape>
            <w10:wrap type="none"/>
          </v:group>
        </w:pict>
      </w:r>
    </w:p>
    <w:p>
      <w:pPr>
        <w:pStyle w:val="BodyText"/>
        <w:spacing w:line="319" w:lineRule="auto" w:before="44"/>
        <w:ind w:right="1131"/>
        <w:jc w:val="both"/>
      </w:pPr>
      <w:r>
        <w:rPr>
          <w:spacing w:val="-2"/>
        </w:rPr>
        <w:t>公司对新入职员工、转岗员工、新晋升员工及中高层管理人员进行相关培训，对表现卓越的员工有计划、有步骤地进行轮岗</w:t>
      </w:r>
      <w:r>
        <w:rPr>
          <w:spacing w:val="-65"/>
        </w:rPr>
        <w:t> </w:t>
      </w:r>
      <w:r>
        <w:rPr>
          <w:spacing w:val="-65"/>
        </w:rPr>
      </w:r>
      <w:r>
        <w:rPr/>
        <w:t>培训，以培养骨干，储备人才。</w:t>
      </w:r>
    </w:p>
    <w:p>
      <w:pPr>
        <w:pStyle w:val="BodyText"/>
        <w:spacing w:line="316" w:lineRule="auto" w:before="17"/>
        <w:ind w:left="513" w:right="1121"/>
        <w:jc w:val="left"/>
      </w:pPr>
      <w:r>
        <w:rPr/>
        <w:t>（三）供应商、客户和消费者权益保护 </w:t>
      </w:r>
      <w:r>
        <w:rPr>
          <w:spacing w:val="-1"/>
        </w:rPr>
        <w:t>公司一直遵循</w:t>
      </w:r>
      <w:r>
        <w:rPr>
          <w:rFonts w:ascii="Arial" w:hAnsi="Arial" w:cs="Arial" w:eastAsia="Arial" w:hint="default"/>
          <w:spacing w:val="-1"/>
        </w:rPr>
        <w:t>“</w:t>
      </w:r>
      <w:r>
        <w:rPr>
          <w:spacing w:val="-1"/>
        </w:rPr>
        <w:t>自愿、平等、互利</w:t>
      </w:r>
      <w:r>
        <w:rPr>
          <w:rFonts w:ascii="Arial" w:hAnsi="Arial" w:cs="Arial" w:eastAsia="Arial" w:hint="default"/>
          <w:spacing w:val="-1"/>
        </w:rPr>
        <w:t>”</w:t>
      </w:r>
      <w:r>
        <w:rPr>
          <w:spacing w:val="-1"/>
        </w:rPr>
        <w:t>的原则，积极构建和发展与供应商、经销商、客户的战略合作伙伴关系，注重与各相</w:t>
      </w:r>
    </w:p>
    <w:p>
      <w:pPr>
        <w:pStyle w:val="BodyText"/>
        <w:spacing w:line="235" w:lineRule="exact"/>
        <w:ind w:right="0"/>
        <w:jc w:val="both"/>
      </w:pPr>
      <w:r>
        <w:rPr/>
        <w:t>关方的沟通与协调，共同构筑信任与合作的平台，切实履行公司对供应商、经销商、对客户、对消费者的社会责任。</w:t>
      </w:r>
    </w:p>
    <w:p>
      <w:pPr>
        <w:pStyle w:val="BodyText"/>
        <w:spacing w:line="316" w:lineRule="auto" w:before="76"/>
        <w:ind w:left="513" w:right="1121"/>
        <w:jc w:val="left"/>
      </w:pPr>
      <w:r>
        <w:rPr/>
        <w:t>（四）产品品质管理 </w:t>
      </w:r>
      <w:r>
        <w:rPr>
          <w:spacing w:val="-1"/>
        </w:rPr>
        <w:t>公司始终专注于高端</w:t>
      </w:r>
      <w:r>
        <w:rPr>
          <w:rFonts w:ascii="Arial" w:hAnsi="Arial" w:cs="Arial" w:eastAsia="Arial" w:hint="default"/>
          <w:spacing w:val="-1"/>
        </w:rPr>
        <w:t>LED</w:t>
      </w:r>
      <w:r>
        <w:rPr>
          <w:spacing w:val="-1"/>
        </w:rPr>
        <w:t>驱动电源的研发、生产及销售，一直以打造</w:t>
      </w:r>
      <w:r>
        <w:rPr>
          <w:rFonts w:ascii="Arial" w:hAnsi="Arial" w:cs="Arial" w:eastAsia="Arial" w:hint="default"/>
          <w:spacing w:val="-1"/>
        </w:rPr>
        <w:t>“</w:t>
      </w:r>
      <w:r>
        <w:rPr>
          <w:spacing w:val="-1"/>
        </w:rPr>
        <w:t>高可靠性</w:t>
      </w:r>
      <w:r>
        <w:rPr>
          <w:rFonts w:ascii="Arial" w:hAnsi="Arial" w:cs="Arial" w:eastAsia="Arial" w:hint="default"/>
          <w:spacing w:val="-1"/>
        </w:rPr>
        <w:t>”</w:t>
      </w:r>
      <w:r>
        <w:rPr>
          <w:spacing w:val="-1"/>
        </w:rPr>
        <w:t>电源产品为已任，高度重视产品质量安</w:t>
      </w:r>
    </w:p>
    <w:p>
      <w:pPr>
        <w:pStyle w:val="BodyText"/>
        <w:spacing w:line="316" w:lineRule="auto"/>
        <w:ind w:right="1131"/>
        <w:jc w:val="both"/>
      </w:pPr>
      <w:r>
        <w:rPr>
          <w:spacing w:val="-2"/>
        </w:rPr>
        <w:t>全，在公司的成长与发展过程中，始终坚持以质量取胜，以质量服人，并建立了自己的高标准的测试实验室，配置国际最先</w:t>
      </w:r>
      <w:r>
        <w:rPr>
          <w:spacing w:val="-67"/>
        </w:rPr>
        <w:t> </w:t>
      </w:r>
      <w:r>
        <w:rPr>
          <w:spacing w:val="-67"/>
        </w:rPr>
      </w:r>
      <w:r>
        <w:rPr>
          <w:spacing w:val="-2"/>
        </w:rPr>
        <w:t>进的检测设备和采用国际最先进的测试手段，进行各种元器件的分析与实验，以保证茂硕电源的可靠性与安全性，此外，茂</w:t>
      </w:r>
      <w:r>
        <w:rPr>
          <w:spacing w:val="-64"/>
        </w:rPr>
        <w:t> </w:t>
      </w:r>
      <w:r>
        <w:rPr>
          <w:spacing w:val="-64"/>
        </w:rPr>
      </w:r>
      <w:r>
        <w:rPr/>
        <w:t>硕电源在业内率先提出了</w:t>
      </w:r>
      <w:r>
        <w:rPr>
          <w:rFonts w:ascii="Arial" w:hAnsi="Arial" w:cs="Arial" w:eastAsia="Arial" w:hint="default"/>
        </w:rPr>
        <w:t>“</w:t>
      </w:r>
      <w:r>
        <w:rPr/>
        <w:t>茂硕电源，保用五年</w:t>
      </w:r>
      <w:r>
        <w:rPr>
          <w:rFonts w:ascii="Arial" w:hAnsi="Arial" w:cs="Arial" w:eastAsia="Arial" w:hint="default"/>
        </w:rPr>
        <w:t>”</w:t>
      </w:r>
      <w:r>
        <w:rPr/>
        <w:t>的质量承诺，彰显了公司对产品的高度自信。</w:t>
      </w:r>
    </w:p>
    <w:p>
      <w:pPr>
        <w:pStyle w:val="BodyText"/>
        <w:spacing w:line="316" w:lineRule="auto"/>
        <w:ind w:left="513" w:right="1121"/>
        <w:jc w:val="left"/>
      </w:pPr>
      <w:r>
        <w:rPr/>
        <w:t>（五）积极参与社会公益事业 </w:t>
      </w:r>
      <w:r>
        <w:rPr>
          <w:spacing w:val="-1"/>
        </w:rPr>
        <w:t>公司注重社会价值的创造，始终不忘作为一个负责任的民族企业所应肩负的社会责任。秉承着</w:t>
      </w:r>
      <w:r>
        <w:rPr>
          <w:rFonts w:ascii="Arial" w:hAnsi="Arial" w:cs="Arial" w:eastAsia="Arial" w:hint="default"/>
          <w:spacing w:val="-1"/>
        </w:rPr>
        <w:t>“</w:t>
      </w:r>
      <w:r>
        <w:rPr>
          <w:spacing w:val="-1"/>
        </w:rPr>
        <w:t>服务社会，感恩社会</w:t>
      </w:r>
      <w:r>
        <w:rPr>
          <w:rFonts w:ascii="Arial" w:hAnsi="Arial" w:cs="Arial" w:eastAsia="Arial" w:hint="default"/>
          <w:spacing w:val="-1"/>
        </w:rPr>
        <w:t>”</w:t>
      </w:r>
      <w:r>
        <w:rPr>
          <w:spacing w:val="-1"/>
        </w:rPr>
        <w:t>的</w:t>
      </w:r>
    </w:p>
    <w:p>
      <w:pPr>
        <w:pStyle w:val="BodyText"/>
        <w:spacing w:line="309" w:lineRule="auto"/>
        <w:ind w:right="1131"/>
        <w:jc w:val="both"/>
      </w:pPr>
      <w:r>
        <w:rPr>
          <w:spacing w:val="-2"/>
        </w:rPr>
        <w:t>理念，</w:t>
      </w:r>
      <w:r>
        <w:rPr>
          <w:rFonts w:ascii="Arial" w:hAnsi="Arial" w:cs="Arial" w:eastAsia="Arial" w:hint="default"/>
          <w:spacing w:val="-2"/>
        </w:rPr>
        <w:t>2012</w:t>
      </w:r>
      <w:r>
        <w:rPr>
          <w:spacing w:val="-2"/>
        </w:rPr>
        <w:t>年，深圳举办首届</w:t>
      </w:r>
      <w:r>
        <w:rPr>
          <w:rFonts w:ascii="Arial" w:hAnsi="Arial" w:cs="Arial" w:eastAsia="Arial" w:hint="default"/>
          <w:spacing w:val="-2"/>
        </w:rPr>
        <w:t>“</w:t>
      </w:r>
      <w:r>
        <w:rPr>
          <w:spacing w:val="-2"/>
        </w:rPr>
        <w:t>公益金百万行</w:t>
      </w:r>
      <w:r>
        <w:rPr>
          <w:rFonts w:ascii="Arial" w:hAnsi="Arial" w:cs="Arial" w:eastAsia="Arial" w:hint="default"/>
          <w:spacing w:val="-2"/>
        </w:rPr>
        <w:t>”</w:t>
      </w:r>
      <w:r>
        <w:rPr>
          <w:spacing w:val="-2"/>
        </w:rPr>
        <w:t>活动，茂硕全程大力支持。同年，公司为弘扬尊师重教的优良传统，成立了春</w:t>
      </w:r>
      <w:r>
        <w:rPr>
          <w:spacing w:val="-47"/>
        </w:rPr>
        <w:t> </w:t>
      </w:r>
      <w:r>
        <w:rPr>
          <w:spacing w:val="-47"/>
        </w:rPr>
      </w:r>
      <w:r>
        <w:rPr>
          <w:spacing w:val="-2"/>
        </w:rPr>
        <w:t>晖奖学基金会。公司在力所能及的范围内，对地方教育、文化、科学、卫生、扶贫济困等方面给予了必要的支持，促进了当</w:t>
      </w:r>
      <w:r>
        <w:rPr>
          <w:spacing w:val="-73"/>
        </w:rPr>
        <w:t> </w:t>
      </w:r>
      <w:r>
        <w:rPr>
          <w:spacing w:val="-73"/>
        </w:rPr>
      </w:r>
      <w:r>
        <w:rPr/>
        <w:t>地的经济建设和社会发展。</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t>十三、报告期内接待调研、沟通、采访等活动登记表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34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茂硕科技园</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天弘基金、嘉实基 金、民生证券、大 成基金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参观了公司的生产车间， 介绍了公司生产经营情 况、行业发展情况、发展 战略等</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25</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茂硕科技园</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易方达基金、申银 万国、国泰君安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介绍了公司生产经营情 况、行业发展情况、发展 战略等</w:t>
            </w:r>
          </w:p>
        </w:tc>
      </w:tr>
      <w:tr>
        <w:trPr>
          <w:trHeight w:val="227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茂硕科技园</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国信证券、夸克投 资、毅扬投资、招 商证券、中信建投 证券、华夏基金、 华泰证券、东北证 券、广州证券、长 江证券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介绍了公司生产经营情 况、行业发展情况、发展 战略等</w:t>
            </w:r>
          </w:p>
        </w:tc>
      </w:tr>
      <w:tr>
        <w:trPr>
          <w:trHeight w:val="196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茂硕科技园</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安信基金、民森投 资、财富证券、国 泰君安、 方正证券、长信基 金、宝盈基金、第 一创业证券</w:t>
            </w:r>
          </w:p>
        </w:tc>
        <w:tc>
          <w:tcPr>
            <w:tcW w:w="208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1" w:right="70"/>
              <w:jc w:val="left"/>
              <w:rPr>
                <w:rFonts w:ascii="宋体" w:hAnsi="宋体" w:cs="宋体" w:eastAsia="宋体" w:hint="default"/>
                <w:sz w:val="18"/>
                <w:szCs w:val="18"/>
              </w:rPr>
            </w:pPr>
            <w:r>
              <w:rPr>
                <w:rFonts w:ascii="宋体" w:hAnsi="宋体" w:cs="宋体" w:eastAsia="宋体" w:hint="default"/>
                <w:sz w:val="18"/>
                <w:szCs w:val="18"/>
              </w:rPr>
              <w:t>参观了公司的生产车间， 介绍了公司生产经营情 况、行业发展情况、发展 战略等</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茂硕科技园</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易方达基金、长江 证券、农银汇理、 第一创业证券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介绍了公司生产经营情 况、行业发展情况、发展 战略等</w:t>
            </w:r>
          </w:p>
        </w:tc>
      </w:tr>
    </w:tbl>
    <w:p>
      <w:pPr>
        <w:spacing w:after="0" w:line="316" w:lineRule="auto"/>
        <w:jc w:val="left"/>
        <w:rPr>
          <w:rFonts w:ascii="宋体" w:hAnsi="宋体" w:cs="宋体" w:eastAsia="宋体" w:hint="default"/>
          <w:sz w:val="18"/>
          <w:szCs w:val="18"/>
        </w:rPr>
        <w:sectPr>
          <w:headerReference w:type="default" r:id="rId23"/>
          <w:footerReference w:type="default" r:id="rId24"/>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茂硕科技园</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3"/>
              <w:jc w:val="left"/>
              <w:rPr>
                <w:rFonts w:ascii="宋体" w:hAnsi="宋体" w:cs="宋体" w:eastAsia="宋体" w:hint="default"/>
                <w:sz w:val="18"/>
                <w:szCs w:val="18"/>
              </w:rPr>
            </w:pPr>
            <w:r>
              <w:rPr>
                <w:rFonts w:ascii="宋体" w:hAnsi="宋体" w:cs="宋体" w:eastAsia="宋体" w:hint="default"/>
                <w:sz w:val="18"/>
                <w:szCs w:val="18"/>
              </w:rPr>
              <w:t>交银施罗德基金、 华夏基金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参观了公司的生产车间， 介绍了公司生产经营情 况、行业发展情况、发展 战略等</w:t>
            </w:r>
          </w:p>
        </w:tc>
      </w:tr>
      <w:tr>
        <w:trPr>
          <w:trHeight w:val="133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茂硕科技园</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23"/>
              <w:jc w:val="left"/>
              <w:rPr>
                <w:rFonts w:ascii="宋体" w:hAnsi="宋体" w:cs="宋体" w:eastAsia="宋体" w:hint="default"/>
                <w:sz w:val="18"/>
                <w:szCs w:val="18"/>
              </w:rPr>
            </w:pPr>
            <w:r>
              <w:rPr>
                <w:rFonts w:ascii="宋体" w:hAnsi="宋体" w:cs="宋体" w:eastAsia="宋体" w:hint="default"/>
                <w:sz w:val="18"/>
                <w:szCs w:val="18"/>
              </w:rPr>
              <w:t>申万菱信基金、广 发证券、湘财证券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参观了公司的生产车间， 介绍了公司生产经营情 况、行业发展情况、发展 战略等</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7"/>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茂硕科技园</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申银万国</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介绍了公司生产经营情 况、行业发展情况、发展 战略等</w:t>
            </w:r>
          </w:p>
        </w:tc>
      </w:tr>
      <w:tr>
        <w:trPr>
          <w:trHeight w:val="102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7"/>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09</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茂硕科技园</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3"/>
              <w:jc w:val="both"/>
              <w:rPr>
                <w:rFonts w:ascii="宋体" w:hAnsi="宋体" w:cs="宋体" w:eastAsia="宋体" w:hint="default"/>
                <w:sz w:val="18"/>
                <w:szCs w:val="18"/>
              </w:rPr>
            </w:pPr>
            <w:r>
              <w:rPr>
                <w:rFonts w:ascii="宋体" w:hAnsi="宋体" w:cs="宋体" w:eastAsia="宋体" w:hint="default"/>
                <w:sz w:val="18"/>
                <w:szCs w:val="18"/>
              </w:rPr>
              <w:t>宝盈基金、海通证 券、易方达基金、 诺安基金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0"/>
              <w:jc w:val="left"/>
              <w:rPr>
                <w:rFonts w:ascii="宋体" w:hAnsi="宋体" w:cs="宋体" w:eastAsia="宋体" w:hint="default"/>
                <w:sz w:val="18"/>
                <w:szCs w:val="18"/>
              </w:rPr>
            </w:pPr>
            <w:r>
              <w:rPr>
                <w:rFonts w:ascii="宋体" w:hAnsi="宋体" w:cs="宋体" w:eastAsia="宋体" w:hint="default"/>
                <w:sz w:val="18"/>
                <w:szCs w:val="18"/>
              </w:rPr>
              <w:t>介绍了公司生产经营情 况、行业发展情况、发展 战略等</w:t>
            </w:r>
          </w:p>
        </w:tc>
      </w:tr>
    </w:tbl>
    <w:p>
      <w:pPr>
        <w:spacing w:after="0" w:line="316" w:lineRule="auto"/>
        <w:jc w:val="left"/>
        <w:rPr>
          <w:rFonts w:ascii="宋体" w:hAnsi="宋体" w:cs="宋体" w:eastAsia="宋体" w:hint="default"/>
          <w:sz w:val="18"/>
          <w:szCs w:val="18"/>
        </w:rPr>
        <w:sectPr>
          <w:footerReference w:type="default" r:id="rId25"/>
          <w:pgSz w:w="11910" w:h="16840"/>
          <w:pgMar w:footer="1340" w:header="877" w:top="1060" w:bottom="1540" w:left="980" w:right="0"/>
          <w:pgNumType w:start="3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1130"/>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1"/>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right="78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本年度公司无重大诉讼、仲裁事项。 媒体质疑情况</w:t>
      </w:r>
    </w:p>
    <w:p>
      <w:pPr>
        <w:pStyle w:val="BodyText"/>
        <w:spacing w:line="340" w:lineRule="auto" w:before="36"/>
        <w:ind w:right="84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本年度公司无媒体质疑事项。</w:t>
      </w:r>
    </w:p>
    <w:p>
      <w:pPr>
        <w:spacing w:line="240" w:lineRule="auto" w:before="4"/>
        <w:rPr>
          <w:rFonts w:ascii="宋体" w:hAnsi="宋体" w:cs="宋体" w:eastAsia="宋体" w:hint="default"/>
          <w:sz w:val="19"/>
          <w:szCs w:val="19"/>
        </w:rPr>
      </w:pPr>
    </w:p>
    <w:p>
      <w:pPr>
        <w:pStyle w:val="Heading2"/>
        <w:spacing w:line="240" w:lineRule="auto"/>
        <w:ind w:right="1121"/>
        <w:jc w:val="left"/>
        <w:rPr>
          <w:b w:val="0"/>
          <w:bCs w:val="0"/>
        </w:rPr>
      </w:pPr>
      <w:r>
        <w:rPr/>
        <w:t>二、上市公司发生控股股东及其关联方非经营性占用资金情况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02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04" w:right="22" w:hanging="181"/>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95" w:right="23" w:hanging="272"/>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19"/>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hanging="1"/>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92" w:right="23" w:hanging="269"/>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惠州茂硕能 源科技有限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茂硕能源科 技</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国 际有限公司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41.93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深圳茂硕电 子科技有限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452.99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深圳华智测 控技术有限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707.59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254.5</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254.5</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r>
      <w:tr>
        <w:trPr>
          <w:trHeight w:val="713"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38"/>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5"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8"/>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9"/>
              <w:jc w:val="lef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）刊登的《控股股东及其他关联方资金占用情</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况的专项审计说明》</w:t>
            </w:r>
          </w:p>
        </w:tc>
      </w:tr>
    </w:tbl>
    <w:p>
      <w:pPr>
        <w:spacing w:line="240" w:lineRule="auto" w:before="1"/>
        <w:rPr>
          <w:rFonts w:ascii="宋体" w:hAnsi="宋体" w:cs="宋体" w:eastAsia="宋体" w:hint="default"/>
          <w:b/>
          <w:bCs/>
          <w:sz w:val="18"/>
          <w:szCs w:val="18"/>
        </w:rPr>
      </w:pPr>
    </w:p>
    <w:p>
      <w:pPr>
        <w:pStyle w:val="Heading2"/>
        <w:spacing w:line="240" w:lineRule="auto" w:before="26"/>
        <w:ind w:right="1121"/>
        <w:jc w:val="left"/>
        <w:rPr>
          <w:b w:val="0"/>
          <w:bCs w:val="0"/>
        </w:rPr>
      </w:pPr>
      <w:r>
        <w:rPr/>
        <w:t>三、公司股权激励的实施情况及其影响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33" w:right="1121"/>
        <w:jc w:val="left"/>
      </w:pPr>
      <w:r>
        <w:rPr/>
        <w:t>（一）公司股权激励计划简述</w:t>
      </w:r>
    </w:p>
    <w:p>
      <w:pPr>
        <w:pStyle w:val="BodyText"/>
        <w:spacing w:line="300" w:lineRule="auto" w:before="76"/>
        <w:ind w:right="1121" w:firstLine="480"/>
        <w:jc w:val="left"/>
      </w:pPr>
      <w:r>
        <w:rPr>
          <w:rFonts w:ascii="Arial" w:hAnsi="Arial" w:cs="Arial" w:eastAsia="Arial" w:hint="default"/>
          <w:spacing w:val="-2"/>
        </w:rPr>
        <w:t>2012</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13</w:t>
      </w:r>
      <w:r>
        <w:rPr>
          <w:spacing w:val="-2"/>
        </w:rPr>
        <w:t>日，公司召开</w:t>
      </w:r>
      <w:r>
        <w:rPr>
          <w:rFonts w:ascii="Arial" w:hAnsi="Arial" w:cs="Arial" w:eastAsia="Arial" w:hint="default"/>
          <w:spacing w:val="-2"/>
        </w:rPr>
        <w:t>2012</w:t>
      </w:r>
      <w:r>
        <w:rPr>
          <w:spacing w:val="-2"/>
        </w:rPr>
        <w:t>年第</w:t>
      </w:r>
      <w:r>
        <w:rPr>
          <w:rFonts w:ascii="Arial" w:hAnsi="Arial" w:cs="Arial" w:eastAsia="Arial" w:hint="default"/>
          <w:spacing w:val="-2"/>
        </w:rPr>
        <w:t>6</w:t>
      </w:r>
      <w:r>
        <w:rPr>
          <w:spacing w:val="-2"/>
        </w:rPr>
        <w:t>次临时股东大会，审议通过了《关于茂硕电源科技股份有限公司限制性股票激</w:t>
      </w:r>
      <w:r>
        <w:rPr/>
        <w:t> 励计划（修订案）及其摘要的议案》（以下简称</w:t>
      </w:r>
      <w:r>
        <w:rPr>
          <w:rFonts w:ascii="Arial" w:hAnsi="Arial" w:cs="Arial" w:eastAsia="Arial" w:hint="default"/>
        </w:rPr>
        <w:t>“</w:t>
      </w:r>
      <w:r>
        <w:rPr/>
        <w:t>激励计划</w:t>
      </w:r>
      <w:r>
        <w:rPr>
          <w:rFonts w:ascii="Arial" w:hAnsi="Arial" w:cs="Arial" w:eastAsia="Arial" w:hint="default"/>
        </w:rPr>
        <w:t>”</w:t>
      </w:r>
      <w:r>
        <w:rPr/>
        <w:t>），其主要内容如下：</w:t>
      </w:r>
    </w:p>
    <w:p>
      <w:pPr>
        <w:spacing w:after="0" w:line="30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633" w:right="1121"/>
        <w:jc w:val="left"/>
      </w:pPr>
      <w:r>
        <w:rPr>
          <w:rFonts w:ascii="Arial" w:hAnsi="Arial" w:cs="Arial" w:eastAsia="Arial" w:hint="default"/>
        </w:rPr>
        <w:t>1</w:t>
      </w:r>
      <w:r>
        <w:rPr/>
        <w:t>、标的股票种类：激励计划拟授予激励对象的标的股票为茂硕电源限制性股票。</w:t>
      </w:r>
    </w:p>
    <w:p>
      <w:pPr>
        <w:pStyle w:val="BodyText"/>
        <w:spacing w:line="240" w:lineRule="auto" w:before="64"/>
        <w:ind w:left="633" w:right="1121"/>
        <w:jc w:val="left"/>
      </w:pPr>
      <w:r>
        <w:rPr>
          <w:rFonts w:ascii="Arial" w:hAnsi="Arial" w:cs="Arial" w:eastAsia="Arial" w:hint="default"/>
        </w:rPr>
        <w:t>2</w:t>
      </w:r>
      <w:r>
        <w:rPr/>
        <w:t>、标的股票来源：激励计划拟授予激励对象的标的股票来源为茂硕电源向激励对象定向发行人民币普通股股票。</w:t>
      </w:r>
    </w:p>
    <w:p>
      <w:pPr>
        <w:pStyle w:val="BodyText"/>
        <w:spacing w:line="302" w:lineRule="auto" w:before="63"/>
        <w:ind w:left="633" w:right="1026"/>
        <w:jc w:val="left"/>
      </w:pPr>
      <w:r>
        <w:rPr>
          <w:rFonts w:ascii="Arial" w:hAnsi="Arial" w:cs="Arial" w:eastAsia="Arial" w:hint="default"/>
          <w:spacing w:val="-1"/>
        </w:rPr>
        <w:t>3</w:t>
      </w:r>
      <w:r>
        <w:rPr>
          <w:spacing w:val="-1"/>
        </w:rPr>
        <w:t>、激励对象：经公司董事会薪酬与考核委员会考核并经公司监事会审核，具备本计划激励对象资格的人员共计</w:t>
      </w:r>
      <w:r>
        <w:rPr>
          <w:rFonts w:ascii="Arial" w:hAnsi="Arial" w:cs="Arial" w:eastAsia="Arial" w:hint="default"/>
          <w:spacing w:val="-1"/>
        </w:rPr>
        <w:t>46</w:t>
      </w:r>
      <w:r>
        <w:rPr>
          <w:spacing w:val="-1"/>
        </w:rPr>
        <w:t>人。</w:t>
      </w:r>
      <w:r>
        <w:rPr/>
        <w:t> 公司在授予首期限制性股票的过程中，汪银才、康震等</w:t>
      </w:r>
      <w:r>
        <w:rPr>
          <w:rFonts w:ascii="Arial" w:hAnsi="Arial" w:cs="Arial" w:eastAsia="Arial" w:hint="default"/>
        </w:rPr>
        <w:t>2</w:t>
      </w:r>
      <w:r>
        <w:rPr/>
        <w:t>名激励对象离职，公司取消该</w:t>
      </w:r>
      <w:r>
        <w:rPr>
          <w:rFonts w:ascii="Arial" w:hAnsi="Arial" w:cs="Arial" w:eastAsia="Arial" w:hint="default"/>
        </w:rPr>
        <w:t>2</w:t>
      </w:r>
      <w:r>
        <w:rPr/>
        <w:t>名人员作为本次限制性股票激</w:t>
      </w:r>
    </w:p>
    <w:p>
      <w:pPr>
        <w:pStyle w:val="BodyText"/>
        <w:spacing w:line="240" w:lineRule="auto" w:before="11"/>
        <w:ind w:right="1121"/>
        <w:jc w:val="left"/>
      </w:pPr>
      <w:r>
        <w:rPr/>
        <w:t>励计划激励对象的资格；刘建涛、胡宗波、李涯、尚国强、侯瑞辉、于花红、吴霞、张小芳、孙礼和、王本欣、武喜春等</w:t>
      </w:r>
    </w:p>
    <w:p>
      <w:pPr>
        <w:pStyle w:val="BodyText"/>
        <w:spacing w:line="240" w:lineRule="auto" w:before="76"/>
        <w:ind w:right="1121"/>
        <w:jc w:val="left"/>
      </w:pPr>
      <w:r>
        <w:rPr>
          <w:rFonts w:ascii="Arial" w:hAnsi="Arial" w:cs="Arial" w:eastAsia="Arial" w:hint="default"/>
        </w:rPr>
        <w:t>11</w:t>
      </w:r>
      <w:r>
        <w:rPr/>
        <w:t>名激励对象，因个人原因自愿放弃认购公司授予的全部限制性股票；其余</w:t>
      </w:r>
      <w:r>
        <w:rPr>
          <w:rFonts w:ascii="Arial" w:hAnsi="Arial" w:cs="Arial" w:eastAsia="Arial" w:hint="default"/>
        </w:rPr>
        <w:t>33</w:t>
      </w:r>
      <w:r>
        <w:rPr/>
        <w:t>名激励对象共计认购</w:t>
      </w:r>
      <w:r>
        <w:rPr>
          <w:rFonts w:ascii="Arial" w:hAnsi="Arial" w:cs="Arial" w:eastAsia="Arial" w:hint="default"/>
        </w:rPr>
        <w:t>170.88</w:t>
      </w:r>
      <w:r>
        <w:rPr/>
        <w:t>万股。</w:t>
      </w:r>
    </w:p>
    <w:p>
      <w:pPr>
        <w:pStyle w:val="BodyText"/>
        <w:spacing w:line="302" w:lineRule="auto" w:before="63"/>
        <w:ind w:left="633" w:right="1203"/>
        <w:jc w:val="left"/>
      </w:pPr>
      <w:r>
        <w:rPr>
          <w:rFonts w:ascii="Arial" w:hAnsi="Arial" w:cs="Arial" w:eastAsia="Arial" w:hint="default"/>
        </w:rPr>
        <w:t>4</w:t>
      </w:r>
      <w:r>
        <w:rPr/>
        <w:t>、对股份锁定期安排的说明： 本计划的有效期为限制性股票授予之日起至所有限制性股票解锁或回购注销完毕之日止。整个计划有效期为</w:t>
      </w:r>
      <w:r>
        <w:rPr>
          <w:rFonts w:ascii="Arial" w:hAnsi="Arial" w:cs="Arial" w:eastAsia="Arial" w:hint="default"/>
        </w:rPr>
        <w:t>5.5</w:t>
      </w:r>
      <w:r>
        <w:rPr/>
        <w:t>年。</w:t>
      </w:r>
    </w:p>
    <w:p>
      <w:pPr>
        <w:pStyle w:val="BodyText"/>
        <w:spacing w:line="302" w:lineRule="auto" w:before="11"/>
        <w:ind w:left="633" w:right="1713"/>
        <w:jc w:val="left"/>
      </w:pPr>
      <w:r>
        <w:rPr/>
        <w:t>（</w:t>
      </w:r>
      <w:r>
        <w:rPr>
          <w:rFonts w:ascii="Arial" w:hAnsi="Arial" w:cs="Arial" w:eastAsia="Arial" w:hint="default"/>
        </w:rPr>
        <w:t>1</w:t>
      </w:r>
      <w:r>
        <w:rPr/>
        <w:t>）限制性股票授予后即行锁定。激励对象获授的全部限制性股票适用不同的锁定期，均自授予之日起计。 在锁定期内，激励对象持有的限制性股票不得转让、用于担保或偿还债务。</w:t>
      </w:r>
    </w:p>
    <w:p>
      <w:pPr>
        <w:pStyle w:val="BodyText"/>
        <w:spacing w:line="302" w:lineRule="auto" w:before="29"/>
        <w:ind w:right="1150" w:firstLine="480"/>
        <w:jc w:val="both"/>
      </w:pPr>
      <w:r>
        <w:rPr/>
        <w:t>（</w:t>
      </w:r>
      <w:r>
        <w:rPr>
          <w:rFonts w:ascii="Arial" w:hAnsi="Arial" w:cs="Arial" w:eastAsia="Arial" w:hint="default"/>
        </w:rPr>
        <w:t>2</w:t>
      </w:r>
      <w:r>
        <w:rPr/>
        <w:t>）第一次解锁期为自授予日起满</w:t>
      </w:r>
      <w:r>
        <w:rPr>
          <w:rFonts w:ascii="Arial" w:hAnsi="Arial" w:cs="Arial" w:eastAsia="Arial" w:hint="default"/>
        </w:rPr>
        <w:t>18</w:t>
      </w:r>
      <w:r>
        <w:rPr/>
        <w:t>个月后的首个交易日起至授予日起</w:t>
      </w:r>
      <w:r>
        <w:rPr>
          <w:rFonts w:ascii="Arial" w:hAnsi="Arial" w:cs="Arial" w:eastAsia="Arial" w:hint="default"/>
        </w:rPr>
        <w:t>30</w:t>
      </w:r>
      <w:r>
        <w:rPr/>
        <w:t>个月内的最后一个交易日止，解锁数量为 获授限制性股票总数的</w:t>
      </w:r>
      <w:r>
        <w:rPr>
          <w:rFonts w:ascii="Arial" w:hAnsi="Arial" w:cs="Arial" w:eastAsia="Arial" w:hint="default"/>
        </w:rPr>
        <w:t>40%</w:t>
      </w:r>
      <w:r>
        <w:rPr/>
        <w:t>；第二次解锁期为自授予日起满</w:t>
      </w:r>
      <w:r>
        <w:rPr>
          <w:rFonts w:ascii="Arial" w:hAnsi="Arial" w:cs="Arial" w:eastAsia="Arial" w:hint="default"/>
        </w:rPr>
        <w:t>30</w:t>
      </w:r>
      <w:r>
        <w:rPr/>
        <w:t>个月后的首个交易日起至授予日起</w:t>
      </w:r>
      <w:r>
        <w:rPr>
          <w:rFonts w:ascii="Arial" w:hAnsi="Arial" w:cs="Arial" w:eastAsia="Arial" w:hint="default"/>
        </w:rPr>
        <w:t>42</w:t>
      </w:r>
      <w:r>
        <w:rPr/>
        <w:t>个月内的最后一个交易 日止，解锁数量为获授限制性股票总数的</w:t>
      </w:r>
      <w:r>
        <w:rPr>
          <w:rFonts w:ascii="Arial" w:hAnsi="Arial" w:cs="Arial" w:eastAsia="Arial" w:hint="default"/>
        </w:rPr>
        <w:t>30%</w:t>
      </w:r>
      <w:r>
        <w:rPr/>
        <w:t>；第三次解锁期为自授予日起满</w:t>
      </w:r>
      <w:r>
        <w:rPr>
          <w:rFonts w:ascii="Arial" w:hAnsi="Arial" w:cs="Arial" w:eastAsia="Arial" w:hint="default"/>
        </w:rPr>
        <w:t>42</w:t>
      </w:r>
      <w:r>
        <w:rPr/>
        <w:t>个月后的首个交易日起至授予日起</w:t>
      </w:r>
      <w:r>
        <w:rPr>
          <w:rFonts w:ascii="Arial" w:hAnsi="Arial" w:cs="Arial" w:eastAsia="Arial" w:hint="default"/>
        </w:rPr>
        <w:t>54</w:t>
      </w:r>
      <w:r>
        <w:rPr/>
        <w:t>个月</w:t>
      </w:r>
      <w:r>
        <w:rPr>
          <w:spacing w:val="-3"/>
        </w:rPr>
        <w:t> </w:t>
      </w:r>
      <w:r>
        <w:rPr/>
        <w:t>内的最后一个交易日止，解锁数量为获授限制性股票总数的</w:t>
      </w:r>
      <w:r>
        <w:rPr>
          <w:rFonts w:ascii="Arial" w:hAnsi="Arial" w:cs="Arial" w:eastAsia="Arial" w:hint="default"/>
        </w:rPr>
        <w:t>30%</w:t>
      </w:r>
      <w:r>
        <w:rPr/>
        <w:t>。</w:t>
      </w:r>
    </w:p>
    <w:p>
      <w:pPr>
        <w:pStyle w:val="BodyText"/>
        <w:spacing w:line="302" w:lineRule="auto" w:before="11"/>
        <w:ind w:left="633" w:right="2693"/>
        <w:jc w:val="left"/>
      </w:pPr>
      <w:r>
        <w:rPr>
          <w:rFonts w:ascii="Arial" w:hAnsi="Arial" w:cs="Arial" w:eastAsia="Arial" w:hint="default"/>
        </w:rPr>
        <w:t>5</w:t>
      </w:r>
      <w:r>
        <w:rPr/>
        <w:t>、限制性股票的授予价格：授予价格为</w:t>
      </w:r>
      <w:r>
        <w:rPr>
          <w:rFonts w:ascii="Arial" w:hAnsi="Arial" w:cs="Arial" w:eastAsia="Arial" w:hint="default"/>
        </w:rPr>
        <w:t>9.2</w:t>
      </w:r>
      <w:r>
        <w:rPr/>
        <w:t>元</w:t>
      </w:r>
      <w:r>
        <w:rPr>
          <w:rFonts w:ascii="Arial" w:hAnsi="Arial" w:cs="Arial" w:eastAsia="Arial" w:hint="default"/>
        </w:rPr>
        <w:t>/</w:t>
      </w:r>
      <w:r>
        <w:rPr/>
        <w:t>股。 预留</w:t>
      </w:r>
      <w:r>
        <w:rPr>
          <w:rFonts w:ascii="Arial" w:hAnsi="Arial" w:cs="Arial" w:eastAsia="Arial" w:hint="default"/>
        </w:rPr>
        <w:t>30</w:t>
      </w:r>
      <w:r>
        <w:rPr/>
        <w:t>万股，预留限制性股票的授予事项由公司董事会按照股权激励计划及相关法律法规确定。</w:t>
      </w:r>
    </w:p>
    <w:p>
      <w:pPr>
        <w:spacing w:line="240" w:lineRule="auto" w:before="9"/>
        <w:rPr>
          <w:rFonts w:ascii="宋体" w:hAnsi="宋体" w:cs="宋体" w:eastAsia="宋体" w:hint="default"/>
          <w:sz w:val="24"/>
          <w:szCs w:val="24"/>
        </w:rPr>
      </w:pPr>
    </w:p>
    <w:p>
      <w:pPr>
        <w:pStyle w:val="BodyText"/>
        <w:spacing w:line="240" w:lineRule="auto"/>
        <w:ind w:left="633" w:right="1121"/>
        <w:jc w:val="left"/>
      </w:pPr>
      <w:r>
        <w:rPr/>
        <w:t>（二）已履行的相关审批程序</w:t>
      </w:r>
    </w:p>
    <w:p>
      <w:pPr>
        <w:pStyle w:val="BodyText"/>
        <w:spacing w:line="302" w:lineRule="auto" w:before="76"/>
        <w:ind w:right="1121" w:firstLine="480"/>
        <w:jc w:val="left"/>
      </w:pPr>
      <w:r>
        <w:rPr>
          <w:rFonts w:ascii="Arial" w:hAnsi="Arial" w:cs="Arial" w:eastAsia="Arial" w:hint="default"/>
          <w:spacing w:val="-2"/>
        </w:rPr>
        <w:t>1</w:t>
      </w:r>
      <w:r>
        <w:rPr>
          <w:spacing w:val="-2"/>
        </w:rPr>
        <w:t>、</w:t>
      </w:r>
      <w:r>
        <w:rPr>
          <w:rFonts w:ascii="Arial" w:hAnsi="Arial" w:cs="Arial" w:eastAsia="Arial" w:hint="default"/>
          <w:spacing w:val="-2"/>
        </w:rPr>
        <w:t>2012</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13</w:t>
      </w:r>
      <w:r>
        <w:rPr>
          <w:spacing w:val="-2"/>
        </w:rPr>
        <w:t>日，公司第二届董事会</w:t>
      </w:r>
      <w:r>
        <w:rPr>
          <w:rFonts w:ascii="Arial" w:hAnsi="Arial" w:cs="Arial" w:eastAsia="Arial" w:hint="default"/>
          <w:spacing w:val="-2"/>
        </w:rPr>
        <w:t>2012</w:t>
      </w:r>
      <w:r>
        <w:rPr>
          <w:spacing w:val="-2"/>
        </w:rPr>
        <w:t>年第</w:t>
      </w:r>
      <w:r>
        <w:rPr>
          <w:rFonts w:ascii="Arial" w:hAnsi="Arial" w:cs="Arial" w:eastAsia="Arial" w:hint="default"/>
          <w:spacing w:val="-2"/>
        </w:rPr>
        <w:t>6</w:t>
      </w:r>
      <w:r>
        <w:rPr>
          <w:spacing w:val="-2"/>
        </w:rPr>
        <w:t>次临时会议审议并通过《茂硕电源科技股份有限公司限制性股票激</w:t>
      </w:r>
      <w:r>
        <w:rPr/>
        <w:t> 励计划（草案）及其摘要》，随后向中国证监会上报了申请备案材料。</w:t>
      </w:r>
    </w:p>
    <w:p>
      <w:pPr>
        <w:pStyle w:val="BodyText"/>
        <w:spacing w:line="240" w:lineRule="auto" w:before="29"/>
        <w:ind w:left="633" w:right="1121"/>
        <w:jc w:val="left"/>
      </w:pPr>
      <w:r>
        <w:rPr>
          <w:rFonts w:ascii="Arial" w:hAnsi="Arial" w:cs="Arial" w:eastAsia="Arial" w:hint="default"/>
        </w:rPr>
        <w:t>2</w:t>
      </w:r>
      <w:r>
        <w:rPr/>
        <w:t>、</w:t>
      </w:r>
      <w:r>
        <w:rPr>
          <w:rFonts w:ascii="Arial" w:hAnsi="Arial" w:cs="Arial" w:eastAsia="Arial" w:hint="default"/>
        </w:rPr>
        <w:t>2012</w:t>
      </w:r>
      <w:r>
        <w:rPr/>
        <w:t>年</w:t>
      </w:r>
      <w:r>
        <w:rPr>
          <w:rFonts w:ascii="Arial" w:hAnsi="Arial" w:cs="Arial" w:eastAsia="Arial" w:hint="default"/>
        </w:rPr>
        <w:t>9</w:t>
      </w:r>
      <w:r>
        <w:rPr/>
        <w:t>月</w:t>
      </w:r>
      <w:r>
        <w:rPr>
          <w:rFonts w:ascii="Arial" w:hAnsi="Arial" w:cs="Arial" w:eastAsia="Arial" w:hint="default"/>
        </w:rPr>
        <w:t>21</w:t>
      </w:r>
      <w:r>
        <w:rPr/>
        <w:t>日，公司获悉报送的草案经证监会备案无异议。</w:t>
      </w:r>
    </w:p>
    <w:p>
      <w:pPr>
        <w:pStyle w:val="BodyText"/>
        <w:spacing w:line="302" w:lineRule="auto" w:before="63"/>
        <w:ind w:right="1121" w:firstLine="480"/>
        <w:jc w:val="left"/>
      </w:pPr>
      <w:r>
        <w:rPr>
          <w:rFonts w:ascii="Arial" w:hAnsi="Arial" w:cs="Arial" w:eastAsia="Arial" w:hint="default"/>
          <w:spacing w:val="-2"/>
        </w:rPr>
        <w:t>3</w:t>
      </w:r>
      <w:r>
        <w:rPr>
          <w:spacing w:val="-2"/>
        </w:rPr>
        <w:t>、</w:t>
      </w:r>
      <w:r>
        <w:rPr>
          <w:rFonts w:ascii="Arial" w:hAnsi="Arial" w:cs="Arial" w:eastAsia="Arial" w:hint="default"/>
          <w:spacing w:val="-2"/>
        </w:rPr>
        <w:t>2012</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26</w:t>
      </w:r>
      <w:r>
        <w:rPr>
          <w:spacing w:val="-2"/>
        </w:rPr>
        <w:t>日，公司第二届董事会</w:t>
      </w:r>
      <w:r>
        <w:rPr>
          <w:rFonts w:ascii="Arial" w:hAnsi="Arial" w:cs="Arial" w:eastAsia="Arial" w:hint="default"/>
          <w:spacing w:val="-2"/>
        </w:rPr>
        <w:t>2012</w:t>
      </w:r>
      <w:r>
        <w:rPr>
          <w:spacing w:val="-2"/>
        </w:rPr>
        <w:t>年第</w:t>
      </w:r>
      <w:r>
        <w:rPr>
          <w:rFonts w:ascii="Arial" w:hAnsi="Arial" w:cs="Arial" w:eastAsia="Arial" w:hint="default"/>
          <w:spacing w:val="-2"/>
        </w:rPr>
        <w:t>10</w:t>
      </w:r>
      <w:r>
        <w:rPr>
          <w:spacing w:val="-2"/>
        </w:rPr>
        <w:t>次临时会议审议并通过了《茂硕电源科技股份有限公司限制性股</w:t>
      </w:r>
      <w:r>
        <w:rPr/>
        <w:t> 票激励计划（修订案）及其摘要》。</w:t>
      </w:r>
    </w:p>
    <w:p>
      <w:pPr>
        <w:pStyle w:val="BodyText"/>
        <w:spacing w:line="302" w:lineRule="auto" w:before="29"/>
        <w:ind w:right="1117" w:firstLine="480"/>
        <w:jc w:val="left"/>
      </w:pPr>
      <w:r>
        <w:rPr>
          <w:rFonts w:ascii="Arial" w:hAnsi="Arial" w:cs="Arial" w:eastAsia="Arial" w:hint="default"/>
          <w:spacing w:val="-4"/>
        </w:rPr>
        <w:t>4</w:t>
      </w:r>
      <w:r>
        <w:rPr>
          <w:spacing w:val="-4"/>
        </w:rPr>
        <w:t>、</w:t>
      </w:r>
      <w:r>
        <w:rPr>
          <w:rFonts w:ascii="Arial" w:hAnsi="Arial" w:cs="Arial" w:eastAsia="Arial" w:hint="default"/>
          <w:spacing w:val="-4"/>
        </w:rPr>
        <w:t>2012</w:t>
      </w:r>
      <w:r>
        <w:rPr>
          <w:rFonts w:ascii="Arial" w:hAnsi="Arial" w:cs="Arial" w:eastAsia="Arial" w:hint="default"/>
          <w:spacing w:val="-11"/>
        </w:rPr>
        <w:t> </w:t>
      </w:r>
      <w:r>
        <w:rPr/>
        <w:t>年</w:t>
      </w:r>
      <w:r>
        <w:rPr>
          <w:rFonts w:ascii="Arial" w:hAnsi="Arial" w:cs="Arial" w:eastAsia="Arial" w:hint="default"/>
        </w:rPr>
        <w:t>11</w:t>
      </w:r>
      <w:r>
        <w:rPr/>
        <w:t>月</w:t>
      </w:r>
      <w:r>
        <w:rPr>
          <w:rFonts w:ascii="Arial" w:hAnsi="Arial" w:cs="Arial" w:eastAsia="Arial" w:hint="default"/>
        </w:rPr>
        <w:t>13</w:t>
      </w:r>
      <w:r>
        <w:rPr/>
        <w:t>日，公司</w:t>
      </w:r>
      <w:r>
        <w:rPr>
          <w:rFonts w:ascii="Arial" w:hAnsi="Arial" w:cs="Arial" w:eastAsia="Arial" w:hint="default"/>
        </w:rPr>
        <w:t>2012</w:t>
      </w:r>
      <w:r>
        <w:rPr/>
        <w:t>年第</w:t>
      </w:r>
      <w:r>
        <w:rPr>
          <w:rFonts w:ascii="Arial" w:hAnsi="Arial" w:cs="Arial" w:eastAsia="Arial" w:hint="default"/>
        </w:rPr>
        <w:t>6</w:t>
      </w:r>
      <w:r>
        <w:rPr/>
        <w:t>次临时股东大会审议并通过了《关于茂硕电源科技股份有限公司限制性股票激 励计划（修订案）及其摘要的议案》。</w:t>
      </w:r>
    </w:p>
    <w:p>
      <w:pPr>
        <w:pStyle w:val="BodyText"/>
        <w:spacing w:line="302" w:lineRule="auto" w:before="29"/>
        <w:ind w:right="1132" w:firstLine="480"/>
        <w:jc w:val="left"/>
      </w:pPr>
      <w:r>
        <w:rPr>
          <w:rFonts w:ascii="Arial" w:hAnsi="Arial" w:cs="Arial" w:eastAsia="Arial" w:hint="default"/>
        </w:rPr>
        <w:t>5</w:t>
      </w:r>
      <w:r>
        <w:rPr/>
        <w:t>、</w:t>
      </w:r>
      <w:r>
        <w:rPr>
          <w:rFonts w:ascii="Arial" w:hAnsi="Arial" w:cs="Arial" w:eastAsia="Arial" w:hint="default"/>
        </w:rPr>
        <w:t>2012</w:t>
      </w:r>
      <w:r>
        <w:rPr/>
        <w:t>年</w:t>
      </w:r>
      <w:r>
        <w:rPr>
          <w:rFonts w:ascii="Arial" w:hAnsi="Arial" w:cs="Arial" w:eastAsia="Arial" w:hint="default"/>
        </w:rPr>
        <w:t>11</w:t>
      </w:r>
      <w:r>
        <w:rPr/>
        <w:t>月</w:t>
      </w:r>
      <w:r>
        <w:rPr>
          <w:rFonts w:ascii="Arial" w:hAnsi="Arial" w:cs="Arial" w:eastAsia="Arial" w:hint="default"/>
        </w:rPr>
        <w:t>23</w:t>
      </w:r>
      <w:r>
        <w:rPr/>
        <w:t>日，公司第二届董事会</w:t>
      </w:r>
      <w:r>
        <w:rPr>
          <w:rFonts w:ascii="Arial" w:hAnsi="Arial" w:cs="Arial" w:eastAsia="Arial" w:hint="default"/>
        </w:rPr>
        <w:t>2012</w:t>
      </w:r>
      <w:r>
        <w:rPr/>
        <w:t>年第</w:t>
      </w:r>
      <w:r>
        <w:rPr>
          <w:rFonts w:ascii="Arial" w:hAnsi="Arial" w:cs="Arial" w:eastAsia="Arial" w:hint="default"/>
        </w:rPr>
        <w:t>2</w:t>
      </w:r>
      <w:r>
        <w:rPr/>
        <w:t>次定期会议审议并通过了《关于向激励对象授予限制性股票的议 案》以及《关于确定公司限制性股票授予日的议案》。公司独立董事对限制性股票调整及授予等事项发表了独立意见。</w:t>
      </w:r>
    </w:p>
    <w:p>
      <w:pPr>
        <w:pStyle w:val="BodyText"/>
        <w:spacing w:line="240" w:lineRule="auto" w:before="29"/>
        <w:ind w:left="633" w:right="1121"/>
        <w:jc w:val="left"/>
      </w:pPr>
      <w:r>
        <w:rPr>
          <w:rFonts w:ascii="Arial" w:hAnsi="Arial" w:cs="Arial" w:eastAsia="Arial" w:hint="default"/>
        </w:rPr>
        <w:t>6</w:t>
      </w:r>
      <w:r>
        <w:rPr/>
        <w:t>、</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26</w:t>
      </w:r>
      <w:r>
        <w:rPr/>
        <w:t>日，公司完成了第一期股权激励计划的授予登记工作，上市日为</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28</w:t>
      </w:r>
      <w:r>
        <w:rPr/>
        <w:t>日。</w:t>
      </w:r>
    </w:p>
    <w:p>
      <w:pPr>
        <w:spacing w:line="240" w:lineRule="auto" w:before="0"/>
        <w:rPr>
          <w:rFonts w:ascii="宋体" w:hAnsi="宋体" w:cs="宋体" w:eastAsia="宋体" w:hint="default"/>
          <w:sz w:val="18"/>
          <w:szCs w:val="18"/>
        </w:rPr>
      </w:pPr>
    </w:p>
    <w:p>
      <w:pPr>
        <w:pStyle w:val="BodyText"/>
        <w:spacing w:line="302" w:lineRule="auto" w:before="140"/>
        <w:ind w:right="1121" w:firstLine="317"/>
        <w:jc w:val="left"/>
        <w:rPr>
          <w:rFonts w:ascii="Arial" w:hAnsi="Arial" w:cs="Arial" w:eastAsia="Arial" w:hint="default"/>
        </w:rPr>
      </w:pPr>
      <w:r>
        <w:rPr>
          <w:spacing w:val="-2"/>
        </w:rPr>
        <w:t>详细情况参见</w:t>
      </w:r>
      <w:r>
        <w:rPr>
          <w:rFonts w:ascii="Arial" w:hAnsi="Arial" w:cs="Arial" w:eastAsia="Arial" w:hint="default"/>
          <w:spacing w:val="-2"/>
        </w:rPr>
        <w:t>2012</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29</w:t>
      </w:r>
      <w:r>
        <w:rPr>
          <w:spacing w:val="-2"/>
        </w:rPr>
        <w:t>日刊登在巨潮资讯网</w:t>
      </w:r>
      <w:r>
        <w:rPr>
          <w:rFonts w:ascii="Arial" w:hAnsi="Arial" w:cs="Arial" w:eastAsia="Arial" w:hint="default"/>
          <w:spacing w:val="-2"/>
        </w:rPr>
        <w:t>(</w:t>
      </w:r>
      <w:r>
        <w:rPr>
          <w:rFonts w:ascii="Arial" w:hAnsi="Arial" w:cs="Arial" w:eastAsia="Arial" w:hint="default"/>
          <w:color w:val="0000FF"/>
          <w:spacing w:val="-2"/>
        </w:rPr>
        <w:t>http://www.cninfo.com.cn</w:t>
      </w:r>
      <w:r>
        <w:rPr>
          <w:rFonts w:ascii="Arial" w:hAnsi="Arial" w:cs="Arial" w:eastAsia="Arial" w:hint="default"/>
          <w:spacing w:val="-2"/>
        </w:rPr>
        <w:t>)</w:t>
      </w:r>
      <w:r>
        <w:rPr>
          <w:spacing w:val="-2"/>
        </w:rPr>
        <w:t>《限制性股票激励计划（修订案）》及</w:t>
      </w:r>
      <w:r>
        <w:rPr>
          <w:rFonts w:ascii="Arial" w:hAnsi="Arial" w:cs="Arial" w:eastAsia="Arial" w:hint="default"/>
          <w:spacing w:val="-2"/>
        </w:rPr>
        <w:t>2012</w:t>
      </w:r>
      <w:r>
        <w:rPr>
          <w:rFonts w:ascii="Arial" w:hAnsi="Arial" w:cs="Arial" w:eastAsia="Arial" w:hint="default"/>
          <w:w w:val="99"/>
        </w:rPr>
        <w:t> </w:t>
      </w:r>
      <w:r>
        <w:rPr>
          <w:spacing w:val="-4"/>
        </w:rPr>
        <w:t>年</w:t>
      </w:r>
      <w:r>
        <w:rPr>
          <w:rFonts w:ascii="Arial" w:hAnsi="Arial" w:cs="Arial" w:eastAsia="Arial" w:hint="default"/>
          <w:spacing w:val="-4"/>
        </w:rPr>
        <w:t>12</w:t>
      </w:r>
      <w:r>
        <w:rPr>
          <w:spacing w:val="-4"/>
        </w:rPr>
        <w:t>月</w:t>
      </w:r>
      <w:r>
        <w:rPr>
          <w:rFonts w:ascii="Arial" w:hAnsi="Arial" w:cs="Arial" w:eastAsia="Arial" w:hint="default"/>
          <w:spacing w:val="-4"/>
        </w:rPr>
        <w:t>26</w:t>
      </w:r>
      <w:r>
        <w:rPr>
          <w:spacing w:val="-4"/>
        </w:rPr>
        <w:t>日刊登在《证券时报》、《中国证券报》、《上海证券报》、《证券日报》及巨潮资讯网</w:t>
      </w:r>
      <w:r>
        <w:rPr>
          <w:rFonts w:ascii="Arial" w:hAnsi="Arial" w:cs="Arial" w:eastAsia="Arial" w:hint="default"/>
          <w:spacing w:val="-4"/>
        </w:rPr>
        <w:t>(</w:t>
      </w:r>
      <w:r>
        <w:rPr>
          <w:rFonts w:ascii="Arial" w:hAnsi="Arial" w:cs="Arial" w:eastAsia="Arial" w:hint="default"/>
          <w:color w:val="0000FF"/>
          <w:spacing w:val="-4"/>
        </w:rPr>
        <w:t>http://www.cninfo.com.cn</w:t>
      </w:r>
      <w:r>
        <w:rPr>
          <w:rFonts w:ascii="Arial" w:hAnsi="Arial" w:cs="Arial" w:eastAsia="Arial" w:hint="default"/>
          <w:spacing w:val="-4"/>
        </w:rPr>
        <w:t>)</w:t>
      </w:r>
    </w:p>
    <w:p>
      <w:pPr>
        <w:pStyle w:val="BodyText"/>
        <w:spacing w:line="240" w:lineRule="auto" w:before="11"/>
        <w:ind w:right="1121"/>
        <w:jc w:val="left"/>
      </w:pPr>
      <w:r>
        <w:rPr/>
        <w:t>《关于限制性股票授予完成的公告》（公告编号：</w:t>
      </w:r>
      <w:r>
        <w:rPr>
          <w:rFonts w:ascii="Arial" w:hAnsi="Arial" w:cs="Arial" w:eastAsia="Arial" w:hint="default"/>
        </w:rPr>
        <w:t>2012-070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8"/>
        <w:ind w:right="1121"/>
        <w:jc w:val="left"/>
        <w:rPr>
          <w:b w:val="0"/>
          <w:bCs w:val="0"/>
        </w:rPr>
      </w:pPr>
      <w:r>
        <w:rPr/>
        <w:t>四、重大关联交易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、与日常经营相关的关联交易</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86"/>
        <w:gridCol w:w="822"/>
        <w:gridCol w:w="786"/>
        <w:gridCol w:w="799"/>
        <w:gridCol w:w="799"/>
        <w:gridCol w:w="809"/>
        <w:gridCol w:w="788"/>
        <w:gridCol w:w="798"/>
        <w:gridCol w:w="798"/>
        <w:gridCol w:w="797"/>
        <w:gridCol w:w="794"/>
        <w:gridCol w:w="797"/>
      </w:tblGrid>
      <w:tr>
        <w:trPr>
          <w:trHeight w:val="161" w:hRule="exact"/>
        </w:trPr>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 w:right="34"/>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2"/>
              <w:jc w:val="both"/>
              <w:rPr>
                <w:rFonts w:ascii="Arial" w:hAnsi="Arial" w:cs="Arial" w:eastAsia="Arial" w:hint="default"/>
                <w:sz w:val="18"/>
                <w:szCs w:val="18"/>
              </w:rPr>
            </w:pPr>
            <w:r>
              <w:rPr>
                <w:rFonts w:ascii="宋体" w:hAnsi="宋体" w:cs="宋体" w:eastAsia="宋体" w:hint="default"/>
                <w:sz w:val="18"/>
                <w:szCs w:val="18"/>
              </w:rPr>
              <w:t>占同类交 易金额的 比例</w:t>
            </w:r>
            <w:r>
              <w:rPr>
                <w:rFonts w:ascii="Arial" w:hAnsi="Arial" w:cs="Arial" w:eastAsia="Arial" w:hint="default"/>
                <w:sz w:val="18"/>
                <w:szCs w:val="18"/>
              </w:rPr>
              <w:t>(%)</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794"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05" w:right="21"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822"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1"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2"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3" w:right="43"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8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2" w:right="35"/>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786" w:type="dxa"/>
            <w:vMerge/>
            <w:tcBorders>
              <w:left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86"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809"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56" w:hRule="exact"/>
        </w:trPr>
        <w:tc>
          <w:tcPr>
            <w:tcW w:w="786" w:type="dxa"/>
            <w:vMerge/>
            <w:tcBorders>
              <w:left w:val="single" w:sz="4" w:space="0" w:color="000000"/>
              <w:bottom w:val="nil" w:sz="6" w:space="0" w:color="auto"/>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794" w:type="dxa"/>
            <w:vMerge w:val="restart"/>
            <w:tcBorders>
              <w:top w:val="nil" w:sz="6" w:space="0" w:color="auto"/>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1"/>
              <w:jc w:val="center"/>
              <w:rPr>
                <w:rFonts w:ascii="Arial" w:hAnsi="Arial" w:cs="Arial" w:eastAsia="Arial" w:hint="default"/>
                <w:sz w:val="18"/>
                <w:szCs w:val="18"/>
              </w:rPr>
            </w:pPr>
            <w:r>
              <w:rPr>
                <w:rFonts w:ascii="Arial"/>
                <w:sz w:val="18"/>
              </w:rPr>
              <w:t>--</w:t>
            </w:r>
          </w:p>
        </w:tc>
        <w:tc>
          <w:tcPr>
            <w:tcW w:w="7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0</w:t>
            </w:r>
            <w:r>
              <w:rPr>
                <w:rFonts w:ascii="Arial"/>
                <w:sz w:val="18"/>
              </w:rPr>
            </w:r>
          </w:p>
        </w:tc>
        <w:tc>
          <w:tcPr>
            <w:tcW w:w="79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left="506" w:right="0"/>
              <w:jc w:val="lef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209" w:type="dxa"/>
        <w:tblLayout w:type="fixed"/>
        <w:tblCellMar>
          <w:top w:w="0" w:type="dxa"/>
          <w:left w:w="0" w:type="dxa"/>
          <w:bottom w:w="0" w:type="dxa"/>
          <w:right w:w="0" w:type="dxa"/>
        </w:tblCellMar>
        <w:tblLook w:val="01E0"/>
      </w:tblPr>
      <w:tblGrid>
        <w:gridCol w:w="3192"/>
        <w:gridCol w:w="6380"/>
      </w:tblGrid>
      <w:tr>
        <w:trPr>
          <w:trHeight w:val="1025"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7"/>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7"/>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7"/>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7"/>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97" w:lineRule="auto" w:before="49"/>
        <w:ind w:left="212" w:right="1117"/>
        <w:jc w:val="left"/>
      </w:pPr>
      <w:r>
        <w:rPr/>
        <w:t>注：公司</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年不再与英飞特电子（杭州）股份有限公司构成《深圳证券交易所股票上市规则》等相关规定的关联关系， 主要说明如下：</w:t>
      </w:r>
    </w:p>
    <w:p>
      <w:pPr>
        <w:pStyle w:val="BodyText"/>
        <w:spacing w:line="240" w:lineRule="auto" w:before="74"/>
        <w:ind w:left="212" w:right="0"/>
        <w:jc w:val="left"/>
      </w:pPr>
      <w:r>
        <w:rPr>
          <w:rFonts w:ascii="Times New Roman" w:hAnsi="Times New Roman" w:cs="Times New Roman" w:eastAsia="Times New Roman" w:hint="default"/>
          <w:spacing w:val="-4"/>
        </w:rPr>
        <w:t>1</w:t>
      </w:r>
      <w:r>
        <w:rPr>
          <w:spacing w:val="-4"/>
        </w:rPr>
        <w:t>、公司董事康伟先生已于</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spacing w:val="-4"/>
        </w:rPr>
        <w:t>月份辞去英飞特电子（杭州）股份有限公司董事职务，至报告期内离职已超过</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w:t>
      </w:r>
    </w:p>
    <w:p>
      <w:pPr>
        <w:pStyle w:val="BodyText"/>
        <w:spacing w:line="240" w:lineRule="auto" w:before="103"/>
        <w:ind w:left="212" w:right="1192"/>
        <w:jc w:val="left"/>
      </w:pPr>
      <w:r>
        <w:rPr>
          <w:rFonts w:ascii="Times New Roman" w:hAnsi="Times New Roman" w:cs="Times New Roman" w:eastAsia="Times New Roman" w:hint="default"/>
        </w:rPr>
        <w:t>2</w:t>
      </w:r>
      <w:r>
        <w:rPr/>
        <w:t>、英飞特电子（杭州）股份有限公司持有我司股份未达到公司总股本的</w:t>
      </w:r>
      <w:r>
        <w:rPr>
          <w:spacing w:val="-43"/>
        </w:rPr>
        <w:t> </w:t>
      </w:r>
      <w:r>
        <w:rPr>
          <w:rFonts w:ascii="Times New Roman" w:hAnsi="Times New Roman" w:cs="Times New Roman" w:eastAsia="Times New Roman" w:hint="default"/>
        </w:rPr>
        <w:t>5%</w:t>
      </w:r>
      <w:r>
        <w:rPr/>
        <w:t>。</w:t>
      </w:r>
    </w:p>
    <w:p>
      <w:pPr>
        <w:spacing w:line="240" w:lineRule="auto" w:before="0"/>
        <w:rPr>
          <w:rFonts w:ascii="宋体" w:hAnsi="宋体" w:cs="宋体" w:eastAsia="宋体" w:hint="default"/>
          <w:sz w:val="24"/>
          <w:szCs w:val="24"/>
        </w:rPr>
      </w:pPr>
    </w:p>
    <w:p>
      <w:pPr>
        <w:pStyle w:val="Heading2"/>
        <w:spacing w:line="240" w:lineRule="auto"/>
        <w:ind w:left="212" w:right="1192"/>
        <w:jc w:val="left"/>
        <w:rPr>
          <w:b w:val="0"/>
          <w:bCs w:val="0"/>
        </w:rPr>
      </w:pPr>
      <w:r>
        <w:rPr/>
        <w:t>五、重大合同及其履行情况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2" w:right="1192"/>
        <w:jc w:val="left"/>
        <w:rPr>
          <w:b w:val="0"/>
          <w:bCs w:val="0"/>
        </w:rPr>
      </w:pPr>
      <w:r>
        <w:rPr>
          <w:rFonts w:ascii="Arial" w:hAnsi="Arial" w:cs="Arial" w:eastAsia="Arial" w:hint="default"/>
        </w:rPr>
        <w:t>1</w:t>
      </w:r>
      <w:r>
        <w:rPr/>
        <w:t>、托管、承包、租赁事项情况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left="212" w:right="1192"/>
        <w:jc w:val="left"/>
        <w:rPr>
          <w:b w:val="0"/>
          <w:bCs w:val="0"/>
        </w:rPr>
      </w:pPr>
      <w:r>
        <w:rPr/>
        <w:t>（</w:t>
      </w:r>
      <w:r>
        <w:rPr>
          <w:rFonts w:ascii="Arial" w:hAnsi="Arial" w:cs="Arial" w:eastAsia="Arial" w:hint="default"/>
        </w:rPr>
        <w:t>1</w:t>
      </w:r>
      <w:r>
        <w:rPr/>
        <w:t>）托管情况</w:t>
      </w:r>
      <w:r>
        <w:rPr>
          <w:b w:val="0"/>
          <w:bCs w:val="0"/>
        </w:rPr>
      </w:r>
    </w:p>
    <w:p>
      <w:pPr>
        <w:spacing w:line="240" w:lineRule="auto" w:before="3"/>
        <w:rPr>
          <w:rFonts w:ascii="宋体" w:hAnsi="宋体" w:cs="宋体" w:eastAsia="宋体" w:hint="default"/>
          <w:b/>
          <w:bCs/>
          <w:sz w:val="26"/>
          <w:szCs w:val="26"/>
        </w:rPr>
      </w:pPr>
    </w:p>
    <w:p>
      <w:pPr>
        <w:pStyle w:val="BodyText"/>
        <w:spacing w:line="360" w:lineRule="auto"/>
        <w:ind w:left="212" w:right="9674"/>
        <w:jc w:val="left"/>
      </w:pPr>
      <w:r>
        <w:rPr/>
        <w:t>托管情况说明 不适用</w:t>
      </w:r>
    </w:p>
    <w:p>
      <w:pPr>
        <w:pStyle w:val="BodyText"/>
        <w:spacing w:line="240" w:lineRule="auto" w:before="27"/>
        <w:ind w:left="212" w:right="1192"/>
        <w:jc w:val="left"/>
      </w:pPr>
      <w:r>
        <w:rPr/>
        <w:t>为公司带来的损益达到公司报告期利润总额</w:t>
      </w:r>
      <w:r>
        <w:rPr>
          <w:spacing w:val="-45"/>
        </w:rPr>
        <w:t> </w:t>
      </w:r>
      <w:r>
        <w:rPr>
          <w:rFonts w:ascii="Arial" w:hAnsi="Arial" w:cs="Arial" w:eastAsia="Arial" w:hint="default"/>
        </w:rPr>
        <w:t>10%</w:t>
      </w:r>
      <w:r>
        <w:rPr/>
        <w:t>以上的项目</w:t>
      </w:r>
    </w:p>
    <w:p>
      <w:pPr>
        <w:pStyle w:val="BodyText"/>
        <w:spacing w:line="240" w:lineRule="auto" w:before="102"/>
        <w:ind w:left="212" w:right="1192"/>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line="240" w:lineRule="auto" w:before="3"/>
        <w:rPr>
          <w:rFonts w:ascii="宋体" w:hAnsi="宋体" w:cs="宋体" w:eastAsia="宋体" w:hint="default"/>
          <w:sz w:val="26"/>
          <w:szCs w:val="26"/>
        </w:rPr>
      </w:pPr>
    </w:p>
    <w:p>
      <w:pPr>
        <w:pStyle w:val="Heading3"/>
        <w:spacing w:line="240" w:lineRule="auto"/>
        <w:ind w:left="212" w:right="1192"/>
        <w:jc w:val="left"/>
        <w:rPr>
          <w:b w:val="0"/>
          <w:bCs w:val="0"/>
        </w:rPr>
      </w:pPr>
      <w:r>
        <w:rPr/>
        <w:t>（</w:t>
      </w:r>
      <w:r>
        <w:rPr>
          <w:rFonts w:ascii="Arial" w:hAnsi="Arial" w:cs="Arial" w:eastAsia="Arial"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left="212" w:right="9674"/>
        <w:jc w:val="left"/>
      </w:pPr>
      <w:r>
        <w:rPr/>
        <w:t>承包情况说明 不适用</w:t>
      </w:r>
    </w:p>
    <w:p>
      <w:pPr>
        <w:pStyle w:val="BodyText"/>
        <w:spacing w:line="240" w:lineRule="auto" w:before="29"/>
        <w:ind w:left="212" w:right="1192"/>
        <w:jc w:val="left"/>
      </w:pPr>
      <w:r>
        <w:rPr/>
        <w:t>为公司带来的损益达到公司报告期利润总额</w:t>
      </w:r>
      <w:r>
        <w:rPr>
          <w:spacing w:val="-45"/>
        </w:rPr>
        <w:t> </w:t>
      </w:r>
      <w:r>
        <w:rPr>
          <w:rFonts w:ascii="Arial" w:hAnsi="Arial" w:cs="Arial" w:eastAsia="Arial" w:hint="default"/>
        </w:rPr>
        <w:t>10%</w:t>
      </w:r>
      <w:r>
        <w:rPr/>
        <w:t>以上的项目</w:t>
      </w:r>
    </w:p>
    <w:p>
      <w:pPr>
        <w:pStyle w:val="BodyText"/>
        <w:spacing w:line="240" w:lineRule="auto" w:before="104"/>
        <w:ind w:left="212" w:right="1192"/>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line="240" w:lineRule="auto" w:before="1"/>
        <w:rPr>
          <w:rFonts w:ascii="宋体" w:hAnsi="宋体" w:cs="宋体" w:eastAsia="宋体" w:hint="default"/>
          <w:sz w:val="26"/>
          <w:szCs w:val="26"/>
        </w:rPr>
      </w:pPr>
    </w:p>
    <w:p>
      <w:pPr>
        <w:pStyle w:val="Heading3"/>
        <w:spacing w:line="240" w:lineRule="auto"/>
        <w:ind w:left="212" w:right="1192"/>
        <w:jc w:val="left"/>
        <w:rPr>
          <w:b w:val="0"/>
          <w:bCs w:val="0"/>
        </w:rPr>
      </w:pPr>
      <w:r>
        <w:rPr/>
        <w:t>（</w:t>
      </w:r>
      <w:r>
        <w:rPr>
          <w:rFonts w:ascii="Arial" w:hAnsi="Arial" w:cs="Arial" w:eastAsia="Arial" w:hint="default"/>
        </w:rPr>
        <w:t>3</w:t>
      </w:r>
      <w:r>
        <w:rPr/>
        <w:t>）租赁情况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12" w:right="1192"/>
        <w:jc w:val="left"/>
      </w:pPr>
      <w:r>
        <w:rPr/>
        <w:t>租赁情况说明</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684"/>
        <w:gridCol w:w="1145"/>
        <w:gridCol w:w="4014"/>
        <w:gridCol w:w="1577"/>
        <w:gridCol w:w="2437"/>
      </w:tblGrid>
      <w:tr>
        <w:trPr>
          <w:trHeight w:val="590" w:hRule="exact"/>
        </w:trPr>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1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承租方</w:t>
            </w:r>
          </w:p>
        </w:tc>
        <w:tc>
          <w:tcPr>
            <w:tcW w:w="40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租赁房屋地址</w:t>
            </w:r>
          </w:p>
        </w:tc>
        <w:tc>
          <w:tcPr>
            <w:tcW w:w="15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月租金</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24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租赁期限</w:t>
            </w:r>
          </w:p>
        </w:tc>
      </w:tr>
      <w:tr>
        <w:trPr>
          <w:trHeight w:val="83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20"/>
              <w:jc w:val="left"/>
              <w:rPr>
                <w:rFonts w:ascii="宋体" w:hAnsi="宋体" w:cs="宋体" w:eastAsia="宋体" w:hint="default"/>
                <w:sz w:val="18"/>
                <w:szCs w:val="18"/>
              </w:rPr>
            </w:pPr>
            <w:r>
              <w:rPr>
                <w:rFonts w:ascii="宋体" w:hAnsi="宋体" w:cs="宋体" w:eastAsia="宋体" w:hint="default"/>
                <w:sz w:val="18"/>
                <w:szCs w:val="18"/>
              </w:rPr>
              <w:t>深圳市南山区西丽街道阳光社区松白路桑泰工业 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栋厂房六楼</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43" w:right="0"/>
              <w:jc w:val="left"/>
              <w:rPr>
                <w:rFonts w:ascii="Times New Roman" w:hAnsi="Times New Roman" w:cs="Times New Roman" w:eastAsia="Times New Roman" w:hint="default"/>
                <w:sz w:val="18"/>
                <w:szCs w:val="18"/>
              </w:rPr>
            </w:pPr>
            <w:r>
              <w:rPr>
                <w:rFonts w:ascii="Times New Roman"/>
                <w:sz w:val="18"/>
              </w:rPr>
              <w:t>26,000.00</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2010.03.08</w:t>
            </w:r>
            <w:r>
              <w:rPr>
                <w:rFonts w:ascii="宋体" w:hAnsi="宋体" w:cs="宋体" w:eastAsia="宋体" w:hint="default"/>
                <w:sz w:val="18"/>
                <w:szCs w:val="18"/>
              </w:rPr>
              <w:t>～</w:t>
            </w:r>
            <w:r>
              <w:rPr>
                <w:rFonts w:ascii="Times New Roman" w:hAnsi="Times New Roman" w:cs="Times New Roman" w:eastAsia="Times New Roman" w:hint="default"/>
                <w:sz w:val="18"/>
                <w:szCs w:val="18"/>
              </w:rPr>
              <w:t>2014.04.01</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4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684"/>
        <w:gridCol w:w="1145"/>
        <w:gridCol w:w="4014"/>
        <w:gridCol w:w="1577"/>
        <w:gridCol w:w="2437"/>
      </w:tblGrid>
      <w:tr>
        <w:trPr>
          <w:trHeight w:val="591" w:hRule="exact"/>
        </w:trPr>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1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承租方</w:t>
            </w:r>
          </w:p>
        </w:tc>
        <w:tc>
          <w:tcPr>
            <w:tcW w:w="40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租赁房屋地址</w:t>
            </w:r>
          </w:p>
        </w:tc>
        <w:tc>
          <w:tcPr>
            <w:tcW w:w="15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月租金</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24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租赁期限</w:t>
            </w:r>
          </w:p>
        </w:tc>
      </w:tr>
      <w:tr>
        <w:trPr>
          <w:trHeight w:val="83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20"/>
              <w:jc w:val="left"/>
              <w:rPr>
                <w:rFonts w:ascii="宋体" w:hAnsi="宋体" w:cs="宋体" w:eastAsia="宋体" w:hint="default"/>
                <w:sz w:val="18"/>
                <w:szCs w:val="18"/>
              </w:rPr>
            </w:pPr>
            <w:r>
              <w:rPr>
                <w:rFonts w:ascii="宋体" w:hAnsi="宋体" w:cs="宋体" w:eastAsia="宋体" w:hint="default"/>
                <w:sz w:val="18"/>
                <w:szCs w:val="18"/>
              </w:rPr>
              <w:t>深圳市南山区西丽街道阳光社区松白路桑泰工业 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栋宿舍</w:t>
            </w:r>
            <w:r>
              <w:rPr>
                <w:rFonts w:ascii="Times New Roman" w:hAnsi="Times New Roman" w:cs="Times New Roman" w:eastAsia="Times New Roman" w:hint="default"/>
                <w:sz w:val="18"/>
                <w:szCs w:val="18"/>
              </w:rPr>
              <w:t>(</w:t>
            </w:r>
            <w:r>
              <w:rPr>
                <w:rFonts w:ascii="宋体" w:hAnsi="宋体" w:cs="宋体" w:eastAsia="宋体" w:hint="default"/>
                <w:sz w:val="18"/>
                <w:szCs w:val="18"/>
              </w:rPr>
              <w:t>综合楼</w:t>
            </w:r>
            <w:r>
              <w:rPr>
                <w:rFonts w:ascii="Times New Roman" w:hAnsi="Times New Roman" w:cs="Times New Roman" w:eastAsia="Times New Roman" w:hint="default"/>
                <w:sz w:val="18"/>
                <w:szCs w:val="18"/>
              </w:rPr>
              <w:t>)</w:t>
            </w:r>
            <w:r>
              <w:rPr>
                <w:rFonts w:ascii="宋体" w:hAnsi="宋体" w:cs="宋体" w:eastAsia="宋体" w:hint="default"/>
                <w:sz w:val="18"/>
                <w:szCs w:val="18"/>
              </w:rPr>
              <w:t>二楼</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22,950.00</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2010.05.01</w:t>
            </w:r>
            <w:r>
              <w:rPr>
                <w:rFonts w:ascii="宋体" w:hAnsi="宋体" w:cs="宋体" w:eastAsia="宋体" w:hint="default"/>
                <w:sz w:val="18"/>
                <w:szCs w:val="18"/>
              </w:rPr>
              <w:t>～</w:t>
            </w:r>
            <w:r>
              <w:rPr>
                <w:rFonts w:ascii="Times New Roman" w:hAnsi="Times New Roman" w:cs="Times New Roman" w:eastAsia="Times New Roman" w:hint="default"/>
                <w:sz w:val="18"/>
                <w:szCs w:val="18"/>
              </w:rPr>
              <w:t>2014.04.01</w:t>
            </w:r>
          </w:p>
        </w:tc>
      </w:tr>
      <w:tr>
        <w:trPr>
          <w:trHeight w:val="82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20"/>
              <w:jc w:val="left"/>
              <w:rPr>
                <w:rFonts w:ascii="宋体" w:hAnsi="宋体" w:cs="宋体" w:eastAsia="宋体" w:hint="default"/>
                <w:sz w:val="18"/>
                <w:szCs w:val="18"/>
              </w:rPr>
            </w:pPr>
            <w:r>
              <w:rPr>
                <w:rFonts w:ascii="宋体" w:hAnsi="宋体" w:cs="宋体" w:eastAsia="宋体" w:hint="default"/>
                <w:sz w:val="18"/>
                <w:szCs w:val="18"/>
              </w:rPr>
              <w:t>深圳市南山区西丽街道阳光社区松白路桑泰工业 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栋宿舍</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28,250.00</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2010.12.01</w:t>
            </w:r>
            <w:r>
              <w:rPr>
                <w:rFonts w:ascii="宋体" w:hAnsi="宋体" w:cs="宋体" w:eastAsia="宋体" w:hint="default"/>
                <w:sz w:val="18"/>
                <w:szCs w:val="18"/>
              </w:rPr>
              <w:t>～</w:t>
            </w:r>
            <w:r>
              <w:rPr>
                <w:rFonts w:ascii="Times New Roman" w:hAnsi="Times New Roman" w:cs="Times New Roman" w:eastAsia="Times New Roman" w:hint="default"/>
                <w:sz w:val="18"/>
                <w:szCs w:val="18"/>
              </w:rPr>
              <w:t>2014.04.01</w:t>
            </w:r>
          </w:p>
        </w:tc>
      </w:tr>
      <w:tr>
        <w:trPr>
          <w:trHeight w:val="83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20"/>
              <w:jc w:val="left"/>
              <w:rPr>
                <w:rFonts w:ascii="宋体" w:hAnsi="宋体" w:cs="宋体" w:eastAsia="宋体" w:hint="default"/>
                <w:sz w:val="18"/>
                <w:szCs w:val="18"/>
              </w:rPr>
            </w:pPr>
            <w:r>
              <w:rPr>
                <w:rFonts w:ascii="宋体" w:hAnsi="宋体" w:cs="宋体" w:eastAsia="宋体" w:hint="default"/>
                <w:sz w:val="18"/>
                <w:szCs w:val="18"/>
              </w:rPr>
              <w:t>深圳市南山区西丽街道阳光社区松白路桑泰工业 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栋宿舍</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18,900.00</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2010.03.08</w:t>
            </w:r>
            <w:r>
              <w:rPr>
                <w:rFonts w:ascii="宋体" w:hAnsi="宋体" w:cs="宋体" w:eastAsia="宋体" w:hint="default"/>
                <w:sz w:val="18"/>
                <w:szCs w:val="18"/>
              </w:rPr>
              <w:t>～</w:t>
            </w:r>
            <w:r>
              <w:rPr>
                <w:rFonts w:ascii="Times New Roman" w:hAnsi="Times New Roman" w:cs="Times New Roman" w:eastAsia="Times New Roman" w:hint="default"/>
                <w:sz w:val="18"/>
                <w:szCs w:val="18"/>
              </w:rPr>
              <w:t>2014.04.01</w:t>
            </w:r>
          </w:p>
        </w:tc>
      </w:tr>
      <w:tr>
        <w:trPr>
          <w:trHeight w:val="83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号桑泰工业园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栋综合楼一楼</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36,400.00</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2011.01.01</w:t>
            </w:r>
            <w:r>
              <w:rPr>
                <w:rFonts w:ascii="宋体" w:hAnsi="宋体" w:cs="宋体" w:eastAsia="宋体" w:hint="default"/>
                <w:sz w:val="18"/>
                <w:szCs w:val="18"/>
              </w:rPr>
              <w:t>～</w:t>
            </w:r>
            <w:r>
              <w:rPr>
                <w:rFonts w:ascii="Times New Roman" w:hAnsi="Times New Roman" w:cs="Times New Roman" w:eastAsia="Times New Roman" w:hint="default"/>
                <w:sz w:val="18"/>
                <w:szCs w:val="18"/>
              </w:rPr>
              <w:t>2013.12.31</w:t>
            </w:r>
          </w:p>
        </w:tc>
      </w:tr>
      <w:tr>
        <w:trPr>
          <w:trHeight w:val="114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号桑泰工业园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栋厂房一楼、二楼、三楼南区、五楼（不含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99,380.00</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2011.01.01</w:t>
            </w:r>
            <w:r>
              <w:rPr>
                <w:rFonts w:ascii="宋体" w:hAnsi="宋体" w:cs="宋体" w:eastAsia="宋体" w:hint="default"/>
                <w:sz w:val="18"/>
                <w:szCs w:val="18"/>
              </w:rPr>
              <w:t>～</w:t>
            </w:r>
            <w:r>
              <w:rPr>
                <w:rFonts w:ascii="Times New Roman" w:hAnsi="Times New Roman" w:cs="Times New Roman" w:eastAsia="Times New Roman" w:hint="default"/>
                <w:sz w:val="18"/>
                <w:szCs w:val="18"/>
              </w:rPr>
              <w:t>2014.04.01</w:t>
            </w:r>
          </w:p>
        </w:tc>
      </w:tr>
      <w:tr>
        <w:trPr>
          <w:trHeight w:val="83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号桑泰工业园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栋厂房三楼北区、四楼、七楼</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70,410.00</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2011.01.01</w:t>
            </w:r>
            <w:r>
              <w:rPr>
                <w:rFonts w:ascii="宋体" w:hAnsi="宋体" w:cs="宋体" w:eastAsia="宋体" w:hint="default"/>
                <w:sz w:val="18"/>
                <w:szCs w:val="18"/>
              </w:rPr>
              <w:t>～</w:t>
            </w:r>
            <w:r>
              <w:rPr>
                <w:rFonts w:ascii="Times New Roman" w:hAnsi="Times New Roman" w:cs="Times New Roman" w:eastAsia="Times New Roman" w:hint="default"/>
                <w:sz w:val="18"/>
                <w:szCs w:val="18"/>
              </w:rPr>
              <w:t>2014.04.01</w:t>
            </w:r>
          </w:p>
        </w:tc>
      </w:tr>
      <w:tr>
        <w:trPr>
          <w:trHeight w:val="83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号桑泰工业园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栋综合楼三楼至八楼</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49,860.00</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2011.01.01</w:t>
            </w:r>
            <w:r>
              <w:rPr>
                <w:rFonts w:ascii="宋体" w:hAnsi="宋体" w:cs="宋体" w:eastAsia="宋体" w:hint="default"/>
                <w:sz w:val="18"/>
                <w:szCs w:val="18"/>
              </w:rPr>
              <w:t>～</w:t>
            </w:r>
            <w:r>
              <w:rPr>
                <w:rFonts w:ascii="Times New Roman" w:hAnsi="Times New Roman" w:cs="Times New Roman" w:eastAsia="Times New Roman" w:hint="default"/>
                <w:sz w:val="18"/>
                <w:szCs w:val="18"/>
              </w:rPr>
              <w:t>2014.04.01</w:t>
            </w:r>
          </w:p>
        </w:tc>
      </w:tr>
      <w:tr>
        <w:trPr>
          <w:trHeight w:val="83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茂硕研究院</w:t>
            </w:r>
          </w:p>
        </w:tc>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深圳市南山区西丽街道松白路白芒村桑泰工业园</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栋厂房五楼南区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w w:val="95"/>
                <w:sz w:val="18"/>
              </w:rPr>
              <w:t>2,800.00</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2009.09.10</w:t>
            </w:r>
            <w:r>
              <w:rPr>
                <w:rFonts w:ascii="宋体" w:hAnsi="宋体" w:cs="宋体" w:eastAsia="宋体" w:hint="default"/>
                <w:sz w:val="18"/>
                <w:szCs w:val="18"/>
              </w:rPr>
              <w:t>～</w:t>
            </w:r>
            <w:r>
              <w:rPr>
                <w:rFonts w:ascii="Times New Roman" w:hAnsi="Times New Roman" w:cs="Times New Roman" w:eastAsia="Times New Roman" w:hint="default"/>
                <w:sz w:val="18"/>
                <w:szCs w:val="18"/>
              </w:rPr>
              <w:t>2014.04.01</w:t>
            </w:r>
          </w:p>
        </w:tc>
      </w:tr>
    </w:tbl>
    <w:p>
      <w:pPr>
        <w:spacing w:line="240" w:lineRule="auto" w:before="1"/>
        <w:rPr>
          <w:rFonts w:ascii="宋体" w:hAnsi="宋体" w:cs="宋体" w:eastAsia="宋体" w:hint="default"/>
          <w:sz w:val="21"/>
          <w:szCs w:val="21"/>
        </w:rPr>
      </w:pPr>
    </w:p>
    <w:p>
      <w:pPr>
        <w:pStyle w:val="BodyText"/>
        <w:spacing w:line="302" w:lineRule="auto" w:before="44"/>
        <w:ind w:left="212" w:right="1122" w:firstLine="317"/>
        <w:jc w:val="left"/>
      </w:pPr>
      <w:r>
        <w:rPr>
          <w:rFonts w:ascii="Arial" w:hAnsi="Arial" w:cs="Arial" w:eastAsia="Arial" w:hint="default"/>
        </w:rPr>
        <w:t>2011</w:t>
      </w:r>
      <w:r>
        <w:rPr/>
        <w:t>年</w:t>
      </w:r>
      <w:r>
        <w:rPr>
          <w:rFonts w:ascii="Arial" w:hAnsi="Arial" w:cs="Arial" w:eastAsia="Arial" w:hint="default"/>
        </w:rPr>
        <w:t>2</w:t>
      </w:r>
      <w:r>
        <w:rPr/>
        <w:t>月</w:t>
      </w:r>
      <w:r>
        <w:rPr>
          <w:rFonts w:ascii="Arial" w:hAnsi="Arial" w:cs="Arial" w:eastAsia="Arial" w:hint="default"/>
        </w:rPr>
        <w:t>11</w:t>
      </w:r>
      <w:r>
        <w:rPr/>
        <w:t>日，本公司子公司华智测控与深港产学研基地签订了房屋租赁合同，租赁该公司南山区高新南七道</w:t>
      </w:r>
      <w:r>
        <w:rPr>
          <w:rFonts w:ascii="Arial" w:hAnsi="Arial" w:cs="Arial" w:eastAsia="Arial" w:hint="default"/>
        </w:rPr>
        <w:t>015</w:t>
      </w:r>
      <w:r>
        <w:rPr/>
        <w:t>号 深港产学研基地大楼西座四层</w:t>
      </w:r>
      <w:r>
        <w:rPr>
          <w:rFonts w:ascii="Arial" w:hAnsi="Arial" w:cs="Arial" w:eastAsia="Arial" w:hint="default"/>
        </w:rPr>
        <w:t>W408</w:t>
      </w:r>
      <w:r>
        <w:rPr/>
        <w:t>室，期限</w:t>
      </w:r>
      <w:r>
        <w:rPr>
          <w:rFonts w:ascii="Arial" w:hAnsi="Arial" w:cs="Arial" w:eastAsia="Arial" w:hint="default"/>
        </w:rPr>
        <w:t>2011.02.11</w:t>
      </w:r>
      <w:r>
        <w:rPr/>
        <w:t>～</w:t>
      </w:r>
      <w:r>
        <w:rPr>
          <w:rFonts w:ascii="Arial" w:hAnsi="Arial" w:cs="Arial" w:eastAsia="Arial" w:hint="default"/>
        </w:rPr>
        <w:t>2012.02.10</w:t>
      </w:r>
      <w:r>
        <w:rPr/>
        <w:t>，每月租金</w:t>
      </w:r>
      <w:r>
        <w:rPr>
          <w:rFonts w:ascii="Arial" w:hAnsi="Arial" w:cs="Arial" w:eastAsia="Arial" w:hint="default"/>
        </w:rPr>
        <w:t>9,160.00</w:t>
      </w:r>
      <w:r>
        <w:rPr/>
        <w:t>元。</w:t>
      </w:r>
    </w:p>
    <w:p>
      <w:pPr>
        <w:pStyle w:val="BodyText"/>
        <w:spacing w:line="302" w:lineRule="auto" w:before="11"/>
        <w:ind w:left="212" w:right="1122" w:firstLine="317"/>
        <w:jc w:val="left"/>
      </w:pPr>
      <w:r>
        <w:rPr>
          <w:rFonts w:ascii="Arial" w:hAnsi="Arial" w:cs="Arial" w:eastAsia="Arial" w:hint="default"/>
        </w:rPr>
        <w:t>2012</w:t>
      </w:r>
      <w:r>
        <w:rPr/>
        <w:t>年</w:t>
      </w:r>
      <w:r>
        <w:rPr>
          <w:rFonts w:ascii="Arial" w:hAnsi="Arial" w:cs="Arial" w:eastAsia="Arial" w:hint="default"/>
        </w:rPr>
        <w:t>8</w:t>
      </w:r>
      <w:r>
        <w:rPr/>
        <w:t>月</w:t>
      </w:r>
      <w:r>
        <w:rPr>
          <w:rFonts w:ascii="Arial" w:hAnsi="Arial" w:cs="Arial" w:eastAsia="Arial" w:hint="default"/>
        </w:rPr>
        <w:t>16</w:t>
      </w:r>
      <w:r>
        <w:rPr/>
        <w:t>日，本公司子公司华智测控与深港产学研基地签订了房屋租赁合同，租赁该公司南山区高新南七道</w:t>
      </w:r>
      <w:r>
        <w:rPr>
          <w:rFonts w:ascii="Arial" w:hAnsi="Arial" w:cs="Arial" w:eastAsia="Arial" w:hint="default"/>
        </w:rPr>
        <w:t>015</w:t>
      </w:r>
      <w:r>
        <w:rPr/>
        <w:t>号 深港产学研基地大楼西座四层</w:t>
      </w:r>
      <w:r>
        <w:rPr>
          <w:rFonts w:ascii="Arial" w:hAnsi="Arial" w:cs="Arial" w:eastAsia="Arial" w:hint="default"/>
        </w:rPr>
        <w:t>W408</w:t>
      </w:r>
      <w:r>
        <w:rPr/>
        <w:t>室，期限</w:t>
      </w:r>
      <w:r>
        <w:rPr>
          <w:rFonts w:ascii="Arial" w:hAnsi="Arial" w:cs="Arial" w:eastAsia="Arial" w:hint="default"/>
        </w:rPr>
        <w:t>2012.08.16</w:t>
      </w:r>
      <w:r>
        <w:rPr/>
        <w:t>～</w:t>
      </w:r>
      <w:r>
        <w:rPr>
          <w:rFonts w:ascii="Arial" w:hAnsi="Arial" w:cs="Arial" w:eastAsia="Arial" w:hint="default"/>
        </w:rPr>
        <w:t>2013.08.15</w:t>
      </w:r>
      <w:r>
        <w:rPr/>
        <w:t>，每月租金</w:t>
      </w:r>
      <w:r>
        <w:rPr>
          <w:rFonts w:ascii="Arial" w:hAnsi="Arial" w:cs="Arial" w:eastAsia="Arial" w:hint="default"/>
        </w:rPr>
        <w:t>9,160.00</w:t>
      </w:r>
      <w:r>
        <w:rPr/>
        <w:t>元。</w:t>
      </w:r>
    </w:p>
    <w:p>
      <w:pPr>
        <w:pStyle w:val="BodyText"/>
        <w:spacing w:line="302" w:lineRule="auto" w:before="11"/>
        <w:ind w:left="212" w:right="1122" w:firstLine="317"/>
        <w:jc w:val="left"/>
      </w:pPr>
      <w:r>
        <w:rPr>
          <w:rFonts w:ascii="Arial" w:hAnsi="Arial" w:cs="Arial" w:eastAsia="Arial" w:hint="default"/>
          <w:spacing w:val="-1"/>
        </w:rPr>
        <w:t>2011</w:t>
      </w:r>
      <w:r>
        <w:rPr>
          <w:spacing w:val="-1"/>
        </w:rPr>
        <w:t>年</w:t>
      </w:r>
      <w:r>
        <w:rPr>
          <w:rFonts w:ascii="Arial" w:hAnsi="Arial" w:cs="Arial" w:eastAsia="Arial" w:hint="default"/>
          <w:spacing w:val="-1"/>
        </w:rPr>
        <w:t>6</w:t>
      </w:r>
      <w:r>
        <w:rPr>
          <w:spacing w:val="-1"/>
        </w:rPr>
        <w:t>月</w:t>
      </w:r>
      <w:r>
        <w:rPr>
          <w:rFonts w:ascii="Arial" w:hAnsi="Arial" w:cs="Arial" w:eastAsia="Arial" w:hint="default"/>
          <w:spacing w:val="-1"/>
        </w:rPr>
        <w:t>21</w:t>
      </w:r>
      <w:r>
        <w:rPr>
          <w:spacing w:val="-1"/>
        </w:rPr>
        <w:t>日，本公司子公司北京茂硕与中关村科技园区海淀园创业服务中心签订了房屋租赁合同，租赁该公司海淀</w:t>
      </w:r>
      <w:r>
        <w:rPr/>
        <w:t> 区上地信息路</w:t>
      </w:r>
      <w:r>
        <w:rPr>
          <w:rFonts w:ascii="Arial" w:hAnsi="Arial" w:cs="Arial" w:eastAsia="Arial" w:hint="default"/>
        </w:rPr>
        <w:t>12</w:t>
      </w:r>
      <w:r>
        <w:rPr/>
        <w:t>号</w:t>
      </w:r>
      <w:r>
        <w:rPr>
          <w:rFonts w:ascii="Arial" w:hAnsi="Arial" w:cs="Arial" w:eastAsia="Arial" w:hint="default"/>
        </w:rPr>
        <w:t>4</w:t>
      </w:r>
      <w:r>
        <w:rPr/>
        <w:t>层</w:t>
      </w:r>
      <w:r>
        <w:rPr>
          <w:rFonts w:ascii="Arial" w:hAnsi="Arial" w:cs="Arial" w:eastAsia="Arial" w:hint="default"/>
        </w:rPr>
        <w:t>A</w:t>
      </w:r>
      <w:r>
        <w:rPr/>
        <w:t>区</w:t>
      </w:r>
      <w:r>
        <w:rPr>
          <w:rFonts w:ascii="Arial" w:hAnsi="Arial" w:cs="Arial" w:eastAsia="Arial" w:hint="default"/>
        </w:rPr>
        <w:t>403</w:t>
      </w:r>
      <w:r>
        <w:rPr/>
        <w:t>室，期限</w:t>
      </w:r>
      <w:r>
        <w:rPr>
          <w:rFonts w:ascii="Arial" w:hAnsi="Arial" w:cs="Arial" w:eastAsia="Arial" w:hint="default"/>
        </w:rPr>
        <w:t>2011.06.21</w:t>
      </w:r>
      <w:r>
        <w:rPr/>
        <w:t>～</w:t>
      </w:r>
      <w:r>
        <w:rPr>
          <w:rFonts w:ascii="Arial" w:hAnsi="Arial" w:cs="Arial" w:eastAsia="Arial" w:hint="default"/>
        </w:rPr>
        <w:t>2012.06.20</w:t>
      </w:r>
      <w:r>
        <w:rPr/>
        <w:t>，每月租金</w:t>
      </w:r>
      <w:r>
        <w:rPr>
          <w:rFonts w:ascii="Arial" w:hAnsi="Arial" w:cs="Arial" w:eastAsia="Arial" w:hint="default"/>
        </w:rPr>
        <w:t>5,442.15</w:t>
      </w:r>
      <w:r>
        <w:rPr/>
        <w:t>元。</w:t>
      </w:r>
    </w:p>
    <w:p>
      <w:pPr>
        <w:pStyle w:val="BodyText"/>
        <w:spacing w:line="302" w:lineRule="auto" w:before="11"/>
        <w:ind w:left="212" w:right="1135" w:firstLine="317"/>
        <w:jc w:val="left"/>
      </w:pP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24</w:t>
      </w:r>
      <w:r>
        <w:rPr/>
        <w:t>日，本公司子公司深圳茂硕研究院与深圳长虹科技有限责任公司签订了房屋租赁合同，租赁该公司南山 区高新区南区科技南十二路长虹科技大厦</w:t>
      </w:r>
      <w:r>
        <w:rPr>
          <w:rFonts w:ascii="Arial" w:hAnsi="Arial" w:cs="Arial" w:eastAsia="Arial" w:hint="default"/>
        </w:rPr>
        <w:t>14</w:t>
      </w:r>
      <w:r>
        <w:rPr/>
        <w:t>楼</w:t>
      </w:r>
      <w:r>
        <w:rPr>
          <w:rFonts w:ascii="Arial" w:hAnsi="Arial" w:cs="Arial" w:eastAsia="Arial" w:hint="default"/>
        </w:rPr>
        <w:t>09-10</w:t>
      </w:r>
      <w:r>
        <w:rPr/>
        <w:t>单元，期限</w:t>
      </w:r>
      <w:r>
        <w:rPr>
          <w:rFonts w:ascii="Arial" w:hAnsi="Arial" w:cs="Arial" w:eastAsia="Arial" w:hint="default"/>
        </w:rPr>
        <w:t>2011.10.24</w:t>
      </w:r>
      <w:r>
        <w:rPr/>
        <w:t>～</w:t>
      </w:r>
      <w:r>
        <w:rPr>
          <w:rFonts w:ascii="Arial" w:hAnsi="Arial" w:cs="Arial" w:eastAsia="Arial" w:hint="default"/>
        </w:rPr>
        <w:t>2012.10.23</w:t>
      </w:r>
      <w:r>
        <w:rPr/>
        <w:t>，每月租金</w:t>
      </w:r>
      <w:r>
        <w:rPr>
          <w:rFonts w:ascii="Arial" w:hAnsi="Arial" w:cs="Arial" w:eastAsia="Arial" w:hint="default"/>
        </w:rPr>
        <w:t>16,960.00</w:t>
      </w:r>
      <w:r>
        <w:rPr/>
        <w:t>元。</w:t>
      </w:r>
    </w:p>
    <w:p>
      <w:pPr>
        <w:pStyle w:val="BodyText"/>
        <w:spacing w:line="302" w:lineRule="auto" w:before="11"/>
        <w:ind w:left="212" w:right="1122" w:firstLine="317"/>
        <w:jc w:val="left"/>
      </w:pPr>
      <w:r>
        <w:rPr>
          <w:rFonts w:ascii="Arial" w:hAnsi="Arial" w:cs="Arial" w:eastAsia="Arial" w:hint="default"/>
          <w:spacing w:val="-1"/>
        </w:rPr>
        <w:t>2012</w:t>
      </w:r>
      <w:r>
        <w:rPr>
          <w:spacing w:val="-1"/>
        </w:rPr>
        <w:t>年</w:t>
      </w:r>
      <w:r>
        <w:rPr>
          <w:rFonts w:ascii="Arial" w:hAnsi="Arial" w:cs="Arial" w:eastAsia="Arial" w:hint="default"/>
          <w:spacing w:val="-1"/>
        </w:rPr>
        <w:t>11</w:t>
      </w:r>
      <w:r>
        <w:rPr>
          <w:spacing w:val="-1"/>
        </w:rPr>
        <w:t>月</w:t>
      </w:r>
      <w:r>
        <w:rPr>
          <w:rFonts w:ascii="Arial" w:hAnsi="Arial" w:cs="Arial" w:eastAsia="Arial" w:hint="default"/>
          <w:spacing w:val="-1"/>
        </w:rPr>
        <w:t>1</w:t>
      </w:r>
      <w:r>
        <w:rPr>
          <w:spacing w:val="-1"/>
        </w:rPr>
        <w:t>日，本公司子公司深圳研究院与深圳科技工业园有限公司签订了房屋租赁合同，租赁该公司深圳市南山区</w:t>
      </w:r>
      <w:r>
        <w:rPr/>
        <w:t> 科发路</w:t>
      </w:r>
      <w:r>
        <w:rPr>
          <w:rFonts w:ascii="Arial" w:hAnsi="Arial" w:cs="Arial" w:eastAsia="Arial" w:hint="default"/>
        </w:rPr>
        <w:t>8</w:t>
      </w:r>
      <w:r>
        <w:rPr/>
        <w:t>号金融服务技术创新基地</w:t>
      </w:r>
      <w:r>
        <w:rPr>
          <w:rFonts w:ascii="Arial" w:hAnsi="Arial" w:cs="Arial" w:eastAsia="Arial" w:hint="default"/>
        </w:rPr>
        <w:t>2</w:t>
      </w:r>
      <w:r>
        <w:rPr/>
        <w:t>栋</w:t>
      </w:r>
      <w:r>
        <w:rPr>
          <w:rFonts w:ascii="Arial" w:hAnsi="Arial" w:cs="Arial" w:eastAsia="Arial" w:hint="default"/>
        </w:rPr>
        <w:t>10A</w:t>
      </w:r>
      <w:r>
        <w:rPr/>
        <w:t>、</w:t>
      </w:r>
      <w:r>
        <w:rPr>
          <w:rFonts w:ascii="Arial" w:hAnsi="Arial" w:cs="Arial" w:eastAsia="Arial" w:hint="default"/>
        </w:rPr>
        <w:t>B</w:t>
      </w:r>
      <w:r>
        <w:rPr/>
        <w:t>单元，期限</w:t>
      </w:r>
      <w:r>
        <w:rPr>
          <w:rFonts w:ascii="Arial" w:hAnsi="Arial" w:cs="Arial" w:eastAsia="Arial" w:hint="default"/>
        </w:rPr>
        <w:t>2012.11.1</w:t>
      </w:r>
      <w:r>
        <w:rPr/>
        <w:t>～</w:t>
      </w:r>
      <w:r>
        <w:rPr>
          <w:rFonts w:ascii="Arial" w:hAnsi="Arial" w:cs="Arial" w:eastAsia="Arial" w:hint="default"/>
        </w:rPr>
        <w:t>2014.10.31</w:t>
      </w:r>
      <w:r>
        <w:rPr/>
        <w:t>，每月租金及配套设施费</w:t>
      </w:r>
      <w:r>
        <w:rPr>
          <w:rFonts w:ascii="Arial" w:hAnsi="Arial" w:cs="Arial" w:eastAsia="Arial" w:hint="default"/>
        </w:rPr>
        <w:t>90,840.60</w:t>
      </w:r>
      <w:r>
        <w:rPr/>
        <w:t>元。</w:t>
      </w:r>
    </w:p>
    <w:p>
      <w:pPr>
        <w:pStyle w:val="BodyText"/>
        <w:spacing w:line="302" w:lineRule="auto" w:before="12"/>
        <w:ind w:left="212" w:right="1122" w:firstLine="396"/>
        <w:jc w:val="left"/>
      </w:pPr>
      <w:r>
        <w:rPr>
          <w:rFonts w:ascii="Arial" w:hAnsi="Arial" w:cs="Arial" w:eastAsia="Arial" w:hint="default"/>
          <w:spacing w:val="-1"/>
        </w:rPr>
        <w:t>2012</w:t>
      </w:r>
      <w:r>
        <w:rPr>
          <w:spacing w:val="-1"/>
        </w:rPr>
        <w:t>年</w:t>
      </w:r>
      <w:r>
        <w:rPr>
          <w:rFonts w:ascii="Arial" w:hAnsi="Arial" w:cs="Arial" w:eastAsia="Arial" w:hint="default"/>
          <w:spacing w:val="-1"/>
        </w:rPr>
        <w:t>11</w:t>
      </w:r>
      <w:r>
        <w:rPr>
          <w:spacing w:val="-1"/>
        </w:rPr>
        <w:t>月</w:t>
      </w:r>
      <w:r>
        <w:rPr>
          <w:rFonts w:ascii="Arial" w:hAnsi="Arial" w:cs="Arial" w:eastAsia="Arial" w:hint="default"/>
          <w:spacing w:val="-1"/>
        </w:rPr>
        <w:t>1</w:t>
      </w:r>
      <w:r>
        <w:rPr>
          <w:spacing w:val="-1"/>
        </w:rPr>
        <w:t>日，本公司与深圳科技工业园有限公司签订了房屋租赁合同，租赁该公司深圳市南山区科发路</w:t>
      </w:r>
      <w:r>
        <w:rPr>
          <w:rFonts w:ascii="Arial" w:hAnsi="Arial" w:cs="Arial" w:eastAsia="Arial" w:hint="default"/>
          <w:spacing w:val="-1"/>
        </w:rPr>
        <w:t>8</w:t>
      </w:r>
      <w:r>
        <w:rPr>
          <w:spacing w:val="-1"/>
        </w:rPr>
        <w:t>号金融服</w:t>
      </w:r>
      <w:r>
        <w:rPr/>
        <w:t> 务技术创新基地</w:t>
      </w:r>
      <w:r>
        <w:rPr>
          <w:rFonts w:ascii="Arial" w:hAnsi="Arial" w:cs="Arial" w:eastAsia="Arial" w:hint="default"/>
        </w:rPr>
        <w:t>2</w:t>
      </w:r>
      <w:r>
        <w:rPr/>
        <w:t>栋</w:t>
      </w:r>
      <w:r>
        <w:rPr>
          <w:rFonts w:ascii="Arial" w:hAnsi="Arial" w:cs="Arial" w:eastAsia="Arial" w:hint="default"/>
        </w:rPr>
        <w:t>9A</w:t>
      </w:r>
      <w:r>
        <w:rPr/>
        <w:t>、</w:t>
      </w:r>
      <w:r>
        <w:rPr>
          <w:rFonts w:ascii="Arial" w:hAnsi="Arial" w:cs="Arial" w:eastAsia="Arial" w:hint="default"/>
        </w:rPr>
        <w:t>B</w:t>
      </w:r>
      <w:r>
        <w:rPr/>
        <w:t>、</w:t>
      </w:r>
      <w:r>
        <w:rPr>
          <w:rFonts w:ascii="Arial" w:hAnsi="Arial" w:cs="Arial" w:eastAsia="Arial" w:hint="default"/>
        </w:rPr>
        <w:t>C</w:t>
      </w:r>
      <w:r>
        <w:rPr/>
        <w:t>、</w:t>
      </w:r>
      <w:r>
        <w:rPr>
          <w:rFonts w:ascii="Arial" w:hAnsi="Arial" w:cs="Arial" w:eastAsia="Arial" w:hint="default"/>
        </w:rPr>
        <w:t>D</w:t>
      </w:r>
      <w:r>
        <w:rPr/>
        <w:t>单元，期限</w:t>
      </w:r>
      <w:r>
        <w:rPr>
          <w:rFonts w:ascii="Arial" w:hAnsi="Arial" w:cs="Arial" w:eastAsia="Arial" w:hint="default"/>
        </w:rPr>
        <w:t>2012.11.1</w:t>
      </w:r>
      <w:r>
        <w:rPr/>
        <w:t>～</w:t>
      </w:r>
      <w:r>
        <w:rPr>
          <w:rFonts w:ascii="Arial" w:hAnsi="Arial" w:cs="Arial" w:eastAsia="Arial" w:hint="default"/>
        </w:rPr>
        <w:t>2014.10.31</w:t>
      </w:r>
      <w:r>
        <w:rPr/>
        <w:t>，每月租金及配套设施费</w:t>
      </w:r>
      <w:r>
        <w:rPr>
          <w:rFonts w:ascii="Arial" w:hAnsi="Arial" w:cs="Arial" w:eastAsia="Arial" w:hint="default"/>
        </w:rPr>
        <w:t>193,330.80</w:t>
      </w:r>
      <w:r>
        <w:rPr/>
        <w:t>元。</w:t>
      </w:r>
    </w:p>
    <w:p>
      <w:pPr>
        <w:spacing w:line="240" w:lineRule="auto" w:before="0"/>
        <w:rPr>
          <w:rFonts w:ascii="宋体" w:hAnsi="宋体" w:cs="宋体" w:eastAsia="宋体" w:hint="default"/>
          <w:sz w:val="18"/>
          <w:szCs w:val="18"/>
        </w:rPr>
      </w:pPr>
    </w:p>
    <w:p>
      <w:pPr>
        <w:pStyle w:val="BodyText"/>
        <w:spacing w:line="240" w:lineRule="auto" w:before="128"/>
        <w:ind w:left="212" w:right="1192"/>
        <w:jc w:val="left"/>
      </w:pPr>
      <w:r>
        <w:rPr/>
        <w:t>为公司带来的损益达到公司报告期利润总额</w:t>
      </w:r>
      <w:r>
        <w:rPr>
          <w:spacing w:val="-45"/>
        </w:rPr>
        <w:t> </w:t>
      </w:r>
      <w:r>
        <w:rPr>
          <w:rFonts w:ascii="Arial" w:hAnsi="Arial" w:cs="Arial" w:eastAsia="Arial" w:hint="default"/>
        </w:rPr>
        <w:t>10%</w:t>
      </w:r>
      <w:r>
        <w:rPr/>
        <w:t>以上的项目</w:t>
      </w:r>
    </w:p>
    <w:p>
      <w:pPr>
        <w:pStyle w:val="BodyText"/>
        <w:spacing w:line="240" w:lineRule="auto" w:before="102"/>
        <w:ind w:left="212" w:right="1192"/>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line="240" w:lineRule="auto" w:before="3"/>
        <w:rPr>
          <w:rFonts w:ascii="宋体" w:hAnsi="宋体" w:cs="宋体" w:eastAsia="宋体" w:hint="default"/>
          <w:sz w:val="26"/>
          <w:szCs w:val="26"/>
        </w:rPr>
      </w:pPr>
    </w:p>
    <w:p>
      <w:pPr>
        <w:pStyle w:val="Heading3"/>
        <w:spacing w:line="240" w:lineRule="auto"/>
        <w:ind w:left="212" w:right="1192"/>
        <w:jc w:val="left"/>
        <w:rPr>
          <w:b w:val="0"/>
          <w:bCs w:val="0"/>
        </w:rPr>
      </w:pPr>
      <w:r>
        <w:rPr>
          <w:rFonts w:ascii="Arial" w:hAnsi="Arial" w:cs="Arial" w:eastAsia="Arial" w:hint="default"/>
        </w:rPr>
        <w:t>2</w:t>
      </w:r>
      <w:r>
        <w:rPr/>
        <w:t>、担保情况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单位：万元</w:t>
      </w:r>
    </w:p>
    <w:p>
      <w:pPr>
        <w:spacing w:after="0" w:line="240" w:lineRule="auto"/>
        <w:jc w:val="right"/>
        <w:sectPr>
          <w:pgSz w:w="11910" w:h="16840"/>
          <w:pgMar w:header="877" w:footer="1340" w:top="1060" w:bottom="1540" w:left="92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07"/>
        <w:gridCol w:w="930"/>
        <w:gridCol w:w="951"/>
        <w:gridCol w:w="1206"/>
        <w:gridCol w:w="1178"/>
        <w:gridCol w:w="1093"/>
        <w:gridCol w:w="1019"/>
        <w:gridCol w:w="815"/>
        <w:gridCol w:w="775"/>
      </w:tblGrid>
      <w:tr>
        <w:trPr>
          <w:trHeight w:val="396"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68" w:hRule="exact"/>
        </w:trPr>
        <w:tc>
          <w:tcPr>
            <w:tcW w:w="1607" w:type="dxa"/>
            <w:vMerge w:val="restart"/>
            <w:tcBorders>
              <w:top w:val="single" w:sz="4" w:space="0" w:color="000000"/>
              <w:left w:val="single" w:sz="4" w:space="0" w:color="000000"/>
              <w:right w:val="single" w:sz="4" w:space="0" w:color="000000"/>
            </w:tcBorders>
            <w:shd w:val="clear" w:color="auto" w:fill="D2D2D2"/>
          </w:tcPr>
          <w:p>
            <w:pPr/>
          </w:p>
        </w:tc>
        <w:tc>
          <w:tcPr>
            <w:tcW w:w="930" w:type="dxa"/>
            <w:tcBorders>
              <w:top w:val="single" w:sz="4" w:space="0" w:color="000000"/>
              <w:left w:val="single" w:sz="4" w:space="0" w:color="000000"/>
              <w:bottom w:val="nil" w:sz="6" w:space="0" w:color="auto"/>
              <w:right w:val="single" w:sz="5" w:space="0" w:color="000000"/>
            </w:tcBorders>
            <w:shd w:val="clear" w:color="auto" w:fill="D2D2D2"/>
          </w:tcPr>
          <w:p>
            <w:pPr/>
          </w:p>
        </w:tc>
        <w:tc>
          <w:tcPr>
            <w:tcW w:w="951" w:type="dxa"/>
            <w:vMerge w:val="restart"/>
            <w:tcBorders>
              <w:top w:val="single" w:sz="4" w:space="0" w:color="000000"/>
              <w:left w:val="single" w:sz="5" w:space="0" w:color="000000"/>
              <w:right w:val="single" w:sz="4" w:space="0" w:color="000000"/>
            </w:tcBorders>
            <w:shd w:val="clear" w:color="auto" w:fill="D2D2D2"/>
          </w:tcPr>
          <w:p>
            <w:pPr/>
          </w:p>
        </w:tc>
        <w:tc>
          <w:tcPr>
            <w:tcW w:w="12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8" w:type="dxa"/>
            <w:vMerge w:val="restart"/>
            <w:tcBorders>
              <w:top w:val="single" w:sz="4" w:space="0" w:color="000000"/>
              <w:left w:val="single" w:sz="4" w:space="0" w:color="000000"/>
              <w:right w:val="single" w:sz="4" w:space="0" w:color="000000"/>
            </w:tcBorders>
            <w:shd w:val="clear" w:color="auto" w:fill="D2D2D2"/>
          </w:tcPr>
          <w:p>
            <w:pPr/>
          </w:p>
        </w:tc>
        <w:tc>
          <w:tcPr>
            <w:tcW w:w="1093" w:type="dxa"/>
            <w:vMerge w:val="restart"/>
            <w:tcBorders>
              <w:top w:val="single" w:sz="4" w:space="0" w:color="000000"/>
              <w:left w:val="single" w:sz="4" w:space="0" w:color="000000"/>
              <w:right w:val="single" w:sz="4" w:space="0" w:color="000000"/>
            </w:tcBorders>
            <w:shd w:val="clear" w:color="auto" w:fill="D2D2D2"/>
          </w:tcPr>
          <w:p>
            <w:pPr/>
          </w:p>
        </w:tc>
        <w:tc>
          <w:tcPr>
            <w:tcW w:w="1019" w:type="dxa"/>
            <w:vMerge w:val="restart"/>
            <w:tcBorders>
              <w:top w:val="single" w:sz="4" w:space="0" w:color="000000"/>
              <w:left w:val="single" w:sz="4" w:space="0" w:color="000000"/>
              <w:right w:val="single" w:sz="4" w:space="0" w:color="000000"/>
            </w:tcBorders>
            <w:shd w:val="clear" w:color="auto" w:fill="D2D2D2"/>
          </w:tcPr>
          <w:p>
            <w:pPr/>
          </w:p>
        </w:tc>
        <w:tc>
          <w:tcPr>
            <w:tcW w:w="815" w:type="dxa"/>
            <w:vMerge w:val="restart"/>
            <w:tcBorders>
              <w:top w:val="single" w:sz="4" w:space="0" w:color="000000"/>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6"/>
              <w:ind w:left="16"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20"/>
              <w:ind w:left="108"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156" w:hRule="exact"/>
        </w:trPr>
        <w:tc>
          <w:tcPr>
            <w:tcW w:w="1607"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5" w:space="0" w:color="000000"/>
            </w:tcBorders>
            <w:shd w:val="clear" w:color="auto" w:fill="D2D2D2"/>
          </w:tcPr>
          <w:p>
            <w:pPr>
              <w:pStyle w:val="TableParagraph"/>
              <w:spacing w:line="316" w:lineRule="auto" w:before="49"/>
              <w:ind w:left="107"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1" w:type="dxa"/>
            <w:vMerge/>
            <w:tcBorders>
              <w:left w:val="single" w:sz="5"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18" w:right="147"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56" w:hRule="exact"/>
        </w:trPr>
        <w:tc>
          <w:tcPr>
            <w:tcW w:w="1607" w:type="dxa"/>
            <w:vMerge/>
            <w:tcBorders>
              <w:left w:val="single" w:sz="4" w:space="0" w:color="000000"/>
              <w:bottom w:val="nil" w:sz="6" w:space="0" w:color="auto"/>
              <w:right w:val="single" w:sz="4" w:space="0" w:color="000000"/>
            </w:tcBorders>
            <w:shd w:val="clear" w:color="auto" w:fill="D2D2D2"/>
          </w:tcPr>
          <w:p>
            <w:pPr/>
          </w:p>
        </w:tc>
        <w:tc>
          <w:tcPr>
            <w:tcW w:w="930" w:type="dxa"/>
            <w:vMerge/>
            <w:tcBorders>
              <w:left w:val="single" w:sz="4" w:space="0" w:color="000000"/>
              <w:right w:val="single" w:sz="5" w:space="0" w:color="000000"/>
            </w:tcBorders>
            <w:shd w:val="clear" w:color="auto" w:fill="D2D2D2"/>
          </w:tcPr>
          <w:p>
            <w:pPr/>
          </w:p>
        </w:tc>
        <w:tc>
          <w:tcPr>
            <w:tcW w:w="951" w:type="dxa"/>
            <w:vMerge/>
            <w:tcBorders>
              <w:left w:val="single" w:sz="5" w:space="0" w:color="000000"/>
              <w:bottom w:val="nil" w:sz="6" w:space="0" w:color="auto"/>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1178"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1019" w:type="dxa"/>
            <w:vMerge/>
            <w:tcBorders>
              <w:left w:val="single" w:sz="4" w:space="0" w:color="000000"/>
              <w:bottom w:val="nil" w:sz="6" w:space="0" w:color="auto"/>
              <w:right w:val="single" w:sz="4" w:space="0" w:color="000000"/>
            </w:tcBorders>
            <w:shd w:val="clear" w:color="auto" w:fill="D2D2D2"/>
          </w:tcPr>
          <w:p>
            <w:pP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19" w:right="4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5" w:type="dxa"/>
            <w:vMerge/>
            <w:tcBorders>
              <w:left w:val="single" w:sz="4" w:space="0" w:color="000000"/>
              <w:right w:val="single" w:sz="4" w:space="0" w:color="000000"/>
            </w:tcBorders>
            <w:shd w:val="clear" w:color="auto" w:fill="D2D2D2"/>
          </w:tcPr>
          <w:p>
            <w:pPr/>
          </w:p>
        </w:tc>
      </w:tr>
      <w:tr>
        <w:trPr>
          <w:trHeight w:val="391" w:hRule="exact"/>
        </w:trPr>
        <w:tc>
          <w:tcPr>
            <w:tcW w:w="16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vMerge/>
            <w:tcBorders>
              <w:left w:val="single" w:sz="4" w:space="0" w:color="000000"/>
              <w:right w:val="single" w:sz="5" w:space="0" w:color="000000"/>
            </w:tcBorders>
            <w:shd w:val="clear" w:color="auto" w:fill="D2D2D2"/>
          </w:tcPr>
          <w:p>
            <w:pPr/>
          </w:p>
        </w:tc>
        <w:tc>
          <w:tcPr>
            <w:tcW w:w="951" w:type="dxa"/>
            <w:tcBorders>
              <w:top w:val="nil" w:sz="6" w:space="0" w:color="auto"/>
              <w:left w:val="single" w:sz="5" w:space="0" w:color="000000"/>
              <w:bottom w:val="nil" w:sz="6" w:space="0" w:color="auto"/>
              <w:right w:val="single" w:sz="4" w:space="0" w:color="000000"/>
            </w:tcBorders>
            <w:shd w:val="clear" w:color="auto" w:fill="D2D2D2"/>
          </w:tcPr>
          <w:p>
            <w:pPr>
              <w:pStyle w:val="TableParagraph"/>
              <w:spacing w:line="240" w:lineRule="auto" w:before="49"/>
              <w:ind w:left="11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06" w:type="dxa"/>
            <w:vMerge/>
            <w:tcBorders>
              <w:left w:val="single" w:sz="4" w:space="0" w:color="000000"/>
              <w:right w:val="single" w:sz="4" w:space="0" w:color="000000"/>
            </w:tcBorders>
            <w:shd w:val="clear" w:color="auto" w:fill="D2D2D2"/>
          </w:tcPr>
          <w:p>
            <w:pPr/>
          </w:p>
        </w:tc>
        <w:tc>
          <w:tcPr>
            <w:tcW w:w="1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7"/>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5" w:type="dxa"/>
            <w:vMerge/>
            <w:tcBorders>
              <w:left w:val="single" w:sz="4" w:space="0" w:color="000000"/>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56" w:hRule="exact"/>
        </w:trPr>
        <w:tc>
          <w:tcPr>
            <w:tcW w:w="1607" w:type="dxa"/>
            <w:vMerge w:val="restart"/>
            <w:tcBorders>
              <w:top w:val="nil" w:sz="6" w:space="0" w:color="auto"/>
              <w:left w:val="single" w:sz="4" w:space="0" w:color="000000"/>
              <w:right w:val="single" w:sz="4" w:space="0" w:color="000000"/>
            </w:tcBorders>
            <w:shd w:val="clear" w:color="auto" w:fill="D2D2D2"/>
          </w:tcPr>
          <w:p>
            <w:pPr/>
          </w:p>
        </w:tc>
        <w:tc>
          <w:tcPr>
            <w:tcW w:w="930" w:type="dxa"/>
            <w:vMerge/>
            <w:tcBorders>
              <w:left w:val="single" w:sz="4" w:space="0" w:color="000000"/>
              <w:right w:val="single" w:sz="5" w:space="0" w:color="000000"/>
            </w:tcBorders>
            <w:shd w:val="clear" w:color="auto" w:fill="D2D2D2"/>
          </w:tcPr>
          <w:p>
            <w:pPr/>
          </w:p>
        </w:tc>
        <w:tc>
          <w:tcPr>
            <w:tcW w:w="951" w:type="dxa"/>
            <w:vMerge w:val="restart"/>
            <w:tcBorders>
              <w:top w:val="nil" w:sz="6" w:space="0" w:color="auto"/>
              <w:left w:val="single" w:sz="5" w:space="0" w:color="000000"/>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1178" w:type="dxa"/>
            <w:vMerge w:val="restart"/>
            <w:tcBorders>
              <w:top w:val="nil" w:sz="6" w:space="0" w:color="auto"/>
              <w:left w:val="single" w:sz="4" w:space="0" w:color="000000"/>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
        </w:tc>
        <w:tc>
          <w:tcPr>
            <w:tcW w:w="1019" w:type="dxa"/>
            <w:vMerge w:val="restart"/>
            <w:tcBorders>
              <w:top w:val="nil" w:sz="6" w:space="0" w:color="auto"/>
              <w:left w:val="single" w:sz="4" w:space="0" w:color="000000"/>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56" w:hRule="exact"/>
        </w:trPr>
        <w:tc>
          <w:tcPr>
            <w:tcW w:w="1607"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5" w:space="0" w:color="000000"/>
            </w:tcBorders>
            <w:shd w:val="clear" w:color="auto" w:fill="D2D2D2"/>
          </w:tcPr>
          <w:p>
            <w:pPr/>
          </w:p>
        </w:tc>
        <w:tc>
          <w:tcPr>
            <w:tcW w:w="951" w:type="dxa"/>
            <w:vMerge/>
            <w:tcBorders>
              <w:left w:val="single" w:sz="5" w:space="0" w:color="000000"/>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1178"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815"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61" w:hRule="exact"/>
        </w:trPr>
        <w:tc>
          <w:tcPr>
            <w:tcW w:w="1607" w:type="dxa"/>
            <w:vMerge/>
            <w:tcBorders>
              <w:left w:val="single" w:sz="4" w:space="0" w:color="000000"/>
              <w:bottom w:val="single" w:sz="4" w:space="0" w:color="000000"/>
              <w:right w:val="single" w:sz="4" w:space="0" w:color="000000"/>
            </w:tcBorders>
            <w:shd w:val="clear" w:color="auto" w:fill="D2D2D2"/>
          </w:tcPr>
          <w:p>
            <w:pPr/>
          </w:p>
        </w:tc>
        <w:tc>
          <w:tcPr>
            <w:tcW w:w="930" w:type="dxa"/>
            <w:tcBorders>
              <w:top w:val="nil" w:sz="6" w:space="0" w:color="auto"/>
              <w:left w:val="single" w:sz="4" w:space="0" w:color="000000"/>
              <w:bottom w:val="single" w:sz="4" w:space="0" w:color="000000"/>
              <w:right w:val="single" w:sz="5" w:space="0" w:color="000000"/>
            </w:tcBorders>
            <w:shd w:val="clear" w:color="auto" w:fill="D2D2D2"/>
          </w:tcPr>
          <w:p>
            <w:pPr/>
          </w:p>
        </w:tc>
        <w:tc>
          <w:tcPr>
            <w:tcW w:w="951" w:type="dxa"/>
            <w:vMerge/>
            <w:tcBorders>
              <w:left w:val="single" w:sz="5" w:space="0" w:color="000000"/>
              <w:bottom w:val="single" w:sz="4" w:space="0" w:color="000000"/>
              <w:right w:val="single" w:sz="4" w:space="0" w:color="000000"/>
            </w:tcBorders>
            <w:shd w:val="clear" w:color="auto" w:fill="D2D2D2"/>
          </w:tcPr>
          <w:p>
            <w:pPr/>
          </w:p>
        </w:tc>
        <w:tc>
          <w:tcPr>
            <w:tcW w:w="12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019" w:type="dxa"/>
            <w:vMerge/>
            <w:tcBorders>
              <w:left w:val="single" w:sz="4" w:space="0" w:color="000000"/>
              <w:bottom w:val="single" w:sz="4" w:space="0" w:color="000000"/>
              <w:right w:val="single" w:sz="4" w:space="0" w:color="000000"/>
            </w:tcBorders>
            <w:shd w:val="clear" w:color="auto" w:fill="D2D2D2"/>
          </w:tcPr>
          <w:p>
            <w:pPr/>
          </w:p>
        </w:tc>
        <w:tc>
          <w:tcPr>
            <w:tcW w:w="815"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Arial" w:hAnsi="Arial" w:cs="Arial" w:eastAsia="Arial" w:hint="default"/>
                <w:sz w:val="18"/>
                <w:szCs w:val="18"/>
              </w:rPr>
              <w:t>A1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7"/>
              <w:jc w:val="right"/>
              <w:rPr>
                <w:rFonts w:ascii="Arial" w:hAnsi="Arial" w:cs="Arial" w:eastAsia="Arial" w:hint="default"/>
                <w:sz w:val="18"/>
                <w:szCs w:val="18"/>
              </w:rPr>
            </w:pPr>
            <w:r>
              <w:rPr>
                <w:rFonts w:ascii="Arial"/>
                <w:w w:val="99"/>
                <w:sz w:val="18"/>
              </w:rPr>
              <w:t>0</w:t>
            </w:r>
            <w:r>
              <w:rPr>
                <w:rFonts w:ascii="Arial"/>
                <w:sz w:val="18"/>
              </w:rPr>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73"/>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Arial" w:hAnsi="Arial" w:cs="Arial" w:eastAsia="Arial" w:hint="default"/>
                <w:sz w:val="18"/>
                <w:szCs w:val="18"/>
              </w:rPr>
              <w:t>A2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w w:val="99"/>
                <w:sz w:val="18"/>
              </w:rPr>
              <w:t>0</w:t>
            </w:r>
            <w:r>
              <w:rPr>
                <w:rFonts w:ascii="Arial"/>
                <w:sz w:val="18"/>
              </w:rPr>
            </w:r>
          </w:p>
        </w:tc>
      </w:tr>
      <w:tr>
        <w:trPr>
          <w:trHeight w:val="720"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0"/>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Arial" w:hAnsi="Arial" w:cs="Arial" w:eastAsia="Arial" w:hint="default"/>
                <w:sz w:val="18"/>
                <w:szCs w:val="18"/>
              </w:rPr>
              <w:t>A3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7"/>
              <w:jc w:val="right"/>
              <w:rPr>
                <w:rFonts w:ascii="Arial" w:hAnsi="Arial" w:cs="Arial" w:eastAsia="Arial" w:hint="default"/>
                <w:sz w:val="18"/>
                <w:szCs w:val="18"/>
              </w:rPr>
            </w:pPr>
            <w:r>
              <w:rPr>
                <w:rFonts w:ascii="Arial"/>
                <w:w w:val="99"/>
                <w:sz w:val="18"/>
              </w:rPr>
              <w:t>0</w:t>
            </w:r>
            <w:r>
              <w:rPr>
                <w:rFonts w:ascii="Arial"/>
                <w:sz w:val="18"/>
              </w:rPr>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 w:right="73"/>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Arial" w:hAnsi="Arial" w:cs="Arial" w:eastAsia="Arial" w:hint="default"/>
                <w:sz w:val="18"/>
                <w:szCs w:val="18"/>
              </w:rPr>
              <w:t>A4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8"/>
                <w:szCs w:val="18"/>
              </w:rPr>
            </w:pPr>
            <w:r>
              <w:rPr>
                <w:rFonts w:ascii="Arial"/>
                <w:w w:val="99"/>
                <w:sz w:val="18"/>
              </w:rPr>
              <w:t>0</w:t>
            </w:r>
            <w:r>
              <w:rPr>
                <w:rFonts w:ascii="Arial"/>
                <w:sz w:val="18"/>
              </w:rPr>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8" w:hRule="exact"/>
        </w:trPr>
        <w:tc>
          <w:tcPr>
            <w:tcW w:w="1607" w:type="dxa"/>
            <w:vMerge w:val="restart"/>
            <w:tcBorders>
              <w:top w:val="single" w:sz="4" w:space="0" w:color="000000"/>
              <w:left w:val="single" w:sz="4" w:space="0" w:color="000000"/>
              <w:right w:val="single" w:sz="4" w:space="0" w:color="000000"/>
            </w:tcBorders>
            <w:shd w:val="clear" w:color="auto" w:fill="D2D2D2"/>
          </w:tcPr>
          <w:p>
            <w:pPr/>
          </w:p>
        </w:tc>
        <w:tc>
          <w:tcPr>
            <w:tcW w:w="930" w:type="dxa"/>
            <w:tcBorders>
              <w:top w:val="single" w:sz="4" w:space="0" w:color="000000"/>
              <w:left w:val="single" w:sz="4" w:space="0" w:color="000000"/>
              <w:bottom w:val="nil" w:sz="6" w:space="0" w:color="auto"/>
              <w:right w:val="single" w:sz="4" w:space="0" w:color="000000"/>
            </w:tcBorders>
            <w:shd w:val="clear" w:color="auto" w:fill="D2D2D2"/>
          </w:tcPr>
          <w:p>
            <w:pPr/>
          </w:p>
        </w:tc>
        <w:tc>
          <w:tcPr>
            <w:tcW w:w="951" w:type="dxa"/>
            <w:vMerge w:val="restart"/>
            <w:tcBorders>
              <w:top w:val="single" w:sz="4" w:space="0" w:color="000000"/>
              <w:left w:val="single" w:sz="4" w:space="0" w:color="000000"/>
              <w:right w:val="single" w:sz="4" w:space="0" w:color="000000"/>
            </w:tcBorders>
            <w:shd w:val="clear" w:color="auto" w:fill="D2D2D2"/>
          </w:tcPr>
          <w:p>
            <w:pPr/>
          </w:p>
        </w:tc>
        <w:tc>
          <w:tcPr>
            <w:tcW w:w="12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8" w:type="dxa"/>
            <w:vMerge w:val="restart"/>
            <w:tcBorders>
              <w:top w:val="single" w:sz="4" w:space="0" w:color="000000"/>
              <w:left w:val="single" w:sz="4" w:space="0" w:color="000000"/>
              <w:right w:val="single" w:sz="4" w:space="0" w:color="000000"/>
            </w:tcBorders>
            <w:shd w:val="clear" w:color="auto" w:fill="D2D2D2"/>
          </w:tcPr>
          <w:p>
            <w:pPr/>
          </w:p>
        </w:tc>
        <w:tc>
          <w:tcPr>
            <w:tcW w:w="1093" w:type="dxa"/>
            <w:vMerge w:val="restart"/>
            <w:tcBorders>
              <w:top w:val="single" w:sz="4" w:space="0" w:color="000000"/>
              <w:left w:val="single" w:sz="4" w:space="0" w:color="000000"/>
              <w:right w:val="single" w:sz="4" w:space="0" w:color="000000"/>
            </w:tcBorders>
            <w:shd w:val="clear" w:color="auto" w:fill="D2D2D2"/>
          </w:tcPr>
          <w:p>
            <w:pPr/>
          </w:p>
        </w:tc>
        <w:tc>
          <w:tcPr>
            <w:tcW w:w="1019" w:type="dxa"/>
            <w:vMerge w:val="restart"/>
            <w:tcBorders>
              <w:top w:val="single" w:sz="4" w:space="0" w:color="000000"/>
              <w:left w:val="single" w:sz="4" w:space="0" w:color="000000"/>
              <w:right w:val="single" w:sz="4" w:space="0" w:color="000000"/>
            </w:tcBorders>
            <w:shd w:val="clear" w:color="auto" w:fill="D2D2D2"/>
          </w:tcPr>
          <w:p>
            <w:pPr/>
          </w:p>
        </w:tc>
        <w:tc>
          <w:tcPr>
            <w:tcW w:w="815" w:type="dxa"/>
            <w:vMerge w:val="restart"/>
            <w:tcBorders>
              <w:top w:val="single" w:sz="4" w:space="0" w:color="000000"/>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08"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156" w:hRule="exact"/>
        </w:trPr>
        <w:tc>
          <w:tcPr>
            <w:tcW w:w="1607"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2"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1" w:type="dxa"/>
            <w:vMerge/>
            <w:tcBorders>
              <w:left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18" w:right="147"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57" w:hRule="exact"/>
        </w:trPr>
        <w:tc>
          <w:tcPr>
            <w:tcW w:w="1607" w:type="dxa"/>
            <w:vMerge/>
            <w:tcBorders>
              <w:left w:val="single" w:sz="4" w:space="0" w:color="000000"/>
              <w:bottom w:val="nil" w:sz="6" w:space="0" w:color="auto"/>
              <w:right w:val="single" w:sz="4" w:space="0" w:color="000000"/>
            </w:tcBorders>
            <w:shd w:val="clear" w:color="auto" w:fill="D2D2D2"/>
          </w:tcPr>
          <w:p>
            <w:pPr/>
          </w:p>
        </w:tc>
        <w:tc>
          <w:tcPr>
            <w:tcW w:w="930" w:type="dxa"/>
            <w:vMerge/>
            <w:tcBorders>
              <w:left w:val="single" w:sz="4" w:space="0" w:color="000000"/>
              <w:right w:val="single" w:sz="4" w:space="0" w:color="000000"/>
            </w:tcBorders>
            <w:shd w:val="clear" w:color="auto" w:fill="D2D2D2"/>
          </w:tcPr>
          <w:p>
            <w:pPr/>
          </w:p>
        </w:tc>
        <w:tc>
          <w:tcPr>
            <w:tcW w:w="951" w:type="dxa"/>
            <w:vMerge/>
            <w:tcBorders>
              <w:left w:val="single" w:sz="4" w:space="0" w:color="000000"/>
              <w:bottom w:val="nil" w:sz="6" w:space="0" w:color="auto"/>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1178"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1019" w:type="dxa"/>
            <w:vMerge/>
            <w:tcBorders>
              <w:left w:val="single" w:sz="4" w:space="0" w:color="000000"/>
              <w:bottom w:val="nil" w:sz="6" w:space="0" w:color="auto"/>
              <w:right w:val="single" w:sz="4" w:space="0" w:color="000000"/>
            </w:tcBorders>
            <w:shd w:val="clear" w:color="auto" w:fill="D2D2D2"/>
          </w:tcPr>
          <w:p>
            <w:pP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14" w:right="4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5" w:type="dxa"/>
            <w:vMerge/>
            <w:tcBorders>
              <w:left w:val="single" w:sz="4" w:space="0" w:color="000000"/>
              <w:right w:val="single" w:sz="4" w:space="0" w:color="000000"/>
            </w:tcBorders>
            <w:shd w:val="clear" w:color="auto" w:fill="D2D2D2"/>
          </w:tcPr>
          <w:p>
            <w:pPr/>
          </w:p>
        </w:tc>
      </w:tr>
      <w:tr>
        <w:trPr>
          <w:trHeight w:val="391" w:hRule="exact"/>
        </w:trPr>
        <w:tc>
          <w:tcPr>
            <w:tcW w:w="16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vMerge/>
            <w:tcBorders>
              <w:left w:val="single" w:sz="4" w:space="0" w:color="000000"/>
              <w:right w:val="single" w:sz="4" w:space="0" w:color="000000"/>
            </w:tcBorders>
            <w:shd w:val="clear" w:color="auto" w:fill="D2D2D2"/>
          </w:tcPr>
          <w:p>
            <w:pPr/>
          </w:p>
        </w:tc>
        <w:tc>
          <w:tcPr>
            <w:tcW w:w="9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06" w:type="dxa"/>
            <w:vMerge/>
            <w:tcBorders>
              <w:left w:val="single" w:sz="4" w:space="0" w:color="000000"/>
              <w:right w:val="single" w:sz="4" w:space="0" w:color="000000"/>
            </w:tcBorders>
            <w:shd w:val="clear" w:color="auto" w:fill="D2D2D2"/>
          </w:tcPr>
          <w:p>
            <w:pPr/>
          </w:p>
        </w:tc>
        <w:tc>
          <w:tcPr>
            <w:tcW w:w="1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32"/>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5" w:type="dxa"/>
            <w:vMerge/>
            <w:tcBorders>
              <w:left w:val="single" w:sz="4" w:space="0" w:color="000000"/>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56" w:hRule="exact"/>
        </w:trPr>
        <w:tc>
          <w:tcPr>
            <w:tcW w:w="1607" w:type="dxa"/>
            <w:vMerge w:val="restart"/>
            <w:tcBorders>
              <w:top w:val="nil" w:sz="6" w:space="0" w:color="auto"/>
              <w:left w:val="single" w:sz="4" w:space="0" w:color="000000"/>
              <w:right w:val="single" w:sz="4" w:space="0" w:color="000000"/>
            </w:tcBorders>
            <w:shd w:val="clear" w:color="auto" w:fill="D2D2D2"/>
          </w:tcPr>
          <w:p>
            <w:pPr/>
          </w:p>
        </w:tc>
        <w:tc>
          <w:tcPr>
            <w:tcW w:w="930" w:type="dxa"/>
            <w:vMerge/>
            <w:tcBorders>
              <w:left w:val="single" w:sz="4" w:space="0" w:color="000000"/>
              <w:right w:val="single" w:sz="4" w:space="0" w:color="000000"/>
            </w:tcBorders>
            <w:shd w:val="clear" w:color="auto" w:fill="D2D2D2"/>
          </w:tcPr>
          <w:p>
            <w:pPr/>
          </w:p>
        </w:tc>
        <w:tc>
          <w:tcPr>
            <w:tcW w:w="951" w:type="dxa"/>
            <w:vMerge w:val="restart"/>
            <w:tcBorders>
              <w:top w:val="nil" w:sz="6" w:space="0" w:color="auto"/>
              <w:left w:val="single" w:sz="4" w:space="0" w:color="000000"/>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1178" w:type="dxa"/>
            <w:vMerge w:val="restart"/>
            <w:tcBorders>
              <w:top w:val="nil" w:sz="6" w:space="0" w:color="auto"/>
              <w:left w:val="single" w:sz="4" w:space="0" w:color="000000"/>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
        </w:tc>
        <w:tc>
          <w:tcPr>
            <w:tcW w:w="1019" w:type="dxa"/>
            <w:vMerge w:val="restart"/>
            <w:tcBorders>
              <w:top w:val="nil" w:sz="6" w:space="0" w:color="auto"/>
              <w:left w:val="single" w:sz="4" w:space="0" w:color="000000"/>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56" w:hRule="exact"/>
        </w:trPr>
        <w:tc>
          <w:tcPr>
            <w:tcW w:w="1607"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951"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1178"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815"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61" w:hRule="exact"/>
        </w:trPr>
        <w:tc>
          <w:tcPr>
            <w:tcW w:w="1607" w:type="dxa"/>
            <w:vMerge/>
            <w:tcBorders>
              <w:left w:val="single" w:sz="4" w:space="0" w:color="000000"/>
              <w:bottom w:val="single" w:sz="4" w:space="0" w:color="000000"/>
              <w:right w:val="single" w:sz="4" w:space="0" w:color="000000"/>
            </w:tcBorders>
            <w:shd w:val="clear" w:color="auto" w:fill="D2D2D2"/>
          </w:tcPr>
          <w:p>
            <w:pPr/>
          </w:p>
        </w:tc>
        <w:tc>
          <w:tcPr>
            <w:tcW w:w="930" w:type="dxa"/>
            <w:tcBorders>
              <w:top w:val="nil" w:sz="6" w:space="0" w:color="auto"/>
              <w:left w:val="single" w:sz="4" w:space="0" w:color="000000"/>
              <w:bottom w:val="single" w:sz="4" w:space="0" w:color="000000"/>
              <w:right w:val="single" w:sz="4" w:space="0" w:color="000000"/>
            </w:tcBorders>
            <w:shd w:val="clear" w:color="auto" w:fill="D2D2D2"/>
          </w:tcPr>
          <w:p>
            <w:pPr/>
          </w:p>
        </w:tc>
        <w:tc>
          <w:tcPr>
            <w:tcW w:w="951" w:type="dxa"/>
            <w:vMerge/>
            <w:tcBorders>
              <w:left w:val="single" w:sz="4" w:space="0" w:color="000000"/>
              <w:bottom w:val="single" w:sz="4" w:space="0" w:color="000000"/>
              <w:right w:val="single" w:sz="4" w:space="0" w:color="000000"/>
            </w:tcBorders>
            <w:shd w:val="clear" w:color="auto" w:fill="D2D2D2"/>
          </w:tcPr>
          <w:p>
            <w:pPr/>
          </w:p>
        </w:tc>
        <w:tc>
          <w:tcPr>
            <w:tcW w:w="12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019" w:type="dxa"/>
            <w:vMerge/>
            <w:tcBorders>
              <w:left w:val="single" w:sz="4" w:space="0" w:color="000000"/>
              <w:bottom w:val="single" w:sz="4" w:space="0" w:color="000000"/>
              <w:right w:val="single" w:sz="4" w:space="0" w:color="000000"/>
            </w:tcBorders>
            <w:shd w:val="clear" w:color="auto" w:fill="D2D2D2"/>
          </w:tcPr>
          <w:p>
            <w:pPr/>
          </w:p>
        </w:tc>
        <w:tc>
          <w:tcPr>
            <w:tcW w:w="815"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深圳茂硕电子科技 有限公司</w:t>
            </w:r>
          </w:p>
        </w:tc>
        <w:tc>
          <w:tcPr>
            <w:tcW w:w="930"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62" w:right="0"/>
              <w:jc w:val="left"/>
              <w:rPr>
                <w:rFonts w:ascii="Arial" w:hAnsi="Arial" w:cs="Arial" w:eastAsia="Arial" w:hint="default"/>
                <w:sz w:val="18"/>
                <w:szCs w:val="18"/>
              </w:rPr>
            </w:pPr>
            <w:r>
              <w:rPr>
                <w:rFonts w:ascii="Arial"/>
                <w:sz w:val="18"/>
              </w:rPr>
              <w:t>5,000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02</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19"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w w:val="95"/>
                <w:sz w:val="18"/>
              </w:rPr>
              <w:t>5,000</w:t>
            </w:r>
            <w:r>
              <w:rPr>
                <w:rFonts w:ascii="Arial"/>
                <w:sz w:val="18"/>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0"/>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Arial" w:hAnsi="Arial" w:cs="Arial" w:eastAsia="Arial" w:hint="default"/>
                <w:sz w:val="18"/>
                <w:szCs w:val="18"/>
              </w:rPr>
              <w:t>B1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5"/>
              <w:jc w:val="right"/>
              <w:rPr>
                <w:rFonts w:ascii="Arial" w:hAnsi="Arial" w:cs="Arial" w:eastAsia="Arial" w:hint="default"/>
                <w:sz w:val="18"/>
                <w:szCs w:val="18"/>
              </w:rPr>
            </w:pPr>
            <w:r>
              <w:rPr>
                <w:rFonts w:ascii="Arial"/>
                <w:w w:val="95"/>
                <w:sz w:val="18"/>
              </w:rPr>
              <w:t>5,000</w:t>
            </w:r>
            <w:r>
              <w:rPr>
                <w:rFonts w:ascii="Arial"/>
                <w:sz w:val="18"/>
              </w:rPr>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 w:right="73"/>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Arial" w:hAnsi="Arial" w:cs="Arial" w:eastAsia="Arial" w:hint="default"/>
                <w:sz w:val="18"/>
                <w:szCs w:val="18"/>
              </w:rPr>
              <w:t>B2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18"/>
                <w:szCs w:val="18"/>
              </w:rPr>
            </w:pPr>
            <w:r>
              <w:rPr>
                <w:rFonts w:ascii="Arial"/>
                <w:spacing w:val="-1"/>
                <w:sz w:val="18"/>
              </w:rPr>
              <w:t>4,753.83</w:t>
            </w:r>
          </w:p>
        </w:tc>
      </w:tr>
      <w:tr>
        <w:trPr>
          <w:trHeight w:val="720"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Arial" w:hAnsi="Arial" w:cs="Arial" w:eastAsia="Arial" w:hint="default"/>
                <w:sz w:val="18"/>
                <w:szCs w:val="18"/>
              </w:rPr>
              <w:t>B3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5"/>
              <w:jc w:val="right"/>
              <w:rPr>
                <w:rFonts w:ascii="Arial" w:hAnsi="Arial" w:cs="Arial" w:eastAsia="Arial" w:hint="default"/>
                <w:sz w:val="18"/>
                <w:szCs w:val="18"/>
              </w:rPr>
            </w:pPr>
            <w:r>
              <w:rPr>
                <w:rFonts w:ascii="Arial"/>
                <w:w w:val="95"/>
                <w:sz w:val="18"/>
              </w:rPr>
              <w:t>5,000</w:t>
            </w:r>
            <w:r>
              <w:rPr>
                <w:rFonts w:ascii="Arial"/>
                <w:sz w:val="18"/>
              </w:rPr>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73"/>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Arial" w:hAnsi="Arial" w:cs="Arial" w:eastAsia="Arial" w:hint="default"/>
                <w:sz w:val="18"/>
                <w:szCs w:val="18"/>
              </w:rPr>
              <w:t>B4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spacing w:val="-1"/>
                <w:sz w:val="18"/>
              </w:rPr>
              <w:t>246.17</w:t>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8"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5"/>
              <w:jc w:val="right"/>
              <w:rPr>
                <w:rFonts w:ascii="Arial" w:hAnsi="Arial" w:cs="Arial" w:eastAsia="Arial" w:hint="default"/>
                <w:sz w:val="18"/>
                <w:szCs w:val="18"/>
              </w:rPr>
            </w:pPr>
            <w:r>
              <w:rPr>
                <w:rFonts w:ascii="Arial"/>
                <w:w w:val="95"/>
                <w:sz w:val="18"/>
              </w:rPr>
              <w:t>5,000</w:t>
            </w:r>
            <w:r>
              <w:rPr>
                <w:rFonts w:ascii="Arial"/>
                <w:sz w:val="18"/>
              </w:rPr>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5" w:right="73"/>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Arial" w:hAnsi="Arial" w:cs="Arial" w:eastAsia="Arial" w:hint="default"/>
                <w:sz w:val="18"/>
                <w:szCs w:val="18"/>
              </w:rPr>
              <w:t>A2+B2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18"/>
                <w:szCs w:val="18"/>
              </w:rPr>
            </w:pPr>
            <w:r>
              <w:rPr>
                <w:rFonts w:ascii="Arial"/>
                <w:spacing w:val="-1"/>
                <w:sz w:val="18"/>
              </w:rPr>
              <w:t>4,753.83</w:t>
            </w:r>
          </w:p>
        </w:tc>
      </w:tr>
      <w:tr>
        <w:trPr>
          <w:trHeight w:val="715"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0"/>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Arial" w:hAnsi="Arial" w:cs="Arial" w:eastAsia="Arial"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5"/>
              <w:jc w:val="right"/>
              <w:rPr>
                <w:rFonts w:ascii="Arial" w:hAnsi="Arial" w:cs="Arial" w:eastAsia="Arial" w:hint="default"/>
                <w:sz w:val="18"/>
                <w:szCs w:val="18"/>
              </w:rPr>
            </w:pPr>
            <w:r>
              <w:rPr>
                <w:rFonts w:ascii="Arial"/>
                <w:w w:val="95"/>
                <w:sz w:val="18"/>
              </w:rPr>
              <w:t>5,000</w:t>
            </w:r>
            <w:r>
              <w:rPr>
                <w:rFonts w:ascii="Arial"/>
                <w:sz w:val="18"/>
              </w:rPr>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4"/>
              <w:ind w:left="25"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A4+B4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8"/>
                <w:szCs w:val="18"/>
              </w:rPr>
            </w:pPr>
            <w:r>
              <w:rPr>
                <w:rFonts w:ascii="Arial"/>
                <w:spacing w:val="-1"/>
                <w:sz w:val="18"/>
              </w:rPr>
              <w:t>246.17</w:t>
            </w:r>
          </w:p>
        </w:tc>
      </w:tr>
      <w:tr>
        <w:trPr>
          <w:trHeight w:val="408"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Arial" w:hAnsi="Arial" w:cs="Arial" w:eastAsia="Arial" w:hint="default"/>
                <w:sz w:val="18"/>
                <w:szCs w:val="18"/>
              </w:rPr>
              <w:t>A4+B4</w:t>
            </w:r>
            <w:r>
              <w:rPr>
                <w:rFonts w:ascii="宋体" w:hAnsi="宋体" w:cs="宋体" w:eastAsia="宋体" w:hint="default"/>
                <w:sz w:val="18"/>
                <w:szCs w:val="18"/>
              </w:rPr>
              <w:t>）占公司净资产的比例</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w w:val="95"/>
                <w:sz w:val="18"/>
              </w:rPr>
              <w:t>0.36%</w:t>
            </w:r>
            <w:r>
              <w:rPr>
                <w:rFonts w:ascii="Arial"/>
                <w:sz w:val="18"/>
              </w:rPr>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Arial" w:hAnsi="Arial" w:cs="Arial" w:eastAsia="Arial" w:hint="default"/>
                <w:sz w:val="18"/>
                <w:szCs w:val="18"/>
              </w:rPr>
              <w:t>C</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7"/>
              <w:jc w:val="right"/>
              <w:rPr>
                <w:rFonts w:ascii="Arial" w:hAnsi="Arial" w:cs="Arial" w:eastAsia="Arial" w:hint="default"/>
                <w:sz w:val="18"/>
                <w:szCs w:val="18"/>
              </w:rPr>
            </w:pPr>
            <w:r>
              <w:rPr>
                <w:rFonts w:ascii="Arial"/>
                <w:w w:val="99"/>
                <w:sz w:val="18"/>
              </w:rPr>
              <w:t>0</w:t>
            </w:r>
            <w:r>
              <w:rPr>
                <w:rFonts w:ascii="Arial"/>
                <w:sz w:val="18"/>
              </w:rPr>
            </w:r>
          </w:p>
        </w:tc>
      </w:tr>
      <w:tr>
        <w:trPr>
          <w:trHeight w:val="714"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4" w:right="11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Arial" w:hAnsi="Arial" w:cs="Arial" w:eastAsia="Arial" w:hint="default"/>
                <w:sz w:val="18"/>
                <w:szCs w:val="18"/>
              </w:rPr>
              <w:t>70%</w:t>
            </w:r>
            <w:r>
              <w:rPr>
                <w:rFonts w:ascii="宋体" w:hAnsi="宋体" w:cs="宋体" w:eastAsia="宋体" w:hint="default"/>
                <w:sz w:val="18"/>
                <w:szCs w:val="18"/>
              </w:rPr>
              <w:t>的被担保对象提供的债 务担保金额（</w:t>
            </w:r>
            <w:r>
              <w:rPr>
                <w:rFonts w:ascii="Arial" w:hAnsi="Arial" w:cs="Arial" w:eastAsia="Arial" w:hint="default"/>
                <w:sz w:val="18"/>
                <w:szCs w:val="18"/>
              </w:rPr>
              <w:t>D</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spacing w:val="-1"/>
                <w:sz w:val="18"/>
              </w:rPr>
              <w:t>4,753.83</w:t>
            </w:r>
          </w:p>
        </w:tc>
      </w:tr>
      <w:tr>
        <w:trPr>
          <w:trHeight w:val="403"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9"/>
                <w:sz w:val="18"/>
                <w:szCs w:val="18"/>
              </w:rPr>
              <w:t> </w:t>
            </w:r>
            <w:r>
              <w:rPr>
                <w:rFonts w:ascii="Arial" w:hAnsi="Arial" w:cs="Arial" w:eastAsia="Arial" w:hint="default"/>
                <w:sz w:val="18"/>
                <w:szCs w:val="18"/>
              </w:rPr>
              <w:t>50%</w:t>
            </w:r>
            <w:r>
              <w:rPr>
                <w:rFonts w:ascii="宋体" w:hAnsi="宋体" w:cs="宋体" w:eastAsia="宋体" w:hint="default"/>
                <w:sz w:val="18"/>
                <w:szCs w:val="18"/>
              </w:rPr>
              <w:t>部分的金额（</w:t>
            </w:r>
            <w:r>
              <w:rPr>
                <w:rFonts w:ascii="Arial" w:hAnsi="Arial" w:cs="Arial" w:eastAsia="Arial" w:hint="default"/>
                <w:sz w:val="18"/>
                <w:szCs w:val="18"/>
              </w:rPr>
              <w:t>E</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Arial" w:hAnsi="Arial" w:cs="Arial" w:eastAsia="Arial" w:hint="default"/>
                <w:sz w:val="18"/>
                <w:szCs w:val="18"/>
              </w:rPr>
            </w:pPr>
            <w:r>
              <w:rPr>
                <w:rFonts w:ascii="Arial"/>
                <w:w w:val="99"/>
                <w:sz w:val="18"/>
              </w:rPr>
              <w:t>0</w:t>
            </w:r>
            <w:r>
              <w:rPr>
                <w:rFonts w:ascii="Arial"/>
                <w:sz w:val="18"/>
              </w:rPr>
            </w:r>
          </w:p>
        </w:tc>
      </w:tr>
      <w:tr>
        <w:trPr>
          <w:trHeight w:val="402"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Arial" w:hAnsi="Arial" w:cs="Arial" w:eastAsia="Arial" w:hint="default"/>
                <w:sz w:val="18"/>
                <w:szCs w:val="18"/>
              </w:rPr>
              <w:t>C+D+E</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Arial" w:hAnsi="Arial" w:cs="Arial" w:eastAsia="Arial" w:hint="default"/>
                <w:sz w:val="18"/>
                <w:szCs w:val="18"/>
              </w:rPr>
            </w:pPr>
            <w:r>
              <w:rPr>
                <w:rFonts w:ascii="Arial"/>
                <w:spacing w:val="-1"/>
                <w:sz w:val="18"/>
              </w:rPr>
              <w:t>4,753.83</w:t>
            </w:r>
          </w:p>
        </w:tc>
      </w:tr>
    </w:tbl>
    <w:p>
      <w:pPr>
        <w:pStyle w:val="BodyText"/>
        <w:spacing w:line="240" w:lineRule="auto" w:before="49"/>
        <w:ind w:right="1121"/>
        <w:jc w:val="left"/>
      </w:pPr>
      <w:r>
        <w:rPr/>
        <w:t>采用复合方式担保的具体情况说明</w:t>
      </w:r>
    </w:p>
    <w:p>
      <w:pPr>
        <w:spacing w:line="240" w:lineRule="auto" w:before="1"/>
        <w:rPr>
          <w:rFonts w:ascii="宋体" w:hAnsi="宋体" w:cs="宋体" w:eastAsia="宋体" w:hint="default"/>
          <w:sz w:val="25"/>
          <w:szCs w:val="25"/>
        </w:rPr>
      </w:pPr>
    </w:p>
    <w:p>
      <w:pPr>
        <w:pStyle w:val="Heading2"/>
        <w:spacing w:line="240" w:lineRule="auto"/>
        <w:ind w:right="1121"/>
        <w:jc w:val="left"/>
        <w:rPr>
          <w:b w:val="0"/>
          <w:bCs w:val="0"/>
        </w:rPr>
      </w:pPr>
      <w:r>
        <w:rPr/>
        <w:t>六、承诺事项履行情况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1"/>
        <w:jc w:val="left"/>
        <w:rPr>
          <w:b w:val="0"/>
          <w:bCs w:val="0"/>
        </w:rPr>
      </w:pPr>
      <w:r>
        <w:rPr/>
        <w:pict>
          <v:group style="position:absolute;margin-left:460.320007pt;margin-top:49.523674pt;width:135pt;height:77pt;mso-position-horizontal-relative:page;mso-position-vertical-relative:paragraph;z-index:-1034392" coordorigin="9206,990" coordsize="2700,1540">
            <v:shape style="position:absolute;left:9206;top:990;width:2700;height:1540" type="#_x0000_t75" stroked="false">
              <v:imagedata r:id="rId15" o:title=""/>
            </v:shape>
            <v:shape style="position:absolute;left:10593;top:1351;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41</w:t>
                    </w:r>
                  </w:p>
                </w:txbxContent>
              </v:textbox>
              <w10:wrap type="none"/>
            </v:shape>
            <w10:wrap type="none"/>
          </v:group>
        </w:pict>
      </w:r>
      <w:r>
        <w:rPr>
          <w:rFonts w:ascii="Arial" w:hAnsi="Arial" w:cs="Arial" w:eastAsia="Arial" w:hint="default"/>
        </w:rPr>
        <w:t>1</w:t>
      </w:r>
      <w:r>
        <w:rPr/>
        <w:t>、公司或持股</w:t>
      </w:r>
      <w:r>
        <w:rPr>
          <w:spacing w:val="-53"/>
        </w:rPr>
        <w:t> </w:t>
      </w:r>
      <w:r>
        <w:rPr>
          <w:rFonts w:ascii="Arial" w:hAnsi="Arial" w:cs="Arial" w:eastAsia="Arial" w:hint="default"/>
        </w:rPr>
        <w:t>5%</w:t>
      </w:r>
      <w:r>
        <w:rPr/>
        <w:t>以上股东在报告期内或持续到报告期内的承诺事项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bl>
    <w:p>
      <w:pPr>
        <w:spacing w:after="0" w:line="240" w:lineRule="auto"/>
        <w:jc w:val="left"/>
        <w:rPr>
          <w:rFonts w:ascii="宋体" w:hAnsi="宋体" w:cs="宋体" w:eastAsia="宋体" w:hint="default"/>
          <w:sz w:val="18"/>
          <w:szCs w:val="18"/>
        </w:rPr>
        <w:sectPr>
          <w:headerReference w:type="default" r:id="rId26"/>
          <w:footerReference w:type="default" r:id="rId27"/>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460"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深圳德旺投资 发展有限公司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本公司控股股 东德旺投资承 </w:t>
            </w:r>
            <w:r>
              <w:rPr>
                <w:rFonts w:ascii="宋体" w:hAnsi="宋体" w:cs="宋体" w:eastAsia="宋体" w:hint="default"/>
                <w:spacing w:val="-6"/>
                <w:sz w:val="18"/>
                <w:szCs w:val="18"/>
              </w:rPr>
              <w:t>诺，自公司股票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在深圳证券交 易所上市之日 起</w:t>
            </w:r>
            <w:r>
              <w:rPr>
                <w:rFonts w:ascii="宋体" w:hAnsi="宋体" w:cs="宋体" w:eastAsia="宋体" w:hint="default"/>
                <w:spacing w:val="-45"/>
                <w:sz w:val="18"/>
                <w:szCs w:val="18"/>
              </w:rPr>
              <w:t> </w:t>
            </w:r>
            <w:r>
              <w:rPr>
                <w:rFonts w:ascii="Arial" w:hAnsi="Arial" w:cs="Arial" w:eastAsia="Arial" w:hint="default"/>
                <w:sz w:val="18"/>
                <w:szCs w:val="18"/>
              </w:rPr>
              <w:t>36</w:t>
            </w:r>
            <w:r>
              <w:rPr>
                <w:rFonts w:ascii="Arial" w:hAnsi="Arial" w:cs="Arial" w:eastAsia="Arial" w:hint="default"/>
                <w:spacing w:val="-4"/>
                <w:sz w:val="18"/>
                <w:szCs w:val="18"/>
              </w:rPr>
              <w:t> </w:t>
            </w:r>
            <w:r>
              <w:rPr>
                <w:rFonts w:ascii="宋体" w:hAnsi="宋体" w:cs="宋体" w:eastAsia="宋体" w:hint="default"/>
                <w:sz w:val="18"/>
                <w:szCs w:val="18"/>
              </w:rPr>
              <w:t>个月内， 不转让或者委 托他人管理本 公司直接持有 的公司公开发 行股票前已发 </w:t>
            </w:r>
            <w:r>
              <w:rPr>
                <w:rFonts w:ascii="宋体" w:hAnsi="宋体" w:cs="宋体" w:eastAsia="宋体" w:hint="default"/>
                <w:spacing w:val="-6"/>
                <w:sz w:val="18"/>
                <w:szCs w:val="18"/>
              </w:rPr>
              <w:t>行的股份，也不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由公司回购该 部分股份。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03</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Arial" w:hAnsi="Arial" w:cs="Arial" w:eastAsia="Arial" w:hint="default"/>
                <w:sz w:val="18"/>
                <w:szCs w:val="18"/>
              </w:rPr>
              <w:t>16</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11"/>
              <w:ind w:left="23" w:right="48"/>
              <w:jc w:val="left"/>
              <w:rPr>
                <w:rFonts w:ascii="宋体" w:hAnsi="宋体" w:cs="宋体" w:eastAsia="宋体" w:hint="default"/>
                <w:sz w:val="18"/>
                <w:szCs w:val="18"/>
              </w:rPr>
            </w:pPr>
            <w:r>
              <w:rPr>
                <w:rFonts w:ascii="宋体" w:hAnsi="宋体" w:cs="宋体" w:eastAsia="宋体" w:hint="default"/>
                <w:sz w:val="18"/>
                <w:szCs w:val="18"/>
              </w:rPr>
              <w:t>自公司股票上 市之日起</w:t>
            </w:r>
            <w:r>
              <w:rPr>
                <w:rFonts w:ascii="宋体" w:hAnsi="宋体" w:cs="宋体" w:eastAsia="宋体" w:hint="default"/>
                <w:spacing w:val="-44"/>
                <w:sz w:val="18"/>
                <w:szCs w:val="18"/>
              </w:rPr>
              <w:t> </w:t>
            </w:r>
            <w:r>
              <w:rPr>
                <w:rFonts w:ascii="Arial" w:hAnsi="Arial" w:cs="Arial" w:eastAsia="Arial" w:hint="default"/>
                <w:sz w:val="18"/>
                <w:szCs w:val="18"/>
              </w:rPr>
              <w:t>36</w:t>
            </w:r>
            <w:r>
              <w:rPr>
                <w:rFonts w:ascii="Arial" w:hAnsi="Arial" w:cs="Arial" w:eastAsia="Arial" w:hint="default"/>
                <w:spacing w:val="-4"/>
                <w:sz w:val="18"/>
                <w:szCs w:val="18"/>
              </w:rPr>
              <w:t> </w:t>
            </w:r>
            <w:r>
              <w:rPr>
                <w:rFonts w:ascii="宋体" w:hAnsi="宋体" w:cs="宋体" w:eastAsia="宋体" w:hint="default"/>
                <w:sz w:val="18"/>
                <w:szCs w:val="18"/>
              </w:rPr>
              <w:t>个 月内</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7851"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本公司实际控 制人顾永德承 </w:t>
            </w:r>
            <w:r>
              <w:rPr>
                <w:rFonts w:ascii="宋体" w:hAnsi="宋体" w:cs="宋体" w:eastAsia="宋体" w:hint="default"/>
                <w:spacing w:val="-6"/>
                <w:sz w:val="18"/>
                <w:szCs w:val="18"/>
              </w:rPr>
              <w:t>诺，自公司股票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在深圳证券交 易所上市之日 起</w:t>
            </w:r>
            <w:r>
              <w:rPr>
                <w:rFonts w:ascii="宋体" w:hAnsi="宋体" w:cs="宋体" w:eastAsia="宋体" w:hint="default"/>
                <w:spacing w:val="-45"/>
                <w:sz w:val="18"/>
                <w:szCs w:val="18"/>
              </w:rPr>
              <w:t> </w:t>
            </w:r>
            <w:r>
              <w:rPr>
                <w:rFonts w:ascii="Arial" w:hAnsi="Arial" w:cs="Arial" w:eastAsia="Arial" w:hint="default"/>
                <w:sz w:val="18"/>
                <w:szCs w:val="18"/>
              </w:rPr>
              <w:t>36</w:t>
            </w:r>
            <w:r>
              <w:rPr>
                <w:rFonts w:ascii="Arial" w:hAnsi="Arial" w:cs="Arial" w:eastAsia="Arial" w:hint="default"/>
                <w:spacing w:val="-4"/>
                <w:sz w:val="18"/>
                <w:szCs w:val="18"/>
              </w:rPr>
              <w:t> </w:t>
            </w:r>
            <w:r>
              <w:rPr>
                <w:rFonts w:ascii="宋体" w:hAnsi="宋体" w:cs="宋体" w:eastAsia="宋体" w:hint="default"/>
                <w:sz w:val="18"/>
                <w:szCs w:val="18"/>
              </w:rPr>
              <w:t>个月内， 不转让或者委 托他人管理本 人直接或者间 接持有的公司 公开发行股票 前已发行的股 </w:t>
            </w:r>
            <w:r>
              <w:rPr>
                <w:rFonts w:ascii="宋体" w:hAnsi="宋体" w:cs="宋体" w:eastAsia="宋体" w:hint="default"/>
                <w:spacing w:val="-6"/>
                <w:sz w:val="18"/>
                <w:szCs w:val="18"/>
              </w:rPr>
              <w:t>份，也不由公司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回购该部分股 </w:t>
            </w:r>
            <w:r>
              <w:rPr>
                <w:rFonts w:ascii="宋体" w:hAnsi="宋体" w:cs="宋体" w:eastAsia="宋体" w:hint="default"/>
                <w:spacing w:val="-6"/>
                <w:sz w:val="18"/>
                <w:szCs w:val="18"/>
              </w:rPr>
              <w:t>份。作为公司的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董事，本人所持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公司股份在上 述锁定期限届 </w:t>
            </w:r>
            <w:r>
              <w:rPr>
                <w:rFonts w:ascii="宋体" w:hAnsi="宋体" w:cs="宋体" w:eastAsia="宋体" w:hint="default"/>
                <w:spacing w:val="-6"/>
                <w:sz w:val="18"/>
                <w:szCs w:val="18"/>
              </w:rPr>
              <w:t>满后，在任职期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间每年转让公 司股份的比例 不超过所持公 司股份总数的 </w:t>
            </w:r>
            <w:r>
              <w:rPr>
                <w:rFonts w:ascii="Arial" w:hAnsi="Arial" w:cs="Arial" w:eastAsia="Arial" w:hint="default"/>
                <w:spacing w:val="-5"/>
                <w:sz w:val="18"/>
                <w:szCs w:val="18"/>
              </w:rPr>
              <w:t>25%</w:t>
            </w:r>
            <w:r>
              <w:rPr>
                <w:rFonts w:ascii="宋体" w:hAnsi="宋体" w:cs="宋体" w:eastAsia="宋体" w:hint="default"/>
                <w:spacing w:val="-5"/>
                <w:sz w:val="18"/>
                <w:szCs w:val="18"/>
              </w:rPr>
              <w:t>；公司上市</w:t>
            </w:r>
            <w:r>
              <w:rPr>
                <w:rFonts w:ascii="宋体" w:hAnsi="宋体" w:cs="宋体" w:eastAsia="宋体" w:hint="default"/>
                <w:sz w:val="18"/>
                <w:szCs w:val="18"/>
              </w:rPr>
              <w:t> </w:t>
            </w:r>
            <w:r>
              <w:rPr>
                <w:rFonts w:ascii="宋体" w:hAnsi="宋体" w:cs="宋体" w:eastAsia="宋体" w:hint="default"/>
                <w:spacing w:val="-6"/>
                <w:sz w:val="18"/>
                <w:szCs w:val="18"/>
              </w:rPr>
              <w:t>后如离任，离任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03</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Arial" w:hAnsi="Arial" w:cs="Arial" w:eastAsia="Arial" w:hint="default"/>
                <w:sz w:val="18"/>
                <w:szCs w:val="18"/>
              </w:rPr>
              <w:t>16</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0"/>
              <w:ind w:left="23" w:right="48"/>
              <w:jc w:val="left"/>
              <w:rPr>
                <w:rFonts w:ascii="宋体" w:hAnsi="宋体" w:cs="宋体" w:eastAsia="宋体" w:hint="default"/>
                <w:sz w:val="18"/>
                <w:szCs w:val="18"/>
              </w:rPr>
            </w:pPr>
            <w:r>
              <w:rPr>
                <w:rFonts w:ascii="宋体" w:hAnsi="宋体" w:cs="宋体" w:eastAsia="宋体" w:hint="default"/>
                <w:sz w:val="18"/>
                <w:szCs w:val="18"/>
              </w:rPr>
              <w:t>自公司股票上 市之日起</w:t>
            </w:r>
            <w:r>
              <w:rPr>
                <w:rFonts w:ascii="宋体" w:hAnsi="宋体" w:cs="宋体" w:eastAsia="宋体" w:hint="default"/>
                <w:spacing w:val="-44"/>
                <w:sz w:val="18"/>
                <w:szCs w:val="18"/>
              </w:rPr>
              <w:t> </w:t>
            </w:r>
            <w:r>
              <w:rPr>
                <w:rFonts w:ascii="Arial" w:hAnsi="Arial" w:cs="Arial" w:eastAsia="Arial" w:hint="default"/>
                <w:sz w:val="18"/>
                <w:szCs w:val="18"/>
              </w:rPr>
              <w:t>36</w:t>
            </w:r>
            <w:r>
              <w:rPr>
                <w:rFonts w:ascii="Arial" w:hAnsi="Arial" w:cs="Arial" w:eastAsia="Arial" w:hint="default"/>
                <w:spacing w:val="-4"/>
                <w:sz w:val="18"/>
                <w:szCs w:val="18"/>
              </w:rPr>
              <w:t> </w:t>
            </w:r>
            <w:r>
              <w:rPr>
                <w:rFonts w:ascii="宋体" w:hAnsi="宋体" w:cs="宋体" w:eastAsia="宋体" w:hint="default"/>
                <w:sz w:val="18"/>
                <w:szCs w:val="18"/>
              </w:rPr>
              <w:t>个 月内</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footerReference w:type="default" r:id="rId28"/>
          <w:pgSz w:w="11910" w:h="16840"/>
          <w:pgMar w:footer="1244" w:header="877" w:top="1060" w:bottom="1440" w:left="980" w:right="0"/>
          <w:pgNumType w:start="42"/>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795" w:hRule="exact"/>
        </w:trPr>
        <w:tc>
          <w:tcPr>
            <w:tcW w:w="3195"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7"/>
              <w:jc w:val="left"/>
              <w:rPr>
                <w:rFonts w:ascii="Arial" w:hAnsi="Arial" w:cs="Arial" w:eastAsia="Arial"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Arial" w:hAnsi="Arial" w:cs="Arial" w:eastAsia="Arial" w:hint="default"/>
                <w:sz w:val="18"/>
                <w:szCs w:val="18"/>
              </w:rPr>
              <w:t>6</w:t>
            </w:r>
            <w:r>
              <w:rPr>
                <w:rFonts w:ascii="Arial" w:hAnsi="Arial" w:cs="Arial" w:eastAsia="Arial" w:hint="default"/>
                <w:spacing w:val="-4"/>
                <w:sz w:val="18"/>
                <w:szCs w:val="18"/>
              </w:rPr>
              <w:t> </w:t>
            </w:r>
            <w:r>
              <w:rPr>
                <w:rFonts w:ascii="宋体" w:hAnsi="宋体" w:cs="宋体" w:eastAsia="宋体" w:hint="default"/>
                <w:spacing w:val="-10"/>
                <w:sz w:val="18"/>
                <w:szCs w:val="18"/>
              </w:rPr>
              <w:t>个月内，不</w:t>
            </w:r>
            <w:r>
              <w:rPr>
                <w:rFonts w:ascii="宋体" w:hAnsi="宋体" w:cs="宋体" w:eastAsia="宋体" w:hint="default"/>
                <w:sz w:val="18"/>
                <w:szCs w:val="18"/>
              </w:rPr>
              <w:t> 转让本人所持 有的公司股份； 在申报离任</w:t>
            </w:r>
            <w:r>
              <w:rPr>
                <w:rFonts w:ascii="宋体" w:hAnsi="宋体" w:cs="宋体" w:eastAsia="宋体" w:hint="default"/>
                <w:spacing w:val="-44"/>
                <w:sz w:val="18"/>
                <w:szCs w:val="18"/>
              </w:rPr>
              <w:t> </w:t>
            </w:r>
            <w:r>
              <w:rPr>
                <w:rFonts w:ascii="Arial" w:hAnsi="Arial" w:cs="Arial" w:eastAsia="Arial" w:hint="default"/>
                <w:sz w:val="18"/>
                <w:szCs w:val="18"/>
              </w:rPr>
              <w:t>6</w:t>
            </w:r>
          </w:p>
          <w:p>
            <w:pPr>
              <w:pStyle w:val="TableParagraph"/>
              <w:spacing w:line="314" w:lineRule="auto" w:before="3"/>
              <w:ind w:left="23" w:right="48"/>
              <w:jc w:val="left"/>
              <w:rPr>
                <w:rFonts w:ascii="宋体" w:hAnsi="宋体" w:cs="宋体" w:eastAsia="宋体" w:hint="default"/>
                <w:sz w:val="18"/>
                <w:szCs w:val="18"/>
              </w:rPr>
            </w:pPr>
            <w:r>
              <w:rPr>
                <w:rFonts w:ascii="宋体" w:hAnsi="宋体" w:cs="宋体" w:eastAsia="宋体" w:hint="default"/>
                <w:sz w:val="18"/>
                <w:szCs w:val="18"/>
              </w:rPr>
              <w:t>个月后的</w:t>
            </w:r>
            <w:r>
              <w:rPr>
                <w:rFonts w:ascii="宋体" w:hAnsi="宋体" w:cs="宋体" w:eastAsia="宋体" w:hint="default"/>
                <w:spacing w:val="-44"/>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个 月内通过交易 所挂牌交易出 售本公司股票 数量占其所持 有本公司股票 总数的比例不 得超过</w:t>
            </w:r>
            <w:r>
              <w:rPr>
                <w:rFonts w:ascii="宋体" w:hAnsi="宋体" w:cs="宋体" w:eastAsia="宋体" w:hint="default"/>
                <w:spacing w:val="-45"/>
                <w:sz w:val="18"/>
                <w:szCs w:val="18"/>
              </w:rPr>
              <w:t> </w:t>
            </w:r>
            <w:r>
              <w:rPr>
                <w:rFonts w:ascii="Arial" w:hAnsi="Arial" w:cs="Arial" w:eastAsia="Arial" w:hint="default"/>
                <w:sz w:val="18"/>
                <w:szCs w:val="18"/>
              </w:rPr>
              <w:t>50%</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3195"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浙江蓝石创业 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4"/>
                <w:sz w:val="18"/>
                <w:szCs w:val="18"/>
              </w:rPr>
              <w:t> </w:t>
            </w:r>
            <w:r>
              <w:rPr>
                <w:rFonts w:ascii="Arial" w:hAnsi="Arial" w:cs="Arial" w:eastAsia="Arial" w:hint="default"/>
                <w:sz w:val="18"/>
                <w:szCs w:val="18"/>
              </w:rPr>
              <w:t>5%</w:t>
            </w:r>
            <w:r>
              <w:rPr>
                <w:rFonts w:ascii="Arial" w:hAnsi="Arial" w:cs="Arial" w:eastAsia="Arial" w:hint="default"/>
                <w:w w:val="99"/>
                <w:sz w:val="18"/>
                <w:szCs w:val="18"/>
              </w:rPr>
              <w:t> </w:t>
            </w:r>
            <w:r>
              <w:rPr>
                <w:rFonts w:ascii="宋体" w:hAnsi="宋体" w:cs="宋体" w:eastAsia="宋体" w:hint="default"/>
                <w:sz w:val="18"/>
                <w:szCs w:val="18"/>
              </w:rPr>
              <w:t>以上股东浙江 蓝石创业投资 有限公司承诺， 自公司股票在 深圳证券交易 所上市之日起 </w:t>
            </w: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个月内，不 转让或者委托 他人管理本公 司</w:t>
            </w:r>
            <w:r>
              <w:rPr>
                <w:rFonts w:ascii="Arial" w:hAnsi="Arial" w:cs="Arial" w:eastAsia="Arial" w:hint="default"/>
                <w:sz w:val="18"/>
                <w:szCs w:val="18"/>
              </w:rPr>
              <w:t>/</w:t>
            </w:r>
            <w:r>
              <w:rPr>
                <w:rFonts w:ascii="宋体" w:hAnsi="宋体" w:cs="宋体" w:eastAsia="宋体" w:hint="default"/>
                <w:sz w:val="18"/>
                <w:szCs w:val="18"/>
              </w:rPr>
              <w:t>本人直接持 有的公司公开 发行股票前已 </w:t>
            </w:r>
            <w:r>
              <w:rPr>
                <w:rFonts w:ascii="宋体" w:hAnsi="宋体" w:cs="宋体" w:eastAsia="宋体" w:hint="default"/>
                <w:spacing w:val="-6"/>
                <w:sz w:val="18"/>
                <w:szCs w:val="18"/>
              </w:rPr>
              <w:t>发行的股份，也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不由公司回购 该部分股份。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03</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16</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09" w:lineRule="auto"/>
              <w:ind w:left="23" w:right="48"/>
              <w:jc w:val="left"/>
              <w:rPr>
                <w:rFonts w:ascii="宋体" w:hAnsi="宋体" w:cs="宋体" w:eastAsia="宋体" w:hint="default"/>
                <w:sz w:val="18"/>
                <w:szCs w:val="18"/>
              </w:rPr>
            </w:pPr>
            <w:r>
              <w:rPr>
                <w:rFonts w:ascii="宋体" w:hAnsi="宋体" w:cs="宋体" w:eastAsia="宋体" w:hint="default"/>
                <w:sz w:val="18"/>
                <w:szCs w:val="18"/>
              </w:rPr>
              <w:t>自公司股票上 市之日起</w:t>
            </w:r>
            <w:r>
              <w:rPr>
                <w:rFonts w:ascii="宋体" w:hAnsi="宋体" w:cs="宋体" w:eastAsia="宋体" w:hint="default"/>
                <w:spacing w:val="-44"/>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个 月内</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2900" w:hRule="exact"/>
        </w:trPr>
        <w:tc>
          <w:tcPr>
            <w:tcW w:w="3195"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32"/>
              <w:jc w:val="left"/>
              <w:rPr>
                <w:rFonts w:ascii="宋体" w:hAnsi="宋体" w:cs="宋体" w:eastAsia="宋体" w:hint="default"/>
                <w:sz w:val="18"/>
                <w:szCs w:val="18"/>
              </w:rPr>
            </w:pPr>
            <w:r>
              <w:rPr>
                <w:rFonts w:ascii="宋体" w:hAnsi="宋体" w:cs="宋体" w:eastAsia="宋体" w:hint="default"/>
                <w:sz w:val="18"/>
                <w:szCs w:val="18"/>
              </w:rPr>
              <w:t>深圳德旺投资 发展有限公司、 顾永德</w:t>
            </w:r>
          </w:p>
        </w:tc>
        <w:tc>
          <w:tcPr>
            <w:tcW w:w="1277" w:type="dxa"/>
            <w:tcBorders>
              <w:top w:val="single" w:sz="4" w:space="0" w:color="000000"/>
              <w:left w:val="single" w:sz="13" w:space="0" w:color="FFFFFF"/>
              <w:bottom w:val="single" w:sz="4" w:space="0" w:color="000000"/>
              <w:right w:val="single" w:sz="10" w:space="0" w:color="FFFFFF"/>
            </w:tcBorders>
          </w:tcPr>
          <w:p>
            <w:pPr>
              <w:pStyle w:val="TableParagraph"/>
              <w:spacing w:line="316" w:lineRule="auto" w:before="49"/>
              <w:ind w:left="11" w:right="-24"/>
              <w:jc w:val="left"/>
              <w:rPr>
                <w:rFonts w:ascii="宋体" w:hAnsi="宋体" w:cs="宋体" w:eastAsia="宋体" w:hint="default"/>
                <w:sz w:val="18"/>
                <w:szCs w:val="18"/>
              </w:rPr>
            </w:pPr>
            <w:r>
              <w:rPr>
                <w:rFonts w:ascii="宋体" w:hAnsi="宋体" w:cs="宋体" w:eastAsia="宋体" w:hint="default"/>
                <w:sz w:val="18"/>
                <w:szCs w:val="18"/>
              </w:rPr>
              <w:t>为避免未来可 能存在的同业 </w:t>
            </w:r>
            <w:r>
              <w:rPr>
                <w:rFonts w:ascii="宋体" w:hAnsi="宋体" w:cs="宋体" w:eastAsia="宋体" w:hint="default"/>
                <w:spacing w:val="-6"/>
                <w:sz w:val="18"/>
                <w:szCs w:val="18"/>
              </w:rPr>
              <w:t>竞争，公司控股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股东德旺投资、 实际控制人顾 永德先生向本 </w:t>
            </w:r>
            <w:r>
              <w:rPr>
                <w:rFonts w:ascii="宋体" w:hAnsi="宋体" w:cs="宋体" w:eastAsia="宋体" w:hint="default"/>
                <w:spacing w:val="-6"/>
                <w:sz w:val="18"/>
                <w:szCs w:val="18"/>
              </w:rPr>
              <w:t>公司出具了《避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免同业竞争承 诺函》</w:t>
            </w:r>
          </w:p>
        </w:tc>
        <w:tc>
          <w:tcPr>
            <w:tcW w:w="127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6"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03</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Arial" w:hAnsi="Arial" w:cs="Arial" w:eastAsia="Arial" w:hint="default"/>
                <w:sz w:val="18"/>
                <w:szCs w:val="18"/>
              </w:rPr>
              <w:t>16</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713"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茂硕电源科技 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现金分红的承 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03</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16</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1339"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58"/>
              <w:jc w:val="left"/>
              <w:rPr>
                <w:rFonts w:ascii="宋体" w:hAnsi="宋体" w:cs="宋体" w:eastAsia="宋体" w:hint="default"/>
                <w:sz w:val="18"/>
                <w:szCs w:val="18"/>
              </w:rPr>
            </w:pPr>
            <w:r>
              <w:rPr>
                <w:rFonts w:ascii="宋体" w:hAnsi="宋体" w:cs="宋体" w:eastAsia="宋体" w:hint="default"/>
                <w:sz w:val="18"/>
                <w:szCs w:val="18"/>
              </w:rPr>
              <w:t>茂硕电源科技 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61"/>
              <w:jc w:val="both"/>
              <w:rPr>
                <w:rFonts w:ascii="宋体" w:hAnsi="宋体" w:cs="宋体" w:eastAsia="宋体" w:hint="default"/>
                <w:sz w:val="18"/>
                <w:szCs w:val="18"/>
              </w:rPr>
            </w:pPr>
            <w:r>
              <w:rPr>
                <w:rFonts w:ascii="宋体" w:hAnsi="宋体" w:cs="宋体" w:eastAsia="宋体" w:hint="default"/>
                <w:sz w:val="18"/>
                <w:szCs w:val="18"/>
              </w:rPr>
              <w:t>公司未来不为 激励对象依股 权激励计划获 取有关权益提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8</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31</w:t>
            </w:r>
          </w:p>
          <w:p>
            <w:pPr>
              <w:pStyle w:val="TableParagraph"/>
              <w:spacing w:line="316"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日起至本期限 制性股票激励 计划实施完毕。</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877" w:footer="1244" w:top="1060" w:bottom="15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2235"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供贷款以及其 他任何形式的 </w:t>
            </w:r>
            <w:r>
              <w:rPr>
                <w:rFonts w:ascii="宋体" w:hAnsi="宋体" w:cs="宋体" w:eastAsia="宋体" w:hint="default"/>
                <w:spacing w:val="-6"/>
                <w:sz w:val="18"/>
                <w:szCs w:val="18"/>
              </w:rPr>
              <w:t>财务资助，包括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为其贷款提供 担茂硕电源科 技股份有限公 司保。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茂硕电源科技 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公司承诺在使 用超募资金偿 还银行贷款和 永久性补充流 动资金的前</w:t>
            </w:r>
            <w:r>
              <w:rPr>
                <w:rFonts w:ascii="宋体" w:hAnsi="宋体" w:cs="宋体" w:eastAsia="宋体" w:hint="default"/>
                <w:spacing w:val="-44"/>
                <w:sz w:val="18"/>
                <w:szCs w:val="18"/>
              </w:rPr>
              <w:t> </w:t>
            </w:r>
            <w:r>
              <w:rPr>
                <w:rFonts w:ascii="Arial" w:hAnsi="Arial" w:cs="Arial" w:eastAsia="Arial" w:hint="default"/>
                <w:sz w:val="18"/>
                <w:szCs w:val="18"/>
              </w:rPr>
              <w:t>12</w:t>
            </w:r>
            <w:r>
              <w:rPr>
                <w:rFonts w:ascii="Arial" w:hAnsi="Arial" w:cs="Arial" w:eastAsia="Arial" w:hint="default"/>
                <w:w w:val="99"/>
                <w:sz w:val="18"/>
                <w:szCs w:val="18"/>
              </w:rPr>
              <w:t> </w:t>
            </w:r>
            <w:r>
              <w:rPr>
                <w:rFonts w:ascii="宋体" w:hAnsi="宋体" w:cs="宋体" w:eastAsia="宋体" w:hint="default"/>
                <w:sz w:val="18"/>
                <w:szCs w:val="18"/>
              </w:rPr>
              <w:t>个月内未进行 证券投资等高 </w:t>
            </w:r>
            <w:r>
              <w:rPr>
                <w:rFonts w:ascii="宋体" w:hAnsi="宋体" w:cs="宋体" w:eastAsia="宋体" w:hint="default"/>
                <w:spacing w:val="-6"/>
                <w:sz w:val="18"/>
                <w:szCs w:val="18"/>
              </w:rPr>
              <w:t>风险投资，并承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诺在使用超募 资金偿还银行 贷款和永久性 补充流动资金 后的</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个月内 不进行证券投 资等高风险投 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Arial" w:hAnsi="Arial" w:cs="Arial" w:eastAsia="Arial" w:hint="default"/>
                <w:sz w:val="18"/>
                <w:szCs w:val="18"/>
              </w:rPr>
              <w:t>-2013</w:t>
            </w:r>
            <w:r>
              <w:rPr>
                <w:rFonts w:ascii="Arial" w:hAnsi="Arial" w:cs="Arial" w:eastAsia="Arial" w:hint="default"/>
                <w:spacing w:val="-12"/>
                <w:sz w:val="18"/>
                <w:szCs w:val="18"/>
              </w:rPr>
              <w:t> </w:t>
            </w:r>
            <w:r>
              <w:rPr>
                <w:rFonts w:ascii="宋体" w:hAnsi="宋体" w:cs="宋体" w:eastAsia="宋体" w:hint="default"/>
                <w:sz w:val="18"/>
                <w:szCs w:val="18"/>
              </w:rPr>
              <w:t>日</w:t>
            </w:r>
            <w:r>
              <w:rPr>
                <w:rFonts w:ascii="宋体" w:hAnsi="宋体" w:cs="宋体" w:eastAsia="宋体" w:hint="default"/>
                <w:spacing w:val="-51"/>
                <w:sz w:val="18"/>
                <w:szCs w:val="18"/>
              </w:rPr>
              <w:t> </w:t>
            </w:r>
            <w:r>
              <w:rPr>
                <w:rFonts w:ascii="Arial" w:hAnsi="Arial" w:cs="Arial" w:eastAsia="Arial" w:hint="default"/>
                <w:sz w:val="18"/>
                <w:szCs w:val="18"/>
              </w:rPr>
              <w:t>4</w:t>
            </w:r>
            <w:r>
              <w:rPr>
                <w:rFonts w:ascii="Arial" w:hAnsi="Arial" w:cs="Arial" w:eastAsia="Arial" w:hint="default"/>
                <w:spacing w:val="-10"/>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正常履行。具体其他承诺内容详见公司于</w:t>
            </w:r>
            <w:r>
              <w:rPr>
                <w:rFonts w:ascii="宋体" w:hAnsi="宋体" w:cs="宋体" w:eastAsia="宋体" w:hint="default"/>
                <w:spacing w:val="-44"/>
                <w:sz w:val="18"/>
                <w:szCs w:val="18"/>
              </w:rPr>
              <w:t> </w:t>
            </w:r>
            <w:r>
              <w:rPr>
                <w:rFonts w:ascii="Arial" w:hAnsi="Arial" w:cs="Arial" w:eastAsia="Arial" w:hint="default"/>
                <w:sz w:val="18"/>
                <w:szCs w:val="18"/>
              </w:rPr>
              <w:t>2012</w:t>
            </w:r>
            <w:r>
              <w:rPr>
                <w:rFonts w:ascii="Arial" w:hAnsi="Arial" w:cs="Arial" w:eastAsia="Arial"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7"/>
                <w:sz w:val="18"/>
                <w:szCs w:val="18"/>
              </w:rPr>
              <w:t>11 </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7</w:t>
            </w:r>
            <w:r>
              <w:rPr>
                <w:rFonts w:ascii="Arial" w:hAnsi="Arial" w:cs="Arial" w:eastAsia="Arial" w:hint="default"/>
                <w:spacing w:val="37"/>
                <w:sz w:val="18"/>
                <w:szCs w:val="18"/>
              </w:rPr>
              <w:t> </w:t>
            </w:r>
            <w:r>
              <w:rPr>
                <w:rFonts w:ascii="宋体" w:hAnsi="宋体" w:cs="宋体" w:eastAsia="宋体" w:hint="default"/>
                <w:sz w:val="18"/>
                <w:szCs w:val="18"/>
              </w:rPr>
              <w:t>日在巨潮资讯网</w:t>
            </w:r>
          </w:p>
          <w:p>
            <w:pPr>
              <w:pStyle w:val="TableParagraph"/>
              <w:spacing w:line="302" w:lineRule="auto" w:before="63"/>
              <w:ind w:left="24" w:right="2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Arial" w:hAnsi="Arial" w:cs="Arial" w:eastAsia="Arial" w:hint="default"/>
                  <w:spacing w:val="-3"/>
                  <w:sz w:val="18"/>
                  <w:szCs w:val="18"/>
                </w:rPr>
                <w:t>www.cninfo.com.cn</w:t>
              </w:r>
            </w:hyperlink>
            <w:r>
              <w:rPr>
                <w:rFonts w:ascii="宋体" w:hAnsi="宋体" w:cs="宋体" w:eastAsia="宋体" w:hint="default"/>
                <w:spacing w:val="-3"/>
                <w:sz w:val="18"/>
                <w:szCs w:val="18"/>
              </w:rPr>
              <w:t>）披露的《关于公司股东、关联方以及上市公司承诺履行情</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5"/>
                <w:w w:val="99"/>
                <w:sz w:val="18"/>
                <w:szCs w:val="18"/>
              </w:rPr>
              <w:t>况的公告》（公告编号：</w:t>
            </w:r>
            <w:r>
              <w:rPr>
                <w:rFonts w:ascii="Arial" w:hAnsi="Arial" w:cs="Arial" w:eastAsia="Arial" w:hint="default"/>
                <w:spacing w:val="-5"/>
                <w:w w:val="99"/>
                <w:sz w:val="18"/>
                <w:szCs w:val="18"/>
              </w:rPr>
              <w:t>2012-060</w:t>
            </w:r>
            <w:r>
              <w:rPr>
                <w:rFonts w:ascii="宋体" w:hAnsi="宋体" w:cs="宋体" w:eastAsia="宋体" w:hint="default"/>
                <w:spacing w:val="-5"/>
                <w:w w:val="99"/>
                <w:sz w:val="18"/>
                <w:szCs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121"/>
        <w:jc w:val="left"/>
        <w:rPr>
          <w:b w:val="0"/>
          <w:bCs w:val="0"/>
        </w:rPr>
      </w:pPr>
      <w:r>
        <w:rPr/>
        <w:t>七、聘任、解聘会计师事务所情况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1"/>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Arial" w:hAnsi="Arial" w:cs="Arial" w:eastAsia="Arial" w:hint="default"/>
                <w:sz w:val="18"/>
                <w:szCs w:val="18"/>
              </w:rPr>
            </w:pPr>
            <w:r>
              <w:rPr>
                <w:rFonts w:ascii="宋体" w:hAnsi="宋体" w:cs="宋体" w:eastAsia="宋体" w:hint="default"/>
                <w:sz w:val="18"/>
                <w:szCs w:val="18"/>
              </w:rPr>
              <w:t>国富浩华会计师事务所</w:t>
            </w:r>
            <w:r>
              <w:rPr>
                <w:rFonts w:ascii="Arial" w:hAnsi="Arial" w:cs="Arial" w:eastAsia="Arial" w:hint="default"/>
                <w:sz w:val="18"/>
                <w:szCs w:val="18"/>
              </w:rPr>
              <w:t>(</w:t>
            </w:r>
            <w:r>
              <w:rPr>
                <w:rFonts w:ascii="宋体" w:hAnsi="宋体" w:cs="宋体" w:eastAsia="宋体" w:hint="default"/>
                <w:sz w:val="18"/>
                <w:szCs w:val="18"/>
              </w:rPr>
              <w:t>特殊普通合伙</w:t>
            </w:r>
            <w:r>
              <w:rPr>
                <w:rFonts w:ascii="Arial" w:hAnsi="Arial" w:cs="Arial" w:eastAsia="Arial" w:hint="default"/>
                <w:sz w:val="18"/>
                <w:szCs w:val="18"/>
              </w:rPr>
              <w:t>)</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left="27" w:right="0"/>
              <w:jc w:val="left"/>
              <w:rPr>
                <w:rFonts w:ascii="Arial" w:hAnsi="Arial" w:cs="Arial" w:eastAsia="Arial" w:hint="default"/>
                <w:sz w:val="18"/>
                <w:szCs w:val="18"/>
              </w:rPr>
            </w:pPr>
            <w:r>
              <w:rPr>
                <w:rFonts w:ascii="Arial"/>
                <w:sz w:val="18"/>
              </w:rPr>
              <w:t>45</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left="27" w:right="0"/>
              <w:jc w:val="left"/>
              <w:rPr>
                <w:rFonts w:ascii="Arial" w:hAnsi="Arial" w:cs="Arial" w:eastAsia="Arial" w:hint="default"/>
                <w:sz w:val="18"/>
                <w:szCs w:val="18"/>
              </w:rPr>
            </w:pPr>
            <w:r>
              <w:rPr>
                <w:rFonts w:ascii="Arial"/>
                <w:w w:val="99"/>
                <w:sz w:val="18"/>
              </w:rPr>
              <w:t>1</w:t>
            </w:r>
            <w:r>
              <w:rPr>
                <w:rFonts w:ascii="Arial"/>
                <w:sz w:val="18"/>
              </w:rPr>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郑龙兴、侯立勋</w:t>
            </w:r>
          </w:p>
        </w:tc>
      </w:tr>
    </w:tbl>
    <w:p>
      <w:pPr>
        <w:pStyle w:val="BodyText"/>
        <w:spacing w:line="240" w:lineRule="auto" w:before="49"/>
        <w:ind w:right="1121"/>
        <w:jc w:val="left"/>
      </w:pPr>
      <w:r>
        <w:rPr/>
        <w:t>当期是否改聘会计师事务所</w:t>
      </w:r>
    </w:p>
    <w:p>
      <w:pPr>
        <w:spacing w:after="0" w:line="240" w:lineRule="auto"/>
        <w:jc w:val="left"/>
        <w:sectPr>
          <w:pgSz w:w="11910" w:h="16840"/>
          <w:pgMar w:header="877" w:footer="1244" w:top="1060" w:bottom="152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805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2"/>
        </w:rPr>
        <w:t> </w:t>
      </w:r>
      <w:r>
        <w:rPr/>
        <w:t>否 是否在审计期间改聘会计师事务所</w:t>
      </w:r>
    </w:p>
    <w:p>
      <w:pPr>
        <w:pStyle w:val="BodyText"/>
        <w:spacing w:line="340" w:lineRule="auto" w:before="39"/>
        <w:ind w:right="787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1"/>
        </w:rPr>
        <w:t> </w:t>
      </w:r>
      <w:r>
        <w:rPr/>
        <w:t>否 更换会计师事务所是否履行审批程序</w:t>
      </w:r>
    </w:p>
    <w:p>
      <w:pPr>
        <w:pStyle w:val="BodyText"/>
        <w:spacing w:line="338" w:lineRule="auto" w:before="41"/>
        <w:ind w:right="805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2"/>
        </w:rPr>
        <w:t> </w:t>
      </w:r>
      <w:r>
        <w:rPr/>
        <w:t>否 聘任、解聘会计师事务所情况说明</w:t>
      </w:r>
    </w:p>
    <w:p>
      <w:pPr>
        <w:pStyle w:val="BodyText"/>
        <w:spacing w:line="307" w:lineRule="auto" w:before="43"/>
        <w:ind w:right="1129" w:firstLine="360"/>
        <w:jc w:val="both"/>
      </w:pPr>
      <w:r>
        <w:rPr>
          <w:spacing w:val="-2"/>
        </w:rPr>
        <w:t>公司原聘请的财务审计机构深圳市鹏城会计师事务所有限公司与国富浩华会计师事务所合并，合并后的审计机构名称为</w:t>
      </w:r>
      <w:r>
        <w:rPr/>
        <w:t> </w:t>
      </w:r>
      <w:r>
        <w:rPr>
          <w:spacing w:val="-2"/>
        </w:rPr>
        <w:t>国富浩华会计师事务所</w:t>
      </w:r>
      <w:r>
        <w:rPr>
          <w:rFonts w:ascii="Arial" w:hAnsi="Arial" w:cs="Arial" w:eastAsia="Arial" w:hint="default"/>
          <w:spacing w:val="-2"/>
        </w:rPr>
        <w:t>(</w:t>
      </w:r>
      <w:r>
        <w:rPr>
          <w:spacing w:val="-2"/>
        </w:rPr>
        <w:t>特殊普通合伙</w:t>
      </w:r>
      <w:r>
        <w:rPr>
          <w:rFonts w:ascii="Arial" w:hAnsi="Arial" w:cs="Arial" w:eastAsia="Arial" w:hint="default"/>
          <w:spacing w:val="-2"/>
        </w:rPr>
        <w:t>)</w:t>
      </w:r>
      <w:r>
        <w:rPr>
          <w:spacing w:val="-2"/>
        </w:rPr>
        <w:t>。为保持审计业务连续性，保证公司财务报表的审计质量，经公司第二届董事会</w:t>
      </w:r>
      <w:r>
        <w:rPr>
          <w:rFonts w:ascii="Arial" w:hAnsi="Arial" w:cs="Arial" w:eastAsia="Arial" w:hint="default"/>
          <w:spacing w:val="-2"/>
        </w:rPr>
        <w:t>2012 </w:t>
      </w:r>
      <w:r>
        <w:rPr/>
        <w:t>年第</w:t>
      </w:r>
      <w:r>
        <w:rPr>
          <w:rFonts w:ascii="Arial" w:hAnsi="Arial" w:cs="Arial" w:eastAsia="Arial" w:hint="default"/>
        </w:rPr>
        <w:t>9</w:t>
      </w:r>
      <w:r>
        <w:rPr/>
        <w:t>次临时会议和公司</w:t>
      </w:r>
      <w:r>
        <w:rPr>
          <w:rFonts w:ascii="Arial" w:hAnsi="Arial" w:cs="Arial" w:eastAsia="Arial" w:hint="default"/>
        </w:rPr>
        <w:t>2012</w:t>
      </w:r>
      <w:r>
        <w:rPr/>
        <w:t>年第</w:t>
      </w:r>
      <w:r>
        <w:rPr>
          <w:rFonts w:ascii="Arial" w:hAnsi="Arial" w:cs="Arial" w:eastAsia="Arial" w:hint="default"/>
        </w:rPr>
        <w:t>5</w:t>
      </w:r>
      <w:r>
        <w:rPr/>
        <w:t>次临时股东大会审议通过，同意将公司</w:t>
      </w:r>
      <w:r>
        <w:rPr>
          <w:rFonts w:ascii="Arial" w:hAnsi="Arial" w:cs="Arial" w:eastAsia="Arial" w:hint="default"/>
        </w:rPr>
        <w:t>2012</w:t>
      </w:r>
      <w:r>
        <w:rPr/>
        <w:t>年度财务审计机构深圳市鹏城会计师事务所 有限公司变更为国富浩华会计师事务所。</w:t>
      </w:r>
    </w:p>
    <w:p>
      <w:pPr>
        <w:spacing w:line="240" w:lineRule="auto" w:before="0"/>
        <w:rPr>
          <w:rFonts w:ascii="宋体" w:hAnsi="宋体" w:cs="宋体" w:eastAsia="宋体" w:hint="default"/>
          <w:sz w:val="18"/>
          <w:szCs w:val="18"/>
        </w:rPr>
      </w:pPr>
    </w:p>
    <w:p>
      <w:pPr>
        <w:pStyle w:val="BodyText"/>
        <w:spacing w:line="240" w:lineRule="auto" w:before="144"/>
        <w:ind w:right="1121"/>
        <w:jc w:val="left"/>
      </w:pPr>
      <w:r>
        <w:rPr/>
        <w:t>聘请内部控制审计会计师事务所、财务顾问或保荐人情况</w:t>
      </w:r>
    </w:p>
    <w:p>
      <w:pPr>
        <w:pStyle w:val="BodyText"/>
        <w:spacing w:line="240" w:lineRule="auto" w:before="115"/>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1"/>
        <w:jc w:val="left"/>
        <w:rPr>
          <w:b w:val="0"/>
          <w:bCs w:val="0"/>
        </w:rPr>
      </w:pPr>
      <w:r>
        <w:rPr/>
        <w:t>八、监事会、独立董事（如适用）对会计师事务所本报告期</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21"/>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1121"/>
        <w:jc w:val="left"/>
        <w:rPr>
          <w:b w:val="0"/>
          <w:bCs w:val="0"/>
        </w:rPr>
      </w:pPr>
      <w:r>
        <w:rPr/>
        <w:t>九、处罚及整改情况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Arial" w:hAnsi="Arial" w:cs="Arial" w:eastAsia="Arial" w:hint="default"/>
                <w:sz w:val="18"/>
                <w:szCs w:val="18"/>
              </w:rPr>
              <w:t>/</w:t>
            </w: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pStyle w:val="BodyText"/>
        <w:spacing w:line="357" w:lineRule="auto" w:before="49"/>
        <w:ind w:right="9674"/>
        <w:jc w:val="left"/>
      </w:pPr>
      <w:r>
        <w:rPr/>
        <w:t>整改情况说明 不适用</w:t>
      </w:r>
    </w:p>
    <w:p>
      <w:pPr>
        <w:pStyle w:val="BodyText"/>
        <w:spacing w:line="240" w:lineRule="auto" w:before="29"/>
        <w:ind w:right="1121"/>
        <w:jc w:val="left"/>
      </w:pPr>
      <w:r>
        <w:rPr/>
        <w:t>董事、监事、高级管理人员、持股</w:t>
      </w:r>
      <w:r>
        <w:rPr>
          <w:spacing w:val="-48"/>
        </w:rPr>
        <w:t> </w:t>
      </w:r>
      <w:r>
        <w:rPr>
          <w:rFonts w:ascii="Arial" w:hAnsi="Arial" w:cs="Arial" w:eastAsia="Arial" w:hint="default"/>
        </w:rPr>
        <w:t>5%</w:t>
      </w:r>
      <w:r>
        <w:rPr/>
        <w:t>以上的股东涉嫌违规买卖公司股票且公司已披露将收回涉嫌违规所得收益的情况</w:t>
      </w:r>
    </w:p>
    <w:p>
      <w:pPr>
        <w:pStyle w:val="BodyText"/>
        <w:spacing w:line="240" w:lineRule="auto" w:before="104"/>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21"/>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1"/>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1121"/>
        <w:jc w:val="left"/>
        <w:rPr>
          <w:b w:val="0"/>
          <w:bCs w:val="0"/>
        </w:rPr>
      </w:pPr>
      <w:r>
        <w:rPr/>
        <w:t>十一、其他重大事项的说明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1"/>
        <w:jc w:val="left"/>
      </w:pPr>
      <w:r>
        <w:rPr/>
        <w:t>不适用</w:t>
      </w:r>
    </w:p>
    <w:p>
      <w:pPr>
        <w:spacing w:line="240" w:lineRule="auto" w:before="4"/>
        <w:rPr>
          <w:rFonts w:ascii="宋体" w:hAnsi="宋体" w:cs="宋体" w:eastAsia="宋体" w:hint="default"/>
          <w:sz w:val="25"/>
          <w:szCs w:val="25"/>
        </w:rPr>
      </w:pPr>
    </w:p>
    <w:p>
      <w:pPr>
        <w:pStyle w:val="Heading2"/>
        <w:spacing w:line="240" w:lineRule="auto"/>
        <w:ind w:right="1121"/>
        <w:jc w:val="left"/>
        <w:rPr>
          <w:b w:val="0"/>
          <w:bCs w:val="0"/>
        </w:rPr>
      </w:pPr>
      <w:r>
        <w:rPr/>
        <w:t>十二、公司子公司重要事项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1"/>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1121"/>
        <w:jc w:val="left"/>
        <w:rPr>
          <w:b w:val="0"/>
          <w:bCs w:val="0"/>
        </w:rPr>
      </w:pPr>
      <w:r>
        <w:rPr/>
        <w:t>十三、公司发行公司债券的情况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1"/>
        <w:jc w:val="left"/>
      </w:pPr>
      <w:r>
        <w:rPr/>
        <w:t>不适用</w:t>
      </w:r>
    </w:p>
    <w:p>
      <w:pPr>
        <w:spacing w:after="0" w:line="240" w:lineRule="auto"/>
        <w:jc w:val="left"/>
        <w:sectPr>
          <w:pgSz w:w="11910" w:h="16840"/>
          <w:pgMar w:header="877" w:footer="1244" w:top="1060" w:bottom="15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21"/>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1"/>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6"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72,800,0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50" w:right="0"/>
              <w:jc w:val="left"/>
              <w:rPr>
                <w:rFonts w:ascii="Arial" w:hAnsi="Arial" w:cs="Arial" w:eastAsia="Arial" w:hint="default"/>
                <w:sz w:val="18"/>
                <w:szCs w:val="18"/>
              </w:rPr>
            </w:pPr>
            <w:r>
              <w:rPr>
                <w:rFonts w:ascii="Arial"/>
                <w:sz w:val="18"/>
              </w:rPr>
              <w:t>100%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1,708,80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1,708,80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74,508,8</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72" w:right="0"/>
              <w:jc w:val="left"/>
              <w:rPr>
                <w:rFonts w:ascii="Arial" w:hAnsi="Arial" w:cs="Arial" w:eastAsia="Arial" w:hint="default"/>
                <w:sz w:val="18"/>
                <w:szCs w:val="18"/>
              </w:rPr>
            </w:pPr>
            <w:r>
              <w:rPr>
                <w:rFonts w:ascii="Arial"/>
                <w:sz w:val="18"/>
              </w:rPr>
              <w:t>75.42%</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w w:val="95"/>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w w:val="99"/>
                <w:sz w:val="18"/>
              </w:rPr>
              <w:t>0</w:t>
            </w:r>
            <w:r>
              <w:rPr>
                <w:rFonts w:ascii="Arial"/>
                <w:sz w:val="18"/>
              </w:rPr>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Arial" w:hAnsi="Arial" w:cs="Arial" w:eastAsia="Arial" w:hint="default"/>
                <w:sz w:val="18"/>
                <w:szCs w:val="18"/>
              </w:rPr>
            </w:pPr>
            <w:r>
              <w:rPr>
                <w:rFonts w:ascii="Arial"/>
                <w:w w:val="95"/>
                <w:sz w:val="18"/>
              </w:rPr>
              <w:t>0%</w:t>
            </w:r>
            <w:r>
              <w:rPr>
                <w:rFonts w:ascii="Arial"/>
                <w:sz w:val="18"/>
              </w:rPr>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0</w:t>
            </w:r>
            <w:r>
              <w:rPr>
                <w:rFonts w:ascii="Arial"/>
                <w:sz w:val="18"/>
              </w:rPr>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0%</w:t>
            </w:r>
            <w:r>
              <w:rPr>
                <w:rFonts w:ascii="Arial"/>
                <w:sz w:val="18"/>
              </w:rPr>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68,234,6</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01" w:right="0"/>
              <w:jc w:val="left"/>
              <w:rPr>
                <w:rFonts w:ascii="Arial" w:hAnsi="Arial" w:cs="Arial" w:eastAsia="Arial" w:hint="default"/>
                <w:sz w:val="18"/>
                <w:szCs w:val="18"/>
              </w:rPr>
            </w:pPr>
            <w:r>
              <w:rPr>
                <w:rFonts w:ascii="Arial"/>
                <w:sz w:val="18"/>
              </w:rPr>
              <w:t>93.73%</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1,280,00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1,280,00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69,514,6</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72" w:right="0"/>
              <w:jc w:val="left"/>
              <w:rPr>
                <w:rFonts w:ascii="Arial" w:hAnsi="Arial" w:cs="Arial" w:eastAsia="Arial" w:hint="default"/>
                <w:sz w:val="18"/>
                <w:szCs w:val="18"/>
              </w:rPr>
            </w:pPr>
            <w:r>
              <w:rPr>
                <w:rFonts w:ascii="Arial"/>
                <w:sz w:val="18"/>
              </w:rPr>
              <w:t>70.37%</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47,970,0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01" w:right="0"/>
              <w:jc w:val="left"/>
              <w:rPr>
                <w:rFonts w:ascii="Arial" w:hAnsi="Arial" w:cs="Arial" w:eastAsia="Arial" w:hint="default"/>
                <w:sz w:val="18"/>
                <w:szCs w:val="18"/>
              </w:rPr>
            </w:pPr>
            <w:r>
              <w:rPr>
                <w:rFonts w:ascii="Arial"/>
                <w:sz w:val="18"/>
              </w:rPr>
              <w:t>65.89%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47,970,0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72" w:right="0"/>
              <w:jc w:val="left"/>
              <w:rPr>
                <w:rFonts w:ascii="Arial" w:hAnsi="Arial" w:cs="Arial" w:eastAsia="Arial" w:hint="default"/>
                <w:sz w:val="18"/>
                <w:szCs w:val="18"/>
              </w:rPr>
            </w:pPr>
            <w:r>
              <w:rPr>
                <w:rFonts w:ascii="Arial"/>
                <w:sz w:val="18"/>
              </w:rPr>
              <w:t>48.56%</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20,264,6</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01" w:right="0"/>
              <w:jc w:val="left"/>
              <w:rPr>
                <w:rFonts w:ascii="Arial" w:hAnsi="Arial" w:cs="Arial" w:eastAsia="Arial" w:hint="default"/>
                <w:sz w:val="18"/>
                <w:szCs w:val="18"/>
              </w:rPr>
            </w:pPr>
            <w:r>
              <w:rPr>
                <w:rFonts w:ascii="Arial"/>
                <w:sz w:val="18"/>
              </w:rPr>
              <w:t>27.84%</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1,280,00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1,280,00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21,544,6</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72" w:right="0"/>
              <w:jc w:val="left"/>
              <w:rPr>
                <w:rFonts w:ascii="Arial" w:hAnsi="Arial" w:cs="Arial" w:eastAsia="Arial" w:hint="default"/>
                <w:sz w:val="18"/>
                <w:szCs w:val="18"/>
              </w:rPr>
            </w:pPr>
            <w:r>
              <w:rPr>
                <w:rFonts w:ascii="Arial"/>
                <w:sz w:val="18"/>
              </w:rPr>
              <w:t>21.81%</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0</w:t>
            </w:r>
            <w:r>
              <w:rPr>
                <w:rFonts w:ascii="Arial"/>
                <w:sz w:val="18"/>
              </w:rPr>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0%</w:t>
            </w:r>
            <w:r>
              <w:rPr>
                <w:rFonts w:ascii="Arial"/>
                <w:sz w:val="18"/>
              </w:rPr>
            </w:r>
          </w:p>
        </w:tc>
      </w:tr>
      <w:tr>
        <w:trPr>
          <w:trHeight w:val="40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0</w:t>
            </w:r>
            <w:r>
              <w:rPr>
                <w:rFonts w:ascii="Arial"/>
                <w:sz w:val="18"/>
              </w:rPr>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0%</w:t>
            </w:r>
            <w:r>
              <w:rPr>
                <w:rFonts w:ascii="Arial"/>
                <w:sz w:val="18"/>
              </w:rPr>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0</w:t>
            </w:r>
            <w:r>
              <w:rPr>
                <w:rFonts w:ascii="Arial"/>
                <w:sz w:val="18"/>
              </w:rPr>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0%</w:t>
            </w:r>
            <w:r>
              <w:rPr>
                <w:rFonts w:ascii="Arial"/>
                <w:sz w:val="18"/>
              </w:rPr>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4,565,40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00" w:right="0"/>
              <w:jc w:val="left"/>
              <w:rPr>
                <w:rFonts w:ascii="Arial" w:hAnsi="Arial" w:cs="Arial" w:eastAsia="Arial" w:hint="default"/>
                <w:sz w:val="18"/>
                <w:szCs w:val="18"/>
              </w:rPr>
            </w:pPr>
            <w:r>
              <w:rPr>
                <w:rFonts w:ascii="Arial"/>
                <w:sz w:val="18"/>
              </w:rPr>
              <w:t>6.27%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60" w:right="0"/>
              <w:jc w:val="left"/>
              <w:rPr>
                <w:rFonts w:ascii="Arial" w:hAnsi="Arial" w:cs="Arial" w:eastAsia="Arial" w:hint="default"/>
                <w:sz w:val="18"/>
                <w:szCs w:val="18"/>
              </w:rPr>
            </w:pPr>
            <w:r>
              <w:rPr>
                <w:rFonts w:ascii="Arial"/>
                <w:sz w:val="18"/>
              </w:rPr>
              <w:t>428,800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63" w:right="0"/>
              <w:jc w:val="left"/>
              <w:rPr>
                <w:rFonts w:ascii="Arial" w:hAnsi="Arial" w:cs="Arial" w:eastAsia="Arial" w:hint="default"/>
                <w:sz w:val="18"/>
                <w:szCs w:val="18"/>
              </w:rPr>
            </w:pPr>
            <w:r>
              <w:rPr>
                <w:rFonts w:ascii="Arial"/>
                <w:sz w:val="18"/>
              </w:rPr>
              <w:t>428,800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4,994,20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71" w:right="0"/>
              <w:jc w:val="left"/>
              <w:rPr>
                <w:rFonts w:ascii="Arial" w:hAnsi="Arial" w:cs="Arial" w:eastAsia="Arial" w:hint="default"/>
                <w:sz w:val="18"/>
                <w:szCs w:val="18"/>
              </w:rPr>
            </w:pPr>
            <w:r>
              <w:rPr>
                <w:rFonts w:ascii="Arial"/>
                <w:sz w:val="18"/>
              </w:rPr>
              <w:t>5.05%</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、高管股份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551" w:right="0"/>
              <w:jc w:val="left"/>
              <w:rPr>
                <w:rFonts w:ascii="Arial" w:hAnsi="Arial" w:cs="Arial" w:eastAsia="Arial" w:hint="default"/>
                <w:sz w:val="18"/>
                <w:szCs w:val="18"/>
              </w:rPr>
            </w:pPr>
            <w:r>
              <w:rPr>
                <w:rFonts w:ascii="Arial"/>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24,280,0</w:t>
            </w:r>
          </w:p>
          <w:p>
            <w:pPr>
              <w:pStyle w:val="TableParagraph"/>
              <w:spacing w:line="240" w:lineRule="auto" w:before="105"/>
              <w:ind w:right="19"/>
              <w:jc w:val="right"/>
              <w:rPr>
                <w:rFonts w:ascii="Arial" w:hAnsi="Arial" w:cs="Arial" w:eastAsia="Arial" w:hint="default"/>
                <w:sz w:val="18"/>
                <w:szCs w:val="18"/>
              </w:rPr>
            </w:pPr>
            <w:r>
              <w:rPr>
                <w:rFonts w:ascii="Arial"/>
                <w:w w:val="95"/>
                <w:sz w:val="18"/>
              </w:rPr>
              <w:t>00</w:t>
            </w:r>
            <w:r>
              <w:rPr>
                <w:rFonts w:ascii="Arial"/>
                <w:sz w:val="18"/>
              </w:rPr>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24,280,0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24,280,0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72" w:right="0"/>
              <w:jc w:val="left"/>
              <w:rPr>
                <w:rFonts w:ascii="Arial" w:hAnsi="Arial" w:cs="Arial" w:eastAsia="Arial" w:hint="default"/>
                <w:sz w:val="18"/>
                <w:szCs w:val="18"/>
              </w:rPr>
            </w:pPr>
            <w:r>
              <w:rPr>
                <w:rFonts w:ascii="Arial"/>
                <w:sz w:val="18"/>
              </w:rPr>
              <w:t>24.58%</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551" w:right="0"/>
              <w:jc w:val="left"/>
              <w:rPr>
                <w:rFonts w:ascii="Arial" w:hAnsi="Arial" w:cs="Arial" w:eastAsia="Arial" w:hint="default"/>
                <w:sz w:val="18"/>
                <w:szCs w:val="18"/>
              </w:rPr>
            </w:pPr>
            <w:r>
              <w:rPr>
                <w:rFonts w:ascii="Arial"/>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24,280,0</w:t>
            </w:r>
          </w:p>
          <w:p>
            <w:pPr>
              <w:pStyle w:val="TableParagraph"/>
              <w:spacing w:line="240" w:lineRule="auto" w:before="105"/>
              <w:ind w:right="19"/>
              <w:jc w:val="right"/>
              <w:rPr>
                <w:rFonts w:ascii="Arial" w:hAnsi="Arial" w:cs="Arial" w:eastAsia="Arial" w:hint="default"/>
                <w:sz w:val="18"/>
                <w:szCs w:val="18"/>
              </w:rPr>
            </w:pPr>
            <w:r>
              <w:rPr>
                <w:rFonts w:ascii="Arial"/>
                <w:w w:val="95"/>
                <w:sz w:val="18"/>
              </w:rPr>
              <w:t>00</w:t>
            </w:r>
            <w:r>
              <w:rPr>
                <w:rFonts w:ascii="Arial"/>
                <w:sz w:val="18"/>
              </w:rPr>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24,280,0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24,280,0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72" w:right="0"/>
              <w:jc w:val="left"/>
              <w:rPr>
                <w:rFonts w:ascii="Arial" w:hAnsi="Arial" w:cs="Arial" w:eastAsia="Arial" w:hint="default"/>
                <w:sz w:val="18"/>
                <w:szCs w:val="18"/>
              </w:rPr>
            </w:pPr>
            <w:r>
              <w:rPr>
                <w:rFonts w:ascii="Arial"/>
                <w:sz w:val="18"/>
              </w:rPr>
              <w:t>24.58%</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、境内上市的外资股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0</w:t>
            </w:r>
            <w:r>
              <w:rPr>
                <w:rFonts w:ascii="Arial"/>
                <w:sz w:val="18"/>
              </w:rPr>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0%</w:t>
            </w:r>
            <w:r>
              <w:rPr>
                <w:rFonts w:ascii="Arial"/>
                <w:sz w:val="18"/>
              </w:rPr>
            </w: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、境外上市的外资股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0</w:t>
            </w:r>
            <w:r>
              <w:rPr>
                <w:rFonts w:ascii="Arial"/>
                <w:sz w:val="18"/>
              </w:rPr>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0%</w:t>
            </w:r>
            <w:r>
              <w:rPr>
                <w:rFonts w:ascii="Arial"/>
                <w:sz w:val="18"/>
              </w:rPr>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w w:val="95"/>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w w:val="99"/>
                <w:sz w:val="18"/>
              </w:rPr>
              <w:t>0</w:t>
            </w:r>
            <w:r>
              <w:rPr>
                <w:rFonts w:ascii="Arial"/>
                <w:sz w:val="18"/>
              </w:rPr>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9"/>
                <w:sz w:val="18"/>
              </w:rPr>
              <w:t>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Arial" w:hAnsi="Arial" w:cs="Arial" w:eastAsia="Arial" w:hint="default"/>
                <w:sz w:val="18"/>
                <w:szCs w:val="18"/>
              </w:rPr>
            </w:pPr>
            <w:r>
              <w:rPr>
                <w:rFonts w:ascii="Arial"/>
                <w:w w:val="95"/>
                <w:sz w:val="18"/>
              </w:rPr>
              <w:t>0%</w:t>
            </w:r>
            <w:r>
              <w:rPr>
                <w:rFonts w:ascii="Arial"/>
                <w:sz w:val="18"/>
              </w:rPr>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72,800,0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50" w:right="0"/>
              <w:jc w:val="left"/>
              <w:rPr>
                <w:rFonts w:ascii="Arial" w:hAnsi="Arial" w:cs="Arial" w:eastAsia="Arial" w:hint="default"/>
                <w:sz w:val="18"/>
                <w:szCs w:val="18"/>
              </w:rPr>
            </w:pPr>
            <w:r>
              <w:rPr>
                <w:rFonts w:ascii="Arial"/>
                <w:sz w:val="18"/>
              </w:rPr>
              <w:t>100%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25,988,8</w:t>
            </w:r>
          </w:p>
          <w:p>
            <w:pPr>
              <w:pStyle w:val="TableParagraph"/>
              <w:spacing w:line="240" w:lineRule="auto" w:before="105"/>
              <w:ind w:right="19"/>
              <w:jc w:val="right"/>
              <w:rPr>
                <w:rFonts w:ascii="Arial" w:hAnsi="Arial" w:cs="Arial" w:eastAsia="Arial" w:hint="default"/>
                <w:sz w:val="18"/>
                <w:szCs w:val="18"/>
              </w:rPr>
            </w:pPr>
            <w:r>
              <w:rPr>
                <w:rFonts w:ascii="Arial"/>
                <w:w w:val="95"/>
                <w:sz w:val="18"/>
              </w:rPr>
              <w:t>00</w:t>
            </w:r>
            <w:r>
              <w:rPr>
                <w:rFonts w:ascii="Arial"/>
                <w:sz w:val="18"/>
              </w:rPr>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25,988,8</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98,788,8</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21" w:right="0"/>
              <w:jc w:val="left"/>
              <w:rPr>
                <w:rFonts w:ascii="Arial" w:hAnsi="Arial" w:cs="Arial" w:eastAsia="Arial" w:hint="default"/>
                <w:sz w:val="18"/>
                <w:szCs w:val="18"/>
              </w:rPr>
            </w:pPr>
            <w:r>
              <w:rPr>
                <w:rFonts w:ascii="Arial"/>
                <w:sz w:val="18"/>
              </w:rPr>
              <w:t>100%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338" w:lineRule="auto" w:before="49"/>
        <w:ind w:right="5797"/>
        <w:jc w:val="left"/>
      </w:pPr>
      <w:r>
        <w:rPr/>
        <w:t>注：高管股份中未包含董事长顾永德先生持有的</w:t>
      </w:r>
      <w:r>
        <w:rPr>
          <w:spacing w:val="-48"/>
        </w:rPr>
        <w:t> </w:t>
      </w:r>
      <w:r>
        <w:rPr>
          <w:rFonts w:ascii="Arial" w:hAnsi="Arial" w:cs="Arial" w:eastAsia="Arial" w:hint="default"/>
        </w:rPr>
        <w:t>1305.6</w:t>
      </w:r>
      <w:r>
        <w:rPr>
          <w:rFonts w:ascii="Arial" w:hAnsi="Arial" w:cs="Arial" w:eastAsia="Arial" w:hint="default"/>
          <w:spacing w:val="-6"/>
        </w:rPr>
        <w:t> </w:t>
      </w:r>
      <w:r>
        <w:rPr/>
        <w:t>万股。</w:t>
      </w:r>
      <w:r>
        <w:rPr>
          <w:w w:val="100"/>
        </w:rPr>
        <w:t> </w:t>
      </w:r>
      <w:r>
        <w:rPr/>
        <w:t>股份变动的原因</w:t>
      </w:r>
    </w:p>
    <w:p>
      <w:pPr>
        <w:pStyle w:val="BodyText"/>
        <w:spacing w:line="240" w:lineRule="auto" w:before="43"/>
        <w:ind w:left="513" w:right="1121"/>
        <w:jc w:val="left"/>
      </w:pPr>
      <w:r>
        <w:rPr>
          <w:rFonts w:ascii="Arial" w:hAnsi="Arial" w:cs="Arial" w:eastAsia="Arial" w:hint="default"/>
        </w:rPr>
        <w:t>2012</w:t>
      </w:r>
      <w:r>
        <w:rPr/>
        <w:t>年</w:t>
      </w:r>
      <w:r>
        <w:rPr>
          <w:rFonts w:ascii="Arial" w:hAnsi="Arial" w:cs="Arial" w:eastAsia="Arial" w:hint="default"/>
        </w:rPr>
        <w:t>3</w:t>
      </w:r>
      <w:r>
        <w:rPr/>
        <w:t>月，公司首次公开发行的</w:t>
      </w:r>
      <w:r>
        <w:rPr>
          <w:rFonts w:ascii="Arial" w:hAnsi="Arial" w:cs="Arial" w:eastAsia="Arial" w:hint="default"/>
        </w:rPr>
        <w:t>2,428</w:t>
      </w:r>
      <w:r>
        <w:rPr/>
        <w:t>万人民币普通股股票在深圳证券交易所中小企业板上市，发行后公司总股本为</w:t>
      </w:r>
    </w:p>
    <w:p>
      <w:pPr>
        <w:pStyle w:val="BodyText"/>
        <w:spacing w:line="240" w:lineRule="auto" w:before="63"/>
        <w:ind w:right="1121"/>
        <w:jc w:val="left"/>
        <w:rPr>
          <w:rFonts w:ascii="Arial" w:hAnsi="Arial" w:cs="Arial" w:eastAsia="Arial" w:hint="default"/>
        </w:rPr>
      </w:pPr>
      <w:r>
        <w:rPr>
          <w:rFonts w:ascii="Arial" w:hAnsi="Arial" w:cs="Arial" w:eastAsia="Arial" w:hint="default"/>
        </w:rPr>
        <w:t>9,708</w:t>
      </w:r>
      <w:r>
        <w:rPr/>
        <w:t>万股。其中：网下配售的</w:t>
      </w:r>
      <w:r>
        <w:rPr>
          <w:rFonts w:ascii="Arial" w:hAnsi="Arial" w:cs="Arial" w:eastAsia="Arial" w:hint="default"/>
        </w:rPr>
        <w:t>485</w:t>
      </w:r>
      <w:r>
        <w:rPr/>
        <w:t>万股至上市之日起锁定三个月，该部分股票已于</w:t>
      </w:r>
      <w:r>
        <w:rPr>
          <w:rFonts w:ascii="Arial" w:hAnsi="Arial" w:cs="Arial" w:eastAsia="Arial" w:hint="default"/>
        </w:rPr>
        <w:t>2012</w:t>
      </w:r>
      <w:r>
        <w:rPr/>
        <w:t>年</w:t>
      </w:r>
      <w:r>
        <w:rPr>
          <w:rFonts w:ascii="Arial" w:hAnsi="Arial" w:cs="Arial" w:eastAsia="Arial" w:hint="default"/>
        </w:rPr>
        <w:t>6</w:t>
      </w:r>
      <w:r>
        <w:rPr/>
        <w:t>月</w:t>
      </w:r>
      <w:r>
        <w:rPr>
          <w:rFonts w:ascii="Arial" w:hAnsi="Arial" w:cs="Arial" w:eastAsia="Arial" w:hint="default"/>
        </w:rPr>
        <w:t>18</w:t>
      </w:r>
      <w:r>
        <w:rPr/>
        <w:t>日起开始上市流通（</w:t>
      </w:r>
      <w:r>
        <w:rPr>
          <w:rFonts w:ascii="Arial" w:hAnsi="Arial" w:cs="Arial" w:eastAsia="Arial" w:hint="default"/>
        </w:rPr>
        <w:t>2012</w:t>
      </w:r>
    </w:p>
    <w:p>
      <w:pPr>
        <w:pStyle w:val="BodyText"/>
        <w:spacing w:line="240" w:lineRule="auto" w:before="63"/>
        <w:ind w:right="1121"/>
        <w:jc w:val="left"/>
      </w:pPr>
      <w:r>
        <w:rPr/>
        <w:t>年</w:t>
      </w:r>
      <w:r>
        <w:rPr>
          <w:rFonts w:ascii="Arial" w:hAnsi="Arial" w:cs="Arial" w:eastAsia="Arial" w:hint="default"/>
        </w:rPr>
        <w:t>6</w:t>
      </w:r>
      <w:r>
        <w:rPr/>
        <w:t>月</w:t>
      </w:r>
      <w:r>
        <w:rPr>
          <w:rFonts w:ascii="Arial" w:hAnsi="Arial" w:cs="Arial" w:eastAsia="Arial" w:hint="default"/>
        </w:rPr>
        <w:t>16</w:t>
      </w:r>
      <w:r>
        <w:rPr/>
        <w:t>、</w:t>
      </w:r>
      <w:r>
        <w:rPr>
          <w:rFonts w:ascii="Arial" w:hAnsi="Arial" w:cs="Arial" w:eastAsia="Arial" w:hint="default"/>
        </w:rPr>
        <w:t>17</w:t>
      </w:r>
      <w:r>
        <w:rPr/>
        <w:t>日周末休市）。网上发行的</w:t>
      </w:r>
      <w:r>
        <w:rPr>
          <w:rFonts w:ascii="Arial" w:hAnsi="Arial" w:cs="Arial" w:eastAsia="Arial" w:hint="default"/>
        </w:rPr>
        <w:t>1,943</w:t>
      </w:r>
      <w:r>
        <w:rPr/>
        <w:t>万股自上市之日起流通。</w:t>
      </w:r>
    </w:p>
    <w:p>
      <w:pPr>
        <w:spacing w:after="0" w:line="240" w:lineRule="auto"/>
        <w:jc w:val="left"/>
        <w:sectPr>
          <w:pgSz w:w="11910" w:h="16840"/>
          <w:pgMar w:header="877" w:footer="1244" w:top="1060" w:bottom="1520" w:left="980" w:right="0"/>
        </w:sectPr>
      </w:pPr>
    </w:p>
    <w:p>
      <w:pPr>
        <w:spacing w:line="240" w:lineRule="auto" w:before="9"/>
        <w:rPr>
          <w:rFonts w:ascii="宋体" w:hAnsi="宋体" w:cs="宋体" w:eastAsia="宋体" w:hint="default"/>
          <w:sz w:val="25"/>
          <w:szCs w:val="25"/>
        </w:rPr>
      </w:pPr>
    </w:p>
    <w:p>
      <w:pPr>
        <w:pStyle w:val="BodyText"/>
        <w:spacing w:line="302" w:lineRule="auto" w:before="44"/>
        <w:ind w:right="1121" w:firstLine="360"/>
        <w:jc w:val="left"/>
      </w:pP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月，公司完成了限制性股票激励计划的授予，授予数量为</w:t>
      </w:r>
      <w:r>
        <w:rPr>
          <w:rFonts w:ascii="Arial" w:hAnsi="Arial" w:cs="Arial" w:eastAsia="Arial" w:hint="default"/>
          <w:spacing w:val="-2"/>
        </w:rPr>
        <w:t>170.88</w:t>
      </w:r>
      <w:r>
        <w:rPr>
          <w:spacing w:val="-2"/>
        </w:rPr>
        <w:t>万股，上市日为</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28</w:t>
      </w:r>
      <w:r>
        <w:rPr>
          <w:spacing w:val="-2"/>
        </w:rPr>
        <w:t>日，公司总股</w:t>
      </w:r>
      <w:r>
        <w:rPr/>
        <w:t> 本增至</w:t>
      </w:r>
      <w:r>
        <w:rPr>
          <w:rFonts w:ascii="Arial" w:hAnsi="Arial" w:cs="Arial" w:eastAsia="Arial" w:hint="default"/>
        </w:rPr>
        <w:t>9,878.88</w:t>
      </w:r>
      <w:r>
        <w:rPr/>
        <w:t>万股。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pStyle w:val="BodyText"/>
        <w:spacing w:line="240" w:lineRule="auto"/>
        <w:ind w:right="1121"/>
        <w:jc w:val="left"/>
      </w:pPr>
      <w:r>
        <w:rPr/>
        <w:t>股份变动的批准情况</w:t>
      </w:r>
    </w:p>
    <w:p>
      <w:pPr>
        <w:pStyle w:val="BodyText"/>
        <w:spacing w:line="240" w:lineRule="auto" w:before="115"/>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pStyle w:val="BodyText"/>
        <w:spacing w:line="302" w:lineRule="auto" w:before="104"/>
        <w:ind w:right="1043" w:firstLine="360"/>
        <w:jc w:val="left"/>
      </w:pPr>
      <w:r>
        <w:rPr/>
        <w:t>（一）经中国证券监督管理委员会证监许可</w:t>
      </w:r>
      <w:r>
        <w:rPr>
          <w:rFonts w:ascii="Arial" w:hAnsi="Arial" w:cs="Arial" w:eastAsia="Arial" w:hint="default"/>
        </w:rPr>
        <w:t>[2012]186</w:t>
      </w:r>
      <w:r>
        <w:rPr/>
        <w:t>号文核准，茂硕电源首次公开发行人民币普通股股票</w:t>
      </w:r>
      <w:r>
        <w:rPr>
          <w:rFonts w:ascii="Arial" w:hAnsi="Arial" w:cs="Arial" w:eastAsia="Arial" w:hint="default"/>
        </w:rPr>
        <w:t>2,428</w:t>
      </w:r>
      <w:r>
        <w:rPr/>
        <w:t>万股， 发行价格为</w:t>
      </w:r>
      <w:r>
        <w:rPr>
          <w:rFonts w:ascii="Arial" w:hAnsi="Arial" w:cs="Arial" w:eastAsia="Arial" w:hint="default"/>
        </w:rPr>
        <w:t>18.50</w:t>
      </w:r>
      <w:r>
        <w:rPr/>
        <w:t>元</w:t>
      </w:r>
      <w:r>
        <w:rPr>
          <w:rFonts w:ascii="Arial" w:hAnsi="Arial" w:cs="Arial" w:eastAsia="Arial" w:hint="default"/>
        </w:rPr>
        <w:t>/</w:t>
      </w:r>
      <w:r>
        <w:rPr/>
        <w:t>股。经深圳证券交易所《关于深圳茂硕电源科技股份有限公司人民币普通股股票上市的通知》（深证上 </w:t>
      </w:r>
      <w:r>
        <w:rPr>
          <w:rFonts w:ascii="Arial" w:hAnsi="Arial" w:cs="Arial" w:eastAsia="Arial" w:hint="default"/>
        </w:rPr>
        <w:t>[2012]52</w:t>
      </w:r>
      <w:r>
        <w:rPr/>
        <w:t>号）同意，公司首次公开发行人民币普通股股票已于</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16</w:t>
      </w:r>
      <w:r>
        <w:rPr/>
        <w:t>日在深圳证券交易所中小板挂牌上市。上市后公 司总股本为</w:t>
      </w:r>
      <w:r>
        <w:rPr>
          <w:rFonts w:ascii="Arial" w:hAnsi="Arial" w:cs="Arial" w:eastAsia="Arial" w:hint="default"/>
        </w:rPr>
        <w:t>9,708</w:t>
      </w:r>
      <w:r>
        <w:rPr/>
        <w:t>万股，其中网下配售</w:t>
      </w:r>
      <w:r>
        <w:rPr>
          <w:rFonts w:ascii="Arial" w:hAnsi="Arial" w:cs="Arial" w:eastAsia="Arial" w:hint="default"/>
        </w:rPr>
        <w:t>485</w:t>
      </w:r>
      <w:r>
        <w:rPr/>
        <w:t>万股，网上发行</w:t>
      </w:r>
      <w:r>
        <w:rPr>
          <w:rFonts w:ascii="Arial" w:hAnsi="Arial" w:cs="Arial" w:eastAsia="Arial" w:hint="default"/>
        </w:rPr>
        <w:t>1,943</w:t>
      </w:r>
      <w:r>
        <w:rPr/>
        <w:t>万股。根据《证券发行与承销管理办法》的有关规定，网下 </w:t>
      </w:r>
      <w:r>
        <w:rPr>
          <w:spacing w:val="-2"/>
        </w:rPr>
        <w:t>配售的股票自公司向社会公众投资者公开发行的股票在深圳证券交易所上市交易之日即</w:t>
      </w:r>
      <w:r>
        <w:rPr>
          <w:rFonts w:ascii="Arial" w:hAnsi="Arial" w:cs="Arial" w:eastAsia="Arial" w:hint="default"/>
          <w:spacing w:val="-2"/>
        </w:rPr>
        <w:t>2012</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16</w:t>
      </w:r>
      <w:r>
        <w:rPr>
          <w:spacing w:val="-2"/>
        </w:rPr>
        <w:t>日起，锁定三个月后方</w:t>
      </w:r>
      <w:r>
        <w:rPr>
          <w:spacing w:val="-46"/>
        </w:rPr>
        <w:t> </w:t>
      </w:r>
      <w:r>
        <w:rPr>
          <w:spacing w:val="-46"/>
        </w:rPr>
      </w:r>
      <w:r>
        <w:rPr/>
        <w:t>可流通上市。该部分股票已于</w:t>
      </w:r>
      <w:r>
        <w:rPr>
          <w:rFonts w:ascii="Arial" w:hAnsi="Arial" w:cs="Arial" w:eastAsia="Arial" w:hint="default"/>
        </w:rPr>
        <w:t>2012</w:t>
      </w:r>
      <w:r>
        <w:rPr/>
        <w:t>年</w:t>
      </w:r>
      <w:r>
        <w:rPr>
          <w:rFonts w:ascii="Arial" w:hAnsi="Arial" w:cs="Arial" w:eastAsia="Arial" w:hint="default"/>
        </w:rPr>
        <w:t>6</w:t>
      </w:r>
      <w:r>
        <w:rPr/>
        <w:t>月</w:t>
      </w:r>
      <w:r>
        <w:rPr>
          <w:rFonts w:ascii="Arial" w:hAnsi="Arial" w:cs="Arial" w:eastAsia="Arial" w:hint="default"/>
        </w:rPr>
        <w:t>18</w:t>
      </w:r>
      <w:r>
        <w:rPr/>
        <w:t>日起开始上市流通（</w:t>
      </w:r>
      <w:r>
        <w:rPr>
          <w:rFonts w:ascii="Arial" w:hAnsi="Arial" w:cs="Arial" w:eastAsia="Arial" w:hint="default"/>
        </w:rPr>
        <w:t>2012</w:t>
      </w:r>
      <w:r>
        <w:rPr/>
        <w:t>年</w:t>
      </w:r>
      <w:r>
        <w:rPr>
          <w:rFonts w:ascii="Arial" w:hAnsi="Arial" w:cs="Arial" w:eastAsia="Arial" w:hint="default"/>
        </w:rPr>
        <w:t>6</w:t>
      </w:r>
      <w:r>
        <w:rPr/>
        <w:t>月</w:t>
      </w:r>
      <w:r>
        <w:rPr>
          <w:rFonts w:ascii="Arial" w:hAnsi="Arial" w:cs="Arial" w:eastAsia="Arial" w:hint="default"/>
        </w:rPr>
        <w:t>16</w:t>
      </w:r>
      <w:r>
        <w:rPr/>
        <w:t>、</w:t>
      </w:r>
      <w:r>
        <w:rPr>
          <w:rFonts w:ascii="Arial" w:hAnsi="Arial" w:cs="Arial" w:eastAsia="Arial" w:hint="default"/>
        </w:rPr>
        <w:t>17</w:t>
      </w:r>
      <w:r>
        <w:rPr/>
        <w:t>日周末休市）。</w:t>
      </w:r>
    </w:p>
    <w:p>
      <w:pPr>
        <w:pStyle w:val="BodyText"/>
        <w:spacing w:line="240" w:lineRule="auto" w:before="12"/>
        <w:ind w:left="513" w:right="1121"/>
        <w:jc w:val="left"/>
      </w:pPr>
      <w:r>
        <w:rPr/>
        <w:t>（二）限制性股票的授予</w:t>
      </w:r>
    </w:p>
    <w:p>
      <w:pPr>
        <w:pStyle w:val="BodyText"/>
        <w:spacing w:line="302" w:lineRule="auto" w:before="76"/>
        <w:ind w:right="1173" w:firstLine="360"/>
        <w:jc w:val="left"/>
      </w:pPr>
      <w:r>
        <w:rPr>
          <w:rFonts w:ascii="Arial" w:hAnsi="Arial" w:cs="Arial" w:eastAsia="Arial" w:hint="default"/>
        </w:rPr>
        <w:t>1</w:t>
      </w:r>
      <w:r>
        <w:rPr/>
        <w:t>、</w:t>
      </w:r>
      <w:r>
        <w:rPr>
          <w:rFonts w:ascii="Arial" w:hAnsi="Arial" w:cs="Arial" w:eastAsia="Arial" w:hint="default"/>
        </w:rPr>
        <w:t>2012</w:t>
      </w:r>
      <w:r>
        <w:rPr/>
        <w:t>年</w:t>
      </w:r>
      <w:r>
        <w:rPr>
          <w:rFonts w:ascii="Arial" w:hAnsi="Arial" w:cs="Arial" w:eastAsia="Arial" w:hint="default"/>
        </w:rPr>
        <w:t>8</w:t>
      </w:r>
      <w:r>
        <w:rPr/>
        <w:t>月</w:t>
      </w:r>
      <w:r>
        <w:rPr>
          <w:rFonts w:ascii="Arial" w:hAnsi="Arial" w:cs="Arial" w:eastAsia="Arial" w:hint="default"/>
        </w:rPr>
        <w:t>13</w:t>
      </w:r>
      <w:r>
        <w:rPr/>
        <w:t>日，公司第二届董事会</w:t>
      </w:r>
      <w:r>
        <w:rPr>
          <w:rFonts w:ascii="Arial" w:hAnsi="Arial" w:cs="Arial" w:eastAsia="Arial" w:hint="default"/>
        </w:rPr>
        <w:t>2012</w:t>
      </w:r>
      <w:r>
        <w:rPr/>
        <w:t>年第</w:t>
      </w:r>
      <w:r>
        <w:rPr>
          <w:rFonts w:ascii="Arial" w:hAnsi="Arial" w:cs="Arial" w:eastAsia="Arial" w:hint="default"/>
        </w:rPr>
        <w:t>6</w:t>
      </w:r>
      <w:r>
        <w:rPr/>
        <w:t>次临时会议审议并通过《茂硕电源科技股份有限公司限制性股票激 励计划（草案）及其摘要》，随后向中国证监会上报了申请备案材料。</w:t>
      </w:r>
    </w:p>
    <w:p>
      <w:pPr>
        <w:pStyle w:val="BodyText"/>
        <w:spacing w:line="240" w:lineRule="auto" w:before="29"/>
        <w:ind w:left="513" w:right="1121"/>
        <w:jc w:val="left"/>
      </w:pPr>
      <w:r>
        <w:rPr>
          <w:rFonts w:ascii="Arial" w:hAnsi="Arial" w:cs="Arial" w:eastAsia="Arial" w:hint="default"/>
        </w:rPr>
        <w:t>2</w:t>
      </w:r>
      <w:r>
        <w:rPr/>
        <w:t>、</w:t>
      </w:r>
      <w:r>
        <w:rPr>
          <w:rFonts w:ascii="Arial" w:hAnsi="Arial" w:cs="Arial" w:eastAsia="Arial" w:hint="default"/>
        </w:rPr>
        <w:t>2012</w:t>
      </w:r>
      <w:r>
        <w:rPr/>
        <w:t>年</w:t>
      </w:r>
      <w:r>
        <w:rPr>
          <w:rFonts w:ascii="Arial" w:hAnsi="Arial" w:cs="Arial" w:eastAsia="Arial" w:hint="default"/>
        </w:rPr>
        <w:t>9</w:t>
      </w:r>
      <w:r>
        <w:rPr/>
        <w:t>月</w:t>
      </w:r>
      <w:r>
        <w:rPr>
          <w:rFonts w:ascii="Arial" w:hAnsi="Arial" w:cs="Arial" w:eastAsia="Arial" w:hint="default"/>
        </w:rPr>
        <w:t>21</w:t>
      </w:r>
      <w:r>
        <w:rPr/>
        <w:t>日，公司获悉报送的草案经证监会备案无异议。</w:t>
      </w:r>
    </w:p>
    <w:p>
      <w:pPr>
        <w:pStyle w:val="BodyText"/>
        <w:spacing w:line="302" w:lineRule="auto" w:before="63"/>
        <w:ind w:right="1121" w:firstLine="360"/>
        <w:jc w:val="left"/>
      </w:pPr>
      <w:r>
        <w:rPr>
          <w:rFonts w:ascii="Arial" w:hAnsi="Arial" w:cs="Arial" w:eastAsia="Arial" w:hint="default"/>
          <w:w w:val="95"/>
        </w:rPr>
        <w:t>3</w:t>
      </w:r>
      <w:r>
        <w:rPr>
          <w:w w:val="95"/>
        </w:rPr>
        <w:t>、</w:t>
      </w:r>
      <w:r>
        <w:rPr>
          <w:rFonts w:ascii="Arial" w:hAnsi="Arial" w:cs="Arial" w:eastAsia="Arial" w:hint="default"/>
          <w:w w:val="95"/>
        </w:rPr>
        <w:t>2012</w:t>
      </w:r>
      <w:r>
        <w:rPr>
          <w:w w:val="95"/>
        </w:rPr>
        <w:t>年</w:t>
      </w:r>
      <w:r>
        <w:rPr>
          <w:rFonts w:ascii="Arial" w:hAnsi="Arial" w:cs="Arial" w:eastAsia="Arial" w:hint="default"/>
          <w:w w:val="95"/>
        </w:rPr>
        <w:t>10</w:t>
      </w:r>
      <w:r>
        <w:rPr>
          <w:w w:val="95"/>
        </w:rPr>
        <w:t>月</w:t>
      </w:r>
      <w:r>
        <w:rPr>
          <w:rFonts w:ascii="Arial" w:hAnsi="Arial" w:cs="Arial" w:eastAsia="Arial" w:hint="default"/>
          <w:w w:val="95"/>
        </w:rPr>
        <w:t>26</w:t>
      </w:r>
      <w:r>
        <w:rPr>
          <w:w w:val="95"/>
        </w:rPr>
        <w:t>日，公司第二届董事会</w:t>
      </w:r>
      <w:r>
        <w:rPr>
          <w:rFonts w:ascii="Arial" w:hAnsi="Arial" w:cs="Arial" w:eastAsia="Arial" w:hint="default"/>
          <w:w w:val="95"/>
        </w:rPr>
        <w:t>2012</w:t>
      </w:r>
      <w:r>
        <w:rPr>
          <w:w w:val="95"/>
        </w:rPr>
        <w:t>年第</w:t>
      </w:r>
      <w:r>
        <w:rPr>
          <w:rFonts w:ascii="Arial" w:hAnsi="Arial" w:cs="Arial" w:eastAsia="Arial" w:hint="default"/>
          <w:w w:val="95"/>
        </w:rPr>
        <w:t>10</w:t>
      </w:r>
      <w:r>
        <w:rPr>
          <w:w w:val="95"/>
        </w:rPr>
        <w:t>次临时会议审议并通过了《茂硕电源科技股份有限公司限制性股</w:t>
      </w:r>
      <w:r>
        <w:rPr>
          <w:spacing w:val="3"/>
          <w:w w:val="95"/>
        </w:rPr>
        <w:t> </w:t>
      </w:r>
      <w:r>
        <w:rPr>
          <w:spacing w:val="3"/>
          <w:w w:val="95"/>
        </w:rPr>
      </w:r>
      <w:r>
        <w:rPr/>
        <w:t>票激励计划（修订案）及其摘要》。</w:t>
      </w:r>
    </w:p>
    <w:p>
      <w:pPr>
        <w:pStyle w:val="BodyText"/>
        <w:spacing w:line="302" w:lineRule="auto" w:before="29"/>
        <w:ind w:right="1182" w:firstLine="360"/>
        <w:jc w:val="left"/>
      </w:pPr>
      <w:r>
        <w:rPr>
          <w:rFonts w:ascii="Arial" w:hAnsi="Arial" w:cs="Arial" w:eastAsia="Arial" w:hint="default"/>
        </w:rPr>
        <w:t>4</w:t>
      </w:r>
      <w:r>
        <w:rPr/>
        <w:t>、</w:t>
      </w:r>
      <w:r>
        <w:rPr>
          <w:rFonts w:ascii="Arial" w:hAnsi="Arial" w:cs="Arial" w:eastAsia="Arial" w:hint="default"/>
        </w:rPr>
        <w:t>2012</w:t>
      </w:r>
      <w:r>
        <w:rPr>
          <w:rFonts w:ascii="Arial" w:hAnsi="Arial" w:cs="Arial" w:eastAsia="Arial" w:hint="default"/>
          <w:spacing w:val="20"/>
        </w:rPr>
        <w:t> </w:t>
      </w:r>
      <w:r>
        <w:rPr/>
        <w:t>年</w:t>
      </w:r>
      <w:r>
        <w:rPr>
          <w:rFonts w:ascii="Arial" w:hAnsi="Arial" w:cs="Arial" w:eastAsia="Arial" w:hint="default"/>
        </w:rPr>
        <w:t>11</w:t>
      </w:r>
      <w:r>
        <w:rPr/>
        <w:t>月</w:t>
      </w:r>
      <w:r>
        <w:rPr>
          <w:rFonts w:ascii="Arial" w:hAnsi="Arial" w:cs="Arial" w:eastAsia="Arial" w:hint="default"/>
        </w:rPr>
        <w:t>13</w:t>
      </w:r>
      <w:r>
        <w:rPr/>
        <w:t>日，公司</w:t>
      </w:r>
      <w:r>
        <w:rPr>
          <w:rFonts w:ascii="Arial" w:hAnsi="Arial" w:cs="Arial" w:eastAsia="Arial" w:hint="default"/>
        </w:rPr>
        <w:t>2012</w:t>
      </w:r>
      <w:r>
        <w:rPr/>
        <w:t>年第</w:t>
      </w:r>
      <w:r>
        <w:rPr>
          <w:rFonts w:ascii="Arial" w:hAnsi="Arial" w:cs="Arial" w:eastAsia="Arial" w:hint="default"/>
        </w:rPr>
        <w:t>6</w:t>
      </w:r>
      <w:r>
        <w:rPr/>
        <w:t>次临时股东大会审议并通过了《关于茂硕电源科技股份有限公司限制性股票激 励计划（修订案）及其摘要的议案》。</w:t>
      </w:r>
    </w:p>
    <w:p>
      <w:pPr>
        <w:pStyle w:val="BodyText"/>
        <w:spacing w:line="302" w:lineRule="auto" w:before="29"/>
        <w:ind w:right="0" w:firstLine="360"/>
        <w:jc w:val="left"/>
      </w:pPr>
      <w:r>
        <w:rPr>
          <w:rFonts w:ascii="Arial" w:hAnsi="Arial" w:cs="Arial" w:eastAsia="Arial" w:hint="default"/>
          <w:spacing w:val="-3"/>
        </w:rPr>
        <w:t>5</w:t>
      </w:r>
      <w:r>
        <w:rPr>
          <w:spacing w:val="-3"/>
        </w:rPr>
        <w:t>、</w:t>
      </w:r>
      <w:r>
        <w:rPr>
          <w:rFonts w:ascii="Arial" w:hAnsi="Arial" w:cs="Arial" w:eastAsia="Arial" w:hint="default"/>
          <w:spacing w:val="-3"/>
        </w:rPr>
        <w:t>2012</w:t>
      </w:r>
      <w:r>
        <w:rPr>
          <w:spacing w:val="-3"/>
        </w:rPr>
        <w:t>年</w:t>
      </w:r>
      <w:r>
        <w:rPr>
          <w:rFonts w:ascii="Arial" w:hAnsi="Arial" w:cs="Arial" w:eastAsia="Arial" w:hint="default"/>
          <w:spacing w:val="-3"/>
        </w:rPr>
        <w:t>11</w:t>
      </w:r>
      <w:r>
        <w:rPr>
          <w:spacing w:val="-3"/>
        </w:rPr>
        <w:t>月</w:t>
      </w:r>
      <w:r>
        <w:rPr>
          <w:rFonts w:ascii="Arial" w:hAnsi="Arial" w:cs="Arial" w:eastAsia="Arial" w:hint="default"/>
          <w:spacing w:val="-3"/>
        </w:rPr>
        <w:t>23</w:t>
      </w:r>
      <w:r>
        <w:rPr>
          <w:spacing w:val="-3"/>
        </w:rPr>
        <w:t>日，公司第二届董事会</w:t>
      </w:r>
      <w:r>
        <w:rPr>
          <w:rFonts w:ascii="Arial" w:hAnsi="Arial" w:cs="Arial" w:eastAsia="Arial" w:hint="default"/>
          <w:spacing w:val="-3"/>
        </w:rPr>
        <w:t>2012</w:t>
      </w:r>
      <w:r>
        <w:rPr>
          <w:spacing w:val="-3"/>
        </w:rPr>
        <w:t>年第</w:t>
      </w:r>
      <w:r>
        <w:rPr>
          <w:rFonts w:ascii="Arial" w:hAnsi="Arial" w:cs="Arial" w:eastAsia="Arial" w:hint="default"/>
          <w:spacing w:val="-3"/>
        </w:rPr>
        <w:t>2</w:t>
      </w:r>
      <w:r>
        <w:rPr>
          <w:spacing w:val="-3"/>
        </w:rPr>
        <w:t>次定期会议审议并通过了《关于向激励对象授予限制性股票的议案》</w:t>
      </w:r>
      <w:r>
        <w:rPr/>
        <w:t> 以及《关于确定公司限制性股票授予日的议案》。公司独立董事对限制性股票调整及授予等事项发表了独立意见。</w:t>
      </w:r>
    </w:p>
    <w:p>
      <w:pPr>
        <w:pStyle w:val="BodyText"/>
        <w:spacing w:line="240" w:lineRule="auto" w:before="29"/>
        <w:ind w:left="513" w:right="1121"/>
        <w:jc w:val="left"/>
      </w:pPr>
      <w:r>
        <w:rPr>
          <w:rFonts w:ascii="Arial" w:hAnsi="Arial" w:cs="Arial" w:eastAsia="Arial" w:hint="default"/>
        </w:rPr>
        <w:t>6</w:t>
      </w:r>
      <w:r>
        <w:rPr/>
        <w:t>、</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26</w:t>
      </w:r>
      <w:r>
        <w:rPr/>
        <w:t>日，公司完成了第一期股权激励计划的授予登记工作，上市日为</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28</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BodyText"/>
        <w:spacing w:line="240" w:lineRule="auto"/>
        <w:ind w:right="1121"/>
        <w:jc w:val="left"/>
      </w:pPr>
      <w:r>
        <w:rPr/>
        <w:t>股份变动的过户情况</w:t>
      </w:r>
    </w:p>
    <w:p>
      <w:pPr>
        <w:pStyle w:val="BodyText"/>
        <w:spacing w:line="302" w:lineRule="auto" w:before="115"/>
        <w:ind w:right="1127" w:firstLine="360"/>
        <w:jc w:val="left"/>
      </w:pPr>
      <w:r>
        <w:rPr>
          <w:rFonts w:ascii="Arial" w:hAnsi="Arial" w:cs="Arial" w:eastAsia="Arial" w:hint="default"/>
          <w:spacing w:val="-1"/>
        </w:rPr>
        <w:t>2012</w:t>
      </w:r>
      <w:r>
        <w:rPr>
          <w:spacing w:val="-1"/>
        </w:rPr>
        <w:t>年</w:t>
      </w:r>
      <w:r>
        <w:rPr>
          <w:rFonts w:ascii="Arial" w:hAnsi="Arial" w:cs="Arial" w:eastAsia="Arial" w:hint="default"/>
          <w:spacing w:val="-1"/>
        </w:rPr>
        <w:t>3</w:t>
      </w:r>
      <w:r>
        <w:rPr>
          <w:spacing w:val="-1"/>
        </w:rPr>
        <w:t>月，公司完成了首次公开发行的股份及公开发行前的股份在中国证券登记结算有限责任公司深圳分公司的股份</w:t>
      </w:r>
      <w:r>
        <w:rPr/>
        <w:t> 登记事宜，登记股份总量为</w:t>
      </w:r>
      <w:r>
        <w:rPr>
          <w:rFonts w:ascii="Arial" w:hAnsi="Arial" w:cs="Arial" w:eastAsia="Arial" w:hint="default"/>
        </w:rPr>
        <w:t>9,708</w:t>
      </w:r>
      <w:r>
        <w:rPr/>
        <w:t>万股。</w:t>
      </w:r>
    </w:p>
    <w:p>
      <w:pPr>
        <w:pStyle w:val="BodyText"/>
        <w:spacing w:line="340" w:lineRule="auto" w:before="11"/>
        <w:ind w:right="1394" w:firstLine="360"/>
        <w:jc w:val="left"/>
      </w:pPr>
      <w:r>
        <w:rPr>
          <w:rFonts w:ascii="Arial" w:hAnsi="Arial" w:cs="Arial" w:eastAsia="Arial" w:hint="default"/>
        </w:rPr>
        <w:t>2012</w:t>
      </w:r>
      <w:r>
        <w:rPr/>
        <w:t>年</w:t>
      </w:r>
      <w:r>
        <w:rPr>
          <w:rFonts w:ascii="Arial" w:hAnsi="Arial" w:cs="Arial" w:eastAsia="Arial" w:hint="default"/>
        </w:rPr>
        <w:t>12</w:t>
      </w:r>
      <w:r>
        <w:rPr/>
        <w:t>月，公司完成了限制性股票</w:t>
      </w:r>
      <w:r>
        <w:rPr>
          <w:rFonts w:ascii="Arial" w:hAnsi="Arial" w:cs="Arial" w:eastAsia="Arial" w:hint="default"/>
        </w:rPr>
        <w:t>170.88</w:t>
      </w:r>
      <w:r>
        <w:rPr>
          <w:rFonts w:ascii="Arial" w:hAnsi="Arial" w:cs="Arial" w:eastAsia="Arial" w:hint="default"/>
          <w:spacing w:val="29"/>
        </w:rPr>
        <w:t> </w:t>
      </w:r>
      <w:r>
        <w:rPr/>
        <w:t>万股的授予登记工作，登记的股份总量变更为</w:t>
      </w:r>
      <w:r>
        <w:rPr>
          <w:rFonts w:ascii="Arial" w:hAnsi="Arial" w:cs="Arial" w:eastAsia="Arial" w:hint="default"/>
        </w:rPr>
        <w:t>9878.88</w:t>
      </w:r>
      <w:r>
        <w:rPr/>
        <w:t>万股。 股份变动对最近一年和最近一期基本每股收益和稀释每股收益、归属于公司普通股股东的每股净资产等财务指标的影响</w:t>
      </w:r>
    </w:p>
    <w:p>
      <w:pPr>
        <w:pStyle w:val="BodyText"/>
        <w:spacing w:line="240" w:lineRule="auto" w:before="41"/>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pStyle w:val="BodyText"/>
        <w:spacing w:line="240" w:lineRule="auto" w:before="102"/>
        <w:ind w:left="513" w:right="1121"/>
        <w:jc w:val="left"/>
      </w:pPr>
      <w:r>
        <w:rPr/>
        <w:t>因报告期内实施股权激励，使公司股本增加</w:t>
      </w:r>
      <w:r>
        <w:rPr>
          <w:rFonts w:ascii="Arial" w:hAnsi="Arial" w:cs="Arial" w:eastAsia="Arial" w:hint="default"/>
        </w:rPr>
        <w:t>170.88</w:t>
      </w:r>
      <w:r>
        <w:rPr/>
        <w:t>万股，按</w:t>
      </w:r>
      <w:r>
        <w:rPr>
          <w:rFonts w:ascii="Arial" w:hAnsi="Arial" w:cs="Arial" w:eastAsia="Arial" w:hint="default"/>
        </w:rPr>
        <w:t>9878.88</w:t>
      </w:r>
      <w:r>
        <w:rPr/>
        <w:t>万股的总股本计算，公司</w:t>
      </w:r>
      <w:r>
        <w:rPr>
          <w:rFonts w:ascii="Arial" w:hAnsi="Arial" w:cs="Arial" w:eastAsia="Arial" w:hint="default"/>
        </w:rPr>
        <w:t>2012</w:t>
      </w:r>
      <w:r>
        <w:rPr>
          <w:rFonts w:ascii="Arial" w:hAnsi="Arial" w:cs="Arial" w:eastAsia="Arial" w:hint="default"/>
          <w:spacing w:val="22"/>
        </w:rPr>
        <w:t> </w:t>
      </w:r>
      <w:r>
        <w:rPr/>
        <w:t>年度基本每股收益</w:t>
      </w:r>
    </w:p>
    <w:p>
      <w:pPr>
        <w:pStyle w:val="BodyText"/>
        <w:spacing w:line="240" w:lineRule="auto" w:before="63"/>
        <w:ind w:right="1121"/>
        <w:jc w:val="left"/>
      </w:pPr>
      <w:r>
        <w:rPr>
          <w:rFonts w:ascii="Arial" w:hAnsi="Arial" w:cs="Arial" w:eastAsia="Arial" w:hint="default"/>
        </w:rPr>
        <w:t>0.52</w:t>
      </w:r>
      <w:r>
        <w:rPr/>
        <w:t>元、</w:t>
      </w:r>
      <w:r>
        <w:rPr>
          <w:rFonts w:ascii="Arial" w:hAnsi="Arial" w:cs="Arial" w:eastAsia="Arial" w:hint="default"/>
        </w:rPr>
        <w:t>2012</w:t>
      </w:r>
      <w:r>
        <w:rPr>
          <w:rFonts w:ascii="Arial" w:hAnsi="Arial" w:cs="Arial" w:eastAsia="Arial" w:hint="default"/>
          <w:spacing w:val="25"/>
        </w:rPr>
        <w:t> </w:t>
      </w:r>
      <w:r>
        <w:rPr/>
        <w:t>年末归属上市公司股东每股净资产</w:t>
      </w:r>
      <w:r>
        <w:rPr>
          <w:rFonts w:ascii="Arial" w:hAnsi="Arial" w:cs="Arial" w:eastAsia="Arial" w:hint="default"/>
        </w:rPr>
        <w:t>6.91</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BodyText"/>
        <w:spacing w:line="240" w:lineRule="auto"/>
        <w:ind w:right="1121"/>
        <w:jc w:val="left"/>
      </w:pPr>
      <w:r>
        <w:rPr/>
        <w:t>公司认为必要或证券监管机构要求披露的其他内容</w:t>
      </w:r>
    </w:p>
    <w:p>
      <w:pPr>
        <w:spacing w:line="240" w:lineRule="auto" w:before="3"/>
        <w:rPr>
          <w:rFonts w:ascii="宋体" w:hAnsi="宋体" w:cs="宋体" w:eastAsia="宋体" w:hint="default"/>
          <w:sz w:val="25"/>
          <w:szCs w:val="25"/>
        </w:rPr>
      </w:pPr>
    </w:p>
    <w:p>
      <w:pPr>
        <w:pStyle w:val="Heading2"/>
        <w:spacing w:line="240" w:lineRule="auto"/>
        <w:ind w:right="1121"/>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、报告期末近三年历次证券发行情况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bl>
    <w:p>
      <w:pPr>
        <w:spacing w:after="0" w:line="240" w:lineRule="auto"/>
        <w:jc w:val="left"/>
        <w:rPr>
          <w:rFonts w:ascii="宋体" w:hAnsi="宋体" w:cs="宋体" w:eastAsia="宋体" w:hint="default"/>
          <w:sz w:val="18"/>
          <w:szCs w:val="18"/>
        </w:rPr>
        <w:sectPr>
          <w:pgSz w:w="11910" w:h="16840"/>
          <w:pgMar w:header="877" w:footer="1244" w:top="1060" w:bottom="152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8"/>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茂硕电源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w:hAnsi="Arial" w:cs="Arial" w:eastAsia="Arial" w:hint="default"/>
                <w:sz w:val="18"/>
                <w:szCs w:val="18"/>
              </w:rPr>
              <w:t>03</w:t>
            </w:r>
            <w:r>
              <w:rPr>
                <w:rFonts w:ascii="Arial" w:hAnsi="Arial" w:cs="Arial" w:eastAsia="Arial"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07</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3" w:right="0"/>
              <w:jc w:val="left"/>
              <w:rPr>
                <w:rFonts w:ascii="Arial" w:hAnsi="Arial" w:cs="Arial" w:eastAsia="Arial" w:hint="default"/>
                <w:sz w:val="18"/>
                <w:szCs w:val="18"/>
              </w:rPr>
            </w:pPr>
            <w:r>
              <w:rPr>
                <w:rFonts w:ascii="Arial"/>
                <w:sz w:val="18"/>
              </w:rPr>
              <w:t>18.5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24,280,000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03</w:t>
            </w:r>
            <w:r>
              <w:rPr>
                <w:rFonts w:ascii="Arial" w:hAnsi="Arial" w:cs="Arial" w:eastAsia="Arial"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16</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19,430,000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茂硕电源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w:hAnsi="Arial" w:cs="Arial" w:eastAsia="Arial" w:hint="default"/>
                <w:sz w:val="18"/>
                <w:szCs w:val="18"/>
              </w:rPr>
              <w:t>03</w:t>
            </w:r>
            <w:r>
              <w:rPr>
                <w:rFonts w:ascii="Arial" w:hAnsi="Arial" w:cs="Arial" w:eastAsia="Arial"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3" w:right="0"/>
              <w:jc w:val="left"/>
              <w:rPr>
                <w:rFonts w:ascii="Arial" w:hAnsi="Arial" w:cs="Arial" w:eastAsia="Arial" w:hint="default"/>
                <w:sz w:val="18"/>
                <w:szCs w:val="18"/>
              </w:rPr>
            </w:pPr>
            <w:r>
              <w:rPr>
                <w:rFonts w:ascii="Arial"/>
                <w:sz w:val="18"/>
              </w:rPr>
              <w:t>18.5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24,280,000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06</w:t>
            </w:r>
            <w:r>
              <w:rPr>
                <w:rFonts w:ascii="Arial" w:hAnsi="Arial" w:cs="Arial" w:eastAsia="Arial"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4,850,000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pacing w:val="-7"/>
                <w:sz w:val="18"/>
                <w:szCs w:val="18"/>
              </w:rPr>
              <w:t>11</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23</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3" w:right="0"/>
              <w:jc w:val="left"/>
              <w:rPr>
                <w:rFonts w:ascii="Arial" w:hAnsi="Arial" w:cs="Arial" w:eastAsia="Arial" w:hint="default"/>
                <w:sz w:val="18"/>
                <w:szCs w:val="18"/>
              </w:rPr>
            </w:pPr>
            <w:r>
              <w:rPr>
                <w:rFonts w:ascii="Arial"/>
                <w:sz w:val="18"/>
              </w:rPr>
              <w:t>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1,708,800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12</w:t>
            </w:r>
            <w:r>
              <w:rPr>
                <w:rFonts w:ascii="Arial" w:hAnsi="Arial" w:cs="Arial" w:eastAsia="Arial"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28</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1,708,800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49"/>
        <w:ind w:right="1121"/>
        <w:jc w:val="left"/>
      </w:pPr>
      <w:r>
        <w:rPr/>
        <w:t>前三年历次证券发行情况的说明</w:t>
      </w:r>
    </w:p>
    <w:p>
      <w:pPr>
        <w:pStyle w:val="BodyText"/>
        <w:spacing w:line="302" w:lineRule="auto" w:before="115"/>
        <w:ind w:right="1128" w:firstLine="360"/>
        <w:jc w:val="both"/>
      </w:pPr>
      <w:r>
        <w:rPr>
          <w:rFonts w:ascii="Arial" w:hAnsi="Arial" w:cs="Arial" w:eastAsia="Arial" w:hint="default"/>
        </w:rPr>
        <w:t>1</w:t>
      </w:r>
      <w:r>
        <w:rPr/>
        <w:t>、</w:t>
      </w:r>
      <w:r>
        <w:rPr>
          <w:rFonts w:ascii="Arial" w:hAnsi="Arial" w:cs="Arial" w:eastAsia="Arial" w:hint="default"/>
        </w:rPr>
        <w:t>2010</w:t>
      </w:r>
      <w:r>
        <w:rPr/>
        <w:t>年</w:t>
      </w:r>
      <w:r>
        <w:rPr>
          <w:rFonts w:ascii="Arial" w:hAnsi="Arial" w:cs="Arial" w:eastAsia="Arial" w:hint="default"/>
        </w:rPr>
        <w:t>4</w:t>
      </w:r>
      <w:r>
        <w:rPr/>
        <w:t>月</w:t>
      </w:r>
      <w:r>
        <w:rPr>
          <w:rFonts w:ascii="Arial" w:hAnsi="Arial" w:cs="Arial" w:eastAsia="Arial" w:hint="default"/>
        </w:rPr>
        <w:t>30</w:t>
      </w:r>
      <w:r>
        <w:rPr/>
        <w:t>日，公司</w:t>
      </w:r>
      <w:r>
        <w:rPr>
          <w:rFonts w:ascii="Arial" w:hAnsi="Arial" w:cs="Arial" w:eastAsia="Arial" w:hint="default"/>
        </w:rPr>
        <w:t>2009</w:t>
      </w:r>
      <w:r>
        <w:rPr/>
        <w:t>年年度股东大会决议，公司注册资本增加至人民币</w:t>
      </w:r>
      <w:r>
        <w:rPr>
          <w:rFonts w:ascii="Arial" w:hAnsi="Arial" w:cs="Arial" w:eastAsia="Arial" w:hint="default"/>
        </w:rPr>
        <w:t>7,280</w:t>
      </w:r>
      <w:r>
        <w:rPr/>
        <w:t>万元，增资以资本公积金向全 </w:t>
      </w:r>
      <w:r>
        <w:rPr>
          <w:spacing w:val="-1"/>
        </w:rPr>
        <w:t>体股东每</w:t>
      </w:r>
      <w:r>
        <w:rPr>
          <w:rFonts w:ascii="Arial" w:hAnsi="Arial" w:cs="Arial" w:eastAsia="Arial" w:hint="default"/>
          <w:spacing w:val="-1"/>
        </w:rPr>
        <w:t>10</w:t>
      </w:r>
      <w:r>
        <w:rPr>
          <w:spacing w:val="-1"/>
        </w:rPr>
        <w:t>股转增</w:t>
      </w:r>
      <w:r>
        <w:rPr>
          <w:rFonts w:ascii="Arial" w:hAnsi="Arial" w:cs="Arial" w:eastAsia="Arial" w:hint="default"/>
          <w:spacing w:val="-1"/>
        </w:rPr>
        <w:t>3</w:t>
      </w:r>
      <w:r>
        <w:rPr>
          <w:spacing w:val="-1"/>
        </w:rPr>
        <w:t>股，共增加注册资本</w:t>
      </w:r>
      <w:r>
        <w:rPr>
          <w:rFonts w:ascii="Arial" w:hAnsi="Arial" w:cs="Arial" w:eastAsia="Arial" w:hint="default"/>
          <w:spacing w:val="-1"/>
        </w:rPr>
        <w:t>1,680</w:t>
      </w:r>
      <w:r>
        <w:rPr>
          <w:spacing w:val="-1"/>
        </w:rPr>
        <w:t>万元。本次增资业经深圳鹏城出具的深鹏所验字</w:t>
      </w:r>
      <w:r>
        <w:rPr>
          <w:rFonts w:ascii="Arial" w:hAnsi="Arial" w:cs="Arial" w:eastAsia="Arial" w:hint="default"/>
          <w:spacing w:val="-1"/>
        </w:rPr>
        <w:t>[2010]162</w:t>
      </w:r>
      <w:r>
        <w:rPr>
          <w:spacing w:val="-1"/>
        </w:rPr>
        <w:t>号验资报告审验在</w:t>
      </w:r>
      <w:r>
        <w:rPr>
          <w:spacing w:val="-50"/>
        </w:rPr>
        <w:t> </w:t>
      </w:r>
      <w:r>
        <w:rPr/>
        <w:t>案。</w:t>
      </w:r>
      <w:r>
        <w:rPr>
          <w:rFonts w:ascii="Arial" w:hAnsi="Arial" w:cs="Arial" w:eastAsia="Arial" w:hint="default"/>
        </w:rPr>
        <w:t>2010</w:t>
      </w:r>
      <w:r>
        <w:rPr/>
        <w:t>年</w:t>
      </w:r>
      <w:r>
        <w:rPr>
          <w:rFonts w:ascii="Arial" w:hAnsi="Arial" w:cs="Arial" w:eastAsia="Arial" w:hint="default"/>
        </w:rPr>
        <w:t>5</w:t>
      </w:r>
      <w:r>
        <w:rPr/>
        <w:t>月</w:t>
      </w:r>
      <w:r>
        <w:rPr>
          <w:rFonts w:ascii="Arial" w:hAnsi="Arial" w:cs="Arial" w:eastAsia="Arial" w:hint="default"/>
        </w:rPr>
        <w:t>18</w:t>
      </w:r>
      <w:r>
        <w:rPr/>
        <w:t>日，深圳市市场监督管理局核准了增资变更登记。</w:t>
      </w:r>
    </w:p>
    <w:p>
      <w:pPr>
        <w:pStyle w:val="BodyText"/>
        <w:spacing w:line="302" w:lineRule="auto" w:before="52"/>
        <w:ind w:right="1129" w:firstLine="360"/>
        <w:jc w:val="both"/>
      </w:pPr>
      <w:r>
        <w:rPr>
          <w:rFonts w:ascii="Arial" w:hAnsi="Arial" w:cs="Arial" w:eastAsia="Arial" w:hint="default"/>
          <w:spacing w:val="-1"/>
        </w:rPr>
        <w:t>2</w:t>
      </w:r>
      <w:r>
        <w:rPr>
          <w:spacing w:val="-1"/>
        </w:rPr>
        <w:t>、经中国证券监督管理委员会（以下简称</w:t>
      </w:r>
      <w:r>
        <w:rPr>
          <w:rFonts w:ascii="Arial" w:hAnsi="Arial" w:cs="Arial" w:eastAsia="Arial" w:hint="default"/>
          <w:spacing w:val="-1"/>
        </w:rPr>
        <w:t>“</w:t>
      </w:r>
      <w:r>
        <w:rPr>
          <w:spacing w:val="-1"/>
        </w:rPr>
        <w:t>中国证监会</w:t>
      </w:r>
      <w:r>
        <w:rPr>
          <w:rFonts w:ascii="Arial" w:hAnsi="Arial" w:cs="Arial" w:eastAsia="Arial" w:hint="default"/>
          <w:spacing w:val="-1"/>
        </w:rPr>
        <w:t>”</w:t>
      </w:r>
      <w:r>
        <w:rPr>
          <w:spacing w:val="-1"/>
        </w:rPr>
        <w:t>）证监许可</w:t>
      </w:r>
      <w:r>
        <w:rPr>
          <w:rFonts w:ascii="Arial" w:hAnsi="Arial" w:cs="Arial" w:eastAsia="Arial" w:hint="default"/>
          <w:spacing w:val="-1"/>
        </w:rPr>
        <w:t>[2012]186</w:t>
      </w:r>
      <w:r>
        <w:rPr>
          <w:spacing w:val="-1"/>
        </w:rPr>
        <w:t>号文核准，本公司首次公开发行人民币普</w:t>
      </w:r>
      <w:r>
        <w:rPr/>
        <w:t> </w:t>
      </w:r>
      <w:r>
        <w:rPr>
          <w:spacing w:val="-3"/>
        </w:rPr>
        <w:t>通股</w:t>
      </w:r>
      <w:r>
        <w:rPr>
          <w:rFonts w:ascii="Arial" w:hAnsi="Arial" w:cs="Arial" w:eastAsia="Arial" w:hint="default"/>
          <w:spacing w:val="-3"/>
        </w:rPr>
        <w:t>(A</w:t>
      </w:r>
      <w:r>
        <w:rPr>
          <w:spacing w:val="-3"/>
        </w:rPr>
        <w:t>股</w:t>
      </w:r>
      <w:r>
        <w:rPr>
          <w:rFonts w:ascii="Arial" w:hAnsi="Arial" w:cs="Arial" w:eastAsia="Arial" w:hint="default"/>
          <w:spacing w:val="-3"/>
        </w:rPr>
        <w:t>)</w:t>
      </w:r>
      <w:r>
        <w:rPr>
          <w:spacing w:val="-3"/>
        </w:rPr>
        <w:t>不超过</w:t>
      </w:r>
      <w:r>
        <w:rPr>
          <w:rFonts w:ascii="Arial" w:hAnsi="Arial" w:cs="Arial" w:eastAsia="Arial" w:hint="default"/>
          <w:spacing w:val="-3"/>
        </w:rPr>
        <w:t>2,428</w:t>
      </w:r>
      <w:r>
        <w:rPr>
          <w:spacing w:val="-3"/>
        </w:rPr>
        <w:t>万股。本公司本次共发行</w:t>
      </w:r>
      <w:r>
        <w:rPr>
          <w:rFonts w:ascii="Arial" w:hAnsi="Arial" w:cs="Arial" w:eastAsia="Arial" w:hint="default"/>
          <w:spacing w:val="-3"/>
        </w:rPr>
        <w:t>2,428</w:t>
      </w:r>
      <w:r>
        <w:rPr>
          <w:spacing w:val="-3"/>
        </w:rPr>
        <w:t>万股，其中网下向询价对象配售</w:t>
      </w:r>
      <w:r>
        <w:rPr>
          <w:rFonts w:ascii="Arial" w:hAnsi="Arial" w:cs="Arial" w:eastAsia="Arial" w:hint="default"/>
          <w:spacing w:val="-3"/>
        </w:rPr>
        <w:t>485</w:t>
      </w:r>
      <w:r>
        <w:rPr>
          <w:spacing w:val="-3"/>
        </w:rPr>
        <w:t>万股，网上资金申购定价发行</w:t>
      </w:r>
      <w:r>
        <w:rPr>
          <w:rFonts w:ascii="Arial" w:hAnsi="Arial" w:cs="Arial" w:eastAsia="Arial" w:hint="default"/>
          <w:spacing w:val="-3"/>
        </w:rPr>
        <w:t>1,943</w:t>
      </w:r>
      <w:r>
        <w:rPr>
          <w:rFonts w:ascii="Arial" w:hAnsi="Arial" w:cs="Arial" w:eastAsia="Arial" w:hint="default"/>
          <w:spacing w:val="-40"/>
        </w:rPr>
        <w:t> </w:t>
      </w:r>
      <w:r>
        <w:rPr>
          <w:rFonts w:ascii="Arial" w:hAnsi="Arial" w:cs="Arial" w:eastAsia="Arial" w:hint="default"/>
          <w:spacing w:val="-40"/>
        </w:rPr>
      </w:r>
      <w:r>
        <w:rPr/>
        <w:t>万股，发行价格为</w:t>
      </w:r>
      <w:r>
        <w:rPr>
          <w:rFonts w:ascii="Arial" w:hAnsi="Arial" w:cs="Arial" w:eastAsia="Arial" w:hint="default"/>
        </w:rPr>
        <w:t>18.50</w:t>
      </w:r>
      <w:r>
        <w:rPr/>
        <w:t>元</w:t>
      </w:r>
      <w:r>
        <w:rPr>
          <w:rFonts w:ascii="Arial" w:hAnsi="Arial" w:cs="Arial" w:eastAsia="Arial" w:hint="default"/>
        </w:rPr>
        <w:t>/</w:t>
      </w:r>
      <w:r>
        <w:rPr/>
        <w:t>股。</w:t>
      </w:r>
      <w:r>
        <w:rPr>
          <w:spacing w:val="-54"/>
        </w:rPr>
        <w:t> </w:t>
      </w:r>
      <w:r>
        <w:rPr/>
        <w:t>实际募集资金净额</w:t>
      </w:r>
      <w:r>
        <w:rPr>
          <w:rFonts w:ascii="Arial" w:hAnsi="Arial" w:cs="Arial" w:eastAsia="Arial" w:hint="default"/>
        </w:rPr>
        <w:t>414,185,500</w:t>
      </w:r>
      <w:r>
        <w:rPr/>
        <w:t>元。上述募集资金到位情况已经由深圳市鹏城会计师事务所 有限公司验证，并出具深鹏所验字</w:t>
      </w:r>
      <w:r>
        <w:rPr>
          <w:rFonts w:ascii="Arial" w:hAnsi="Arial" w:cs="Arial" w:eastAsia="Arial" w:hint="default"/>
        </w:rPr>
        <w:t>[2012]</w:t>
      </w:r>
      <w:r>
        <w:rPr/>
        <w:t>第</w:t>
      </w:r>
      <w:r>
        <w:rPr>
          <w:rFonts w:ascii="Arial" w:hAnsi="Arial" w:cs="Arial" w:eastAsia="Arial" w:hint="default"/>
        </w:rPr>
        <w:t>0051</w:t>
      </w:r>
      <w:r>
        <w:rPr>
          <w:rFonts w:ascii="Arial" w:hAnsi="Arial" w:cs="Arial" w:eastAsia="Arial" w:hint="default"/>
          <w:spacing w:val="16"/>
        </w:rPr>
        <w:t> </w:t>
      </w:r>
      <w:r>
        <w:rPr/>
        <w:t>号《验资报告》。公司注册资本变更为</w:t>
      </w:r>
      <w:r>
        <w:rPr>
          <w:rFonts w:ascii="Arial" w:hAnsi="Arial" w:cs="Arial" w:eastAsia="Arial" w:hint="default"/>
        </w:rPr>
        <w:t>9708</w:t>
      </w:r>
      <w:r>
        <w:rPr/>
        <w:t>万元，并于</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26</w:t>
      </w:r>
      <w:r>
        <w:rPr/>
        <w:t>日办</w:t>
      </w:r>
      <w:r>
        <w:rPr>
          <w:spacing w:val="-3"/>
        </w:rPr>
        <w:t> </w:t>
      </w:r>
      <w:r>
        <w:rPr/>
        <w:t>理完毕工商变更登记手续。</w:t>
      </w:r>
    </w:p>
    <w:p>
      <w:pPr>
        <w:pStyle w:val="BodyText"/>
        <w:spacing w:line="302" w:lineRule="auto" w:before="70"/>
        <w:ind w:right="1130" w:firstLine="360"/>
        <w:jc w:val="both"/>
      </w:pPr>
      <w:r>
        <w:rPr>
          <w:rFonts w:ascii="Arial" w:hAnsi="Arial" w:cs="Arial" w:eastAsia="Arial" w:hint="default"/>
        </w:rPr>
        <w:t>3</w:t>
      </w:r>
      <w:r>
        <w:rPr/>
        <w:t>、公司于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26</w:t>
      </w:r>
      <w:r>
        <w:rPr/>
        <w:t>日完成了限制性股票激励计划的授予，授予数量为</w:t>
      </w:r>
      <w:r>
        <w:rPr>
          <w:rFonts w:ascii="Arial" w:hAnsi="Arial" w:cs="Arial" w:eastAsia="Arial" w:hint="default"/>
        </w:rPr>
        <w:t>1,708,800</w:t>
      </w:r>
      <w:r>
        <w:rPr/>
        <w:t>股，公司总股本增至</w:t>
      </w:r>
      <w:r>
        <w:rPr>
          <w:rFonts w:ascii="Arial" w:hAnsi="Arial" w:cs="Arial" w:eastAsia="Arial" w:hint="default"/>
        </w:rPr>
        <w:t>98,788,800</w:t>
      </w:r>
      <w:r>
        <w:rPr>
          <w:rFonts w:ascii="Arial" w:hAnsi="Arial" w:cs="Arial" w:eastAsia="Arial" w:hint="default"/>
          <w:w w:val="99"/>
        </w:rPr>
        <w:t> </w:t>
      </w:r>
      <w:r>
        <w:rPr>
          <w:spacing w:val="-1"/>
        </w:rPr>
        <w:t>股。国富浩华会计师事务所于</w:t>
      </w:r>
      <w:r>
        <w:rPr>
          <w:rFonts w:ascii="Arial" w:hAnsi="Arial" w:cs="Arial" w:eastAsia="Arial" w:hint="default"/>
          <w:spacing w:val="-1"/>
        </w:rPr>
        <w:t>2012</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13</w:t>
      </w:r>
      <w:r>
        <w:rPr>
          <w:spacing w:val="-1"/>
        </w:rPr>
        <w:t>日出具了国浩验字</w:t>
      </w:r>
      <w:r>
        <w:rPr>
          <w:rFonts w:ascii="Arial" w:hAnsi="Arial" w:cs="Arial" w:eastAsia="Arial" w:hint="default"/>
          <w:spacing w:val="-1"/>
        </w:rPr>
        <w:t>[2012]817A263</w:t>
      </w:r>
      <w:r>
        <w:rPr>
          <w:spacing w:val="-1"/>
        </w:rPr>
        <w:t>号验资报告，对公司截至</w:t>
      </w:r>
      <w:r>
        <w:rPr>
          <w:rFonts w:ascii="Arial" w:hAnsi="Arial" w:cs="Arial" w:eastAsia="Arial" w:hint="default"/>
          <w:spacing w:val="-1"/>
        </w:rPr>
        <w:t>2012</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13</w:t>
      </w:r>
      <w:r>
        <w:rPr>
          <w:spacing w:val="-1"/>
        </w:rPr>
        <w:t>日止</w:t>
      </w:r>
      <w:r>
        <w:rPr>
          <w:spacing w:val="-70"/>
        </w:rPr>
        <w:t> </w:t>
      </w:r>
      <w:r>
        <w:rPr>
          <w:spacing w:val="-2"/>
        </w:rPr>
        <w:t>新增注册资本及实收资本（股本）情况进行了审验，截至</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13</w:t>
      </w:r>
      <w:r>
        <w:rPr>
          <w:spacing w:val="-2"/>
        </w:rPr>
        <w:t>日止，变更后的累计注册资本人民币</w:t>
      </w:r>
      <w:r>
        <w:rPr>
          <w:rFonts w:ascii="Arial" w:hAnsi="Arial" w:cs="Arial" w:eastAsia="Arial" w:hint="default"/>
          <w:spacing w:val="-2"/>
        </w:rPr>
        <w:t>98,788,800.00</w:t>
      </w:r>
      <w:r>
        <w:rPr>
          <w:rFonts w:ascii="Arial" w:hAnsi="Arial" w:cs="Arial" w:eastAsia="Arial" w:hint="default"/>
          <w:spacing w:val="10"/>
        </w:rPr>
        <w:t> </w:t>
      </w:r>
      <w:r>
        <w:rPr>
          <w:rFonts w:ascii="Arial" w:hAnsi="Arial" w:cs="Arial" w:eastAsia="Arial" w:hint="default"/>
          <w:spacing w:val="10"/>
        </w:rPr>
      </w:r>
      <w:r>
        <w:rPr/>
        <w:t>元，股本人民币</w:t>
      </w:r>
      <w:r>
        <w:rPr>
          <w:rFonts w:ascii="Arial" w:hAnsi="Arial" w:cs="Arial" w:eastAsia="Arial" w:hint="default"/>
        </w:rPr>
        <w:t>98,788,800.00</w:t>
      </w:r>
      <w:r>
        <w:rPr/>
        <w:t>元。</w:t>
      </w:r>
    </w:p>
    <w:p>
      <w:pPr>
        <w:spacing w:line="240" w:lineRule="auto" w:before="3"/>
        <w:rPr>
          <w:rFonts w:ascii="宋体" w:hAnsi="宋体" w:cs="宋体" w:eastAsia="宋体" w:hint="default"/>
          <w:sz w:val="22"/>
          <w:szCs w:val="22"/>
        </w:rPr>
      </w:pPr>
    </w:p>
    <w:p>
      <w:pPr>
        <w:pStyle w:val="Heading3"/>
        <w:spacing w:line="240" w:lineRule="auto"/>
        <w:ind w:right="1121"/>
        <w:jc w:val="left"/>
        <w:rPr>
          <w:b w:val="0"/>
          <w:bCs w:val="0"/>
        </w:rPr>
      </w:pPr>
      <w:r>
        <w:rPr>
          <w:rFonts w:ascii="Arial" w:hAnsi="Arial" w:cs="Arial" w:eastAsia="Arial" w:hint="default"/>
        </w:rPr>
        <w:t>2</w:t>
      </w:r>
      <w:r>
        <w:rPr/>
        <w:t>、公司股份总数及股东结构的变动、公司资产和负债结构的变动情况说明</w:t>
      </w:r>
      <w:r>
        <w:rPr>
          <w:b w:val="0"/>
          <w:bCs w:val="0"/>
        </w:rPr>
      </w:r>
    </w:p>
    <w:p>
      <w:pPr>
        <w:spacing w:line="240" w:lineRule="auto" w:before="3"/>
        <w:rPr>
          <w:rFonts w:ascii="宋体" w:hAnsi="宋体" w:cs="宋体" w:eastAsia="宋体" w:hint="default"/>
          <w:b/>
          <w:bCs/>
          <w:sz w:val="26"/>
          <w:szCs w:val="26"/>
        </w:rPr>
      </w:pPr>
    </w:p>
    <w:p>
      <w:pPr>
        <w:pStyle w:val="BodyText"/>
        <w:spacing w:line="302" w:lineRule="auto"/>
        <w:ind w:right="1133" w:firstLine="360"/>
        <w:jc w:val="both"/>
      </w:pPr>
      <w:r>
        <w:rPr>
          <w:rFonts w:ascii="Arial" w:hAnsi="Arial" w:cs="Arial" w:eastAsia="Arial" w:hint="default"/>
        </w:rPr>
        <w:t>2012</w:t>
      </w:r>
      <w:r>
        <w:rPr/>
        <w:t>年</w:t>
      </w:r>
      <w:r>
        <w:rPr>
          <w:rFonts w:ascii="Arial" w:hAnsi="Arial" w:cs="Arial" w:eastAsia="Arial" w:hint="default"/>
        </w:rPr>
        <w:t>3</w:t>
      </w:r>
      <w:r>
        <w:rPr/>
        <w:t>月，公司对外公开发行股份</w:t>
      </w:r>
      <w:r>
        <w:rPr>
          <w:rFonts w:ascii="Arial" w:hAnsi="Arial" w:cs="Arial" w:eastAsia="Arial" w:hint="default"/>
        </w:rPr>
        <w:t>2,428</w:t>
      </w:r>
      <w:r>
        <w:rPr/>
        <w:t>万股，总股本变为</w:t>
      </w:r>
      <w:r>
        <w:rPr>
          <w:rFonts w:ascii="Arial" w:hAnsi="Arial" w:cs="Arial" w:eastAsia="Arial" w:hint="default"/>
        </w:rPr>
        <w:t>9,708</w:t>
      </w:r>
      <w:r>
        <w:rPr/>
        <w:t>万股，实际募集资金为</w:t>
      </w:r>
      <w:r>
        <w:rPr>
          <w:rFonts w:ascii="Arial" w:hAnsi="Arial" w:cs="Arial" w:eastAsia="Arial" w:hint="default"/>
        </w:rPr>
        <w:t>41,418.55</w:t>
      </w:r>
      <w:r>
        <w:rPr/>
        <w:t>万元，使得资产负 </w:t>
      </w:r>
      <w:r>
        <w:rPr>
          <w:spacing w:val="-2"/>
        </w:rPr>
        <w:t>债率大幅降低，</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月，公司实施了股权激励计划，发行了</w:t>
      </w:r>
      <w:r>
        <w:rPr>
          <w:rFonts w:ascii="Arial" w:hAnsi="Arial" w:cs="Arial" w:eastAsia="Arial" w:hint="default"/>
          <w:spacing w:val="-2"/>
        </w:rPr>
        <w:t>170.88</w:t>
      </w:r>
      <w:r>
        <w:rPr>
          <w:spacing w:val="-2"/>
        </w:rPr>
        <w:t>万股，缴纳货币资金出资款人民币</w:t>
      </w:r>
      <w:r>
        <w:rPr>
          <w:rFonts w:ascii="Arial" w:hAnsi="Arial" w:cs="Arial" w:eastAsia="Arial" w:hint="default"/>
          <w:spacing w:val="-2"/>
        </w:rPr>
        <w:t>1572.10</w:t>
      </w:r>
      <w:r>
        <w:rPr>
          <w:spacing w:val="-2"/>
        </w:rPr>
        <w:t>万元，公</w:t>
      </w:r>
      <w:r>
        <w:rPr>
          <w:spacing w:val="-63"/>
        </w:rPr>
        <w:t> </w:t>
      </w:r>
      <w:r>
        <w:rPr>
          <w:spacing w:val="-63"/>
        </w:rPr>
      </w:r>
      <w:r>
        <w:rPr/>
        <w:t>司的总股本由</w:t>
      </w:r>
      <w:r>
        <w:rPr>
          <w:rFonts w:ascii="Arial" w:hAnsi="Arial" w:cs="Arial" w:eastAsia="Arial" w:hint="default"/>
        </w:rPr>
        <w:t>9708</w:t>
      </w:r>
      <w:r>
        <w:rPr/>
        <w:t>万股增加至</w:t>
      </w:r>
      <w:r>
        <w:rPr>
          <w:rFonts w:ascii="Arial" w:hAnsi="Arial" w:cs="Arial" w:eastAsia="Arial" w:hint="default"/>
        </w:rPr>
        <w:t>9878.88</w:t>
      </w:r>
      <w:r>
        <w:rPr/>
        <w:t>万股。截止</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日，公司资产负债率为 </w:t>
      </w:r>
      <w:r>
        <w:rPr>
          <w:rFonts w:ascii="Arial" w:hAnsi="Arial" w:cs="Arial" w:eastAsia="Arial" w:hint="default"/>
        </w:rPr>
        <w:t>25.48%</w:t>
      </w:r>
      <w:r>
        <w:rPr/>
        <w:t>，较期初下降</w:t>
      </w:r>
      <w:r>
        <w:rPr>
          <w:spacing w:val="-40"/>
        </w:rPr>
        <w:t> </w:t>
      </w:r>
      <w:r>
        <w:rPr>
          <w:rFonts w:ascii="Arial" w:hAnsi="Arial" w:cs="Arial" w:eastAsia="Arial" w:hint="default"/>
        </w:rPr>
        <w:t>23.29%</w:t>
      </w:r>
      <w:r>
        <w:rPr/>
        <w:t>。</w:t>
      </w:r>
    </w:p>
    <w:p>
      <w:pPr>
        <w:spacing w:line="240" w:lineRule="auto" w:before="4"/>
        <w:rPr>
          <w:rFonts w:ascii="宋体" w:hAnsi="宋体" w:cs="宋体" w:eastAsia="宋体" w:hint="default"/>
          <w:sz w:val="20"/>
          <w:szCs w:val="20"/>
        </w:rPr>
      </w:pPr>
    </w:p>
    <w:p>
      <w:pPr>
        <w:pStyle w:val="Heading2"/>
        <w:spacing w:line="240" w:lineRule="auto"/>
        <w:ind w:right="1121"/>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、公司股东数量及持股情况</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9"/>
        <w:gridCol w:w="1363"/>
        <w:gridCol w:w="1386"/>
        <w:gridCol w:w="672"/>
        <w:gridCol w:w="684"/>
        <w:gridCol w:w="684"/>
        <w:gridCol w:w="672"/>
        <w:gridCol w:w="1375"/>
        <w:gridCol w:w="1374"/>
      </w:tblGrid>
      <w:tr>
        <w:trPr>
          <w:trHeight w:val="408" w:hRule="exact"/>
        </w:trPr>
        <w:tc>
          <w:tcPr>
            <w:tcW w:w="2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6"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0"/>
              <w:ind w:right="23"/>
              <w:jc w:val="right"/>
              <w:rPr>
                <w:rFonts w:ascii="Arial" w:hAnsi="Arial" w:cs="Arial" w:eastAsia="Arial" w:hint="default"/>
                <w:sz w:val="18"/>
                <w:szCs w:val="18"/>
              </w:rPr>
            </w:pPr>
            <w:r>
              <w:rPr>
                <w:rFonts w:ascii="Arial"/>
                <w:w w:val="95"/>
                <w:sz w:val="18"/>
              </w:rPr>
              <w:t>8,451</w:t>
            </w:r>
            <w:r>
              <w:rPr>
                <w:rFonts w:ascii="Arial"/>
                <w:sz w:val="18"/>
              </w:rPr>
            </w:r>
          </w:p>
        </w:tc>
        <w:tc>
          <w:tcPr>
            <w:tcW w:w="40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6"/>
                <w:sz w:val="18"/>
                <w:szCs w:val="18"/>
              </w:rPr>
              <w:t> </w:t>
            </w:r>
            <w:r>
              <w:rPr>
                <w:rFonts w:ascii="宋体" w:hAnsi="宋体" w:cs="宋体" w:eastAsia="宋体" w:hint="default"/>
                <w:sz w:val="18"/>
                <w:szCs w:val="18"/>
              </w:rPr>
              <w:t>个交易日末股东总数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left="781" w:right="0"/>
              <w:jc w:val="left"/>
              <w:rPr>
                <w:rFonts w:ascii="Arial" w:hAnsi="Arial" w:cs="Arial" w:eastAsia="Arial" w:hint="default"/>
                <w:sz w:val="18"/>
                <w:szCs w:val="18"/>
              </w:rPr>
            </w:pPr>
            <w:r>
              <w:rPr>
                <w:rFonts w:ascii="Arial"/>
                <w:sz w:val="18"/>
              </w:rPr>
              <w:t>10,503</w:t>
            </w:r>
          </w:p>
        </w:tc>
      </w:tr>
      <w:tr>
        <w:trPr>
          <w:trHeight w:val="391"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Arial" w:hAnsi="Arial" w:cs="Arial" w:eastAsia="Arial" w:hint="default"/>
                <w:sz w:val="18"/>
                <w:szCs w:val="18"/>
              </w:rPr>
              <w:t>5%</w:t>
            </w:r>
            <w:r>
              <w:rPr>
                <w:rFonts w:ascii="宋体" w:hAnsi="宋体" w:cs="宋体" w:eastAsia="宋体" w:hint="default"/>
                <w:sz w:val="18"/>
                <w:szCs w:val="18"/>
              </w:rPr>
              <w:t>以上的股东持股情况</w:t>
            </w:r>
          </w:p>
        </w:tc>
      </w:tr>
      <w:tr>
        <w:trPr>
          <w:trHeight w:val="166" w:hRule="exact"/>
        </w:trPr>
        <w:tc>
          <w:tcPr>
            <w:tcW w:w="1349" w:type="dxa"/>
            <w:vMerge w:val="restart"/>
            <w:tcBorders>
              <w:top w:val="single" w:sz="4" w:space="0" w:color="000000"/>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
        </w:tc>
        <w:tc>
          <w:tcPr>
            <w:tcW w:w="1386" w:type="dxa"/>
            <w:vMerge w:val="restart"/>
            <w:tcBorders>
              <w:top w:val="single" w:sz="4" w:space="0" w:color="000000"/>
              <w:left w:val="single" w:sz="4" w:space="0" w:color="000000"/>
              <w:right w:val="single" w:sz="4" w:space="0" w:color="000000"/>
            </w:tcBorders>
            <w:shd w:val="clear" w:color="auto" w:fill="D2D2D2"/>
          </w:tcPr>
          <w:p>
            <w:pPr/>
          </w:p>
        </w:tc>
        <w:tc>
          <w:tcPr>
            <w:tcW w:w="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5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77" w:hRule="exact"/>
        </w:trPr>
        <w:tc>
          <w:tcPr>
            <w:tcW w:w="1349"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6" w:type="dxa"/>
            <w:vMerge/>
            <w:tcBorders>
              <w:left w:val="single" w:sz="4" w:space="0" w:color="000000"/>
              <w:bottom w:val="nil" w:sz="6" w:space="0" w:color="auto"/>
              <w:right w:val="single" w:sz="4" w:space="0" w:color="000000"/>
            </w:tcBorders>
            <w:shd w:val="clear" w:color="auto" w:fill="D2D2D2"/>
          </w:tcPr>
          <w:p>
            <w:pPr/>
          </w:p>
        </w:tc>
        <w:tc>
          <w:tcPr>
            <w:tcW w:w="6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2749" w:type="dxa"/>
            <w:gridSpan w:val="2"/>
            <w:vMerge/>
            <w:tcBorders>
              <w:left w:val="single" w:sz="4" w:space="0" w:color="000000"/>
              <w:bottom w:val="single" w:sz="4" w:space="0" w:color="000000"/>
              <w:right w:val="single" w:sz="4" w:space="0" w:color="000000"/>
            </w:tcBorders>
            <w:shd w:val="clear" w:color="auto" w:fill="D2D2D2"/>
          </w:tcPr>
          <w:p>
            <w:pPr/>
          </w:p>
        </w:tc>
      </w:tr>
      <w:tr>
        <w:trPr>
          <w:trHeight w:val="236" w:hRule="exact"/>
        </w:trPr>
        <w:tc>
          <w:tcPr>
            <w:tcW w:w="13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3"/>
              <w:ind w:left="30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3"/>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3"/>
              <w:ind w:left="66"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r>
              <w:rPr>
                <w:rFonts w:ascii="宋体" w:hAnsi="宋体" w:cs="宋体" w:eastAsia="宋体" w:hint="default"/>
                <w:sz w:val="18"/>
                <w:szCs w:val="18"/>
              </w:rPr>
              <w:t>）</w:t>
            </w:r>
          </w:p>
        </w:tc>
        <w:tc>
          <w:tcPr>
            <w:tcW w:w="672"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1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49"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6" w:type="dxa"/>
            <w:vMerge/>
            <w:tcBorders>
              <w:left w:val="single" w:sz="4" w:space="0" w:color="000000"/>
              <w:bottom w:val="nil" w:sz="6" w:space="0" w:color="auto"/>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1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99" w:hRule="exact"/>
        </w:trPr>
        <w:tc>
          <w:tcPr>
            <w:tcW w:w="1349" w:type="dxa"/>
            <w:vMerge w:val="restart"/>
            <w:tcBorders>
              <w:top w:val="nil" w:sz="6" w:space="0" w:color="auto"/>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386" w:type="dxa"/>
            <w:vMerge w:val="restart"/>
            <w:tcBorders>
              <w:top w:val="nil" w:sz="6" w:space="0" w:color="auto"/>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1375" w:type="dxa"/>
            <w:vMerge/>
            <w:tcBorders>
              <w:left w:val="single" w:sz="4" w:space="0" w:color="000000"/>
              <w:bottom w:val="nil" w:sz="6" w:space="0" w:color="auto"/>
              <w:right w:val="single" w:sz="4" w:space="0" w:color="000000"/>
            </w:tcBorders>
            <w:shd w:val="clear" w:color="auto" w:fill="D2D2D2"/>
          </w:tcPr>
          <w:p>
            <w:pPr/>
          </w:p>
        </w:tc>
        <w:tc>
          <w:tcPr>
            <w:tcW w:w="1374" w:type="dxa"/>
            <w:vMerge/>
            <w:tcBorders>
              <w:left w:val="single" w:sz="4" w:space="0" w:color="000000"/>
              <w:bottom w:val="nil" w:sz="6" w:space="0" w:color="auto"/>
              <w:right w:val="single" w:sz="4" w:space="0" w:color="000000"/>
            </w:tcBorders>
            <w:shd w:val="clear" w:color="auto" w:fill="D2D2D2"/>
          </w:tcPr>
          <w:p>
            <w:pPr/>
          </w:p>
        </w:tc>
      </w:tr>
      <w:tr>
        <w:trPr>
          <w:trHeight w:val="113" w:hRule="exact"/>
        </w:trPr>
        <w:tc>
          <w:tcPr>
            <w:tcW w:w="1349"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386" w:type="dxa"/>
            <w:vMerge/>
            <w:tcBorders>
              <w:left w:val="single" w:sz="4" w:space="0" w:color="000000"/>
              <w:right w:val="single" w:sz="4" w:space="0" w:color="000000"/>
            </w:tcBorders>
            <w:shd w:val="clear" w:color="auto" w:fill="D2D2D2"/>
          </w:tcPr>
          <w:p>
            <w:pPr/>
          </w:p>
        </w:tc>
        <w:tc>
          <w:tcPr>
            <w:tcW w:w="672"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1375" w:type="dxa"/>
            <w:vMerge w:val="restart"/>
            <w:tcBorders>
              <w:top w:val="nil" w:sz="6" w:space="0" w:color="auto"/>
              <w:left w:val="single" w:sz="4" w:space="0" w:color="000000"/>
              <w:right w:val="single" w:sz="4" w:space="0" w:color="000000"/>
            </w:tcBorders>
            <w:shd w:val="clear" w:color="auto" w:fill="D2D2D2"/>
          </w:tcPr>
          <w:p>
            <w:pPr/>
          </w:p>
        </w:tc>
        <w:tc>
          <w:tcPr>
            <w:tcW w:w="137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9"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86" w:type="dxa"/>
            <w:vMerge/>
            <w:tcBorders>
              <w:left w:val="single" w:sz="4" w:space="0" w:color="000000"/>
              <w:bottom w:val="single" w:sz="4" w:space="0" w:color="000000"/>
              <w:right w:val="single" w:sz="4" w:space="0" w:color="000000"/>
            </w:tcBorders>
            <w:shd w:val="clear" w:color="auto" w:fill="D2D2D2"/>
          </w:tcPr>
          <w:p>
            <w:pPr/>
          </w:p>
        </w:tc>
        <w:tc>
          <w:tcPr>
            <w:tcW w:w="6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1375"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深圳德旺投资发</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30"/>
              <w:jc w:val="right"/>
              <w:rPr>
                <w:rFonts w:ascii="Arial" w:hAnsi="Arial" w:cs="Arial" w:eastAsia="Arial" w:hint="default"/>
                <w:sz w:val="18"/>
                <w:szCs w:val="18"/>
              </w:rPr>
            </w:pPr>
            <w:r>
              <w:rPr>
                <w:rFonts w:ascii="Arial"/>
                <w:spacing w:val="-1"/>
                <w:sz w:val="18"/>
              </w:rPr>
              <w:t>23.69%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0" w:right="0"/>
              <w:jc w:val="left"/>
              <w:rPr>
                <w:rFonts w:ascii="Arial" w:hAnsi="Arial" w:cs="Arial" w:eastAsia="Arial" w:hint="default"/>
                <w:sz w:val="18"/>
                <w:szCs w:val="18"/>
              </w:rPr>
            </w:pPr>
            <w:r>
              <w:rPr>
                <w:rFonts w:ascii="Arial"/>
                <w:sz w:val="18"/>
              </w:rPr>
              <w:t>23,400,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w w:val="99"/>
                <w:sz w:val="18"/>
              </w:rPr>
              <w:t>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2" w:right="0"/>
              <w:jc w:val="left"/>
              <w:rPr>
                <w:rFonts w:ascii="Arial" w:hAnsi="Arial" w:cs="Arial" w:eastAsia="Arial" w:hint="default"/>
                <w:sz w:val="18"/>
                <w:szCs w:val="18"/>
              </w:rPr>
            </w:pPr>
            <w:r>
              <w:rPr>
                <w:rFonts w:ascii="Arial"/>
                <w:sz w:val="18"/>
              </w:rPr>
              <w:t>23,400,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
              <w:jc w:val="right"/>
              <w:rPr>
                <w:rFonts w:ascii="Arial" w:hAnsi="Arial" w:cs="Arial" w:eastAsia="Arial" w:hint="default"/>
                <w:sz w:val="18"/>
                <w:szCs w:val="18"/>
              </w:rPr>
            </w:pPr>
            <w:r>
              <w:rPr>
                <w:rFonts w:ascii="Arial"/>
                <w:w w:val="99"/>
                <w:sz w:val="18"/>
              </w:rPr>
              <w:t>0</w:t>
            </w:r>
            <w:r>
              <w:rPr>
                <w:rFonts w:ascii="Arial"/>
                <w:sz w:val="18"/>
              </w:rPr>
            </w:r>
          </w:p>
        </w:tc>
        <w:tc>
          <w:tcPr>
            <w:tcW w:w="1375"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44" w:top="1060" w:bottom="152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8.220001pt;margin-top:497.709991pt;width:355.55pt;height:22.05pt;mso-position-horizontal-relative:page;mso-position-vertical-relative:page;z-index:-1034368"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ind w:left="0" w:right="0"/>
                    <w:jc w:val="left"/>
                  </w:pPr>
                  <w:r>
                    <w:rPr/>
                    <w:t>有）</w:t>
                  </w:r>
                </w:p>
              </w:txbxContent>
            </v:textbox>
            <w10:wrap type="none"/>
          </v:shape>
        </w:pict>
      </w:r>
      <w:r>
        <w:rPr/>
        <w:pict>
          <v:group style="position:absolute;margin-left:193.369995pt;margin-top:497.109985pt;width:341.6pt;height:28.1pt;mso-position-horizontal-relative:page;mso-position-vertical-relative:page;z-index:-1034344" coordorigin="3867,9942" coordsize="6832,562">
            <v:group style="position:absolute;left:3879;top:9954;width:2;height:394" coordorigin="3879,9954" coordsize="2,394">
              <v:shape style="position:absolute;left:3879;top:9954;width:2;height:394" coordorigin="3879,9954" coordsize="0,394" path="m3879,9954l3879,10348e" filled="false" stroked="true" strokeweight="1.2pt" strokecolor="#ffffff">
                <v:path arrowok="t"/>
              </v:shape>
            </v:group>
            <v:group style="position:absolute;left:3867;top:10348;width:6832;height:156" coordorigin="3867,10348" coordsize="6832,156">
              <v:shape style="position:absolute;left:3867;top:10348;width:6832;height:156" coordorigin="3867,10348" coordsize="6832,156" path="m3867,10504l10699,10504,10699,10348,3867,10348,3867,10504xe" filled="true" fillcolor="#ffffff" stroked="false">
                <v:path arrowok="t"/>
                <v:fill type="solid"/>
              </v:shape>
            </v:group>
            <v:group style="position:absolute;left:3891;top:9954;width:6784;height:394" coordorigin="3891,9954" coordsize="6784,394">
              <v:shape style="position:absolute;left:3891;top:9954;width:6784;height:394" coordorigin="3891,9954" coordsize="6784,394" path="m3891,10348l10675,10348,10675,9954,3891,9954,3891,1034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1"/>
        <w:gridCol w:w="1369"/>
        <w:gridCol w:w="1368"/>
        <w:gridCol w:w="684"/>
        <w:gridCol w:w="684"/>
        <w:gridCol w:w="684"/>
        <w:gridCol w:w="684"/>
        <w:gridCol w:w="1369"/>
        <w:gridCol w:w="1368"/>
      </w:tblGrid>
      <w:tr>
        <w:trPr>
          <w:trHeight w:val="36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2" w:right="0"/>
              <w:jc w:val="left"/>
              <w:rPr>
                <w:rFonts w:ascii="Arial" w:hAnsi="Arial" w:cs="Arial" w:eastAsia="Arial" w:hint="default"/>
                <w:sz w:val="18"/>
                <w:szCs w:val="18"/>
              </w:rPr>
            </w:pPr>
            <w:r>
              <w:rPr>
                <w:rFonts w:ascii="Arial"/>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13.22%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2" w:right="0"/>
              <w:jc w:val="left"/>
              <w:rPr>
                <w:rFonts w:ascii="Arial" w:hAnsi="Arial" w:cs="Arial" w:eastAsia="Arial" w:hint="default"/>
                <w:sz w:val="18"/>
                <w:szCs w:val="18"/>
              </w:rPr>
            </w:pPr>
            <w:r>
              <w:rPr>
                <w:rFonts w:ascii="Arial"/>
                <w:sz w:val="18"/>
              </w:rPr>
              <w:t>13,056,</w:t>
            </w:r>
          </w:p>
          <w:p>
            <w:pPr>
              <w:pStyle w:val="TableParagraph"/>
              <w:spacing w:line="240" w:lineRule="auto" w:before="105"/>
              <w:ind w:left="352" w:right="0"/>
              <w:jc w:val="left"/>
              <w:rPr>
                <w:rFonts w:ascii="Arial" w:hAnsi="Arial" w:cs="Arial" w:eastAsia="Arial" w:hint="default"/>
                <w:sz w:val="18"/>
                <w:szCs w:val="18"/>
              </w:rPr>
            </w:pPr>
            <w:r>
              <w:rPr>
                <w:rFonts w:ascii="Arial"/>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Arial" w:hAnsi="Arial" w:cs="Arial" w:eastAsia="Arial" w:hint="default"/>
                <w:sz w:val="18"/>
                <w:szCs w:val="18"/>
              </w:rPr>
            </w:pPr>
            <w:r>
              <w:rPr>
                <w:rFonts w:ascii="Arial"/>
                <w:w w:val="99"/>
                <w:sz w:val="18"/>
              </w:rPr>
              <w:t>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2" w:right="0"/>
              <w:jc w:val="left"/>
              <w:rPr>
                <w:rFonts w:ascii="Arial" w:hAnsi="Arial" w:cs="Arial" w:eastAsia="Arial" w:hint="default"/>
                <w:sz w:val="18"/>
                <w:szCs w:val="18"/>
              </w:rPr>
            </w:pPr>
            <w:r>
              <w:rPr>
                <w:rFonts w:ascii="Arial"/>
                <w:sz w:val="18"/>
              </w:rPr>
              <w:t>13,056,</w:t>
            </w:r>
          </w:p>
          <w:p>
            <w:pPr>
              <w:pStyle w:val="TableParagraph"/>
              <w:spacing w:line="240" w:lineRule="auto" w:before="105"/>
              <w:ind w:left="352" w:right="0"/>
              <w:jc w:val="left"/>
              <w:rPr>
                <w:rFonts w:ascii="Arial" w:hAnsi="Arial" w:cs="Arial" w:eastAsia="Arial" w:hint="default"/>
                <w:sz w:val="18"/>
                <w:szCs w:val="18"/>
              </w:rPr>
            </w:pPr>
            <w:r>
              <w:rPr>
                <w:rFonts w:ascii="Arial"/>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浙江蓝石创业投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5.26%</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5,200,0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Arial" w:hAnsi="Arial" w:cs="Arial" w:eastAsia="Arial" w:hint="default"/>
                <w:sz w:val="18"/>
                <w:szCs w:val="18"/>
              </w:rPr>
            </w:pPr>
            <w:r>
              <w:rPr>
                <w:rFonts w:ascii="Arial"/>
                <w:w w:val="99"/>
                <w:sz w:val="18"/>
              </w:rPr>
              <w:t>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5,200,0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深圳市南海成长 创科投资合伙企 业（有限合伙）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Arial" w:hAnsi="Arial" w:cs="Arial" w:eastAsia="Arial" w:hint="default"/>
                <w:sz w:val="18"/>
                <w:szCs w:val="18"/>
              </w:rPr>
            </w:pPr>
            <w:r>
              <w:rPr>
                <w:rFonts w:ascii="Arial"/>
                <w:w w:val="95"/>
                <w:sz w:val="18"/>
              </w:rPr>
              <w:t>4.61%</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4,550,0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Arial" w:hAnsi="Arial" w:cs="Arial" w:eastAsia="Arial" w:hint="default"/>
                <w:sz w:val="18"/>
                <w:szCs w:val="18"/>
              </w:rPr>
            </w:pPr>
            <w:r>
              <w:rPr>
                <w:rFonts w:ascii="Arial"/>
                <w:w w:val="99"/>
                <w:sz w:val="18"/>
              </w:rPr>
              <w:t>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4,550,0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英飞特电子（杭 州）股份有限公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Arial" w:hAnsi="Arial" w:cs="Arial" w:eastAsia="Arial" w:hint="default"/>
                <w:sz w:val="18"/>
                <w:szCs w:val="18"/>
              </w:rPr>
            </w:pPr>
            <w:r>
              <w:rPr>
                <w:rFonts w:ascii="Arial"/>
                <w:w w:val="95"/>
                <w:sz w:val="18"/>
              </w:rPr>
              <w:t>3.36%</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3,315,0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Arial" w:hAnsi="Arial" w:cs="Arial" w:eastAsia="Arial" w:hint="default"/>
                <w:sz w:val="18"/>
                <w:szCs w:val="18"/>
              </w:rPr>
            </w:pPr>
            <w:r>
              <w:rPr>
                <w:rFonts w:ascii="Arial"/>
                <w:w w:val="99"/>
                <w:sz w:val="18"/>
              </w:rPr>
              <w:t>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3,315,0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浙江泰银创业投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3.29%</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3,250,0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Arial" w:hAnsi="Arial" w:cs="Arial" w:eastAsia="Arial" w:hint="default"/>
                <w:sz w:val="18"/>
                <w:szCs w:val="18"/>
              </w:rPr>
            </w:pPr>
            <w:r>
              <w:rPr>
                <w:rFonts w:ascii="Arial"/>
                <w:w w:val="99"/>
                <w:sz w:val="18"/>
              </w:rPr>
              <w:t>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3,250,0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陈克峰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2.7%</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2,665,0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Arial" w:hAnsi="Arial" w:cs="Arial" w:eastAsia="Arial" w:hint="default"/>
                <w:sz w:val="18"/>
                <w:szCs w:val="18"/>
              </w:rPr>
            </w:pPr>
            <w:r>
              <w:rPr>
                <w:rFonts w:ascii="Arial"/>
                <w:w w:val="99"/>
                <w:sz w:val="18"/>
              </w:rPr>
              <w:t>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2,665,0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广东太平洋技术 创业有限公司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2.63%</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2,600,0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Arial" w:hAnsi="Arial" w:cs="Arial" w:eastAsia="Arial" w:hint="default"/>
                <w:sz w:val="18"/>
                <w:szCs w:val="18"/>
              </w:rPr>
            </w:pPr>
            <w:r>
              <w:rPr>
                <w:rFonts w:ascii="Arial"/>
                <w:w w:val="99"/>
                <w:sz w:val="18"/>
              </w:rPr>
              <w:t>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2,600,0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深圳市保腾汇富 创业投资企业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Arial" w:hAnsi="Arial" w:cs="Arial" w:eastAsia="Arial" w:hint="default"/>
                <w:sz w:val="18"/>
                <w:szCs w:val="18"/>
              </w:rPr>
            </w:pPr>
            <w:r>
              <w:rPr>
                <w:rFonts w:ascii="Arial"/>
                <w:w w:val="95"/>
                <w:sz w:val="18"/>
              </w:rPr>
              <w:t>2.63%</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2,600,0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Arial" w:hAnsi="Arial" w:cs="Arial" w:eastAsia="Arial" w:hint="default"/>
                <w:sz w:val="18"/>
                <w:szCs w:val="18"/>
              </w:rPr>
            </w:pPr>
            <w:r>
              <w:rPr>
                <w:rFonts w:ascii="Arial"/>
                <w:w w:val="99"/>
                <w:sz w:val="18"/>
              </w:rPr>
              <w:t>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2,600,0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中国工商银行－ 宝盈泛沿海区域 增长股票证券投 资基金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18"/>
              <w:jc w:val="right"/>
              <w:rPr>
                <w:rFonts w:ascii="Arial" w:hAnsi="Arial" w:cs="Arial" w:eastAsia="Arial" w:hint="default"/>
                <w:sz w:val="18"/>
                <w:szCs w:val="18"/>
              </w:rPr>
            </w:pPr>
            <w:r>
              <w:rPr>
                <w:rFonts w:ascii="Arial"/>
                <w:w w:val="95"/>
                <w:sz w:val="18"/>
              </w:rPr>
              <w:t>2.23%</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Arial" w:hAnsi="Arial" w:cs="Arial" w:eastAsia="Arial" w:hint="default"/>
                <w:sz w:val="18"/>
                <w:szCs w:val="18"/>
              </w:rPr>
            </w:pPr>
            <w:r>
              <w:rPr>
                <w:rFonts w:ascii="Arial"/>
                <w:spacing w:val="-1"/>
                <w:sz w:val="18"/>
              </w:rPr>
              <w:t>2,200,0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Arial" w:hAnsi="Arial" w:cs="Arial" w:eastAsia="Arial" w:hint="default"/>
                <w:sz w:val="18"/>
                <w:szCs w:val="18"/>
              </w:rPr>
            </w:pPr>
            <w:r>
              <w:rPr>
                <w:rFonts w:ascii="Arial"/>
                <w:sz w:val="18"/>
              </w:rPr>
              <w:t>2,200,0</w:t>
            </w:r>
          </w:p>
          <w:p>
            <w:pPr>
              <w:pStyle w:val="TableParagraph"/>
              <w:spacing w:line="240" w:lineRule="auto" w:before="105"/>
              <w:ind w:left="23" w:right="0"/>
              <w:jc w:val="left"/>
              <w:rPr>
                <w:rFonts w:ascii="Arial" w:hAnsi="Arial" w:cs="Arial" w:eastAsia="Arial" w:hint="default"/>
                <w:sz w:val="18"/>
                <w:szCs w:val="18"/>
              </w:rPr>
            </w:pPr>
            <w:r>
              <w:rPr>
                <w:rFonts w:ascii="Arial"/>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20"/>
              <w:jc w:val="right"/>
              <w:rPr>
                <w:rFonts w:ascii="Arial" w:hAnsi="Arial" w:cs="Arial" w:eastAsia="Arial" w:hint="default"/>
                <w:sz w:val="18"/>
                <w:szCs w:val="18"/>
              </w:rPr>
            </w:pPr>
            <w:r>
              <w:rPr>
                <w:rFonts w:ascii="Arial"/>
                <w:w w:val="99"/>
                <w:sz w:val="18"/>
              </w:rPr>
              <w:t>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Arial" w:hAnsi="Arial" w:cs="Arial" w:eastAsia="Arial" w:hint="default"/>
                <w:sz w:val="18"/>
                <w:szCs w:val="18"/>
              </w:rPr>
            </w:pPr>
            <w:r>
              <w:rPr>
                <w:rFonts w:ascii="Arial"/>
                <w:spacing w:val="-1"/>
                <w:sz w:val="18"/>
              </w:rPr>
              <w:t>2,200,0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00</w:t>
            </w:r>
            <w:r>
              <w:rPr>
                <w:rFonts w:ascii="Arial"/>
                <w:sz w:val="18"/>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1"/>
                <w:sz w:val="18"/>
                <w:szCs w:val="18"/>
              </w:rPr>
              <w:t> </w:t>
            </w:r>
            <w:r>
              <w:rPr>
                <w:rFonts w:ascii="Arial" w:hAnsi="Arial" w:cs="Arial" w:eastAsia="Arial" w:hint="default"/>
                <w:sz w:val="18"/>
                <w:szCs w:val="18"/>
              </w:rPr>
              <w:t>10</w:t>
            </w:r>
            <w:r>
              <w:rPr>
                <w:rFonts w:ascii="Arial" w:hAnsi="Arial" w:cs="Arial" w:eastAsia="Arial" w:hint="default"/>
                <w:spacing w:val="-1"/>
                <w:sz w:val="18"/>
                <w:szCs w:val="18"/>
              </w:rPr>
              <w:t> </w:t>
            </w:r>
            <w:r>
              <w:rPr>
                <w:rFonts w:ascii="宋体" w:hAnsi="宋体" w:cs="宋体" w:eastAsia="宋体" w:hint="default"/>
                <w:spacing w:val="-7"/>
                <w:sz w:val="18"/>
                <w:szCs w:val="18"/>
              </w:rPr>
              <w:t>名股东的情况（如</w:t>
            </w:r>
          </w:p>
        </w:tc>
        <w:tc>
          <w:tcPr>
            <w:tcW w:w="136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1369" w:type="dxa"/>
            <w:tcBorders>
              <w:top w:val="single" w:sz="4" w:space="0" w:color="000000"/>
              <w:left w:val="nil" w:sz="6" w:space="0" w:color="auto"/>
              <w:bottom w:val="single" w:sz="4" w:space="0" w:color="000000"/>
              <w:right w:val="nil" w:sz="6" w:space="0" w:color="auto"/>
            </w:tcBorders>
          </w:tcPr>
          <w:p>
            <w:pPr/>
          </w:p>
        </w:tc>
        <w:tc>
          <w:tcPr>
            <w:tcW w:w="1368" w:type="dxa"/>
            <w:tcBorders>
              <w:top w:val="single" w:sz="4" w:space="0" w:color="000000"/>
              <w:left w:val="nil" w:sz="6" w:space="0" w:color="auto"/>
              <w:bottom w:val="single" w:sz="4" w:space="0" w:color="000000"/>
              <w:right w:val="single" w:sz="4" w:space="0" w:color="000000"/>
            </w:tcBorders>
          </w:tcPr>
          <w:p>
            <w:pPr/>
          </w:p>
        </w:tc>
      </w:tr>
      <w:tr>
        <w:trPr>
          <w:trHeight w:val="161"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41" w:type="dxa"/>
            <w:gridSpan w:val="7"/>
            <w:vMerge w:val="restart"/>
            <w:tcBorders>
              <w:top w:val="single" w:sz="4" w:space="0" w:color="000000"/>
              <w:left w:val="single" w:sz="10" w:space="0" w:color="D2D2D2"/>
              <w:right w:val="single" w:sz="4" w:space="0" w:color="000000"/>
            </w:tcBorders>
          </w:tcPr>
          <w:p>
            <w:pPr>
              <w:pStyle w:val="TableParagraph"/>
              <w:spacing w:line="309" w:lineRule="auto" w:before="49"/>
              <w:ind w:left="16" w:right="17"/>
              <w:jc w:val="both"/>
              <w:rPr>
                <w:rFonts w:ascii="宋体" w:hAnsi="宋体" w:cs="宋体" w:eastAsia="宋体" w:hint="default"/>
                <w:sz w:val="18"/>
                <w:szCs w:val="18"/>
              </w:rPr>
            </w:pPr>
            <w:r>
              <w:rPr>
                <w:rFonts w:ascii="宋体" w:hAnsi="宋体" w:cs="宋体" w:eastAsia="宋体" w:hint="default"/>
                <w:sz w:val="18"/>
                <w:szCs w:val="18"/>
              </w:rPr>
              <w:t>顾永德先生直接持有深圳德旺投资发展有限公司的股权比例为</w:t>
            </w:r>
            <w:r>
              <w:rPr>
                <w:rFonts w:ascii="宋体" w:hAnsi="宋体" w:cs="宋体" w:eastAsia="宋体" w:hint="default"/>
                <w:spacing w:val="-59"/>
                <w:sz w:val="18"/>
                <w:szCs w:val="18"/>
              </w:rPr>
              <w:t> </w:t>
            </w:r>
            <w:r>
              <w:rPr>
                <w:rFonts w:ascii="Arial" w:hAnsi="Arial" w:cs="Arial" w:eastAsia="Arial" w:hint="default"/>
                <w:sz w:val="18"/>
                <w:szCs w:val="18"/>
              </w:rPr>
              <w:t>100%</w:t>
            </w:r>
            <w:r>
              <w:rPr>
                <w:rFonts w:ascii="宋体" w:hAnsi="宋体" w:cs="宋体" w:eastAsia="宋体" w:hint="default"/>
                <w:sz w:val="18"/>
                <w:szCs w:val="18"/>
              </w:rPr>
              <w:t>，为茂硕电源科技 </w:t>
            </w:r>
            <w:r>
              <w:rPr>
                <w:rFonts w:ascii="宋体" w:hAnsi="宋体" w:cs="宋体" w:eastAsia="宋体" w:hint="default"/>
                <w:spacing w:val="-2"/>
                <w:sz w:val="18"/>
                <w:szCs w:val="18"/>
              </w:rPr>
              <w:t>股份有限公司的实际控制人。浙江蓝石创业投资有限公司和浙江泰银创业投资有限公司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同委托浙江华睿投资管理有限公司管理，为一致行动人。</w:t>
            </w:r>
          </w:p>
        </w:tc>
      </w:tr>
      <w:tr>
        <w:trPr>
          <w:trHeight w:val="703" w:hRule="exact"/>
        </w:trPr>
        <w:tc>
          <w:tcPr>
            <w:tcW w:w="273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vMerge/>
            <w:tcBorders>
              <w:left w:val="single" w:sz="10" w:space="0" w:color="D2D2D2"/>
              <w:right w:val="single" w:sz="4" w:space="0" w:color="000000"/>
            </w:tcBorders>
          </w:tcPr>
          <w:p>
            <w:pPr/>
          </w:p>
        </w:tc>
      </w:tr>
      <w:tr>
        <w:trPr>
          <w:trHeight w:val="161"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41" w:type="dxa"/>
            <w:gridSpan w:val="7"/>
            <w:vMerge/>
            <w:tcBorders>
              <w:left w:val="single" w:sz="10" w:space="0" w:color="D2D2D2"/>
              <w:bottom w:val="single" w:sz="4" w:space="0" w:color="000000"/>
              <w:right w:val="single" w:sz="4" w:space="0" w:color="000000"/>
            </w:tcBorders>
          </w:tcPr>
          <w:p>
            <w:pP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名无限售条件股东持股情况</w:t>
            </w:r>
          </w:p>
        </w:tc>
      </w:tr>
      <w:tr>
        <w:trPr>
          <w:trHeight w:val="206"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4"/>
                <w:sz w:val="18"/>
                <w:szCs w:val="18"/>
              </w:rPr>
              <w:t> </w:t>
            </w:r>
            <w:r>
              <w:rPr>
                <w:rFonts w:ascii="Arial" w:hAnsi="Arial" w:cs="Arial" w:eastAsia="Arial" w:hint="default"/>
                <w:sz w:val="18"/>
                <w:szCs w:val="18"/>
              </w:rPr>
              <w:t>4</w:t>
            </w:r>
            <w:r>
              <w:rPr>
                <w:rFonts w:ascii="宋体" w:hAnsi="宋体" w:cs="宋体" w:eastAsia="宋体" w:hint="default"/>
                <w:sz w:val="18"/>
                <w:szCs w:val="18"/>
              </w:rPr>
              <w:t>）</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30" w:type="dxa"/>
            <w:gridSpan w:val="2"/>
            <w:vMerge/>
            <w:tcBorders>
              <w:left w:val="single" w:sz="4" w:space="0" w:color="000000"/>
              <w:bottom w:val="nil" w:sz="6" w:space="0" w:color="auto"/>
              <w:right w:val="single" w:sz="4" w:space="0" w:color="000000"/>
            </w:tcBorders>
            <w:shd w:val="clear" w:color="auto" w:fill="D2D2D2"/>
          </w:tcPr>
          <w:p>
            <w:pPr/>
          </w:p>
        </w:tc>
        <w:tc>
          <w:tcPr>
            <w:tcW w:w="4104" w:type="dxa"/>
            <w:gridSpan w:val="5"/>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中国工商银行－宝盈泛沿海区域 增长股票证券投资基金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2,200,000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2,200,000</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中国农业银行－浙商聚潮产业成 长股票型证券投资基金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685,051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685,051</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鸿阳证券投资基金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383,413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383,413</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国泰君安证券股份有限公司客户 信用交易担保证券账户</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323,801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323,801</w:t>
            </w:r>
          </w:p>
        </w:tc>
      </w:tr>
    </w:tbl>
    <w:p>
      <w:pPr>
        <w:spacing w:after="0" w:line="240" w:lineRule="auto"/>
        <w:jc w:val="right"/>
        <w:rPr>
          <w:rFonts w:ascii="Arial" w:hAnsi="Arial" w:cs="Arial" w:eastAsia="Arial" w:hint="default"/>
          <w:sz w:val="18"/>
          <w:szCs w:val="18"/>
        </w:rPr>
        <w:sectPr>
          <w:pgSz w:w="11910" w:h="16840"/>
          <w:pgMar w:header="877" w:footer="1244"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730"/>
        <w:gridCol w:w="4104"/>
        <w:gridCol w:w="1369"/>
        <w:gridCol w:w="1368"/>
      </w:tblGrid>
      <w:tr>
        <w:trPr>
          <w:trHeight w:val="71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中国建设银行－宝盈资源优选股 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293,841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293,841</w:t>
            </w:r>
          </w:p>
        </w:tc>
      </w:tr>
      <w:tr>
        <w:trPr>
          <w:trHeight w:val="715"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4"/>
              <w:jc w:val="left"/>
              <w:rPr>
                <w:rFonts w:ascii="宋体" w:hAnsi="宋体" w:cs="宋体" w:eastAsia="宋体" w:hint="default"/>
                <w:sz w:val="18"/>
                <w:szCs w:val="18"/>
              </w:rPr>
            </w:pPr>
            <w:r>
              <w:rPr>
                <w:rFonts w:ascii="宋体" w:hAnsi="宋体" w:cs="宋体" w:eastAsia="宋体" w:hint="default"/>
                <w:sz w:val="18"/>
                <w:szCs w:val="18"/>
              </w:rPr>
              <w:t>中国工商银行－兴全可转债混合 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293,600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293,600</w:t>
            </w:r>
          </w:p>
        </w:tc>
      </w:tr>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孙霞君</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225,000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225,000</w:t>
            </w:r>
          </w:p>
        </w:tc>
      </w:tr>
      <w:tr>
        <w:trPr>
          <w:trHeight w:val="40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叶瑞芳</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199,700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199,700</w:t>
            </w:r>
          </w:p>
        </w:tc>
      </w:tr>
      <w:tr>
        <w:trPr>
          <w:trHeight w:val="71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中国民生银行－浙商聚潮新思维 混合型证券投资基金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195,100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195,100</w:t>
            </w:r>
          </w:p>
        </w:tc>
      </w:tr>
      <w:tr>
        <w:trPr>
          <w:trHeight w:val="40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陈爱娟</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160,500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160,500</w:t>
            </w:r>
          </w:p>
        </w:tc>
      </w:tr>
      <w:tr>
        <w:trPr>
          <w:trHeight w:val="1340" w:hRule="exact"/>
        </w:trPr>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名无限售流通股股东之间，</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名无限售流通股股东和</w:t>
            </w:r>
          </w:p>
          <w:p>
            <w:pPr>
              <w:pStyle w:val="TableParagraph"/>
              <w:spacing w:line="302" w:lineRule="auto" w:before="63"/>
              <w:ind w:left="24" w:right="6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4"/>
              <w:ind w:left="23" w:right="35"/>
              <w:jc w:val="left"/>
              <w:rPr>
                <w:rFonts w:ascii="宋体" w:hAnsi="宋体" w:cs="宋体" w:eastAsia="宋体" w:hint="default"/>
                <w:sz w:val="18"/>
                <w:szCs w:val="18"/>
              </w:rPr>
            </w:pPr>
            <w:r>
              <w:rPr>
                <w:rFonts w:ascii="宋体" w:hAnsi="宋体" w:cs="宋体" w:eastAsia="宋体" w:hint="default"/>
                <w:sz w:val="18"/>
                <w:szCs w:val="18"/>
              </w:rPr>
              <w:t>未知前 </w:t>
            </w:r>
            <w:r>
              <w:rPr>
                <w:rFonts w:ascii="Arial" w:hAnsi="Arial" w:cs="Arial" w:eastAsia="Arial" w:hint="default"/>
                <w:sz w:val="18"/>
                <w:szCs w:val="18"/>
              </w:rPr>
              <w:t>10 </w:t>
            </w:r>
            <w:r>
              <w:rPr>
                <w:rFonts w:ascii="宋体" w:hAnsi="宋体" w:cs="宋体" w:eastAsia="宋体" w:hint="default"/>
                <w:sz w:val="18"/>
                <w:szCs w:val="18"/>
              </w:rPr>
              <w:t>名无限售流通股股东之间、前 </w:t>
            </w:r>
            <w:r>
              <w:rPr>
                <w:rFonts w:ascii="Arial" w:hAnsi="Arial" w:cs="Arial" w:eastAsia="Arial" w:hint="default"/>
                <w:sz w:val="18"/>
                <w:szCs w:val="18"/>
              </w:rPr>
              <w:t>10 </w:t>
            </w:r>
            <w:r>
              <w:rPr>
                <w:rFonts w:ascii="宋体" w:hAnsi="宋体" w:cs="宋体" w:eastAsia="宋体" w:hint="default"/>
                <w:sz w:val="18"/>
                <w:szCs w:val="18"/>
              </w:rPr>
              <w:t>名无限售流通股股东和前 </w:t>
            </w:r>
            <w:r>
              <w:rPr>
                <w:rFonts w:ascii="Arial" w:hAnsi="Arial" w:cs="Arial" w:eastAsia="Arial" w:hint="default"/>
                <w:sz w:val="18"/>
                <w:szCs w:val="18"/>
              </w:rPr>
              <w:t>10</w:t>
            </w:r>
            <w:r>
              <w:rPr>
                <w:rFonts w:ascii="Arial" w:hAnsi="Arial" w:cs="Arial" w:eastAsia="Arial" w:hint="default"/>
                <w:spacing w:val="-17"/>
                <w:sz w:val="18"/>
                <w:szCs w:val="18"/>
              </w:rPr>
              <w:t> </w:t>
            </w:r>
            <w:r>
              <w:rPr>
                <w:rFonts w:ascii="宋体" w:hAnsi="宋体" w:cs="宋体" w:eastAsia="宋体" w:hint="default"/>
                <w:sz w:val="18"/>
                <w:szCs w:val="18"/>
              </w:rPr>
              <w:t>名股东之间 是否存在关联关系，也未知是否属于《上市公司收购管理办法》规定的一致行动人。</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1"/>
        <w:jc w:val="left"/>
        <w:rPr>
          <w:b w:val="0"/>
          <w:bCs w:val="0"/>
        </w:rPr>
      </w:pPr>
      <w:r>
        <w:rPr>
          <w:rFonts w:ascii="Arial" w:hAnsi="Arial" w:cs="Arial" w:eastAsia="Arial" w:hint="default"/>
        </w:rPr>
        <w:t>2</w:t>
      </w:r>
      <w:r>
        <w:rPr/>
        <w:t>、公司控股股东情况</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21"/>
        <w:jc w:val="left"/>
      </w:pPr>
      <w:r>
        <w:rPr/>
        <w:t>法人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82"/>
        <w:gridCol w:w="1093"/>
        <w:gridCol w:w="888"/>
        <w:gridCol w:w="1803"/>
        <w:gridCol w:w="1801"/>
        <w:gridCol w:w="1802"/>
      </w:tblGrid>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Arial" w:hAnsi="Arial" w:cs="Arial" w:eastAsia="Arial" w:hint="default"/>
                <w:sz w:val="18"/>
                <w:szCs w:val="18"/>
              </w:rPr>
              <w:t>/</w:t>
            </w:r>
            <w:r>
              <w:rPr>
                <w:rFonts w:ascii="Arial" w:hAnsi="Arial" w:cs="Arial" w:eastAsia="Arial" w:hint="default"/>
                <w:w w:val="100"/>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340"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66"/>
              <w:jc w:val="left"/>
              <w:rPr>
                <w:rFonts w:ascii="宋体" w:hAnsi="宋体" w:cs="宋体" w:eastAsia="宋体" w:hint="default"/>
                <w:sz w:val="18"/>
                <w:szCs w:val="18"/>
              </w:rPr>
            </w:pPr>
            <w:r>
              <w:rPr>
                <w:rFonts w:ascii="宋体" w:hAnsi="宋体" w:cs="宋体" w:eastAsia="宋体" w:hint="default"/>
                <w:sz w:val="18"/>
                <w:szCs w:val="18"/>
              </w:rPr>
              <w:t>深圳德旺投资发展有限公 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Arial" w:hAnsi="Arial" w:cs="Arial" w:eastAsia="Arial" w:hint="default"/>
                <w:sz w:val="18"/>
                <w:szCs w:val="18"/>
              </w:rPr>
            </w:pPr>
            <w:r>
              <w:rPr>
                <w:rFonts w:ascii="Arial"/>
                <w:sz w:val="18"/>
              </w:rPr>
              <w:t>2007-04-0</w:t>
            </w:r>
          </w:p>
          <w:p>
            <w:pPr>
              <w:pStyle w:val="TableParagraph"/>
              <w:spacing w:line="240" w:lineRule="auto" w:before="103"/>
              <w:ind w:left="23" w:right="0"/>
              <w:jc w:val="left"/>
              <w:rPr>
                <w:rFonts w:ascii="Arial" w:hAnsi="Arial" w:cs="Arial" w:eastAsia="Arial" w:hint="default"/>
                <w:sz w:val="18"/>
                <w:szCs w:val="18"/>
              </w:rPr>
            </w:pPr>
            <w:r>
              <w:rPr>
                <w:rFonts w:ascii="Arial"/>
                <w:w w:val="99"/>
                <w:sz w:val="18"/>
              </w:rPr>
              <w:t>9</w:t>
            </w:r>
            <w:r>
              <w:rPr>
                <w:rFonts w:ascii="Arial"/>
                <w:sz w:val="18"/>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Arial" w:hAnsi="Arial" w:cs="Arial" w:eastAsia="Arial" w:hint="default"/>
                <w:sz w:val="18"/>
                <w:szCs w:val="18"/>
              </w:rPr>
            </w:pPr>
            <w:r>
              <w:rPr>
                <w:rFonts w:ascii="Arial"/>
                <w:sz w:val="18"/>
              </w:rPr>
              <w:t>66102148-2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3600</w:t>
            </w:r>
            <w:r>
              <w:rPr>
                <w:rFonts w:ascii="Arial" w:hAnsi="Arial" w:cs="Arial" w:eastAsia="Arial" w:hint="default"/>
                <w:spacing w:val="-5"/>
                <w:sz w:val="18"/>
                <w:szCs w:val="18"/>
              </w:rPr>
              <w:t> </w:t>
            </w:r>
            <w:r>
              <w:rPr>
                <w:rFonts w:ascii="宋体" w:hAnsi="宋体" w:cs="宋体" w:eastAsia="宋体" w:hint="default"/>
                <w:sz w:val="18"/>
                <w:szCs w:val="18"/>
              </w:rPr>
              <w:t>万元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2"/>
              <w:jc w:val="both"/>
              <w:rPr>
                <w:rFonts w:ascii="宋体" w:hAnsi="宋体" w:cs="宋体" w:eastAsia="宋体" w:hint="default"/>
                <w:sz w:val="18"/>
                <w:szCs w:val="18"/>
              </w:rPr>
            </w:pPr>
            <w:r>
              <w:rPr>
                <w:rFonts w:ascii="宋体" w:hAnsi="宋体" w:cs="宋体" w:eastAsia="宋体" w:hint="default"/>
                <w:spacing w:val="-6"/>
                <w:sz w:val="18"/>
                <w:szCs w:val="18"/>
              </w:rPr>
              <w:t>投资兴办实业（具体项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目另行申报）；国内贸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易（不含专营、专控、 </w:t>
            </w:r>
            <w:r>
              <w:rPr>
                <w:rFonts w:ascii="宋体" w:hAnsi="宋体" w:cs="宋体" w:eastAsia="宋体" w:hint="default"/>
                <w:spacing w:val="-16"/>
                <w:sz w:val="18"/>
                <w:szCs w:val="18"/>
              </w:rPr>
              <w:t>专卖产品）。</w:t>
            </w: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报告期内，经营状况和财务状况良好。</w:t>
            </w:r>
          </w:p>
        </w:tc>
      </w:tr>
      <w:tr>
        <w:trPr>
          <w:trHeight w:val="1027"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6"/>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121"/>
        <w:jc w:val="left"/>
      </w:pPr>
      <w:r>
        <w:rPr/>
        <w:t>报告期控股股东变更</w:t>
      </w:r>
    </w:p>
    <w:p>
      <w:pPr>
        <w:spacing w:line="549" w:lineRule="auto" w:before="115"/>
        <w:ind w:left="152" w:right="8529" w:firstLine="0"/>
        <w:jc w:val="left"/>
        <w:rPr>
          <w:rFonts w:ascii="宋体" w:hAnsi="宋体" w:cs="宋体" w:eastAsia="宋体" w:hint="default"/>
          <w:sz w:val="18"/>
          <w:szCs w:val="18"/>
        </w:rPr>
      </w:pPr>
      <w:r>
        <w:rPr/>
        <w:pict>
          <v:shape style="position:absolute;margin-left:56.459999pt;margin-top:84.331726pt;width:479.2pt;height:105.6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2057"/>
                    <w:gridCol w:w="4177"/>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98"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顾永德先生，中国国籍，</w:t>
                        </w:r>
                        <w:r>
                          <w:rPr>
                            <w:rFonts w:ascii="Arial" w:hAnsi="Arial" w:cs="Arial" w:eastAsia="Arial" w:hint="default"/>
                            <w:sz w:val="18"/>
                            <w:szCs w:val="18"/>
                          </w:rPr>
                          <w:t>1965</w:t>
                        </w:r>
                        <w:r>
                          <w:rPr>
                            <w:rFonts w:ascii="Arial" w:hAnsi="Arial" w:cs="Arial" w:eastAsia="Arial"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2</w:t>
                        </w:r>
                        <w:r>
                          <w:rPr>
                            <w:rFonts w:ascii="Arial" w:hAnsi="Arial" w:cs="Arial" w:eastAsia="Arial" w:hint="default"/>
                            <w:spacing w:val="-17"/>
                            <w:sz w:val="18"/>
                            <w:szCs w:val="18"/>
                          </w:rPr>
                          <w:t> </w:t>
                        </w:r>
                        <w:r>
                          <w:rPr>
                            <w:rFonts w:ascii="宋体" w:hAnsi="宋体" w:cs="宋体" w:eastAsia="宋体" w:hint="default"/>
                            <w:sz w:val="18"/>
                            <w:szCs w:val="18"/>
                          </w:rPr>
                          <w:t>月出生，曾就读于清华大学深圳研究院，曾 </w:t>
                        </w:r>
                        <w:r>
                          <w:rPr>
                            <w:rFonts w:ascii="宋体" w:hAnsi="宋体" w:cs="宋体" w:eastAsia="宋体" w:hint="default"/>
                            <w:spacing w:val="-4"/>
                            <w:sz w:val="18"/>
                            <w:szCs w:val="18"/>
                          </w:rPr>
                          <w:t>获</w:t>
                        </w:r>
                        <w:r>
                          <w:rPr>
                            <w:rFonts w:ascii="Arial" w:hAnsi="Arial" w:cs="Arial" w:eastAsia="Arial" w:hint="default"/>
                            <w:spacing w:val="-4"/>
                            <w:sz w:val="18"/>
                            <w:szCs w:val="18"/>
                          </w:rPr>
                          <w:t>“</w:t>
                        </w:r>
                        <w:r>
                          <w:rPr>
                            <w:rFonts w:ascii="宋体" w:hAnsi="宋体" w:cs="宋体" w:eastAsia="宋体" w:hint="default"/>
                            <w:spacing w:val="-4"/>
                            <w:sz w:val="18"/>
                            <w:szCs w:val="18"/>
                          </w:rPr>
                          <w:t>优秀来深建设者</w:t>
                        </w:r>
                        <w:r>
                          <w:rPr>
                            <w:rFonts w:ascii="Arial" w:hAnsi="Arial" w:cs="Arial" w:eastAsia="Arial" w:hint="default"/>
                            <w:spacing w:val="-4"/>
                            <w:sz w:val="18"/>
                            <w:szCs w:val="18"/>
                          </w:rPr>
                          <w:t>”</w:t>
                        </w:r>
                        <w:r>
                          <w:rPr>
                            <w:rFonts w:ascii="宋体" w:hAnsi="宋体" w:cs="宋体" w:eastAsia="宋体" w:hint="default"/>
                            <w:spacing w:val="-4"/>
                            <w:sz w:val="18"/>
                            <w:szCs w:val="18"/>
                          </w:rPr>
                          <w:t>荣誉称号。顾永德先生</w:t>
                        </w:r>
                        <w:r>
                          <w:rPr>
                            <w:rFonts w:ascii="宋体" w:hAnsi="宋体" w:cs="宋体" w:eastAsia="宋体" w:hint="default"/>
                            <w:spacing w:val="-45"/>
                            <w:sz w:val="18"/>
                            <w:szCs w:val="18"/>
                          </w:rPr>
                          <w:t> </w:t>
                        </w:r>
                        <w:r>
                          <w:rPr>
                            <w:rFonts w:ascii="Arial" w:hAnsi="Arial" w:cs="Arial" w:eastAsia="Arial" w:hint="default"/>
                            <w:sz w:val="18"/>
                            <w:szCs w:val="18"/>
                          </w:rPr>
                          <w:t>1990</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pacing w:val="-7"/>
                            <w:sz w:val="18"/>
                            <w:szCs w:val="18"/>
                          </w:rPr>
                          <w:t>11</w:t>
                        </w:r>
                        <w:r>
                          <w:rPr>
                            <w:rFonts w:ascii="Arial" w:hAnsi="Arial" w:cs="Arial" w:eastAsia="Arial" w:hint="default"/>
                            <w:spacing w:val="-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Arial" w:hAnsi="Arial" w:cs="Arial" w:eastAsia="Arial" w:hint="default"/>
                            <w:sz w:val="18"/>
                            <w:szCs w:val="18"/>
                          </w:rPr>
                          <w:t>1997</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月任深圳</w:t>
                        </w:r>
                      </w:p>
                      <w:p>
                        <w:pPr>
                          <w:pStyle w:val="TableParagraph"/>
                          <w:spacing w:line="302" w:lineRule="auto" w:before="13"/>
                          <w:ind w:left="23" w:right="21"/>
                          <w:jc w:val="left"/>
                          <w:rPr>
                            <w:rFonts w:ascii="宋体" w:hAnsi="宋体" w:cs="宋体" w:eastAsia="宋体" w:hint="default"/>
                            <w:sz w:val="18"/>
                            <w:szCs w:val="18"/>
                          </w:rPr>
                        </w:pPr>
                        <w:r>
                          <w:rPr>
                            <w:rFonts w:ascii="宋体" w:hAnsi="宋体" w:cs="宋体" w:eastAsia="宋体" w:hint="default"/>
                            <w:sz w:val="18"/>
                            <w:szCs w:val="18"/>
                          </w:rPr>
                          <w:t>市美佳电子有限公司副总经理，</w:t>
                        </w:r>
                        <w:r>
                          <w:rPr>
                            <w:rFonts w:ascii="Arial" w:hAnsi="Arial" w:cs="Arial" w:eastAsia="Arial" w:hint="default"/>
                            <w:sz w:val="18"/>
                            <w:szCs w:val="18"/>
                          </w:rPr>
                          <w:t>1997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Arial" w:hAnsi="Arial" w:cs="Arial" w:eastAsia="Arial" w:hint="default"/>
                            <w:sz w:val="18"/>
                            <w:szCs w:val="18"/>
                          </w:rPr>
                          <w:t>2006</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月任深圳锡星电子有 限公司总经理，</w:t>
                        </w:r>
                        <w:r>
                          <w:rPr>
                            <w:rFonts w:ascii="Arial" w:hAnsi="Arial" w:cs="Arial" w:eastAsia="Arial" w:hint="default"/>
                            <w:sz w:val="18"/>
                            <w:szCs w:val="18"/>
                          </w:rPr>
                          <w:t>2006</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6"/>
                            <w:sz w:val="18"/>
                            <w:szCs w:val="18"/>
                          </w:rPr>
                          <w:t> </w:t>
                        </w:r>
                        <w:r>
                          <w:rPr>
                            <w:rFonts w:ascii="宋体" w:hAnsi="宋体" w:cs="宋体" w:eastAsia="宋体" w:hint="default"/>
                            <w:sz w:val="18"/>
                            <w:szCs w:val="18"/>
                          </w:rPr>
                          <w:t>月至今任茂硕电源董事长。顾永德先生现任深圳市</w:t>
                        </w:r>
                      </w:p>
                    </w:tc>
                  </w:tr>
                </w:tbl>
                <w:p>
                  <w:pPr/>
                </w:p>
              </w:txbxContent>
            </v:textbox>
            <w10:wrap type="none"/>
          </v:shape>
        </w:pict>
      </w: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31"/>
          <w:sz w:val="18"/>
          <w:szCs w:val="18"/>
        </w:rPr>
        <w:t> </w:t>
      </w:r>
      <w:r>
        <w:rPr>
          <w:rFonts w:ascii="宋体" w:hAnsi="宋体" w:cs="宋体" w:eastAsia="宋体" w:hint="default"/>
          <w:sz w:val="18"/>
          <w:szCs w:val="18"/>
        </w:rPr>
        <w:t>不适用 </w:t>
      </w:r>
      <w:r>
        <w:rPr>
          <w:rFonts w:ascii="Arial" w:hAnsi="Arial" w:cs="Arial" w:eastAsia="Arial"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自然人</w:t>
      </w:r>
    </w:p>
    <w:p>
      <w:pPr>
        <w:spacing w:after="0" w:line="549" w:lineRule="auto"/>
        <w:jc w:val="left"/>
        <w:rPr>
          <w:rFonts w:ascii="宋体" w:hAnsi="宋体" w:cs="宋体" w:eastAsia="宋体" w:hint="default"/>
          <w:sz w:val="18"/>
          <w:szCs w:val="18"/>
        </w:rPr>
        <w:sectPr>
          <w:pgSz w:w="11910" w:h="16840"/>
          <w:pgMar w:header="877" w:footer="1244" w:top="1060" w:bottom="152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36"/>
        <w:gridCol w:w="6234"/>
      </w:tblGrid>
      <w:tr>
        <w:trPr>
          <w:trHeight w:val="36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Arial" w:hAnsi="Arial" w:cs="Arial" w:eastAsia="Arial" w:hint="default"/>
                <w:sz w:val="18"/>
                <w:szCs w:val="18"/>
              </w:rPr>
              <w:t>LED</w:t>
            </w:r>
            <w:r>
              <w:rPr>
                <w:rFonts w:ascii="Arial" w:hAnsi="Arial" w:cs="Arial" w:eastAsia="Arial" w:hint="default"/>
                <w:spacing w:val="-6"/>
                <w:sz w:val="18"/>
                <w:szCs w:val="18"/>
              </w:rPr>
              <w:t> </w:t>
            </w:r>
            <w:r>
              <w:rPr>
                <w:rFonts w:ascii="宋体" w:hAnsi="宋体" w:cs="宋体" w:eastAsia="宋体" w:hint="default"/>
                <w:sz w:val="18"/>
                <w:szCs w:val="18"/>
              </w:rPr>
              <w:t>产业联合会副会长，深圳市第五届人大代表。</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年曾控股的境内外上市公司情况</w:t>
            </w: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21"/>
        <w:jc w:val="left"/>
      </w:pPr>
      <w:r>
        <w:rPr/>
        <w:t>报告期实际控制人变更</w:t>
      </w:r>
    </w:p>
    <w:p>
      <w:pPr>
        <w:pStyle w:val="BodyText"/>
        <w:spacing w:line="338" w:lineRule="auto" w:before="117"/>
        <w:ind w:right="67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公司与实际控制人之间的产权及控制关系的方框图</w:t>
      </w:r>
    </w:p>
    <w:p>
      <w:pPr>
        <w:spacing w:line="240" w:lineRule="auto" w:before="8"/>
        <w:rPr>
          <w:rFonts w:ascii="宋体" w:hAnsi="宋体" w:cs="宋体" w:eastAsia="宋体" w:hint="default"/>
          <w:sz w:val="16"/>
          <w:szCs w:val="16"/>
        </w:rPr>
      </w:pPr>
    </w:p>
    <w:p>
      <w:pPr>
        <w:spacing w:line="4322" w:lineRule="exact"/>
        <w:ind w:left="2325"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3358283" cy="274462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9" cstate="print"/>
                    <a:stretch>
                      <a:fillRect/>
                    </a:stretch>
                  </pic:blipFill>
                  <pic:spPr>
                    <a:xfrm>
                      <a:off x="0" y="0"/>
                      <a:ext cx="3358283" cy="2744628"/>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13"/>
        <w:rPr>
          <w:rFonts w:ascii="宋体" w:hAnsi="宋体" w:cs="宋体" w:eastAsia="宋体" w:hint="default"/>
          <w:sz w:val="17"/>
          <w:szCs w:val="17"/>
        </w:rPr>
      </w:pPr>
    </w:p>
    <w:p>
      <w:pPr>
        <w:pStyle w:val="BodyText"/>
        <w:spacing w:line="240" w:lineRule="auto"/>
        <w:ind w:right="1121"/>
        <w:jc w:val="left"/>
      </w:pPr>
      <w:r>
        <w:rPr/>
        <w:t>实际控制人通过信托或其他资产管理方式控制公司</w:t>
      </w:r>
    </w:p>
    <w:p>
      <w:pPr>
        <w:spacing w:line="240" w:lineRule="auto" w:before="12"/>
        <w:rPr>
          <w:rFonts w:ascii="宋体" w:hAnsi="宋体" w:cs="宋体" w:eastAsia="宋体" w:hint="default"/>
          <w:sz w:val="20"/>
          <w:szCs w:val="20"/>
        </w:rPr>
      </w:pPr>
    </w:p>
    <w:p>
      <w:pPr>
        <w:pStyle w:val="BodyText"/>
        <w:spacing w:line="240" w:lineRule="auto"/>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after="0" w:line="240" w:lineRule="auto"/>
        <w:jc w:val="left"/>
        <w:sectPr>
          <w:pgSz w:w="11910" w:h="16840"/>
          <w:pgMar w:header="877" w:footer="1244" w:top="1060" w:bottom="15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21"/>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1"/>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1027"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47</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13,056,00</w:t>
            </w:r>
          </w:p>
          <w:p>
            <w:pPr>
              <w:pStyle w:val="TableParagraph"/>
              <w:spacing w:line="240" w:lineRule="auto" w:before="102"/>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13,056,00</w:t>
            </w:r>
          </w:p>
          <w:p>
            <w:pPr>
              <w:pStyle w:val="TableParagraph"/>
              <w:spacing w:line="240" w:lineRule="auto" w:before="102"/>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皮远军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41</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806,000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906,000</w:t>
            </w: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陈克峰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38</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2,665,000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2,665,000</w:t>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秦传君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经理、财务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36</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569,400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98,800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668,200</w:t>
            </w: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36</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丁宝玉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46</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44</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Arial" w:hAnsi="Arial" w:cs="Arial" w:eastAsia="Arial" w:hint="default"/>
                <w:sz w:val="18"/>
                <w:szCs w:val="18"/>
              </w:rPr>
            </w:pPr>
            <w:r>
              <w:rPr>
                <w:rFonts w:ascii="Arial" w:hAnsi="Arial" w:cs="Arial" w:eastAsia="Arial" w:hint="default"/>
                <w:sz w:val="18"/>
                <w:szCs w:val="18"/>
              </w:rPr>
              <w:t>01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102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53</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03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姜久春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39</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Arial" w:hAnsi="Arial" w:cs="Arial" w:eastAsia="Arial" w:hint="default"/>
                <w:sz w:val="18"/>
                <w:szCs w:val="18"/>
              </w:rPr>
            </w:pPr>
            <w:r>
              <w:rPr>
                <w:rFonts w:ascii="Arial" w:hAnsi="Arial" w:cs="Arial" w:eastAsia="Arial" w:hint="default"/>
                <w:sz w:val="18"/>
                <w:szCs w:val="18"/>
              </w:rPr>
              <w:t>03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58</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方向一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监事会主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58</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260,000</w:t>
            </w:r>
          </w:p>
        </w:tc>
      </w:tr>
    </w:tbl>
    <w:p>
      <w:pPr>
        <w:spacing w:after="0" w:line="240" w:lineRule="auto"/>
        <w:jc w:val="right"/>
        <w:rPr>
          <w:rFonts w:ascii="Arial" w:hAnsi="Arial" w:cs="Arial" w:eastAsia="Arial" w:hint="default"/>
          <w:sz w:val="18"/>
          <w:szCs w:val="18"/>
        </w:rPr>
        <w:sectPr>
          <w:pgSz w:w="11910" w:h="16840"/>
          <w:pgMar w:header="877" w:footer="1244" w:top="1060" w:bottom="152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675" w:hRule="exact"/>
        </w:trPr>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席</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陶胜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55</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06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734,500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734,500</w:t>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张慧娟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32</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金林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32</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102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肖凯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35</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徐治国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35</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546,000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546,000</w:t>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涂洪滨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46</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03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325,000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425,000</w:t>
            </w: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程春金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38</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200,000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80,000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280,000</w:t>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13"/>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3pt;height:15.6pt;mso-position-horizontal-relative:char;mso-position-vertical-relative:line" coordorigin="0,0" coordsize="860,312">
                  <v:group style="position:absolute;left:0;top:0;width:860;height:312" coordorigin="0,0" coordsize="860,312">
                    <v:shape style="position:absolute;left:0;top:0;width:860;height:312" coordorigin="0,0" coordsize="860,312" path="m0,312l859,312,859,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29</w:t>
            </w:r>
            <w:r>
              <w:rPr>
                <w:rFonts w:ascii="Arial"/>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50,000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 w:right="0"/>
              <w:jc w:val="center"/>
              <w:rPr>
                <w:rFonts w:ascii="Arial" w:hAnsi="Arial" w:cs="Arial" w:eastAsia="Arial" w:hint="default"/>
                <w:sz w:val="18"/>
                <w:szCs w:val="18"/>
              </w:rPr>
            </w:pPr>
            <w:r>
              <w:rPr>
                <w:rFonts w:ascii="Arial"/>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19,161,90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428,800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19,590,70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r>
    </w:tbl>
    <w:p>
      <w:pPr>
        <w:spacing w:line="240" w:lineRule="auto" w:before="1"/>
        <w:rPr>
          <w:rFonts w:ascii="宋体" w:hAnsi="宋体" w:cs="宋体" w:eastAsia="宋体" w:hint="default"/>
          <w:b/>
          <w:bCs/>
          <w:sz w:val="18"/>
          <w:szCs w:val="18"/>
        </w:rPr>
      </w:pPr>
    </w:p>
    <w:p>
      <w:pPr>
        <w:pStyle w:val="Heading2"/>
        <w:spacing w:line="240" w:lineRule="auto" w:before="26"/>
        <w:ind w:right="1121"/>
        <w:jc w:val="left"/>
        <w:rPr>
          <w:b w:val="0"/>
          <w:bCs w:val="0"/>
        </w:rPr>
      </w:pPr>
      <w:r>
        <w:rPr/>
        <w:pict>
          <v:shape style="position:absolute;margin-left:101.660004pt;margin-top:-98.804382pt;width:85.35pt;height:15.6pt;mso-position-horizontal-relative:page;mso-position-vertical-relative:paragraph;z-index:-1034272" type="#_x0000_t202" filled="false" stroked="false">
            <v:textbox inset="0,0,0,0">
              <w:txbxContent>
                <w:p>
                  <w:pPr>
                    <w:pStyle w:val="BodyText"/>
                    <w:spacing w:line="240" w:lineRule="auto" w:before="49"/>
                    <w:ind w:left="0" w:right="0"/>
                    <w:jc w:val="left"/>
                  </w:pPr>
                  <w:r>
                    <w:rPr/>
                    <w:t>副总经理、</w:t>
                  </w:r>
                </w:p>
              </w:txbxContent>
            </v:textbox>
            <w10:wrap type="none"/>
          </v:shape>
        </w:pict>
      </w: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1"/>
        <w:jc w:val="left"/>
      </w:pPr>
      <w:r>
        <w:rPr/>
        <w:t>公司现任董事、监事、高级管理人员最近</w:t>
      </w:r>
      <w:r>
        <w:rPr>
          <w:spacing w:val="-46"/>
        </w:rPr>
        <w:t> </w:t>
      </w:r>
      <w:r>
        <w:rPr>
          <w:rFonts w:ascii="Arial" w:hAnsi="Arial" w:cs="Arial" w:eastAsia="Arial" w:hint="default"/>
        </w:rPr>
        <w:t>5</w:t>
      </w:r>
      <w:r>
        <w:rPr>
          <w:rFonts w:ascii="Arial" w:hAnsi="Arial" w:cs="Arial" w:eastAsia="Arial" w:hint="default"/>
          <w:spacing w:val="-6"/>
        </w:rPr>
        <w:t> </w:t>
      </w:r>
      <w:r>
        <w:rPr/>
        <w:t>年的主要工作经历</w:t>
      </w:r>
    </w:p>
    <w:p>
      <w:pPr>
        <w:pStyle w:val="BodyText"/>
        <w:spacing w:line="302" w:lineRule="auto" w:before="105"/>
        <w:ind w:left="633" w:right="1121"/>
        <w:jc w:val="left"/>
      </w:pPr>
      <w:r>
        <w:rPr>
          <w:rFonts w:ascii="Arial" w:hAnsi="Arial" w:cs="Arial" w:eastAsia="Arial" w:hint="default"/>
        </w:rPr>
        <w:t>1</w:t>
      </w:r>
      <w:r>
        <w:rPr/>
        <w:t>、董事会成员： 顾永德先生，中国国籍，</w:t>
      </w:r>
      <w:r>
        <w:rPr>
          <w:rFonts w:ascii="Arial" w:hAnsi="Arial" w:cs="Arial" w:eastAsia="Arial" w:hint="default"/>
        </w:rPr>
        <w:t>1965</w:t>
      </w:r>
      <w:r>
        <w:rPr/>
        <w:t>年</w:t>
      </w:r>
      <w:r>
        <w:rPr>
          <w:rFonts w:ascii="Arial" w:hAnsi="Arial" w:cs="Arial" w:eastAsia="Arial" w:hint="default"/>
        </w:rPr>
        <w:t>2</w:t>
      </w:r>
      <w:r>
        <w:rPr/>
        <w:t>月出生，曾就读于清华大学深圳研究院，曾获</w:t>
      </w:r>
      <w:r>
        <w:rPr>
          <w:rFonts w:ascii="Arial" w:hAnsi="Arial" w:cs="Arial" w:eastAsia="Arial" w:hint="default"/>
        </w:rPr>
        <w:t>“</w:t>
      </w:r>
      <w:r>
        <w:rPr/>
        <w:t>优秀来深建设者</w:t>
      </w:r>
      <w:r>
        <w:rPr>
          <w:rFonts w:ascii="Arial" w:hAnsi="Arial" w:cs="Arial" w:eastAsia="Arial" w:hint="default"/>
        </w:rPr>
        <w:t>”</w:t>
      </w:r>
      <w:r>
        <w:rPr/>
        <w:t>荣誉称号。顾永德</w:t>
      </w:r>
    </w:p>
    <w:p>
      <w:pPr>
        <w:pStyle w:val="BodyText"/>
        <w:spacing w:line="302" w:lineRule="auto" w:before="11"/>
        <w:ind w:right="1121"/>
        <w:jc w:val="left"/>
      </w:pPr>
      <w:r>
        <w:rPr>
          <w:spacing w:val="-1"/>
        </w:rPr>
        <w:t>先生</w:t>
      </w:r>
      <w:r>
        <w:rPr>
          <w:rFonts w:ascii="Arial" w:hAnsi="Arial" w:cs="Arial" w:eastAsia="Arial" w:hint="default"/>
          <w:spacing w:val="-1"/>
        </w:rPr>
        <w:t>1990</w:t>
      </w:r>
      <w:r>
        <w:rPr>
          <w:spacing w:val="-1"/>
        </w:rPr>
        <w:t>年</w:t>
      </w:r>
      <w:r>
        <w:rPr>
          <w:rFonts w:ascii="Arial" w:hAnsi="Arial" w:cs="Arial" w:eastAsia="Arial" w:hint="default"/>
          <w:spacing w:val="-1"/>
        </w:rPr>
        <w:t>11</w:t>
      </w:r>
      <w:r>
        <w:rPr>
          <w:spacing w:val="-1"/>
        </w:rPr>
        <w:t>月至</w:t>
      </w:r>
      <w:r>
        <w:rPr>
          <w:rFonts w:ascii="Arial" w:hAnsi="Arial" w:cs="Arial" w:eastAsia="Arial" w:hint="default"/>
          <w:spacing w:val="-1"/>
        </w:rPr>
        <w:t>1997</w:t>
      </w:r>
      <w:r>
        <w:rPr>
          <w:spacing w:val="-1"/>
        </w:rPr>
        <w:t>年</w:t>
      </w:r>
      <w:r>
        <w:rPr>
          <w:rFonts w:ascii="Arial" w:hAnsi="Arial" w:cs="Arial" w:eastAsia="Arial" w:hint="default"/>
          <w:spacing w:val="-1"/>
        </w:rPr>
        <w:t>3</w:t>
      </w:r>
      <w:r>
        <w:rPr>
          <w:spacing w:val="-1"/>
        </w:rPr>
        <w:t>月任深圳市美佳电子有限公司副总经理，</w:t>
      </w:r>
      <w:r>
        <w:rPr>
          <w:rFonts w:ascii="Arial" w:hAnsi="Arial" w:cs="Arial" w:eastAsia="Arial" w:hint="default"/>
          <w:spacing w:val="-1"/>
        </w:rPr>
        <w:t>1997</w:t>
      </w:r>
      <w:r>
        <w:rPr>
          <w:spacing w:val="-1"/>
        </w:rPr>
        <w:t>年</w:t>
      </w:r>
      <w:r>
        <w:rPr>
          <w:rFonts w:ascii="Arial" w:hAnsi="Arial" w:cs="Arial" w:eastAsia="Arial" w:hint="default"/>
          <w:spacing w:val="-1"/>
        </w:rPr>
        <w:t>3</w:t>
      </w:r>
      <w:r>
        <w:rPr>
          <w:spacing w:val="-1"/>
        </w:rPr>
        <w:t>月至</w:t>
      </w:r>
      <w:r>
        <w:rPr>
          <w:rFonts w:ascii="Arial" w:hAnsi="Arial" w:cs="Arial" w:eastAsia="Arial" w:hint="default"/>
          <w:spacing w:val="-1"/>
        </w:rPr>
        <w:t>2006</w:t>
      </w:r>
      <w:r>
        <w:rPr>
          <w:spacing w:val="-1"/>
        </w:rPr>
        <w:t>年</w:t>
      </w:r>
      <w:r>
        <w:rPr>
          <w:rFonts w:ascii="Arial" w:hAnsi="Arial" w:cs="Arial" w:eastAsia="Arial" w:hint="default"/>
          <w:spacing w:val="-1"/>
        </w:rPr>
        <w:t>3</w:t>
      </w:r>
      <w:r>
        <w:rPr>
          <w:spacing w:val="-1"/>
        </w:rPr>
        <w:t>月任深圳锡星电子有限公司总经</w:t>
      </w:r>
      <w:r>
        <w:rPr>
          <w:spacing w:val="-64"/>
        </w:rPr>
        <w:t> </w:t>
      </w:r>
      <w:r>
        <w:rPr/>
        <w:t>理，</w:t>
      </w:r>
      <w:r>
        <w:rPr>
          <w:rFonts w:ascii="Arial" w:hAnsi="Arial" w:cs="Arial" w:eastAsia="Arial" w:hint="default"/>
        </w:rPr>
        <w:t>2006</w:t>
      </w:r>
      <w:r>
        <w:rPr/>
        <w:t>年</w:t>
      </w:r>
      <w:r>
        <w:rPr>
          <w:rFonts w:ascii="Arial" w:hAnsi="Arial" w:cs="Arial" w:eastAsia="Arial" w:hint="default"/>
        </w:rPr>
        <w:t>3</w:t>
      </w:r>
      <w:r>
        <w:rPr/>
        <w:t>月至今任茂硕电源董事长。顾永德先生现任深圳市</w:t>
      </w:r>
      <w:r>
        <w:rPr>
          <w:rFonts w:ascii="Arial" w:hAnsi="Arial" w:cs="Arial" w:eastAsia="Arial" w:hint="default"/>
        </w:rPr>
        <w:t>LED</w:t>
      </w:r>
      <w:r>
        <w:rPr/>
        <w:t>产业联合会副会长，深圳市第五届人大代表。</w:t>
      </w:r>
    </w:p>
    <w:p>
      <w:pPr>
        <w:pStyle w:val="BodyText"/>
        <w:spacing w:line="302" w:lineRule="auto" w:before="11"/>
        <w:ind w:right="1128" w:firstLine="480"/>
        <w:jc w:val="both"/>
      </w:pPr>
      <w:r>
        <w:rPr>
          <w:spacing w:val="-3"/>
        </w:rPr>
        <w:t>皮远军先生，中国国籍，</w:t>
      </w:r>
      <w:r>
        <w:rPr>
          <w:rFonts w:ascii="Arial" w:hAnsi="Arial" w:cs="Arial" w:eastAsia="Arial" w:hint="default"/>
          <w:spacing w:val="-3"/>
        </w:rPr>
        <w:t>1971</w:t>
      </w:r>
      <w:r>
        <w:rPr>
          <w:spacing w:val="-3"/>
        </w:rPr>
        <w:t>年</w:t>
      </w:r>
      <w:r>
        <w:rPr>
          <w:rFonts w:ascii="Arial" w:hAnsi="Arial" w:cs="Arial" w:eastAsia="Arial" w:hint="default"/>
          <w:spacing w:val="-3"/>
        </w:rPr>
        <w:t>1</w:t>
      </w:r>
      <w:r>
        <w:rPr>
          <w:spacing w:val="-3"/>
        </w:rPr>
        <w:t>月出生，毕业于湖南大学机电一体化专业，大专学历。皮远军先生</w:t>
      </w:r>
      <w:r>
        <w:rPr>
          <w:rFonts w:ascii="Arial" w:hAnsi="Arial" w:cs="Arial" w:eastAsia="Arial" w:hint="default"/>
          <w:spacing w:val="-3"/>
        </w:rPr>
        <w:t>1993</w:t>
      </w:r>
      <w:r>
        <w:rPr>
          <w:spacing w:val="-3"/>
        </w:rPr>
        <w:t>年</w:t>
      </w:r>
      <w:r>
        <w:rPr>
          <w:rFonts w:ascii="Arial" w:hAnsi="Arial" w:cs="Arial" w:eastAsia="Arial" w:hint="default"/>
          <w:spacing w:val="-3"/>
        </w:rPr>
        <w:t>9</w:t>
      </w:r>
      <w:r>
        <w:rPr>
          <w:spacing w:val="-3"/>
        </w:rPr>
        <w:t>月至</w:t>
      </w:r>
      <w:r>
        <w:rPr>
          <w:rFonts w:ascii="Arial" w:hAnsi="Arial" w:cs="Arial" w:eastAsia="Arial" w:hint="default"/>
          <w:spacing w:val="-3"/>
        </w:rPr>
        <w:t>1994</w:t>
      </w:r>
      <w:r>
        <w:rPr>
          <w:rFonts w:ascii="Arial" w:hAnsi="Arial" w:cs="Arial" w:eastAsia="Arial" w:hint="default"/>
          <w:w w:val="99"/>
        </w:rPr>
        <w:t> </w:t>
      </w:r>
      <w:r>
        <w:rPr>
          <w:spacing w:val="-1"/>
        </w:rPr>
        <w:t>年</w:t>
      </w:r>
      <w:r>
        <w:rPr>
          <w:rFonts w:ascii="Arial" w:hAnsi="Arial" w:cs="Arial" w:eastAsia="Arial" w:hint="default"/>
          <w:spacing w:val="-1"/>
        </w:rPr>
        <w:t>10</w:t>
      </w:r>
      <w:r>
        <w:rPr>
          <w:spacing w:val="-1"/>
        </w:rPr>
        <w:t>月任惠州长城集团电子工程师，</w:t>
      </w:r>
      <w:r>
        <w:rPr>
          <w:rFonts w:ascii="Arial" w:hAnsi="Arial" w:cs="Arial" w:eastAsia="Arial" w:hint="default"/>
          <w:spacing w:val="-1"/>
        </w:rPr>
        <w:t>1994</w:t>
      </w:r>
      <w:r>
        <w:rPr>
          <w:spacing w:val="-1"/>
        </w:rPr>
        <w:t>年</w:t>
      </w:r>
      <w:r>
        <w:rPr>
          <w:rFonts w:ascii="Arial" w:hAnsi="Arial" w:cs="Arial" w:eastAsia="Arial" w:hint="default"/>
          <w:spacing w:val="-1"/>
        </w:rPr>
        <w:t>11</w:t>
      </w:r>
      <w:r>
        <w:rPr>
          <w:spacing w:val="-1"/>
        </w:rPr>
        <w:t>月至</w:t>
      </w:r>
      <w:r>
        <w:rPr>
          <w:rFonts w:ascii="Arial" w:hAnsi="Arial" w:cs="Arial" w:eastAsia="Arial" w:hint="default"/>
          <w:spacing w:val="-1"/>
        </w:rPr>
        <w:t>1997</w:t>
      </w:r>
      <w:r>
        <w:rPr>
          <w:spacing w:val="-1"/>
        </w:rPr>
        <w:t>年</w:t>
      </w:r>
      <w:r>
        <w:rPr>
          <w:rFonts w:ascii="Arial" w:hAnsi="Arial" w:cs="Arial" w:eastAsia="Arial" w:hint="default"/>
          <w:spacing w:val="-1"/>
        </w:rPr>
        <w:t>8</w:t>
      </w:r>
      <w:r>
        <w:rPr>
          <w:spacing w:val="-1"/>
        </w:rPr>
        <w:t>月任日本三洋（深圳）公司品管课长，</w:t>
      </w:r>
      <w:r>
        <w:rPr>
          <w:rFonts w:ascii="Arial" w:hAnsi="Arial" w:cs="Arial" w:eastAsia="Arial" w:hint="default"/>
          <w:spacing w:val="-1"/>
        </w:rPr>
        <w:t>1997</w:t>
      </w:r>
      <w:r>
        <w:rPr>
          <w:spacing w:val="-1"/>
        </w:rPr>
        <w:t>年</w:t>
      </w:r>
      <w:r>
        <w:rPr>
          <w:rFonts w:ascii="Arial" w:hAnsi="Arial" w:cs="Arial" w:eastAsia="Arial" w:hint="default"/>
          <w:spacing w:val="-1"/>
        </w:rPr>
        <w:t>9</w:t>
      </w:r>
      <w:r>
        <w:rPr>
          <w:spacing w:val="-1"/>
        </w:rPr>
        <w:t>月至</w:t>
      </w:r>
      <w:r>
        <w:rPr>
          <w:rFonts w:ascii="Arial" w:hAnsi="Arial" w:cs="Arial" w:eastAsia="Arial" w:hint="default"/>
          <w:spacing w:val="-1"/>
        </w:rPr>
        <w:t>2002</w:t>
      </w:r>
      <w:r>
        <w:rPr>
          <w:spacing w:val="-1"/>
        </w:rPr>
        <w:t>年</w:t>
      </w:r>
      <w:r>
        <w:rPr>
          <w:rFonts w:ascii="Arial" w:hAnsi="Arial" w:cs="Arial" w:eastAsia="Arial" w:hint="default"/>
          <w:spacing w:val="-1"/>
        </w:rPr>
        <w:t>4</w:t>
      </w:r>
      <w:r>
        <w:rPr>
          <w:spacing w:val="-1"/>
        </w:rPr>
        <w:t>月</w:t>
      </w:r>
      <w:r>
        <w:rPr>
          <w:spacing w:val="-88"/>
        </w:rPr>
        <w:t> </w:t>
      </w:r>
      <w:r>
        <w:rPr>
          <w:spacing w:val="-1"/>
        </w:rPr>
        <w:t>任台湾飞宏集团（东莞）制造及生产技术部经理，</w:t>
      </w:r>
      <w:r>
        <w:rPr>
          <w:rFonts w:ascii="Arial" w:hAnsi="Arial" w:cs="Arial" w:eastAsia="Arial" w:hint="default"/>
          <w:spacing w:val="-1"/>
        </w:rPr>
        <w:t>2002</w:t>
      </w:r>
      <w:r>
        <w:rPr>
          <w:spacing w:val="-1"/>
        </w:rPr>
        <w:t>年</w:t>
      </w:r>
      <w:r>
        <w:rPr>
          <w:rFonts w:ascii="Arial" w:hAnsi="Arial" w:cs="Arial" w:eastAsia="Arial" w:hint="default"/>
          <w:spacing w:val="-1"/>
        </w:rPr>
        <w:t>4</w:t>
      </w:r>
      <w:r>
        <w:rPr>
          <w:spacing w:val="-1"/>
        </w:rPr>
        <w:t>月至</w:t>
      </w:r>
      <w:r>
        <w:rPr>
          <w:rFonts w:ascii="Arial" w:hAnsi="Arial" w:cs="Arial" w:eastAsia="Arial" w:hint="default"/>
          <w:spacing w:val="-1"/>
        </w:rPr>
        <w:t>2007</w:t>
      </w:r>
      <w:r>
        <w:rPr>
          <w:spacing w:val="-1"/>
        </w:rPr>
        <w:t>年</w:t>
      </w:r>
      <w:r>
        <w:rPr>
          <w:rFonts w:ascii="Arial" w:hAnsi="Arial" w:cs="Arial" w:eastAsia="Arial" w:hint="default"/>
          <w:spacing w:val="-1"/>
        </w:rPr>
        <w:t>5</w:t>
      </w:r>
      <w:r>
        <w:rPr>
          <w:spacing w:val="-1"/>
        </w:rPr>
        <w:t>月任惠州天宝国际电子有限公司制造部部长，</w:t>
      </w:r>
      <w:r>
        <w:rPr>
          <w:rFonts w:ascii="Arial" w:hAnsi="Arial" w:cs="Arial" w:eastAsia="Arial" w:hint="default"/>
          <w:spacing w:val="-1"/>
        </w:rPr>
        <w:t>2007</w:t>
      </w:r>
      <w:r>
        <w:rPr>
          <w:rFonts w:ascii="Arial" w:hAnsi="Arial" w:cs="Arial" w:eastAsia="Arial" w:hint="default"/>
          <w:spacing w:val="-42"/>
        </w:rPr>
        <w:t> </w:t>
      </w:r>
      <w:r>
        <w:rPr/>
        <w:t>年</w:t>
      </w:r>
      <w:r>
        <w:rPr>
          <w:rFonts w:ascii="Arial" w:hAnsi="Arial" w:cs="Arial" w:eastAsia="Arial" w:hint="default"/>
        </w:rPr>
        <w:t>6</w:t>
      </w:r>
      <w:r>
        <w:rPr/>
        <w:t>月至报告期内任茂硕电源董事、总经理。</w:t>
      </w:r>
    </w:p>
    <w:p>
      <w:pPr>
        <w:pStyle w:val="BodyText"/>
        <w:spacing w:line="240" w:lineRule="auto" w:before="11"/>
        <w:ind w:right="0" w:firstLine="480"/>
        <w:jc w:val="both"/>
      </w:pPr>
      <w:r>
        <w:rPr/>
        <w:t>秦传君先生，中国国籍，</w:t>
      </w:r>
      <w:r>
        <w:rPr>
          <w:rFonts w:ascii="Arial" w:hAnsi="Arial" w:cs="Arial" w:eastAsia="Arial" w:hint="default"/>
        </w:rPr>
        <w:t>1976</w:t>
      </w:r>
      <w:r>
        <w:rPr/>
        <w:t>年</w:t>
      </w:r>
      <w:r>
        <w:rPr>
          <w:rFonts w:ascii="Arial" w:hAnsi="Arial" w:cs="Arial" w:eastAsia="Arial" w:hint="default"/>
        </w:rPr>
        <w:t>4</w:t>
      </w:r>
      <w:r>
        <w:rPr/>
        <w:t>月出生，毕业于西南交通大学工商管理专业，本科学历，会计中级职称。秦传君先</w:t>
      </w:r>
    </w:p>
    <w:p>
      <w:pPr>
        <w:pStyle w:val="BodyText"/>
        <w:spacing w:line="240" w:lineRule="auto" w:before="63"/>
        <w:ind w:right="0"/>
        <w:jc w:val="left"/>
      </w:pPr>
      <w:r>
        <w:rPr/>
        <w:t>生</w:t>
      </w:r>
      <w:r>
        <w:rPr>
          <w:rFonts w:ascii="Arial" w:hAnsi="Arial" w:cs="Arial" w:eastAsia="Arial" w:hint="default"/>
        </w:rPr>
        <w:t>1997</w:t>
      </w:r>
      <w:r>
        <w:rPr/>
        <w:t>年</w:t>
      </w:r>
      <w:r>
        <w:rPr>
          <w:rFonts w:ascii="Arial" w:hAnsi="Arial" w:cs="Arial" w:eastAsia="Arial" w:hint="default"/>
        </w:rPr>
        <w:t>7</w:t>
      </w:r>
      <w:r>
        <w:rPr/>
        <w:t>月至</w:t>
      </w:r>
      <w:r>
        <w:rPr>
          <w:rFonts w:ascii="Arial" w:hAnsi="Arial" w:cs="Arial" w:eastAsia="Arial" w:hint="default"/>
        </w:rPr>
        <w:t>2000</w:t>
      </w:r>
      <w:r>
        <w:rPr/>
        <w:t>年</w:t>
      </w:r>
      <w:r>
        <w:rPr>
          <w:rFonts w:ascii="Arial" w:hAnsi="Arial" w:cs="Arial" w:eastAsia="Arial" w:hint="default"/>
        </w:rPr>
        <w:t>2</w:t>
      </w:r>
      <w:r>
        <w:rPr/>
        <w:t>月任世合化工</w:t>
      </w:r>
      <w:r>
        <w:rPr>
          <w:rFonts w:ascii="Arial" w:hAnsi="Arial" w:cs="Arial" w:eastAsia="Arial" w:hint="default"/>
        </w:rPr>
        <w:t>(</w:t>
      </w:r>
      <w:r>
        <w:rPr/>
        <w:t>深圳</w:t>
      </w:r>
      <w:r>
        <w:rPr>
          <w:rFonts w:ascii="Arial" w:hAnsi="Arial" w:cs="Arial" w:eastAsia="Arial" w:hint="default"/>
        </w:rPr>
        <w:t>)</w:t>
      </w:r>
      <w:r>
        <w:rPr/>
        <w:t>有限公司会计主办，</w:t>
      </w:r>
      <w:r>
        <w:rPr>
          <w:rFonts w:ascii="Arial" w:hAnsi="Arial" w:cs="Arial" w:eastAsia="Arial" w:hint="default"/>
        </w:rPr>
        <w:t>2000</w:t>
      </w:r>
      <w:r>
        <w:rPr/>
        <w:t>年</w:t>
      </w:r>
      <w:r>
        <w:rPr>
          <w:rFonts w:ascii="Arial" w:hAnsi="Arial" w:cs="Arial" w:eastAsia="Arial" w:hint="default"/>
        </w:rPr>
        <w:t>3</w:t>
      </w:r>
      <w:r>
        <w:rPr/>
        <w:t>月至</w:t>
      </w:r>
      <w:r>
        <w:rPr>
          <w:rFonts w:ascii="Arial" w:hAnsi="Arial" w:cs="Arial" w:eastAsia="Arial" w:hint="default"/>
        </w:rPr>
        <w:t>2003</w:t>
      </w:r>
      <w:r>
        <w:rPr/>
        <w:t>年</w:t>
      </w:r>
      <w:r>
        <w:rPr>
          <w:rFonts w:ascii="Arial" w:hAnsi="Arial" w:cs="Arial" w:eastAsia="Arial" w:hint="default"/>
        </w:rPr>
        <w:t>4</w:t>
      </w:r>
      <w:r>
        <w:rPr/>
        <w:t>月任深圳市金天信电子有限公司财务</w:t>
      </w:r>
    </w:p>
    <w:p>
      <w:pPr>
        <w:spacing w:after="0" w:line="240" w:lineRule="auto"/>
        <w:jc w:val="left"/>
        <w:sectPr>
          <w:pgSz w:w="11910" w:h="16840"/>
          <w:pgMar w:header="877" w:footer="1244" w:top="1060" w:bottom="1440" w:left="980" w:right="0"/>
        </w:sectPr>
      </w:pPr>
    </w:p>
    <w:p>
      <w:pPr>
        <w:spacing w:line="240" w:lineRule="auto" w:before="9"/>
        <w:rPr>
          <w:rFonts w:ascii="宋体" w:hAnsi="宋体" w:cs="宋体" w:eastAsia="宋体" w:hint="default"/>
          <w:sz w:val="25"/>
          <w:szCs w:val="25"/>
        </w:rPr>
      </w:pPr>
    </w:p>
    <w:p>
      <w:pPr>
        <w:pStyle w:val="BodyText"/>
        <w:spacing w:line="302" w:lineRule="auto" w:before="44"/>
        <w:ind w:right="1051"/>
        <w:jc w:val="both"/>
      </w:pPr>
      <w:r>
        <w:rPr/>
        <w:t>主管；</w:t>
      </w:r>
      <w:r>
        <w:rPr>
          <w:rFonts w:ascii="Arial" w:hAnsi="Arial" w:cs="Arial" w:eastAsia="Arial" w:hint="default"/>
        </w:rPr>
        <w:t>2003</w:t>
      </w:r>
      <w:r>
        <w:rPr/>
        <w:t>年</w:t>
      </w:r>
      <w:r>
        <w:rPr>
          <w:rFonts w:ascii="Arial" w:hAnsi="Arial" w:cs="Arial" w:eastAsia="Arial" w:hint="default"/>
        </w:rPr>
        <w:t>4</w:t>
      </w:r>
      <w:r>
        <w:rPr/>
        <w:t>月至</w:t>
      </w:r>
      <w:r>
        <w:rPr>
          <w:rFonts w:ascii="Arial" w:hAnsi="Arial" w:cs="Arial" w:eastAsia="Arial" w:hint="default"/>
        </w:rPr>
        <w:t>2005</w:t>
      </w:r>
      <w:r>
        <w:rPr/>
        <w:t>年</w:t>
      </w:r>
      <w:r>
        <w:rPr>
          <w:rFonts w:ascii="Arial" w:hAnsi="Arial" w:cs="Arial" w:eastAsia="Arial" w:hint="default"/>
        </w:rPr>
        <w:t>5</w:t>
      </w:r>
      <w:r>
        <w:rPr/>
        <w:t>月任深圳市天音科技发展有限公司会计核算办负责人，</w:t>
      </w:r>
      <w:r>
        <w:rPr>
          <w:rFonts w:ascii="Arial" w:hAnsi="Arial" w:cs="Arial" w:eastAsia="Arial" w:hint="default"/>
        </w:rPr>
        <w:t>2006</w:t>
      </w:r>
      <w:r>
        <w:rPr/>
        <w:t>年</w:t>
      </w:r>
      <w:r>
        <w:rPr>
          <w:rFonts w:ascii="Arial" w:hAnsi="Arial" w:cs="Arial" w:eastAsia="Arial" w:hint="default"/>
        </w:rPr>
        <w:t>3</w:t>
      </w:r>
      <w:r>
        <w:rPr/>
        <w:t>月至报告期内担任茂硕电源有</w:t>
      </w:r>
      <w:r>
        <w:rPr>
          <w:spacing w:val="-67"/>
        </w:rPr>
        <w:t> </w:t>
      </w:r>
      <w:r>
        <w:rPr>
          <w:spacing w:val="-67"/>
        </w:rPr>
      </w:r>
      <w:r>
        <w:rPr/>
        <w:t>限、茂硕电源财务经理、董事、财务总监、董事会秘书职务。现任茂硕电源科技股份有限公司董事、副总经理、财务总监。</w:t>
      </w:r>
    </w:p>
    <w:p>
      <w:pPr>
        <w:pStyle w:val="BodyText"/>
        <w:spacing w:line="312" w:lineRule="auto" w:before="29"/>
        <w:ind w:right="1131" w:firstLine="480"/>
        <w:jc w:val="both"/>
      </w:pPr>
      <w:r>
        <w:rPr/>
        <w:t>康伟先生，中国国籍，</w:t>
      </w:r>
      <w:r>
        <w:rPr>
          <w:rFonts w:ascii="Arial" w:hAnsi="Arial" w:cs="Arial" w:eastAsia="Arial" w:hint="default"/>
        </w:rPr>
        <w:t>1976</w:t>
      </w:r>
      <w:r>
        <w:rPr/>
        <w:t>年</w:t>
      </w:r>
      <w:r>
        <w:rPr>
          <w:rFonts w:ascii="Arial" w:hAnsi="Arial" w:cs="Arial" w:eastAsia="Arial" w:hint="default"/>
        </w:rPr>
        <w:t>7</w:t>
      </w:r>
      <w:r>
        <w:rPr/>
        <w:t>月出生，博士研究生，</w:t>
      </w:r>
      <w:r>
        <w:rPr>
          <w:rFonts w:ascii="Arial" w:hAnsi="Arial" w:cs="Arial" w:eastAsia="Arial" w:hint="default"/>
        </w:rPr>
        <w:t>2008</w:t>
      </w:r>
      <w:r>
        <w:rPr/>
        <w:t>年</w:t>
      </w:r>
      <w:r>
        <w:rPr>
          <w:rFonts w:ascii="Arial" w:hAnsi="Arial" w:cs="Arial" w:eastAsia="Arial" w:hint="default"/>
        </w:rPr>
        <w:t>6</w:t>
      </w:r>
      <w:r>
        <w:rPr/>
        <w:t>月至今任茂硕电源董事。目前康伟先生兼任浙江华睿 </w:t>
      </w:r>
      <w:r>
        <w:rPr>
          <w:spacing w:val="-2"/>
        </w:rPr>
        <w:t>投资管理有限公司、北京梅泰诺通信技术股份有限公司、北京北信源软件股份有限公司、深圳市万兴软件有限公司、浙江双</w:t>
      </w:r>
      <w:r>
        <w:rPr>
          <w:spacing w:val="-65"/>
        </w:rPr>
        <w:t> </w:t>
      </w:r>
      <w:r>
        <w:rPr>
          <w:spacing w:val="-65"/>
        </w:rPr>
      </w:r>
      <w:r>
        <w:rPr>
          <w:spacing w:val="-2"/>
        </w:rPr>
        <w:t>雕数控技术股份有限公司、浙江宇天科技股份有限公司、杭州远方光电信息股份有限公司、武汉迪源光电科技有限公司、深</w:t>
      </w:r>
      <w:r>
        <w:rPr>
          <w:spacing w:val="-64"/>
        </w:rPr>
        <w:t> </w:t>
      </w:r>
      <w:r>
        <w:rPr>
          <w:spacing w:val="-64"/>
        </w:rPr>
      </w:r>
      <w:r>
        <w:rPr/>
        <w:t>圳市雷赛智能控制股份有限公司董事。</w:t>
      </w:r>
    </w:p>
    <w:p>
      <w:pPr>
        <w:pStyle w:val="BodyText"/>
        <w:spacing w:line="302" w:lineRule="auto" w:before="22"/>
        <w:ind w:right="1051" w:firstLine="480"/>
        <w:jc w:val="both"/>
      </w:pPr>
      <w:r>
        <w:rPr/>
        <w:t>丁宝玉先生，中国国籍，</w:t>
      </w:r>
      <w:r>
        <w:rPr>
          <w:rFonts w:ascii="Arial" w:hAnsi="Arial" w:cs="Arial" w:eastAsia="Arial" w:hint="default"/>
        </w:rPr>
        <w:t>1966</w:t>
      </w:r>
      <w:r>
        <w:rPr/>
        <w:t>年</w:t>
      </w:r>
      <w:r>
        <w:rPr>
          <w:rFonts w:ascii="Arial" w:hAnsi="Arial" w:cs="Arial" w:eastAsia="Arial" w:hint="default"/>
        </w:rPr>
        <w:t>2</w:t>
      </w:r>
      <w:r>
        <w:rPr/>
        <w:t>月出生，毕业于清华大学化工系生物化工专业，硕士研究生学历。丁宝玉先生</w:t>
      </w:r>
      <w:r>
        <w:rPr>
          <w:rFonts w:ascii="Arial" w:hAnsi="Arial" w:cs="Arial" w:eastAsia="Arial" w:hint="default"/>
        </w:rPr>
        <w:t>1991</w:t>
      </w:r>
      <w:r>
        <w:rPr>
          <w:rFonts w:ascii="Arial" w:hAnsi="Arial" w:cs="Arial" w:eastAsia="Arial" w:hint="default"/>
          <w:w w:val="99"/>
        </w:rPr>
        <w:t> </w:t>
      </w:r>
      <w:r>
        <w:rPr>
          <w:spacing w:val="-2"/>
        </w:rPr>
        <w:t>年</w:t>
      </w:r>
      <w:r>
        <w:rPr>
          <w:rFonts w:ascii="Arial" w:hAnsi="Arial" w:cs="Arial" w:eastAsia="Arial" w:hint="default"/>
          <w:spacing w:val="-2"/>
        </w:rPr>
        <w:t>7</w:t>
      </w:r>
      <w:r>
        <w:rPr>
          <w:spacing w:val="-2"/>
        </w:rPr>
        <w:t>月至</w:t>
      </w:r>
      <w:r>
        <w:rPr>
          <w:rFonts w:ascii="Arial" w:hAnsi="Arial" w:cs="Arial" w:eastAsia="Arial" w:hint="default"/>
          <w:spacing w:val="-2"/>
        </w:rPr>
        <w:t>1997</w:t>
      </w:r>
      <w:r>
        <w:rPr>
          <w:spacing w:val="-2"/>
        </w:rPr>
        <w:t>年</w:t>
      </w:r>
      <w:r>
        <w:rPr>
          <w:rFonts w:ascii="Arial" w:hAnsi="Arial" w:cs="Arial" w:eastAsia="Arial" w:hint="default"/>
          <w:spacing w:val="-2"/>
        </w:rPr>
        <w:t>7</w:t>
      </w:r>
      <w:r>
        <w:rPr>
          <w:spacing w:val="-2"/>
        </w:rPr>
        <w:t>月任深圳市康泰生物制品有限公司工程部、设备部、销售部经理，</w:t>
      </w:r>
      <w:r>
        <w:rPr>
          <w:rFonts w:ascii="Arial" w:hAnsi="Arial" w:cs="Arial" w:eastAsia="Arial" w:hint="default"/>
          <w:spacing w:val="-2"/>
        </w:rPr>
        <w:t>1997</w:t>
      </w:r>
      <w:r>
        <w:rPr>
          <w:spacing w:val="-2"/>
        </w:rPr>
        <w:t>年</w:t>
      </w:r>
      <w:r>
        <w:rPr>
          <w:rFonts w:ascii="Arial" w:hAnsi="Arial" w:cs="Arial" w:eastAsia="Arial" w:hint="default"/>
          <w:spacing w:val="-2"/>
        </w:rPr>
        <w:t>8</w:t>
      </w:r>
      <w:r>
        <w:rPr>
          <w:spacing w:val="-2"/>
        </w:rPr>
        <w:t>月至</w:t>
      </w:r>
      <w:r>
        <w:rPr>
          <w:rFonts w:ascii="Arial" w:hAnsi="Arial" w:cs="Arial" w:eastAsia="Arial" w:hint="default"/>
          <w:spacing w:val="-2"/>
        </w:rPr>
        <w:t>2003</w:t>
      </w:r>
      <w:r>
        <w:rPr>
          <w:spacing w:val="-2"/>
        </w:rPr>
        <w:t>年</w:t>
      </w:r>
      <w:r>
        <w:rPr>
          <w:rFonts w:ascii="Arial" w:hAnsi="Arial" w:cs="Arial" w:eastAsia="Arial" w:hint="default"/>
          <w:spacing w:val="-2"/>
        </w:rPr>
        <w:t>4</w:t>
      </w:r>
      <w:r>
        <w:rPr>
          <w:spacing w:val="-2"/>
        </w:rPr>
        <w:t>月任深圳市国成科</w:t>
      </w:r>
      <w:r>
        <w:rPr>
          <w:spacing w:val="-44"/>
        </w:rPr>
        <w:t> </w:t>
      </w:r>
      <w:r>
        <w:rPr>
          <w:spacing w:val="-44"/>
        </w:rPr>
      </w:r>
      <w:r>
        <w:rPr>
          <w:spacing w:val="-2"/>
        </w:rPr>
        <w:t>技投资有限公司副总经理，</w:t>
      </w:r>
      <w:r>
        <w:rPr>
          <w:rFonts w:ascii="Arial" w:hAnsi="Arial" w:cs="Arial" w:eastAsia="Arial" w:hint="default"/>
          <w:spacing w:val="-2"/>
        </w:rPr>
        <w:t>2003</w:t>
      </w:r>
      <w:r>
        <w:rPr>
          <w:spacing w:val="-2"/>
        </w:rPr>
        <w:t>年</w:t>
      </w:r>
      <w:r>
        <w:rPr>
          <w:rFonts w:ascii="Arial" w:hAnsi="Arial" w:cs="Arial" w:eastAsia="Arial" w:hint="default"/>
          <w:spacing w:val="-2"/>
        </w:rPr>
        <w:t>5</w:t>
      </w:r>
      <w:r>
        <w:rPr>
          <w:spacing w:val="-2"/>
        </w:rPr>
        <w:t>月至</w:t>
      </w:r>
      <w:r>
        <w:rPr>
          <w:rFonts w:ascii="Arial" w:hAnsi="Arial" w:cs="Arial" w:eastAsia="Arial" w:hint="default"/>
          <w:spacing w:val="-2"/>
        </w:rPr>
        <w:t>2009</w:t>
      </w:r>
      <w:r>
        <w:rPr>
          <w:spacing w:val="-2"/>
        </w:rPr>
        <w:t>年</w:t>
      </w:r>
      <w:r>
        <w:rPr>
          <w:rFonts w:ascii="Arial" w:hAnsi="Arial" w:cs="Arial" w:eastAsia="Arial" w:hint="default"/>
          <w:spacing w:val="-2"/>
        </w:rPr>
        <w:t>4</w:t>
      </w:r>
      <w:r>
        <w:rPr>
          <w:spacing w:val="-2"/>
        </w:rPr>
        <w:t>月任深圳国成世纪创业投资有限公司总经理，</w:t>
      </w:r>
      <w:r>
        <w:rPr>
          <w:rFonts w:ascii="Arial" w:hAnsi="Arial" w:cs="Arial" w:eastAsia="Arial" w:hint="default"/>
          <w:spacing w:val="-2"/>
        </w:rPr>
        <w:t>2009</w:t>
      </w:r>
      <w:r>
        <w:rPr>
          <w:spacing w:val="-2"/>
        </w:rPr>
        <w:t>年</w:t>
      </w:r>
      <w:r>
        <w:rPr>
          <w:rFonts w:ascii="Arial" w:hAnsi="Arial" w:cs="Arial" w:eastAsia="Arial" w:hint="default"/>
          <w:spacing w:val="-2"/>
        </w:rPr>
        <w:t>11</w:t>
      </w:r>
      <w:r>
        <w:rPr>
          <w:spacing w:val="-2"/>
        </w:rPr>
        <w:t>月至今担任茂硕电</w:t>
      </w:r>
      <w:r>
        <w:rPr>
          <w:spacing w:val="-42"/>
        </w:rPr>
        <w:t> </w:t>
      </w:r>
      <w:r>
        <w:rPr>
          <w:spacing w:val="-42"/>
        </w:rPr>
      </w:r>
      <w:r>
        <w:rPr/>
        <w:t>源董事，目前丁宝玉先生兼任南海成长副总经理、大连路明发光科技股份有限公司董事、广东中讯农科股份有限公司董事。</w:t>
      </w:r>
    </w:p>
    <w:p>
      <w:pPr>
        <w:pStyle w:val="BodyText"/>
        <w:spacing w:line="304" w:lineRule="auto" w:before="29"/>
        <w:ind w:right="1128" w:firstLine="480"/>
        <w:jc w:val="both"/>
      </w:pPr>
      <w:r>
        <w:rPr>
          <w:spacing w:val="-1"/>
        </w:rPr>
        <w:t>谭跃先生，中国国籍，</w:t>
      </w:r>
      <w:r>
        <w:rPr>
          <w:rFonts w:ascii="Arial" w:hAnsi="Arial" w:cs="Arial" w:eastAsia="Arial" w:hint="default"/>
          <w:spacing w:val="-1"/>
        </w:rPr>
        <w:t>1959</w:t>
      </w:r>
      <w:r>
        <w:rPr>
          <w:spacing w:val="-1"/>
        </w:rPr>
        <w:t>年</w:t>
      </w:r>
      <w:r>
        <w:rPr>
          <w:rFonts w:ascii="Arial" w:hAnsi="Arial" w:cs="Arial" w:eastAsia="Arial" w:hint="default"/>
          <w:spacing w:val="-1"/>
        </w:rPr>
        <w:t>4</w:t>
      </w:r>
      <w:r>
        <w:rPr>
          <w:spacing w:val="-1"/>
        </w:rPr>
        <w:t>月出生，毕业于香港中文大学财务学专业，教授，博士生导师。谭跃先生</w:t>
      </w:r>
      <w:r>
        <w:rPr>
          <w:rFonts w:ascii="Arial" w:hAnsi="Arial" w:cs="Arial" w:eastAsia="Arial" w:hint="default"/>
          <w:spacing w:val="-1"/>
        </w:rPr>
        <w:t>1981</w:t>
      </w:r>
      <w:r>
        <w:rPr>
          <w:spacing w:val="-1"/>
        </w:rPr>
        <w:t>年</w:t>
      </w:r>
      <w:r>
        <w:rPr>
          <w:rFonts w:ascii="Arial" w:hAnsi="Arial" w:cs="Arial" w:eastAsia="Arial" w:hint="default"/>
          <w:spacing w:val="-1"/>
        </w:rPr>
        <w:t>12</w:t>
      </w:r>
      <w:r>
        <w:rPr>
          <w:spacing w:val="-1"/>
        </w:rPr>
        <w:t>月</w:t>
      </w:r>
      <w:r>
        <w:rPr/>
        <w:t> 至</w:t>
      </w:r>
      <w:r>
        <w:rPr>
          <w:rFonts w:ascii="Arial" w:hAnsi="Arial" w:cs="Arial" w:eastAsia="Arial" w:hint="default"/>
        </w:rPr>
        <w:t>1984</w:t>
      </w:r>
      <w:r>
        <w:rPr/>
        <w:t>年</w:t>
      </w:r>
      <w:r>
        <w:rPr>
          <w:rFonts w:ascii="Arial" w:hAnsi="Arial" w:cs="Arial" w:eastAsia="Arial" w:hint="default"/>
        </w:rPr>
        <w:t>8</w:t>
      </w:r>
      <w:r>
        <w:rPr/>
        <w:t>月于株洲基础大学担任助教，</w:t>
      </w:r>
      <w:r>
        <w:rPr>
          <w:rFonts w:ascii="Arial" w:hAnsi="Arial" w:cs="Arial" w:eastAsia="Arial" w:hint="default"/>
        </w:rPr>
        <w:t>1987</w:t>
      </w:r>
      <w:r>
        <w:rPr/>
        <w:t>年</w:t>
      </w:r>
      <w:r>
        <w:rPr>
          <w:rFonts w:ascii="Arial" w:hAnsi="Arial" w:cs="Arial" w:eastAsia="Arial" w:hint="default"/>
        </w:rPr>
        <w:t>1</w:t>
      </w:r>
      <w:r>
        <w:rPr/>
        <w:t>月至</w:t>
      </w:r>
      <w:r>
        <w:rPr>
          <w:rFonts w:ascii="Arial" w:hAnsi="Arial" w:cs="Arial" w:eastAsia="Arial" w:hint="default"/>
        </w:rPr>
        <w:t>1996</w:t>
      </w:r>
      <w:r>
        <w:rPr/>
        <w:t>年</w:t>
      </w:r>
      <w:r>
        <w:rPr>
          <w:rFonts w:ascii="Arial" w:hAnsi="Arial" w:cs="Arial" w:eastAsia="Arial" w:hint="default"/>
        </w:rPr>
        <w:t>8</w:t>
      </w:r>
      <w:r>
        <w:rPr/>
        <w:t>月于长沙电力学院担任讲师，</w:t>
      </w:r>
      <w:r>
        <w:rPr>
          <w:rFonts w:ascii="Arial" w:hAnsi="Arial" w:cs="Arial" w:eastAsia="Arial" w:hint="default"/>
        </w:rPr>
        <w:t>1996</w:t>
      </w:r>
      <w:r>
        <w:rPr/>
        <w:t>年</w:t>
      </w:r>
      <w:r>
        <w:rPr>
          <w:rFonts w:ascii="Arial" w:hAnsi="Arial" w:cs="Arial" w:eastAsia="Arial" w:hint="default"/>
        </w:rPr>
        <w:t>8</w:t>
      </w:r>
      <w:r>
        <w:rPr/>
        <w:t>月至</w:t>
      </w:r>
      <w:r>
        <w:rPr>
          <w:rFonts w:ascii="Arial" w:hAnsi="Arial" w:cs="Arial" w:eastAsia="Arial" w:hint="default"/>
        </w:rPr>
        <w:t>1999</w:t>
      </w:r>
      <w:r>
        <w:rPr/>
        <w:t>年</w:t>
      </w:r>
      <w:r>
        <w:rPr>
          <w:rFonts w:ascii="Arial" w:hAnsi="Arial" w:cs="Arial" w:eastAsia="Arial" w:hint="default"/>
        </w:rPr>
        <w:t>12</w:t>
      </w:r>
      <w:r>
        <w:rPr/>
        <w:t>月任暨 </w:t>
      </w:r>
      <w:r>
        <w:rPr>
          <w:spacing w:val="-2"/>
        </w:rPr>
        <w:t>南大学金融系副教授，</w:t>
      </w:r>
      <w:r>
        <w:rPr>
          <w:rFonts w:ascii="Arial" w:hAnsi="Arial" w:cs="Arial" w:eastAsia="Arial" w:hint="default"/>
          <w:spacing w:val="-2"/>
        </w:rPr>
        <w:t>2002</w:t>
      </w:r>
      <w:r>
        <w:rPr>
          <w:spacing w:val="-2"/>
        </w:rPr>
        <w:t>年</w:t>
      </w:r>
      <w:r>
        <w:rPr>
          <w:rFonts w:ascii="Arial" w:hAnsi="Arial" w:cs="Arial" w:eastAsia="Arial" w:hint="default"/>
          <w:spacing w:val="-2"/>
        </w:rPr>
        <w:t>11</w:t>
      </w:r>
      <w:r>
        <w:rPr>
          <w:spacing w:val="-2"/>
        </w:rPr>
        <w:t>月至</w:t>
      </w:r>
      <w:r>
        <w:rPr>
          <w:rFonts w:ascii="Arial" w:hAnsi="Arial" w:cs="Arial" w:eastAsia="Arial" w:hint="default"/>
          <w:spacing w:val="-2"/>
        </w:rPr>
        <w:t>2004</w:t>
      </w:r>
      <w:r>
        <w:rPr>
          <w:spacing w:val="-2"/>
        </w:rPr>
        <w:t>年</w:t>
      </w:r>
      <w:r>
        <w:rPr>
          <w:rFonts w:ascii="Arial" w:hAnsi="Arial" w:cs="Arial" w:eastAsia="Arial" w:hint="default"/>
          <w:spacing w:val="-2"/>
        </w:rPr>
        <w:t>10</w:t>
      </w:r>
      <w:r>
        <w:rPr>
          <w:spacing w:val="-2"/>
        </w:rPr>
        <w:t>月任暨南大学金融系教授，</w:t>
      </w:r>
      <w:r>
        <w:rPr>
          <w:rFonts w:ascii="Arial" w:hAnsi="Arial" w:cs="Arial" w:eastAsia="Arial" w:hint="default"/>
          <w:spacing w:val="-2"/>
        </w:rPr>
        <w:t>2004</w:t>
      </w:r>
      <w:r>
        <w:rPr>
          <w:spacing w:val="-2"/>
        </w:rPr>
        <w:t>年</w:t>
      </w:r>
      <w:r>
        <w:rPr>
          <w:rFonts w:ascii="Arial" w:hAnsi="Arial" w:cs="Arial" w:eastAsia="Arial" w:hint="default"/>
          <w:spacing w:val="-2"/>
        </w:rPr>
        <w:t>10</w:t>
      </w:r>
      <w:r>
        <w:rPr>
          <w:spacing w:val="-2"/>
        </w:rPr>
        <w:t>月至今任暨南大学会计系主任、博士生</w:t>
      </w:r>
      <w:r>
        <w:rPr>
          <w:spacing w:val="-65"/>
        </w:rPr>
        <w:t> </w:t>
      </w:r>
      <w:r>
        <w:rPr>
          <w:spacing w:val="-65"/>
        </w:rPr>
      </w:r>
      <w:r>
        <w:rPr>
          <w:spacing w:val="-2"/>
        </w:rPr>
        <w:t>导师、会计系教授、会计学系主任兼国际学院副院长、管理学院副院长（主持工作）。谭跃先生目前在华安期货有限责任公</w:t>
      </w:r>
      <w:r>
        <w:rPr>
          <w:spacing w:val="-67"/>
        </w:rPr>
        <w:t> </w:t>
      </w:r>
      <w:r>
        <w:rPr>
          <w:spacing w:val="-67"/>
        </w:rPr>
      </w:r>
      <w:r>
        <w:rPr/>
        <w:t>司担任独立董事。谭跃先生自</w:t>
      </w:r>
      <w:r>
        <w:rPr>
          <w:rFonts w:ascii="Arial" w:hAnsi="Arial" w:cs="Arial" w:eastAsia="Arial" w:hint="default"/>
        </w:rPr>
        <w:t>2010</w:t>
      </w:r>
      <w:r>
        <w:rPr/>
        <w:t>年</w:t>
      </w:r>
      <w:r>
        <w:rPr>
          <w:rFonts w:ascii="Arial" w:hAnsi="Arial" w:cs="Arial" w:eastAsia="Arial" w:hint="default"/>
        </w:rPr>
        <w:t>4</w:t>
      </w:r>
      <w:r>
        <w:rPr/>
        <w:t>月担任公司独立董事。</w:t>
      </w:r>
    </w:p>
    <w:p>
      <w:pPr>
        <w:pStyle w:val="BodyText"/>
        <w:spacing w:line="302" w:lineRule="auto" w:before="9"/>
        <w:ind w:right="1128" w:firstLine="480"/>
        <w:jc w:val="both"/>
      </w:pPr>
      <w:r>
        <w:rPr>
          <w:spacing w:val="-2"/>
        </w:rPr>
        <w:t>张新明先生，中国国籍，</w:t>
      </w:r>
      <w:r>
        <w:rPr>
          <w:rFonts w:ascii="Arial" w:hAnsi="Arial" w:cs="Arial" w:eastAsia="Arial" w:hint="default"/>
          <w:spacing w:val="-2"/>
        </w:rPr>
        <w:t>1968</w:t>
      </w:r>
      <w:r>
        <w:rPr>
          <w:spacing w:val="-2"/>
        </w:rPr>
        <w:t>年</w:t>
      </w:r>
      <w:r>
        <w:rPr>
          <w:rFonts w:ascii="Arial" w:hAnsi="Arial" w:cs="Arial" w:eastAsia="Arial" w:hint="default"/>
          <w:spacing w:val="-2"/>
        </w:rPr>
        <w:t>7</w:t>
      </w:r>
      <w:r>
        <w:rPr>
          <w:spacing w:val="-2"/>
        </w:rPr>
        <w:t>月出生，大学本科学历，注册会计师。张新明先生</w:t>
      </w:r>
      <w:r>
        <w:rPr>
          <w:rFonts w:ascii="Arial" w:hAnsi="Arial" w:cs="Arial" w:eastAsia="Arial" w:hint="default"/>
          <w:spacing w:val="-2"/>
        </w:rPr>
        <w:t>1990</w:t>
      </w:r>
      <w:r>
        <w:rPr>
          <w:spacing w:val="-2"/>
        </w:rPr>
        <w:t>年</w:t>
      </w:r>
      <w:r>
        <w:rPr>
          <w:rFonts w:ascii="Arial" w:hAnsi="Arial" w:cs="Arial" w:eastAsia="Arial" w:hint="default"/>
          <w:spacing w:val="-2"/>
        </w:rPr>
        <w:t>8</w:t>
      </w:r>
      <w:r>
        <w:rPr>
          <w:spacing w:val="-2"/>
        </w:rPr>
        <w:t>月至</w:t>
      </w:r>
      <w:r>
        <w:rPr>
          <w:rFonts w:ascii="Arial" w:hAnsi="Arial" w:cs="Arial" w:eastAsia="Arial" w:hint="default"/>
          <w:spacing w:val="-2"/>
        </w:rPr>
        <w:t>1994</w:t>
      </w:r>
      <w:r>
        <w:rPr>
          <w:spacing w:val="-2"/>
        </w:rPr>
        <w:t>年</w:t>
      </w:r>
      <w:r>
        <w:rPr>
          <w:rFonts w:ascii="Arial" w:hAnsi="Arial" w:cs="Arial" w:eastAsia="Arial" w:hint="default"/>
          <w:spacing w:val="-2"/>
        </w:rPr>
        <w:t>8</w:t>
      </w:r>
      <w:r>
        <w:rPr>
          <w:spacing w:val="-2"/>
        </w:rPr>
        <w:t>月任江西南</w:t>
      </w:r>
      <w:r>
        <w:rPr/>
        <w:t> </w:t>
      </w:r>
      <w:r>
        <w:rPr>
          <w:spacing w:val="-2"/>
        </w:rPr>
        <w:t>康财政局会计，</w:t>
      </w:r>
      <w:r>
        <w:rPr>
          <w:rFonts w:ascii="Arial" w:hAnsi="Arial" w:cs="Arial" w:eastAsia="Arial" w:hint="default"/>
          <w:spacing w:val="-2"/>
        </w:rPr>
        <w:t>1994</w:t>
      </w:r>
      <w:r>
        <w:rPr>
          <w:spacing w:val="-2"/>
        </w:rPr>
        <w:t>年至</w:t>
      </w:r>
      <w:r>
        <w:rPr>
          <w:rFonts w:ascii="Arial" w:hAnsi="Arial" w:cs="Arial" w:eastAsia="Arial" w:hint="default"/>
          <w:spacing w:val="-2"/>
        </w:rPr>
        <w:t>1997</w:t>
      </w:r>
      <w:r>
        <w:rPr>
          <w:spacing w:val="-2"/>
        </w:rPr>
        <w:t>年先后任深圳宝安会计师事务所项目经理、部门经理；</w:t>
      </w:r>
      <w:r>
        <w:rPr>
          <w:rFonts w:ascii="Arial" w:hAnsi="Arial" w:cs="Arial" w:eastAsia="Arial" w:hint="default"/>
          <w:spacing w:val="-2"/>
        </w:rPr>
        <w:t>1998</w:t>
      </w:r>
      <w:r>
        <w:rPr>
          <w:spacing w:val="-2"/>
        </w:rPr>
        <w:t>年</w:t>
      </w:r>
      <w:r>
        <w:rPr>
          <w:rFonts w:ascii="Arial" w:hAnsi="Arial" w:cs="Arial" w:eastAsia="Arial" w:hint="default"/>
          <w:spacing w:val="-2"/>
        </w:rPr>
        <w:t>1</w:t>
      </w:r>
      <w:r>
        <w:rPr>
          <w:spacing w:val="-2"/>
        </w:rPr>
        <w:t>月至</w:t>
      </w:r>
      <w:r>
        <w:rPr>
          <w:rFonts w:ascii="Arial" w:hAnsi="Arial" w:cs="Arial" w:eastAsia="Arial" w:hint="default"/>
          <w:spacing w:val="-2"/>
        </w:rPr>
        <w:t>2004</w:t>
      </w:r>
      <w:r>
        <w:rPr>
          <w:spacing w:val="-2"/>
        </w:rPr>
        <w:t>年</w:t>
      </w:r>
      <w:r>
        <w:rPr>
          <w:rFonts w:ascii="Arial" w:hAnsi="Arial" w:cs="Arial" w:eastAsia="Arial" w:hint="default"/>
          <w:spacing w:val="-2"/>
        </w:rPr>
        <w:t>6</w:t>
      </w:r>
      <w:r>
        <w:rPr>
          <w:spacing w:val="-2"/>
        </w:rPr>
        <w:t>月任深圳义达会</w:t>
      </w:r>
      <w:r>
        <w:rPr>
          <w:spacing w:val="-63"/>
        </w:rPr>
        <w:t> </w:t>
      </w:r>
      <w:r>
        <w:rPr>
          <w:spacing w:val="-63"/>
        </w:rPr>
      </w:r>
      <w:r>
        <w:rPr/>
        <w:t>计师事务所部门经理；</w:t>
      </w:r>
      <w:r>
        <w:rPr>
          <w:rFonts w:ascii="Arial" w:hAnsi="Arial" w:cs="Arial" w:eastAsia="Arial" w:hint="default"/>
        </w:rPr>
        <w:t>2004</w:t>
      </w:r>
      <w:r>
        <w:rPr/>
        <w:t>年</w:t>
      </w:r>
      <w:r>
        <w:rPr>
          <w:rFonts w:ascii="Arial" w:hAnsi="Arial" w:cs="Arial" w:eastAsia="Arial" w:hint="default"/>
        </w:rPr>
        <w:t>7</w:t>
      </w:r>
      <w:r>
        <w:rPr/>
        <w:t>月起至今任深圳德浩会计师事务所首席合伙人；</w:t>
      </w:r>
      <w:r>
        <w:rPr>
          <w:rFonts w:ascii="Arial" w:hAnsi="Arial" w:cs="Arial" w:eastAsia="Arial" w:hint="default"/>
        </w:rPr>
        <w:t>2007</w:t>
      </w:r>
      <w:r>
        <w:rPr/>
        <w:t>年</w:t>
      </w:r>
      <w:r>
        <w:rPr>
          <w:rFonts w:ascii="Arial" w:hAnsi="Arial" w:cs="Arial" w:eastAsia="Arial" w:hint="default"/>
        </w:rPr>
        <w:t>6</w:t>
      </w:r>
      <w:r>
        <w:rPr/>
        <w:t>月至今担任深圳市新纶科技股份有 限公司独立董事。张新明先生自</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20</w:t>
      </w:r>
      <w:r>
        <w:rPr/>
        <w:t>日至今任茂硕电源独立董事。</w:t>
      </w:r>
    </w:p>
    <w:p>
      <w:pPr>
        <w:pStyle w:val="BodyText"/>
        <w:spacing w:line="302" w:lineRule="auto" w:before="11"/>
        <w:ind w:right="1052" w:firstLine="480"/>
        <w:jc w:val="left"/>
      </w:pPr>
      <w:r>
        <w:rPr>
          <w:spacing w:val="-2"/>
        </w:rPr>
        <w:t>施伟力先生：中国国籍，</w:t>
      </w:r>
      <w:r>
        <w:rPr>
          <w:rFonts w:ascii="Arial" w:hAnsi="Arial" w:cs="Arial" w:eastAsia="Arial" w:hint="default"/>
          <w:spacing w:val="-2"/>
        </w:rPr>
        <w:t>1954</w:t>
      </w:r>
      <w:r>
        <w:rPr>
          <w:spacing w:val="-2"/>
        </w:rPr>
        <w:t>年</w:t>
      </w:r>
      <w:r>
        <w:rPr>
          <w:rFonts w:ascii="Arial" w:hAnsi="Arial" w:cs="Arial" w:eastAsia="Arial" w:hint="default"/>
          <w:spacing w:val="-2"/>
        </w:rPr>
        <w:t>4</w:t>
      </w:r>
      <w:r>
        <w:rPr>
          <w:spacing w:val="-2"/>
        </w:rPr>
        <w:t>月出生，毕业于武汉大学公共关系专业，经济师，</w:t>
      </w:r>
      <w:r>
        <w:rPr>
          <w:rFonts w:ascii="Arial" w:hAnsi="Arial" w:cs="Arial" w:eastAsia="Arial" w:hint="default"/>
          <w:spacing w:val="-2"/>
        </w:rPr>
        <w:t>1974</w:t>
      </w:r>
      <w:r>
        <w:rPr>
          <w:spacing w:val="-2"/>
        </w:rPr>
        <w:t>年至</w:t>
      </w:r>
      <w:r>
        <w:rPr>
          <w:rFonts w:ascii="Arial" w:hAnsi="Arial" w:cs="Arial" w:eastAsia="Arial" w:hint="default"/>
          <w:spacing w:val="-2"/>
        </w:rPr>
        <w:t>1982</w:t>
      </w:r>
      <w:r>
        <w:rPr>
          <w:spacing w:val="-2"/>
        </w:rPr>
        <w:t>年在泉州无线电五</w:t>
      </w:r>
      <w:r>
        <w:rPr/>
        <w:t> 厂任副厂长；</w:t>
      </w:r>
      <w:r>
        <w:rPr>
          <w:rFonts w:ascii="Arial" w:hAnsi="Arial" w:cs="Arial" w:eastAsia="Arial" w:hint="default"/>
        </w:rPr>
        <w:t>1983</w:t>
      </w:r>
      <w:r>
        <w:rPr/>
        <w:t>年至</w:t>
      </w:r>
      <w:r>
        <w:rPr>
          <w:rFonts w:ascii="Arial" w:hAnsi="Arial" w:cs="Arial" w:eastAsia="Arial" w:hint="default"/>
        </w:rPr>
        <w:t>1984</w:t>
      </w:r>
      <w:r>
        <w:rPr/>
        <w:t>年在厦门闽厦教学设备公司任经理；</w:t>
      </w:r>
      <w:r>
        <w:rPr>
          <w:rFonts w:ascii="Arial" w:hAnsi="Arial" w:cs="Arial" w:eastAsia="Arial" w:hint="default"/>
        </w:rPr>
        <w:t>1985</w:t>
      </w:r>
      <w:r>
        <w:rPr/>
        <w:t>年至</w:t>
      </w:r>
      <w:r>
        <w:rPr>
          <w:rFonts w:ascii="Arial" w:hAnsi="Arial" w:cs="Arial" w:eastAsia="Arial" w:hint="default"/>
        </w:rPr>
        <w:t>1992</w:t>
      </w:r>
      <w:r>
        <w:rPr/>
        <w:t>年在中外合资东泉电子有限公司任总经理； </w:t>
      </w:r>
      <w:r>
        <w:rPr>
          <w:rFonts w:ascii="Arial" w:hAnsi="Arial" w:cs="Arial" w:eastAsia="Arial" w:hint="default"/>
        </w:rPr>
        <w:t>1993</w:t>
      </w:r>
      <w:r>
        <w:rPr/>
        <w:t>年至</w:t>
      </w:r>
      <w:r>
        <w:rPr>
          <w:rFonts w:ascii="Arial" w:hAnsi="Arial" w:cs="Arial" w:eastAsia="Arial" w:hint="default"/>
        </w:rPr>
        <w:t>1994</w:t>
      </w:r>
      <w:r>
        <w:rPr/>
        <w:t>年任香港南方国际电子有限公司副总经理；</w:t>
      </w:r>
      <w:r>
        <w:rPr>
          <w:rFonts w:ascii="Arial" w:hAnsi="Arial" w:cs="Arial" w:eastAsia="Arial" w:hint="default"/>
        </w:rPr>
        <w:t>1995</w:t>
      </w:r>
      <w:r>
        <w:rPr/>
        <w:t>年至</w:t>
      </w:r>
      <w:r>
        <w:rPr>
          <w:rFonts w:ascii="Arial" w:hAnsi="Arial" w:cs="Arial" w:eastAsia="Arial" w:hint="default"/>
        </w:rPr>
        <w:t>2001</w:t>
      </w:r>
      <w:r>
        <w:rPr/>
        <w:t>年先后任香港华刚光电零件有限公司经理、厂长、 中国市场部经理；</w:t>
      </w:r>
      <w:r>
        <w:rPr>
          <w:rFonts w:ascii="Arial" w:hAnsi="Arial" w:cs="Arial" w:eastAsia="Arial" w:hint="default"/>
        </w:rPr>
        <w:t>2002</w:t>
      </w:r>
      <w:r>
        <w:rPr/>
        <w:t>年至</w:t>
      </w:r>
      <w:r>
        <w:rPr>
          <w:rFonts w:ascii="Arial" w:hAnsi="Arial" w:cs="Arial" w:eastAsia="Arial" w:hint="default"/>
        </w:rPr>
        <w:t>2005</w:t>
      </w:r>
      <w:r>
        <w:rPr/>
        <w:t>年</w:t>
      </w:r>
      <w:r>
        <w:rPr>
          <w:rFonts w:ascii="Arial" w:hAnsi="Arial" w:cs="Arial" w:eastAsia="Arial" w:hint="default"/>
        </w:rPr>
        <w:t>3</w:t>
      </w:r>
      <w:r>
        <w:rPr/>
        <w:t>月任鑫谷光电股份有限公司副总经理；</w:t>
      </w:r>
      <w:r>
        <w:rPr>
          <w:rFonts w:ascii="Arial" w:hAnsi="Arial" w:cs="Arial" w:eastAsia="Arial" w:hint="default"/>
        </w:rPr>
        <w:t>2005</w:t>
      </w:r>
      <w:r>
        <w:rPr/>
        <w:t>年</w:t>
      </w:r>
      <w:r>
        <w:rPr>
          <w:rFonts w:ascii="Arial" w:hAnsi="Arial" w:cs="Arial" w:eastAsia="Arial" w:hint="default"/>
        </w:rPr>
        <w:t>4</w:t>
      </w:r>
      <w:r>
        <w:rPr/>
        <w:t>月至</w:t>
      </w:r>
      <w:r>
        <w:rPr>
          <w:rFonts w:ascii="Arial" w:hAnsi="Arial" w:cs="Arial" w:eastAsia="Arial" w:hint="default"/>
        </w:rPr>
        <w:t>2007</w:t>
      </w:r>
      <w:r>
        <w:rPr/>
        <w:t>年</w:t>
      </w:r>
      <w:r>
        <w:rPr>
          <w:rFonts w:ascii="Arial" w:hAnsi="Arial" w:cs="Arial" w:eastAsia="Arial" w:hint="default"/>
        </w:rPr>
        <w:t>6</w:t>
      </w:r>
      <w:r>
        <w:rPr/>
        <w:t>月任大连路美芯片科技有 限公司高级顾问、副总经理；</w:t>
      </w:r>
      <w:r>
        <w:rPr>
          <w:rFonts w:ascii="Arial" w:hAnsi="Arial" w:cs="Arial" w:eastAsia="Arial" w:hint="default"/>
        </w:rPr>
        <w:t>2007</w:t>
      </w:r>
      <w:r>
        <w:rPr/>
        <w:t>年</w:t>
      </w:r>
      <w:r>
        <w:rPr>
          <w:rFonts w:ascii="Arial" w:hAnsi="Arial" w:cs="Arial" w:eastAsia="Arial" w:hint="default"/>
        </w:rPr>
        <w:t>7</w:t>
      </w:r>
      <w:r>
        <w:rPr/>
        <w:t>月至</w:t>
      </w:r>
      <w:r>
        <w:rPr>
          <w:rFonts w:ascii="Arial" w:hAnsi="Arial" w:cs="Arial" w:eastAsia="Arial" w:hint="default"/>
        </w:rPr>
        <w:t>2011</w:t>
      </w:r>
      <w:r>
        <w:rPr/>
        <w:t>年</w:t>
      </w:r>
      <w:r>
        <w:rPr>
          <w:rFonts w:ascii="Arial" w:hAnsi="Arial" w:cs="Arial" w:eastAsia="Arial" w:hint="default"/>
        </w:rPr>
        <w:t>7</w:t>
      </w:r>
      <w:r>
        <w:rPr/>
        <w:t>月任大连九久光电科技有限公司、大连九久光电制造有限公司董事总经 理；</w:t>
      </w:r>
      <w:r>
        <w:rPr>
          <w:rFonts w:ascii="Arial" w:hAnsi="Arial" w:cs="Arial" w:eastAsia="Arial" w:hint="default"/>
        </w:rPr>
        <w:t>2005</w:t>
      </w:r>
      <w:r>
        <w:rPr/>
        <w:t>年</w:t>
      </w:r>
      <w:r>
        <w:rPr>
          <w:rFonts w:ascii="Arial" w:hAnsi="Arial" w:cs="Arial" w:eastAsia="Arial" w:hint="default"/>
        </w:rPr>
        <w:t>7</w:t>
      </w:r>
      <w:r>
        <w:rPr/>
        <w:t>月至今任上海曼斯雷德光电有限公司董事长。</w:t>
      </w:r>
    </w:p>
    <w:p>
      <w:pPr>
        <w:pStyle w:val="BodyText"/>
        <w:spacing w:line="302" w:lineRule="auto" w:before="11"/>
        <w:ind w:left="633" w:right="1121"/>
        <w:jc w:val="left"/>
        <w:rPr>
          <w:rFonts w:ascii="Arial" w:hAnsi="Arial" w:cs="Arial" w:eastAsia="Arial" w:hint="default"/>
        </w:rPr>
      </w:pPr>
      <w:r>
        <w:rPr>
          <w:rFonts w:ascii="Arial" w:hAnsi="Arial" w:cs="Arial" w:eastAsia="Arial" w:hint="default"/>
        </w:rPr>
        <w:t>2</w:t>
      </w:r>
      <w:r>
        <w:rPr/>
        <w:t>、监事会成员： </w:t>
      </w:r>
      <w:r>
        <w:rPr>
          <w:spacing w:val="-2"/>
        </w:rPr>
        <w:t>方向一先生，中国国籍，</w:t>
      </w:r>
      <w:r>
        <w:rPr>
          <w:rFonts w:ascii="Arial" w:hAnsi="Arial" w:cs="Arial" w:eastAsia="Arial" w:hint="default"/>
          <w:spacing w:val="-2"/>
        </w:rPr>
        <w:t>1954</w:t>
      </w:r>
      <w:r>
        <w:rPr>
          <w:spacing w:val="-2"/>
        </w:rPr>
        <w:t>年</w:t>
      </w:r>
      <w:r>
        <w:rPr>
          <w:rFonts w:ascii="Arial" w:hAnsi="Arial" w:cs="Arial" w:eastAsia="Arial" w:hint="default"/>
          <w:spacing w:val="-2"/>
        </w:rPr>
        <w:t>2</w:t>
      </w:r>
      <w:r>
        <w:rPr>
          <w:spacing w:val="-2"/>
        </w:rPr>
        <w:t>月出生，毕业于华中师范大学</w:t>
      </w:r>
      <w:r>
        <w:rPr>
          <w:rFonts w:ascii="Arial" w:hAnsi="Arial" w:cs="Arial" w:eastAsia="Arial" w:hint="default"/>
          <w:spacing w:val="-2"/>
        </w:rPr>
        <w:t>,</w:t>
      </w:r>
      <w:r>
        <w:rPr>
          <w:spacing w:val="-2"/>
        </w:rPr>
        <w:t>大专学历</w:t>
      </w:r>
      <w:r>
        <w:rPr>
          <w:rFonts w:ascii="Arial" w:hAnsi="Arial" w:cs="Arial" w:eastAsia="Arial" w:hint="default"/>
          <w:spacing w:val="-2"/>
        </w:rPr>
        <w:t>,</w:t>
      </w:r>
      <w:r>
        <w:rPr>
          <w:spacing w:val="-2"/>
        </w:rPr>
        <w:t>助理会计师。方向一先生</w:t>
      </w:r>
      <w:r>
        <w:rPr>
          <w:rFonts w:ascii="Arial" w:hAnsi="Arial" w:cs="Arial" w:eastAsia="Arial" w:hint="default"/>
          <w:spacing w:val="-2"/>
        </w:rPr>
        <w:t>1995</w:t>
      </w:r>
      <w:r>
        <w:rPr>
          <w:spacing w:val="-2"/>
        </w:rPr>
        <w:t>年</w:t>
      </w:r>
      <w:r>
        <w:rPr>
          <w:rFonts w:ascii="Arial" w:hAnsi="Arial" w:cs="Arial" w:eastAsia="Arial" w:hint="default"/>
          <w:spacing w:val="-2"/>
        </w:rPr>
        <w:t>6</w:t>
      </w:r>
      <w:r>
        <w:rPr>
          <w:spacing w:val="-2"/>
        </w:rPr>
        <w:t>月至</w:t>
      </w:r>
      <w:r>
        <w:rPr>
          <w:rFonts w:ascii="Arial" w:hAnsi="Arial" w:cs="Arial" w:eastAsia="Arial" w:hint="default"/>
          <w:spacing w:val="-2"/>
        </w:rPr>
        <w:t>1997</w:t>
      </w:r>
    </w:p>
    <w:p>
      <w:pPr>
        <w:pStyle w:val="BodyText"/>
        <w:spacing w:line="302" w:lineRule="auto" w:before="11"/>
        <w:ind w:right="1128"/>
        <w:jc w:val="both"/>
      </w:pPr>
      <w:r>
        <w:rPr/>
        <w:t>年</w:t>
      </w:r>
      <w:r>
        <w:rPr>
          <w:rFonts w:ascii="Arial" w:hAnsi="Arial" w:cs="Arial" w:eastAsia="Arial" w:hint="default"/>
        </w:rPr>
        <w:t>3</w:t>
      </w:r>
      <w:r>
        <w:rPr/>
        <w:t>月任湖北省英山县水利电力局器材股副股长，</w:t>
      </w:r>
      <w:r>
        <w:rPr>
          <w:rFonts w:ascii="Arial" w:hAnsi="Arial" w:cs="Arial" w:eastAsia="Arial" w:hint="default"/>
        </w:rPr>
        <w:t>1997</w:t>
      </w:r>
      <w:r>
        <w:rPr/>
        <w:t>年</w:t>
      </w:r>
      <w:r>
        <w:rPr>
          <w:rFonts w:ascii="Arial" w:hAnsi="Arial" w:cs="Arial" w:eastAsia="Arial" w:hint="default"/>
        </w:rPr>
        <w:t>3</w:t>
      </w:r>
      <w:r>
        <w:rPr/>
        <w:t>月至</w:t>
      </w:r>
      <w:r>
        <w:rPr>
          <w:rFonts w:ascii="Arial" w:hAnsi="Arial" w:cs="Arial" w:eastAsia="Arial" w:hint="default"/>
        </w:rPr>
        <w:t>1999</w:t>
      </w:r>
      <w:r>
        <w:rPr/>
        <w:t>年</w:t>
      </w:r>
      <w:r>
        <w:rPr>
          <w:rFonts w:ascii="Arial" w:hAnsi="Arial" w:cs="Arial" w:eastAsia="Arial" w:hint="default"/>
        </w:rPr>
        <w:t>2</w:t>
      </w:r>
      <w:r>
        <w:rPr/>
        <w:t>月任捷达（深圳）鞋业有限公司总经理助理、财务</w:t>
      </w:r>
      <w:r>
        <w:rPr>
          <w:spacing w:val="-27"/>
        </w:rPr>
        <w:t> </w:t>
      </w:r>
      <w:r>
        <w:rPr>
          <w:spacing w:val="-27"/>
        </w:rPr>
      </w:r>
      <w:r>
        <w:rPr>
          <w:spacing w:val="-1"/>
        </w:rPr>
        <w:t>科长、资料科长，</w:t>
      </w:r>
      <w:r>
        <w:rPr>
          <w:rFonts w:ascii="Arial" w:hAnsi="Arial" w:cs="Arial" w:eastAsia="Arial" w:hint="default"/>
          <w:spacing w:val="-1"/>
        </w:rPr>
        <w:t>1999</w:t>
      </w:r>
      <w:r>
        <w:rPr>
          <w:spacing w:val="-1"/>
        </w:rPr>
        <w:t>年</w:t>
      </w:r>
      <w:r>
        <w:rPr>
          <w:rFonts w:ascii="Arial" w:hAnsi="Arial" w:cs="Arial" w:eastAsia="Arial" w:hint="default"/>
          <w:spacing w:val="-1"/>
        </w:rPr>
        <w:t>3</w:t>
      </w:r>
      <w:r>
        <w:rPr>
          <w:spacing w:val="-1"/>
        </w:rPr>
        <w:t>月至</w:t>
      </w:r>
      <w:r>
        <w:rPr>
          <w:rFonts w:ascii="Arial" w:hAnsi="Arial" w:cs="Arial" w:eastAsia="Arial" w:hint="default"/>
          <w:spacing w:val="-1"/>
        </w:rPr>
        <w:t>2006</w:t>
      </w:r>
      <w:r>
        <w:rPr>
          <w:spacing w:val="-1"/>
        </w:rPr>
        <w:t>年</w:t>
      </w:r>
      <w:r>
        <w:rPr>
          <w:rFonts w:ascii="Arial" w:hAnsi="Arial" w:cs="Arial" w:eastAsia="Arial" w:hint="default"/>
          <w:spacing w:val="-1"/>
        </w:rPr>
        <w:t>3</w:t>
      </w:r>
      <w:r>
        <w:rPr>
          <w:spacing w:val="-1"/>
        </w:rPr>
        <w:t>月任深圳锡星电子有限公司财务经理、稽核副总经理，</w:t>
      </w:r>
      <w:r>
        <w:rPr>
          <w:rFonts w:ascii="Arial" w:hAnsi="Arial" w:cs="Arial" w:eastAsia="Arial" w:hint="default"/>
          <w:spacing w:val="-1"/>
        </w:rPr>
        <w:t>2006</w:t>
      </w:r>
      <w:r>
        <w:rPr>
          <w:spacing w:val="-1"/>
        </w:rPr>
        <w:t>年</w:t>
      </w:r>
      <w:r>
        <w:rPr>
          <w:rFonts w:ascii="Arial" w:hAnsi="Arial" w:cs="Arial" w:eastAsia="Arial" w:hint="default"/>
          <w:spacing w:val="-1"/>
        </w:rPr>
        <w:t>3</w:t>
      </w:r>
      <w:r>
        <w:rPr>
          <w:spacing w:val="-1"/>
        </w:rPr>
        <w:t>月至</w:t>
      </w:r>
      <w:r>
        <w:rPr>
          <w:rFonts w:ascii="Arial" w:hAnsi="Arial" w:cs="Arial" w:eastAsia="Arial" w:hint="default"/>
          <w:spacing w:val="-1"/>
        </w:rPr>
        <w:t>2007</w:t>
      </w:r>
      <w:r>
        <w:rPr>
          <w:spacing w:val="-1"/>
        </w:rPr>
        <w:t>年</w:t>
      </w:r>
      <w:r>
        <w:rPr>
          <w:rFonts w:ascii="Arial" w:hAnsi="Arial" w:cs="Arial" w:eastAsia="Arial" w:hint="default"/>
          <w:spacing w:val="-1"/>
        </w:rPr>
        <w:t>12</w:t>
      </w:r>
      <w:r>
        <w:rPr>
          <w:spacing w:val="-1"/>
        </w:rPr>
        <w:t>月任</w:t>
      </w:r>
      <w:r>
        <w:rPr>
          <w:spacing w:val="-62"/>
        </w:rPr>
        <w:t> </w:t>
      </w:r>
      <w:r>
        <w:rPr/>
        <w:t>茂硕电源有限任董事长特别助理，</w:t>
      </w:r>
      <w:r>
        <w:rPr>
          <w:rFonts w:ascii="Arial" w:hAnsi="Arial" w:cs="Arial" w:eastAsia="Arial" w:hint="default"/>
        </w:rPr>
        <w:t>2007</w:t>
      </w:r>
      <w:r>
        <w:rPr/>
        <w:t>年</w:t>
      </w:r>
      <w:r>
        <w:rPr>
          <w:rFonts w:ascii="Arial" w:hAnsi="Arial" w:cs="Arial" w:eastAsia="Arial" w:hint="default"/>
        </w:rPr>
        <w:t>12</w:t>
      </w:r>
      <w:r>
        <w:rPr/>
        <w:t>月任茂硕电源监事会主席。</w:t>
      </w:r>
    </w:p>
    <w:p>
      <w:pPr>
        <w:pStyle w:val="BodyText"/>
        <w:spacing w:line="302" w:lineRule="auto" w:before="11"/>
        <w:ind w:right="0" w:firstLine="480"/>
        <w:jc w:val="left"/>
      </w:pPr>
      <w:r>
        <w:rPr/>
        <w:t>陶胜先生，中国国籍，</w:t>
      </w:r>
      <w:r>
        <w:rPr>
          <w:rFonts w:ascii="Arial" w:hAnsi="Arial" w:cs="Arial" w:eastAsia="Arial" w:hint="default"/>
        </w:rPr>
        <w:t>1957</w:t>
      </w:r>
      <w:r>
        <w:rPr/>
        <w:t>年</w:t>
      </w:r>
      <w:r>
        <w:rPr>
          <w:rFonts w:ascii="Arial" w:hAnsi="Arial" w:cs="Arial" w:eastAsia="Arial" w:hint="default"/>
        </w:rPr>
        <w:t>11</w:t>
      </w:r>
      <w:r>
        <w:rPr/>
        <w:t>月出生，毕业于深圳广播电视大学，大专学历，助理经济师。陶胜先生</w:t>
      </w:r>
      <w:r>
        <w:rPr>
          <w:rFonts w:ascii="Arial" w:hAnsi="Arial" w:cs="Arial" w:eastAsia="Arial" w:hint="default"/>
        </w:rPr>
        <w:t>1977</w:t>
      </w:r>
      <w:r>
        <w:rPr/>
        <w:t>年</w:t>
      </w:r>
      <w:r>
        <w:rPr>
          <w:rFonts w:ascii="Arial" w:hAnsi="Arial" w:cs="Arial" w:eastAsia="Arial" w:hint="default"/>
        </w:rPr>
        <w:t>11</w:t>
      </w:r>
      <w:r>
        <w:rPr/>
        <w:t>月 至</w:t>
      </w:r>
      <w:r>
        <w:rPr>
          <w:rFonts w:ascii="Arial" w:hAnsi="Arial" w:cs="Arial" w:eastAsia="Arial" w:hint="default"/>
        </w:rPr>
        <w:t>1994</w:t>
      </w:r>
      <w:r>
        <w:rPr/>
        <w:t>年</w:t>
      </w:r>
      <w:r>
        <w:rPr>
          <w:rFonts w:ascii="Arial" w:hAnsi="Arial" w:cs="Arial" w:eastAsia="Arial" w:hint="default"/>
        </w:rPr>
        <w:t>12</w:t>
      </w:r>
      <w:r>
        <w:rPr/>
        <w:t>月于武汉市物资局任副主任科长，</w:t>
      </w:r>
      <w:r>
        <w:rPr>
          <w:rFonts w:ascii="Arial" w:hAnsi="Arial" w:cs="Arial" w:eastAsia="Arial" w:hint="default"/>
        </w:rPr>
        <w:t>1995</w:t>
      </w:r>
      <w:r>
        <w:rPr/>
        <w:t>年</w:t>
      </w:r>
      <w:r>
        <w:rPr>
          <w:rFonts w:ascii="Arial" w:hAnsi="Arial" w:cs="Arial" w:eastAsia="Arial" w:hint="default"/>
        </w:rPr>
        <w:t>1</w:t>
      </w:r>
      <w:r>
        <w:rPr/>
        <w:t>月至</w:t>
      </w:r>
      <w:r>
        <w:rPr>
          <w:rFonts w:ascii="Arial" w:hAnsi="Arial" w:cs="Arial" w:eastAsia="Arial" w:hint="default"/>
        </w:rPr>
        <w:t>2000</w:t>
      </w:r>
      <w:r>
        <w:rPr/>
        <w:t>年</w:t>
      </w:r>
      <w:r>
        <w:rPr>
          <w:rFonts w:ascii="Arial" w:hAnsi="Arial" w:cs="Arial" w:eastAsia="Arial" w:hint="default"/>
        </w:rPr>
        <w:t>2</w:t>
      </w:r>
      <w:r>
        <w:rPr/>
        <w:t>月任深圳市半岛股份有限公司分公司经理，</w:t>
      </w:r>
      <w:r>
        <w:rPr>
          <w:rFonts w:ascii="Arial" w:hAnsi="Arial" w:cs="Arial" w:eastAsia="Arial" w:hint="default"/>
        </w:rPr>
        <w:t>2000</w:t>
      </w:r>
      <w:r>
        <w:rPr/>
        <w:t>年</w:t>
      </w:r>
      <w:r>
        <w:rPr>
          <w:rFonts w:ascii="Arial" w:hAnsi="Arial" w:cs="Arial" w:eastAsia="Arial" w:hint="default"/>
        </w:rPr>
        <w:t>3</w:t>
      </w:r>
      <w:r>
        <w:rPr/>
        <w:t>月 </w:t>
      </w:r>
      <w:r>
        <w:rPr>
          <w:spacing w:val="-2"/>
        </w:rPr>
        <w:t>至</w:t>
      </w:r>
      <w:r>
        <w:rPr>
          <w:rFonts w:ascii="Arial" w:hAnsi="Arial" w:cs="Arial" w:eastAsia="Arial" w:hint="default"/>
          <w:spacing w:val="-2"/>
        </w:rPr>
        <w:t>2001</w:t>
      </w:r>
      <w:r>
        <w:rPr>
          <w:spacing w:val="-2"/>
        </w:rPr>
        <w:t>年</w:t>
      </w:r>
      <w:r>
        <w:rPr>
          <w:rFonts w:ascii="Arial" w:hAnsi="Arial" w:cs="Arial" w:eastAsia="Arial" w:hint="default"/>
          <w:spacing w:val="-2"/>
        </w:rPr>
        <w:t>2</w:t>
      </w:r>
      <w:r>
        <w:rPr>
          <w:spacing w:val="-2"/>
        </w:rPr>
        <w:t>月任香港亿亨（深圳）投资有限公司部门经理，</w:t>
      </w:r>
      <w:r>
        <w:rPr>
          <w:rFonts w:ascii="Arial" w:hAnsi="Arial" w:cs="Arial" w:eastAsia="Arial" w:hint="default"/>
          <w:spacing w:val="-2"/>
        </w:rPr>
        <w:t>2001</w:t>
      </w:r>
      <w:r>
        <w:rPr>
          <w:spacing w:val="-2"/>
        </w:rPr>
        <w:t>年</w:t>
      </w:r>
      <w:r>
        <w:rPr>
          <w:rFonts w:ascii="Arial" w:hAnsi="Arial" w:cs="Arial" w:eastAsia="Arial" w:hint="default"/>
          <w:spacing w:val="-2"/>
        </w:rPr>
        <w:t>3</w:t>
      </w:r>
      <w:r>
        <w:rPr>
          <w:spacing w:val="-2"/>
        </w:rPr>
        <w:t>月至</w:t>
      </w:r>
      <w:r>
        <w:rPr>
          <w:rFonts w:ascii="Arial" w:hAnsi="Arial" w:cs="Arial" w:eastAsia="Arial" w:hint="default"/>
          <w:spacing w:val="-2"/>
        </w:rPr>
        <w:t>2002</w:t>
      </w:r>
      <w:r>
        <w:rPr>
          <w:spacing w:val="-2"/>
        </w:rPr>
        <w:t>年</w:t>
      </w:r>
      <w:r>
        <w:rPr>
          <w:rFonts w:ascii="Arial" w:hAnsi="Arial" w:cs="Arial" w:eastAsia="Arial" w:hint="default"/>
          <w:spacing w:val="-2"/>
        </w:rPr>
        <w:t>2</w:t>
      </w:r>
      <w:r>
        <w:rPr>
          <w:spacing w:val="-2"/>
        </w:rPr>
        <w:t>月任上海荣富装饰材料有限公司部门经理，</w:t>
      </w:r>
      <w:r>
        <w:rPr>
          <w:spacing w:val="-34"/>
        </w:rPr>
        <w:t> </w:t>
      </w:r>
      <w:r>
        <w:rPr>
          <w:spacing w:val="-34"/>
        </w:rPr>
      </w:r>
      <w:r>
        <w:rPr>
          <w:rFonts w:ascii="Arial" w:hAnsi="Arial" w:cs="Arial" w:eastAsia="Arial" w:hint="default"/>
        </w:rPr>
        <w:t>2003</w:t>
      </w:r>
      <w:r>
        <w:rPr/>
        <w:t>年</w:t>
      </w:r>
      <w:r>
        <w:rPr>
          <w:rFonts w:ascii="Arial" w:hAnsi="Arial" w:cs="Arial" w:eastAsia="Arial" w:hint="default"/>
        </w:rPr>
        <w:t>3</w:t>
      </w:r>
      <w:r>
        <w:rPr/>
        <w:t>月至</w:t>
      </w:r>
      <w:r>
        <w:rPr>
          <w:rFonts w:ascii="Arial" w:hAnsi="Arial" w:cs="Arial" w:eastAsia="Arial" w:hint="default"/>
        </w:rPr>
        <w:t>2005</w:t>
      </w:r>
      <w:r>
        <w:rPr/>
        <w:t>年</w:t>
      </w:r>
      <w:r>
        <w:rPr>
          <w:rFonts w:ascii="Arial" w:hAnsi="Arial" w:cs="Arial" w:eastAsia="Arial" w:hint="default"/>
        </w:rPr>
        <w:t>6</w:t>
      </w:r>
      <w:r>
        <w:rPr/>
        <w:t>月任深圳市仁合缘电子有限公司部门经理，</w:t>
      </w:r>
      <w:r>
        <w:rPr>
          <w:rFonts w:ascii="Arial" w:hAnsi="Arial" w:cs="Arial" w:eastAsia="Arial" w:hint="default"/>
        </w:rPr>
        <w:t>2005</w:t>
      </w:r>
      <w:r>
        <w:rPr/>
        <w:t>年</w:t>
      </w:r>
      <w:r>
        <w:rPr>
          <w:rFonts w:ascii="Arial" w:hAnsi="Arial" w:cs="Arial" w:eastAsia="Arial" w:hint="default"/>
        </w:rPr>
        <w:t>7</w:t>
      </w:r>
      <w:r>
        <w:rPr/>
        <w:t>月至</w:t>
      </w:r>
      <w:r>
        <w:rPr>
          <w:rFonts w:ascii="Arial" w:hAnsi="Arial" w:cs="Arial" w:eastAsia="Arial" w:hint="default"/>
        </w:rPr>
        <w:t>2006</w:t>
      </w:r>
      <w:r>
        <w:rPr/>
        <w:t>年</w:t>
      </w:r>
      <w:r>
        <w:rPr>
          <w:rFonts w:ascii="Arial" w:hAnsi="Arial" w:cs="Arial" w:eastAsia="Arial" w:hint="default"/>
        </w:rPr>
        <w:t>3</w:t>
      </w:r>
      <w:r>
        <w:rPr/>
        <w:t>月任锡星电子部门经理，</w:t>
      </w:r>
      <w:r>
        <w:rPr>
          <w:rFonts w:ascii="Arial" w:hAnsi="Arial" w:cs="Arial" w:eastAsia="Arial" w:hint="default"/>
        </w:rPr>
        <w:t>2006</w:t>
      </w:r>
      <w:r>
        <w:rPr/>
        <w:t>年</w:t>
      </w:r>
      <w:r>
        <w:rPr>
          <w:rFonts w:ascii="Arial" w:hAnsi="Arial" w:cs="Arial" w:eastAsia="Arial" w:hint="default"/>
        </w:rPr>
        <w:t>3</w:t>
      </w:r>
      <w:r>
        <w:rPr>
          <w:rFonts w:ascii="Arial" w:hAnsi="Arial" w:cs="Arial" w:eastAsia="Arial" w:hint="default"/>
          <w:spacing w:val="42"/>
        </w:rPr>
        <w:t> </w:t>
      </w:r>
      <w:r>
        <w:rPr/>
        <w:t>月至今先后任茂硕电源人事行政部经理、总经理助理、项目部经理、董事办外事经理、董事长助理、监事职务。</w:t>
      </w:r>
    </w:p>
    <w:p>
      <w:pPr>
        <w:pStyle w:val="BodyText"/>
        <w:spacing w:line="304" w:lineRule="auto" w:before="30"/>
        <w:ind w:right="1128" w:firstLine="480"/>
        <w:jc w:val="both"/>
      </w:pPr>
      <w:r>
        <w:rPr>
          <w:spacing w:val="-4"/>
        </w:rPr>
        <w:t>肖凯先生，中国国籍，</w:t>
      </w:r>
      <w:r>
        <w:rPr>
          <w:rFonts w:ascii="Arial" w:hAnsi="Arial" w:cs="Arial" w:eastAsia="Arial" w:hint="default"/>
          <w:spacing w:val="-4"/>
        </w:rPr>
        <w:t>1977</w:t>
      </w:r>
      <w:r>
        <w:rPr>
          <w:spacing w:val="-4"/>
        </w:rPr>
        <w:t>年</w:t>
      </w:r>
      <w:r>
        <w:rPr>
          <w:rFonts w:ascii="Arial" w:hAnsi="Arial" w:cs="Arial" w:eastAsia="Arial" w:hint="default"/>
          <w:spacing w:val="-4"/>
        </w:rPr>
        <w:t>6</w:t>
      </w:r>
      <w:r>
        <w:rPr>
          <w:spacing w:val="-4"/>
        </w:rPr>
        <w:t>月出生，毕业于威尔士大学，工商管理硕士，注册会计师、注册税务师。肖凯先生</w:t>
      </w:r>
      <w:r>
        <w:rPr>
          <w:rFonts w:ascii="Arial" w:hAnsi="Arial" w:cs="Arial" w:eastAsia="Arial" w:hint="default"/>
          <w:spacing w:val="-4"/>
        </w:rPr>
        <w:t>2001</w:t>
      </w:r>
      <w:r>
        <w:rPr>
          <w:rFonts w:ascii="Arial" w:hAnsi="Arial" w:cs="Arial" w:eastAsia="Arial" w:hint="default"/>
          <w:w w:val="99"/>
        </w:rPr>
        <w:t> </w:t>
      </w:r>
      <w:r>
        <w:rPr/>
        <w:t>年至</w:t>
      </w:r>
      <w:r>
        <w:rPr>
          <w:rFonts w:ascii="Arial" w:hAnsi="Arial" w:cs="Arial" w:eastAsia="Arial" w:hint="default"/>
        </w:rPr>
        <w:t>2004</w:t>
      </w:r>
      <w:r>
        <w:rPr/>
        <w:t>年于深圳南方民和会计师事务所先后担任审计员、审计项目经理，</w:t>
      </w:r>
      <w:r>
        <w:rPr>
          <w:rFonts w:ascii="Arial" w:hAnsi="Arial" w:cs="Arial" w:eastAsia="Arial" w:hint="default"/>
        </w:rPr>
        <w:t>2004</w:t>
      </w:r>
      <w:r>
        <w:rPr/>
        <w:t>年至今于深圳力合创业投资有限公司先后</w:t>
      </w:r>
      <w:r>
        <w:rPr>
          <w:spacing w:val="-78"/>
        </w:rPr>
        <w:t> </w:t>
      </w:r>
      <w:r>
        <w:rPr>
          <w:spacing w:val="-78"/>
        </w:rPr>
      </w:r>
      <w:r>
        <w:rPr/>
        <w:t>担任投资发展部项目经理，资产管理部项目经理、高级项目经理、副经理和经理等职务。自</w:t>
      </w:r>
      <w:r>
        <w:rPr>
          <w:rFonts w:ascii="Arial" w:hAnsi="Arial" w:cs="Arial" w:eastAsia="Arial" w:hint="default"/>
        </w:rPr>
        <w:t>2009</w:t>
      </w:r>
      <w:r>
        <w:rPr/>
        <w:t>年</w:t>
      </w:r>
      <w:r>
        <w:rPr>
          <w:rFonts w:ascii="Arial" w:hAnsi="Arial" w:cs="Arial" w:eastAsia="Arial" w:hint="default"/>
        </w:rPr>
        <w:t>10</w:t>
      </w:r>
      <w:r>
        <w:rPr/>
        <w:t>月至今任茂硕电源监</w:t>
      </w:r>
      <w:r>
        <w:rPr>
          <w:spacing w:val="-59"/>
        </w:rPr>
        <w:t> </w:t>
      </w:r>
      <w:r>
        <w:rPr>
          <w:spacing w:val="-59"/>
        </w:rPr>
      </w:r>
      <w:r>
        <w:rPr>
          <w:spacing w:val="-2"/>
        </w:rPr>
        <w:t>事。肖凯先生现兼任深圳力合清源创业投资管理有限公司副总裁、广东中讯农科股份有限公司监事、深圳市银宝山新科技股</w:t>
      </w:r>
      <w:r>
        <w:rPr>
          <w:spacing w:val="-64"/>
        </w:rPr>
        <w:t> </w:t>
      </w:r>
      <w:r>
        <w:rPr>
          <w:spacing w:val="-64"/>
        </w:rPr>
      </w:r>
      <w:r>
        <w:rPr/>
        <w:t>份有限公司监事职务。</w:t>
      </w:r>
    </w:p>
    <w:p>
      <w:pPr>
        <w:pStyle w:val="BodyText"/>
        <w:spacing w:line="302" w:lineRule="auto" w:before="28"/>
        <w:ind w:right="1126" w:firstLine="480"/>
        <w:jc w:val="both"/>
      </w:pPr>
      <w:r>
        <w:rPr/>
        <w:t>张慧娟女士，中国国籍，</w:t>
      </w:r>
      <w:r>
        <w:rPr>
          <w:rFonts w:ascii="Arial" w:hAnsi="Arial" w:cs="Arial" w:eastAsia="Arial" w:hint="default"/>
        </w:rPr>
        <w:t>1980</w:t>
      </w:r>
      <w:r>
        <w:rPr/>
        <w:t>年</w:t>
      </w:r>
      <w:r>
        <w:rPr>
          <w:rFonts w:ascii="Arial" w:hAnsi="Arial" w:cs="Arial" w:eastAsia="Arial" w:hint="default"/>
        </w:rPr>
        <w:t>12</w:t>
      </w:r>
      <w:r>
        <w:rPr/>
        <w:t>月出生，毕业于湖北省恩施土家族苗族自治州财经学校，中专学历。张慧娟女士</w:t>
      </w:r>
      <w:r>
        <w:rPr>
          <w:spacing w:val="2"/>
        </w:rPr>
        <w:t> </w:t>
      </w:r>
      <w:r>
        <w:rPr>
          <w:rFonts w:ascii="Arial" w:hAnsi="Arial" w:cs="Arial" w:eastAsia="Arial" w:hint="default"/>
          <w:spacing w:val="-2"/>
        </w:rPr>
        <w:t>1999</w:t>
      </w:r>
      <w:r>
        <w:rPr>
          <w:spacing w:val="-2"/>
        </w:rPr>
        <w:t>年</w:t>
      </w:r>
      <w:r>
        <w:rPr>
          <w:rFonts w:ascii="Arial" w:hAnsi="Arial" w:cs="Arial" w:eastAsia="Arial" w:hint="default"/>
          <w:spacing w:val="-2"/>
        </w:rPr>
        <w:t>11</w:t>
      </w:r>
      <w:r>
        <w:rPr>
          <w:spacing w:val="-2"/>
        </w:rPr>
        <w:t>月至</w:t>
      </w:r>
      <w:r>
        <w:rPr>
          <w:rFonts w:ascii="Arial" w:hAnsi="Arial" w:cs="Arial" w:eastAsia="Arial" w:hint="default"/>
          <w:spacing w:val="-2"/>
        </w:rPr>
        <w:t>2006</w:t>
      </w:r>
      <w:r>
        <w:rPr>
          <w:spacing w:val="-2"/>
        </w:rPr>
        <w:t>年</w:t>
      </w:r>
      <w:r>
        <w:rPr>
          <w:rFonts w:ascii="Arial" w:hAnsi="Arial" w:cs="Arial" w:eastAsia="Arial" w:hint="default"/>
          <w:spacing w:val="-2"/>
        </w:rPr>
        <w:t>3</w:t>
      </w:r>
      <w:r>
        <w:rPr>
          <w:spacing w:val="-2"/>
        </w:rPr>
        <w:t>月任深圳锡星电子应付会计、仓库主管、稽核主管，</w:t>
      </w:r>
      <w:r>
        <w:rPr>
          <w:rFonts w:ascii="Arial" w:hAnsi="Arial" w:cs="Arial" w:eastAsia="Arial" w:hint="default"/>
          <w:spacing w:val="-2"/>
        </w:rPr>
        <w:t>2006</w:t>
      </w:r>
      <w:r>
        <w:rPr>
          <w:spacing w:val="-2"/>
        </w:rPr>
        <w:t>年</w:t>
      </w:r>
      <w:r>
        <w:rPr>
          <w:rFonts w:ascii="Arial" w:hAnsi="Arial" w:cs="Arial" w:eastAsia="Arial" w:hint="default"/>
          <w:spacing w:val="-2"/>
        </w:rPr>
        <w:t>4</w:t>
      </w:r>
      <w:r>
        <w:rPr>
          <w:spacing w:val="-2"/>
        </w:rPr>
        <w:t>月至今任茂硕电源成本会计、总经办文</w:t>
      </w:r>
      <w:r>
        <w:rPr>
          <w:spacing w:val="-45"/>
        </w:rPr>
        <w:t> </w:t>
      </w:r>
      <w:r>
        <w:rPr>
          <w:spacing w:val="-45"/>
        </w:rPr>
      </w:r>
      <w:r>
        <w:rPr/>
        <w:t>员，自</w:t>
      </w:r>
      <w:r>
        <w:rPr>
          <w:rFonts w:ascii="Arial" w:hAnsi="Arial" w:cs="Arial" w:eastAsia="Arial" w:hint="default"/>
        </w:rPr>
        <w:t>2009</w:t>
      </w:r>
      <w:r>
        <w:rPr/>
        <w:t>年</w:t>
      </w:r>
      <w:r>
        <w:rPr>
          <w:rFonts w:ascii="Arial" w:hAnsi="Arial" w:cs="Arial" w:eastAsia="Arial" w:hint="default"/>
        </w:rPr>
        <w:t>10</w:t>
      </w:r>
      <w:r>
        <w:rPr/>
        <w:t>月至今任本公司监事，</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2</w:t>
      </w:r>
      <w:r>
        <w:rPr/>
        <w:t>日经职工代表大会表决通过张慧娟女士继续担任茂硕电源职工监事职</w:t>
      </w:r>
      <w:r>
        <w:rPr>
          <w:spacing w:val="-47"/>
        </w:rPr>
        <w:t> </w:t>
      </w:r>
      <w:r>
        <w:rPr>
          <w:spacing w:val="-47"/>
        </w:rPr>
      </w:r>
      <w:r>
        <w:rPr/>
        <w:t>务。</w:t>
      </w:r>
    </w:p>
    <w:p>
      <w:pPr>
        <w:spacing w:after="0" w:line="302" w:lineRule="auto"/>
        <w:jc w:val="both"/>
        <w:sectPr>
          <w:pgSz w:w="11910" w:h="16840"/>
          <w:pgMar w:header="877" w:footer="1244" w:top="1060" w:bottom="144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1034224"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55</w:t>
                    </w:r>
                  </w:p>
                </w:txbxContent>
              </v:textbox>
              <w10:wrap type="none"/>
            </v:shape>
            <w10:wrap type="none"/>
          </v:group>
        </w:pict>
      </w:r>
    </w:p>
    <w:p>
      <w:pPr>
        <w:pStyle w:val="BodyText"/>
        <w:spacing w:line="302" w:lineRule="auto" w:before="44"/>
        <w:ind w:right="1126" w:firstLine="480"/>
        <w:jc w:val="both"/>
      </w:pPr>
      <w:r>
        <w:rPr/>
        <w:t>金林女士，中国国籍，</w:t>
      </w:r>
      <w:r>
        <w:rPr>
          <w:rFonts w:ascii="Arial" w:hAnsi="Arial" w:cs="Arial" w:eastAsia="Arial" w:hint="default"/>
        </w:rPr>
        <w:t>1980</w:t>
      </w:r>
      <w:r>
        <w:rPr/>
        <w:t>年</w:t>
      </w:r>
      <w:r>
        <w:rPr>
          <w:rFonts w:ascii="Arial" w:hAnsi="Arial" w:cs="Arial" w:eastAsia="Arial" w:hint="default"/>
        </w:rPr>
        <w:t>2</w:t>
      </w:r>
      <w:r>
        <w:rPr/>
        <w:t>月出生，中专学历。金林女士</w:t>
      </w:r>
      <w:r>
        <w:rPr>
          <w:rFonts w:ascii="Arial" w:hAnsi="Arial" w:cs="Arial" w:eastAsia="Arial" w:hint="default"/>
        </w:rPr>
        <w:t>1998</w:t>
      </w:r>
      <w:r>
        <w:rPr/>
        <w:t>年</w:t>
      </w:r>
      <w:r>
        <w:rPr>
          <w:rFonts w:ascii="Arial" w:hAnsi="Arial" w:cs="Arial" w:eastAsia="Arial" w:hint="default"/>
        </w:rPr>
        <w:t>12</w:t>
      </w:r>
      <w:r>
        <w:rPr/>
        <w:t>月至</w:t>
      </w:r>
      <w:r>
        <w:rPr>
          <w:rFonts w:ascii="Arial" w:hAnsi="Arial" w:cs="Arial" w:eastAsia="Arial" w:hint="default"/>
        </w:rPr>
        <w:t>2006</w:t>
      </w:r>
      <w:r>
        <w:rPr/>
        <w:t>年</w:t>
      </w:r>
      <w:r>
        <w:rPr>
          <w:rFonts w:ascii="Arial" w:hAnsi="Arial" w:cs="Arial" w:eastAsia="Arial" w:hint="default"/>
        </w:rPr>
        <w:t>3</w:t>
      </w:r>
      <w:r>
        <w:rPr/>
        <w:t>月先后任锡星电子工程部文员、 </w:t>
      </w:r>
      <w:r>
        <w:rPr>
          <w:spacing w:val="-1"/>
        </w:rPr>
        <w:t>人事助理，</w:t>
      </w:r>
      <w:r>
        <w:rPr>
          <w:rFonts w:ascii="Arial" w:hAnsi="Arial" w:cs="Arial" w:eastAsia="Arial" w:hint="default"/>
          <w:spacing w:val="-1"/>
        </w:rPr>
        <w:t>2006</w:t>
      </w:r>
      <w:r>
        <w:rPr>
          <w:spacing w:val="-1"/>
        </w:rPr>
        <w:t>年</w:t>
      </w:r>
      <w:r>
        <w:rPr>
          <w:rFonts w:ascii="Arial" w:hAnsi="Arial" w:cs="Arial" w:eastAsia="Arial" w:hint="default"/>
          <w:spacing w:val="-1"/>
        </w:rPr>
        <w:t>3</w:t>
      </w:r>
      <w:r>
        <w:rPr>
          <w:spacing w:val="-1"/>
        </w:rPr>
        <w:t>月至今先后任茂硕电源人事文员、绩效副主管、绩效薪酬主管、监事。</w:t>
      </w:r>
      <w:r>
        <w:rPr>
          <w:rFonts w:ascii="Arial" w:hAnsi="Arial" w:cs="Arial" w:eastAsia="Arial" w:hint="default"/>
          <w:spacing w:val="-1"/>
        </w:rPr>
        <w:t>2010</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2</w:t>
      </w:r>
      <w:r>
        <w:rPr>
          <w:spacing w:val="-1"/>
        </w:rPr>
        <w:t>日经职工代表大会</w:t>
      </w:r>
      <w:r>
        <w:rPr>
          <w:spacing w:val="-64"/>
        </w:rPr>
        <w:t> </w:t>
      </w:r>
      <w:r>
        <w:rPr>
          <w:spacing w:val="-64"/>
        </w:rPr>
      </w:r>
      <w:r>
        <w:rPr/>
        <w:t>表决通过金林女士继续担任茂硕电源职工监事职务。</w:t>
      </w:r>
    </w:p>
    <w:p>
      <w:pPr>
        <w:pStyle w:val="BodyText"/>
        <w:spacing w:line="302" w:lineRule="auto" w:before="29"/>
        <w:ind w:left="633" w:right="5073"/>
        <w:jc w:val="left"/>
      </w:pPr>
      <w:r>
        <w:rPr>
          <w:rFonts w:ascii="Arial" w:hAnsi="Arial" w:cs="Arial" w:eastAsia="Arial" w:hint="default"/>
        </w:rPr>
        <w:t>3</w:t>
      </w:r>
      <w:r>
        <w:rPr/>
        <w:t>、高级管理人员： 皮远军先生，</w:t>
      </w:r>
      <w:r>
        <w:rPr>
          <w:rFonts w:ascii="Arial" w:hAnsi="Arial" w:cs="Arial" w:eastAsia="Arial" w:hint="default"/>
        </w:rPr>
        <w:t>2012</w:t>
      </w:r>
      <w:r>
        <w:rPr/>
        <w:t>年任本公司总经理，其简历见本节</w:t>
      </w:r>
      <w:r>
        <w:rPr>
          <w:rFonts w:ascii="Arial" w:hAnsi="Arial" w:cs="Arial" w:eastAsia="Arial" w:hint="default"/>
        </w:rPr>
        <w:t>“</w:t>
      </w:r>
      <w:r>
        <w:rPr/>
        <w:t>董事</w:t>
      </w:r>
      <w:r>
        <w:rPr>
          <w:rFonts w:ascii="Arial" w:hAnsi="Arial" w:cs="Arial" w:eastAsia="Arial" w:hint="default"/>
        </w:rPr>
        <w:t>”</w:t>
      </w:r>
      <w:r>
        <w:rPr/>
        <w:t>部分。</w:t>
      </w:r>
    </w:p>
    <w:p>
      <w:pPr>
        <w:pStyle w:val="BodyText"/>
        <w:spacing w:line="302" w:lineRule="auto" w:before="11"/>
        <w:ind w:right="1128" w:firstLine="480"/>
        <w:jc w:val="both"/>
      </w:pPr>
      <w:r>
        <w:rPr>
          <w:spacing w:val="-1"/>
        </w:rPr>
        <w:t>涂洪滨先生，中国国籍，</w:t>
      </w:r>
      <w:r>
        <w:rPr>
          <w:rFonts w:ascii="Arial" w:hAnsi="Arial" w:cs="Arial" w:eastAsia="Arial" w:hint="default"/>
          <w:spacing w:val="-1"/>
        </w:rPr>
        <w:t>1966</w:t>
      </w:r>
      <w:r>
        <w:rPr>
          <w:spacing w:val="-1"/>
        </w:rPr>
        <w:t>年</w:t>
      </w:r>
      <w:r>
        <w:rPr>
          <w:rFonts w:ascii="Arial" w:hAnsi="Arial" w:cs="Arial" w:eastAsia="Arial" w:hint="default"/>
          <w:spacing w:val="-1"/>
        </w:rPr>
        <w:t>12</w:t>
      </w:r>
      <w:r>
        <w:rPr>
          <w:spacing w:val="-1"/>
        </w:rPr>
        <w:t>月出生，毕业于贵州工学院工业企业管理专业，大专学历。涂洪滨先生</w:t>
      </w:r>
      <w:r>
        <w:rPr>
          <w:rFonts w:ascii="Arial" w:hAnsi="Arial" w:cs="Arial" w:eastAsia="Arial" w:hint="default"/>
          <w:spacing w:val="-1"/>
        </w:rPr>
        <w:t>1992</w:t>
      </w:r>
      <w:r>
        <w:rPr>
          <w:spacing w:val="-1"/>
        </w:rPr>
        <w:t>年</w:t>
      </w:r>
      <w:r>
        <w:rPr>
          <w:rFonts w:ascii="Arial" w:hAnsi="Arial" w:cs="Arial" w:eastAsia="Arial" w:hint="default"/>
          <w:spacing w:val="-1"/>
        </w:rPr>
        <w:t>9</w:t>
      </w:r>
      <w:r>
        <w:rPr>
          <w:spacing w:val="-1"/>
        </w:rPr>
        <w:t>月</w:t>
      </w:r>
      <w:r>
        <w:rPr/>
        <w:t> 至</w:t>
      </w:r>
      <w:r>
        <w:rPr>
          <w:rFonts w:ascii="Arial" w:hAnsi="Arial" w:cs="Arial" w:eastAsia="Arial" w:hint="default"/>
        </w:rPr>
        <w:t>1999</w:t>
      </w:r>
      <w:r>
        <w:rPr/>
        <w:t>年</w:t>
      </w:r>
      <w:r>
        <w:rPr>
          <w:rFonts w:ascii="Arial" w:hAnsi="Arial" w:cs="Arial" w:eastAsia="Arial" w:hint="default"/>
        </w:rPr>
        <w:t>11</w:t>
      </w:r>
      <w:r>
        <w:rPr/>
        <w:t>月任贵州安顺双阳飞机制造厂先后担技术员、调度员，</w:t>
      </w:r>
      <w:r>
        <w:rPr>
          <w:rFonts w:ascii="Arial" w:hAnsi="Arial" w:cs="Arial" w:eastAsia="Arial" w:hint="default"/>
        </w:rPr>
        <w:t>1999</w:t>
      </w:r>
      <w:r>
        <w:rPr/>
        <w:t>年</w:t>
      </w:r>
      <w:r>
        <w:rPr>
          <w:rFonts w:ascii="Arial" w:hAnsi="Arial" w:cs="Arial" w:eastAsia="Arial" w:hint="default"/>
        </w:rPr>
        <w:t>12</w:t>
      </w:r>
      <w:r>
        <w:rPr/>
        <w:t>月至</w:t>
      </w:r>
      <w:r>
        <w:rPr>
          <w:rFonts w:ascii="Arial" w:hAnsi="Arial" w:cs="Arial" w:eastAsia="Arial" w:hint="default"/>
        </w:rPr>
        <w:t>2003</w:t>
      </w:r>
      <w:r>
        <w:rPr/>
        <w:t>年</w:t>
      </w:r>
      <w:r>
        <w:rPr>
          <w:rFonts w:ascii="Arial" w:hAnsi="Arial" w:cs="Arial" w:eastAsia="Arial" w:hint="default"/>
        </w:rPr>
        <w:t>5</w:t>
      </w:r>
      <w:r>
        <w:rPr/>
        <w:t>月任富量电器（深圳）有限公司</w:t>
      </w:r>
      <w:r>
        <w:rPr>
          <w:spacing w:val="-85"/>
        </w:rPr>
        <w:t> </w:t>
      </w:r>
      <w:r>
        <w:rPr>
          <w:spacing w:val="-85"/>
        </w:rPr>
      </w:r>
      <w:r>
        <w:rPr/>
        <w:t>品质、工程课课长，</w:t>
      </w:r>
      <w:r>
        <w:rPr>
          <w:rFonts w:ascii="Arial" w:hAnsi="Arial" w:cs="Arial" w:eastAsia="Arial" w:hint="default"/>
        </w:rPr>
        <w:t>2003</w:t>
      </w:r>
      <w:r>
        <w:rPr/>
        <w:t>年</w:t>
      </w:r>
      <w:r>
        <w:rPr>
          <w:rFonts w:ascii="Arial" w:hAnsi="Arial" w:cs="Arial" w:eastAsia="Arial" w:hint="default"/>
        </w:rPr>
        <w:t>6</w:t>
      </w:r>
      <w:r>
        <w:rPr/>
        <w:t>月至</w:t>
      </w:r>
      <w:r>
        <w:rPr>
          <w:rFonts w:ascii="Arial" w:hAnsi="Arial" w:cs="Arial" w:eastAsia="Arial" w:hint="default"/>
        </w:rPr>
        <w:t>2008</w:t>
      </w:r>
      <w:r>
        <w:rPr/>
        <w:t>年</w:t>
      </w:r>
      <w:r>
        <w:rPr>
          <w:rFonts w:ascii="Arial" w:hAnsi="Arial" w:cs="Arial" w:eastAsia="Arial" w:hint="default"/>
        </w:rPr>
        <w:t>5</w:t>
      </w:r>
      <w:r>
        <w:rPr/>
        <w:t>月任崧顺国际（深圳）有限公司厂务部协理，</w:t>
      </w:r>
      <w:r>
        <w:rPr>
          <w:rFonts w:ascii="Arial" w:hAnsi="Arial" w:cs="Arial" w:eastAsia="Arial" w:hint="default"/>
        </w:rPr>
        <w:t>2008</w:t>
      </w:r>
      <w:r>
        <w:rPr/>
        <w:t>年</w:t>
      </w:r>
      <w:r>
        <w:rPr>
          <w:rFonts w:ascii="Arial" w:hAnsi="Arial" w:cs="Arial" w:eastAsia="Arial" w:hint="default"/>
        </w:rPr>
        <w:t>6</w:t>
      </w:r>
      <w:r>
        <w:rPr/>
        <w:t>月至今先后任茂硕电源品</w:t>
      </w:r>
      <w:r>
        <w:rPr>
          <w:spacing w:val="-67"/>
        </w:rPr>
        <w:t> </w:t>
      </w:r>
      <w:r>
        <w:rPr>
          <w:spacing w:val="-67"/>
        </w:rPr>
      </w:r>
      <w:r>
        <w:rPr/>
        <w:t>质总监、副总经理。</w:t>
      </w:r>
    </w:p>
    <w:p>
      <w:pPr>
        <w:pStyle w:val="BodyText"/>
        <w:spacing w:line="302" w:lineRule="auto" w:before="29"/>
        <w:ind w:left="633" w:right="1121"/>
        <w:jc w:val="left"/>
      </w:pPr>
      <w:r>
        <w:rPr/>
        <w:t>秦传君先生，</w:t>
      </w:r>
      <w:r>
        <w:rPr>
          <w:rFonts w:ascii="Arial" w:hAnsi="Arial" w:cs="Arial" w:eastAsia="Arial" w:hint="default"/>
        </w:rPr>
        <w:t>2012</w:t>
      </w:r>
      <w:r>
        <w:rPr/>
        <w:t>年任本公司董事、副总经理、财务总监、董事会秘书，其简历见本节</w:t>
      </w:r>
      <w:r>
        <w:rPr>
          <w:rFonts w:ascii="Arial" w:hAnsi="Arial" w:cs="Arial" w:eastAsia="Arial" w:hint="default"/>
        </w:rPr>
        <w:t>“</w:t>
      </w:r>
      <w:r>
        <w:rPr/>
        <w:t>董事</w:t>
      </w:r>
      <w:r>
        <w:rPr>
          <w:rFonts w:ascii="Arial" w:hAnsi="Arial" w:cs="Arial" w:eastAsia="Arial" w:hint="default"/>
        </w:rPr>
        <w:t>”</w:t>
      </w:r>
      <w:r>
        <w:rPr/>
        <w:t>部分。 </w:t>
      </w:r>
      <w:r>
        <w:rPr>
          <w:spacing w:val="-1"/>
        </w:rPr>
        <w:t>程春金先生，中国国籍，</w:t>
      </w:r>
      <w:r>
        <w:rPr>
          <w:rFonts w:ascii="Arial" w:hAnsi="Arial" w:cs="Arial" w:eastAsia="Arial" w:hint="default"/>
          <w:spacing w:val="-1"/>
        </w:rPr>
        <w:t>1974</w:t>
      </w:r>
      <w:r>
        <w:rPr>
          <w:spacing w:val="-1"/>
        </w:rPr>
        <w:t>年</w:t>
      </w:r>
      <w:r>
        <w:rPr>
          <w:rFonts w:ascii="Arial" w:hAnsi="Arial" w:cs="Arial" w:eastAsia="Arial" w:hint="default"/>
          <w:spacing w:val="-1"/>
        </w:rPr>
        <w:t>9</w:t>
      </w:r>
      <w:r>
        <w:rPr>
          <w:spacing w:val="-1"/>
        </w:rPr>
        <w:t>月出生，毕业于南京东南大学机械设计理论专业，硕士研究生。程春金先生</w:t>
      </w:r>
      <w:r>
        <w:rPr>
          <w:rFonts w:ascii="Arial" w:hAnsi="Arial" w:cs="Arial" w:eastAsia="Arial" w:hint="default"/>
          <w:spacing w:val="-1"/>
        </w:rPr>
        <w:t>1999</w:t>
      </w:r>
      <w:r>
        <w:rPr>
          <w:spacing w:val="-1"/>
        </w:rPr>
        <w:t>年</w:t>
      </w:r>
    </w:p>
    <w:p>
      <w:pPr>
        <w:pStyle w:val="BodyText"/>
        <w:spacing w:line="302" w:lineRule="auto" w:before="11"/>
        <w:ind w:right="1129"/>
        <w:jc w:val="both"/>
      </w:pPr>
      <w:r>
        <w:rPr>
          <w:rFonts w:ascii="Arial" w:hAnsi="Arial" w:cs="Arial" w:eastAsia="Arial" w:hint="default"/>
        </w:rPr>
        <w:t>4</w:t>
      </w:r>
      <w:r>
        <w:rPr/>
        <w:t>月至</w:t>
      </w:r>
      <w:r>
        <w:rPr>
          <w:rFonts w:ascii="Arial" w:hAnsi="Arial" w:cs="Arial" w:eastAsia="Arial" w:hint="default"/>
        </w:rPr>
        <w:t>2005</w:t>
      </w:r>
      <w:r>
        <w:rPr/>
        <w:t>年</w:t>
      </w:r>
      <w:r>
        <w:rPr>
          <w:rFonts w:ascii="Arial" w:hAnsi="Arial" w:cs="Arial" w:eastAsia="Arial" w:hint="default"/>
        </w:rPr>
        <w:t>9</w:t>
      </w:r>
      <w:r>
        <w:rPr/>
        <w:t>月任华为技术有限公司宽带装备技术研究部</w:t>
      </w:r>
      <w:r>
        <w:rPr>
          <w:rFonts w:ascii="Arial" w:hAnsi="Arial" w:cs="Arial" w:eastAsia="Arial" w:hint="default"/>
        </w:rPr>
        <w:t>ATE</w:t>
      </w:r>
      <w:r>
        <w:rPr/>
        <w:t>经理，</w:t>
      </w:r>
      <w:r>
        <w:rPr>
          <w:rFonts w:ascii="Arial" w:hAnsi="Arial" w:cs="Arial" w:eastAsia="Arial" w:hint="default"/>
        </w:rPr>
        <w:t>2005</w:t>
      </w:r>
      <w:r>
        <w:rPr/>
        <w:t>年</w:t>
      </w:r>
      <w:r>
        <w:rPr>
          <w:rFonts w:ascii="Arial" w:hAnsi="Arial" w:cs="Arial" w:eastAsia="Arial" w:hint="default"/>
        </w:rPr>
        <w:t>9</w:t>
      </w:r>
      <w:r>
        <w:rPr/>
        <w:t>月至</w:t>
      </w:r>
      <w:r>
        <w:rPr>
          <w:rFonts w:ascii="Arial" w:hAnsi="Arial" w:cs="Arial" w:eastAsia="Arial" w:hint="default"/>
        </w:rPr>
        <w:t>2006</w:t>
      </w:r>
      <w:r>
        <w:rPr/>
        <w:t>年</w:t>
      </w:r>
      <w:r>
        <w:rPr>
          <w:rFonts w:ascii="Arial" w:hAnsi="Arial" w:cs="Arial" w:eastAsia="Arial" w:hint="default"/>
        </w:rPr>
        <w:t>5</w:t>
      </w:r>
      <w:r>
        <w:rPr/>
        <w:t>月任兆天网络</w:t>
      </w:r>
      <w:r>
        <w:rPr>
          <w:rFonts w:ascii="Arial" w:hAnsi="Arial" w:cs="Arial" w:eastAsia="Arial" w:hint="default"/>
        </w:rPr>
        <w:t>(</w:t>
      </w:r>
      <w:r>
        <w:rPr/>
        <w:t>深圳</w:t>
      </w:r>
      <w:r>
        <w:rPr>
          <w:rFonts w:ascii="Arial" w:hAnsi="Arial" w:cs="Arial" w:eastAsia="Arial" w:hint="default"/>
        </w:rPr>
        <w:t>)</w:t>
      </w:r>
      <w:r>
        <w:rPr/>
        <w:t>有限公司中 间试验部经理，</w:t>
      </w:r>
      <w:r>
        <w:rPr>
          <w:rFonts w:ascii="Arial" w:hAnsi="Arial" w:cs="Arial" w:eastAsia="Arial" w:hint="default"/>
        </w:rPr>
        <w:t>2006</w:t>
      </w:r>
      <w:r>
        <w:rPr/>
        <w:t>年</w:t>
      </w:r>
      <w:r>
        <w:rPr>
          <w:rFonts w:ascii="Arial" w:hAnsi="Arial" w:cs="Arial" w:eastAsia="Arial" w:hint="default"/>
        </w:rPr>
        <w:t>9</w:t>
      </w:r>
      <w:r>
        <w:rPr/>
        <w:t>月至</w:t>
      </w:r>
      <w:r>
        <w:rPr>
          <w:rFonts w:ascii="Arial" w:hAnsi="Arial" w:cs="Arial" w:eastAsia="Arial" w:hint="default"/>
        </w:rPr>
        <w:t>2007</w:t>
      </w:r>
      <w:r>
        <w:rPr/>
        <w:t>年</w:t>
      </w:r>
      <w:r>
        <w:rPr>
          <w:rFonts w:ascii="Arial" w:hAnsi="Arial" w:cs="Arial" w:eastAsia="Arial" w:hint="default"/>
        </w:rPr>
        <w:t>4</w:t>
      </w:r>
      <w:r>
        <w:rPr/>
        <w:t>月任协同通信集团有限公司测试部经理，</w:t>
      </w:r>
      <w:r>
        <w:rPr>
          <w:rFonts w:ascii="Arial" w:hAnsi="Arial" w:cs="Arial" w:eastAsia="Arial" w:hint="default"/>
        </w:rPr>
        <w:t>2008</w:t>
      </w:r>
      <w:r>
        <w:rPr/>
        <w:t>年</w:t>
      </w:r>
      <w:r>
        <w:rPr>
          <w:rFonts w:ascii="Arial" w:hAnsi="Arial" w:cs="Arial" w:eastAsia="Arial" w:hint="default"/>
        </w:rPr>
        <w:t>6</w:t>
      </w:r>
      <w:r>
        <w:rPr/>
        <w:t>月至</w:t>
      </w:r>
      <w:r>
        <w:rPr>
          <w:rFonts w:ascii="Arial" w:hAnsi="Arial" w:cs="Arial" w:eastAsia="Arial" w:hint="default"/>
        </w:rPr>
        <w:t>2010</w:t>
      </w:r>
      <w:r>
        <w:rPr/>
        <w:t>年</w:t>
      </w:r>
      <w:r>
        <w:rPr>
          <w:rFonts w:ascii="Arial" w:hAnsi="Arial" w:cs="Arial" w:eastAsia="Arial" w:hint="default"/>
        </w:rPr>
        <w:t>8</w:t>
      </w:r>
      <w:r>
        <w:rPr/>
        <w:t>月任深圳同洲电子股</w:t>
      </w:r>
      <w:r>
        <w:rPr>
          <w:spacing w:val="-30"/>
        </w:rPr>
        <w:t> </w:t>
      </w:r>
      <w:r>
        <w:rPr>
          <w:spacing w:val="-30"/>
        </w:rPr>
      </w:r>
      <w:r>
        <w:rPr/>
        <w:t>份有限公司产品工程部总经理，</w:t>
      </w:r>
      <w:r>
        <w:rPr>
          <w:rFonts w:ascii="Arial" w:hAnsi="Arial" w:cs="Arial" w:eastAsia="Arial" w:hint="default"/>
        </w:rPr>
        <w:t>2010</w:t>
      </w:r>
      <w:r>
        <w:rPr/>
        <w:t>年</w:t>
      </w:r>
      <w:r>
        <w:rPr>
          <w:rFonts w:ascii="Arial" w:hAnsi="Arial" w:cs="Arial" w:eastAsia="Arial" w:hint="default"/>
        </w:rPr>
        <w:t>8</w:t>
      </w:r>
      <w:r>
        <w:rPr/>
        <w:t>月起至今茂硕电源副总经理。</w:t>
      </w:r>
    </w:p>
    <w:p>
      <w:pPr>
        <w:pStyle w:val="BodyText"/>
        <w:spacing w:line="302" w:lineRule="auto" w:before="11"/>
        <w:ind w:right="1131" w:firstLine="480"/>
        <w:jc w:val="both"/>
      </w:pPr>
      <w:r>
        <w:rPr/>
        <w:t>方吉槟先生，</w:t>
      </w:r>
      <w:r>
        <w:rPr>
          <w:rFonts w:ascii="Arial" w:hAnsi="Arial" w:cs="Arial" w:eastAsia="Arial" w:hint="default"/>
        </w:rPr>
        <w:t>1983</w:t>
      </w:r>
      <w:r>
        <w:rPr/>
        <w:t>年出生，中国国籍，无境外永久居留权，中山大学工商管理硕士（</w:t>
      </w:r>
      <w:r>
        <w:rPr>
          <w:rFonts w:ascii="Arial" w:hAnsi="Arial" w:cs="Arial" w:eastAsia="Arial" w:hint="default"/>
        </w:rPr>
        <w:t>MBA</w:t>
      </w:r>
      <w:r>
        <w:rPr/>
        <w:t>在读）。具有证券、期货 </w:t>
      </w:r>
      <w:r>
        <w:rPr>
          <w:spacing w:val="-1"/>
        </w:rPr>
        <w:t>从业资格，曾任职于金元证券股份有限公司、证券时报，</w:t>
      </w:r>
      <w:r>
        <w:rPr>
          <w:rFonts w:ascii="Arial" w:hAnsi="Arial" w:cs="Arial" w:eastAsia="Arial" w:hint="default"/>
          <w:spacing w:val="-1"/>
        </w:rPr>
        <w:t>2011</w:t>
      </w:r>
      <w:r>
        <w:rPr>
          <w:spacing w:val="-1"/>
        </w:rPr>
        <w:t>年</w:t>
      </w:r>
      <w:r>
        <w:rPr>
          <w:rFonts w:ascii="Arial" w:hAnsi="Arial" w:cs="Arial" w:eastAsia="Arial" w:hint="default"/>
          <w:spacing w:val="-1"/>
        </w:rPr>
        <w:t>7</w:t>
      </w:r>
      <w:r>
        <w:rPr>
          <w:spacing w:val="-1"/>
        </w:rPr>
        <w:t>月获得深交所核发的《董事会秘书资格证书》。现任茂硕</w:t>
      </w:r>
      <w:r>
        <w:rPr>
          <w:spacing w:val="-83"/>
        </w:rPr>
        <w:t> </w:t>
      </w:r>
      <w:r>
        <w:rPr>
          <w:spacing w:val="-83"/>
        </w:rPr>
      </w:r>
      <w:r>
        <w:rPr/>
        <w:t>电源科技股份有限公司副总经理、董事会秘书。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ind w:right="0"/>
        <w:jc w:val="both"/>
      </w:pPr>
      <w:r>
        <w:rPr/>
        <w:t>在股东单位任职情况</w:t>
      </w:r>
    </w:p>
    <w:p>
      <w:pPr>
        <w:pStyle w:val="BodyText"/>
        <w:spacing w:line="240" w:lineRule="auto" w:before="115"/>
        <w:ind w:right="0"/>
        <w:jc w:val="both"/>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深圳德旺投资发展有限公司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Arial" w:hAnsi="Arial" w:cs="Arial" w:eastAsia="Arial" w:hint="default"/>
                <w:sz w:val="18"/>
                <w:szCs w:val="18"/>
              </w:rPr>
              <w:t>09</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丁宝玉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6" w:right="31"/>
              <w:jc w:val="left"/>
              <w:rPr>
                <w:rFonts w:ascii="Arial" w:hAnsi="Arial" w:cs="Arial" w:eastAsia="Arial" w:hint="default"/>
                <w:sz w:val="18"/>
                <w:szCs w:val="18"/>
              </w:rPr>
            </w:pPr>
            <w:r>
              <w:rPr>
                <w:rFonts w:ascii="宋体" w:hAnsi="宋体" w:cs="宋体" w:eastAsia="宋体" w:hint="default"/>
                <w:sz w:val="18"/>
                <w:szCs w:val="18"/>
              </w:rPr>
              <w:t>深圳市南海成长创科投资合伙企业</w:t>
            </w:r>
            <w:r>
              <w:rPr>
                <w:rFonts w:ascii="Arial" w:hAnsi="Arial" w:cs="Arial" w:eastAsia="Arial" w:hint="default"/>
                <w:sz w:val="18"/>
                <w:szCs w:val="18"/>
              </w:rPr>
              <w:t>(</w:t>
            </w:r>
            <w:r>
              <w:rPr>
                <w:rFonts w:ascii="宋体" w:hAnsi="宋体" w:cs="宋体" w:eastAsia="宋体" w:hint="default"/>
                <w:sz w:val="18"/>
                <w:szCs w:val="18"/>
              </w:rPr>
              <w:t>有限 合伙</w:t>
            </w:r>
            <w:r>
              <w:rPr>
                <w:rFonts w:ascii="Arial" w:hAnsi="Arial" w:cs="Arial" w:eastAsia="Arial"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18</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顾永德先生为茂硕电源科技股份有限公司董事长、实际控制人，丁宝玉先生为我公司董事。</w:t>
            </w:r>
          </w:p>
        </w:tc>
      </w:tr>
    </w:tbl>
    <w:p>
      <w:pPr>
        <w:pStyle w:val="BodyText"/>
        <w:spacing w:line="240" w:lineRule="auto" w:before="49"/>
        <w:ind w:right="1121"/>
        <w:jc w:val="left"/>
      </w:pPr>
      <w:r>
        <w:rPr/>
        <w:t>在其他单位任职情况</w:t>
      </w:r>
    </w:p>
    <w:p>
      <w:pPr>
        <w:pStyle w:val="BodyText"/>
        <w:spacing w:line="240" w:lineRule="auto" w:before="115"/>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Arial" w:hAnsi="Arial" w:cs="Arial" w:eastAsia="Arial" w:hint="default"/>
                <w:sz w:val="18"/>
                <w:szCs w:val="18"/>
              </w:rPr>
              <w:t>14</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深圳华宏达印刷有限公司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7"/>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Arial" w:hAnsi="Arial" w:cs="Arial" w:eastAsia="Arial" w:hint="default"/>
                <w:sz w:val="18"/>
                <w:szCs w:val="18"/>
              </w:rPr>
              <w:t>27</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北京茂硕新能源科技有限公司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6"/>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06</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30"/>
          <w:footerReference w:type="default" r:id="rId31"/>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3417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56</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Arial" w:hAnsi="Arial" w:cs="Arial" w:eastAsia="Arial" w:hint="default"/>
                <w:sz w:val="18"/>
                <w:szCs w:val="18"/>
              </w:rPr>
              <w:t>18</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深圳华智包装制品有限公司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09</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07</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26</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皮远军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皮远军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7"/>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27</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皮远军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14</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秦传君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7"/>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27</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秦传君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14</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北京梅泰诺通信技术股份有限公司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浙江华睿投资管理有限公司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02</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浙江宇天科技有限公司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7"/>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武汉迪源光电科技有限公司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深圳市万兴软件有限公司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杭州远方光电信息股份有限公司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浙江双雕数控技术股份有限公司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深圳市雷赛智能控制股份有限公司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丁宝玉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广东中讯农科股份有限公司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32"/>
          <w:footerReference w:type="default" r:id="rId33"/>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丁宝玉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大连路明发光科技股份有限公司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02</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深圳市新纶科技股份有限公司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06</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Arial" w:hAnsi="Arial" w:cs="Arial" w:eastAsia="Arial" w:hint="default"/>
                <w:sz w:val="18"/>
                <w:szCs w:val="18"/>
              </w:rPr>
              <w:t>09</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深圳德浩会计师事务所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首席合伙人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路翔股份有限公司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7"/>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Arial" w:hAnsi="Arial" w:cs="Arial" w:eastAsia="Arial" w:hint="default"/>
                <w:spacing w:val="-7"/>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Arial" w:hAnsi="Arial" w:cs="Arial" w:eastAsia="Arial" w:hint="default"/>
                <w:sz w:val="18"/>
                <w:szCs w:val="18"/>
              </w:rPr>
              <w:t>04</w:t>
            </w:r>
            <w:r>
              <w:rPr>
                <w:rFonts w:ascii="Arial" w:hAnsi="Arial" w:cs="Arial" w:eastAsia="Arial" w:hint="default"/>
                <w:spacing w:val="-25"/>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Arial" w:hAnsi="Arial" w:cs="Arial" w:eastAsia="Arial" w:hint="default"/>
                <w:sz w:val="18"/>
                <w:szCs w:val="18"/>
              </w:rPr>
              <w:t>09</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华安期货有限责任公司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09</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18</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暨南大学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管理学院副 院长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2002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7"/>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惠州东进农牧股份有限公司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7"/>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06</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上海曼斯雷德光电有限公司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山西光宇半导体照明有限公司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06</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深圳德旺投资发展有限公司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Arial" w:hAnsi="Arial" w:cs="Arial" w:eastAsia="Arial" w:hint="default"/>
                <w:sz w:val="18"/>
                <w:szCs w:val="18"/>
              </w:rPr>
              <w:t>09</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广东中迅农科股份有限公司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06</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深圳力合清源创业投资管理有限公司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深圳市银宝山新科技股份有限公司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pacing w:val="-9"/>
                <w:sz w:val="18"/>
                <w:szCs w:val="18"/>
              </w:rPr>
              <w:t>11</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方向一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方向一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7"/>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Arial" w:hAnsi="Arial" w:cs="Arial" w:eastAsia="Arial" w:hint="default"/>
                <w:sz w:val="18"/>
                <w:szCs w:val="18"/>
              </w:rPr>
              <w:t>27</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涂洪滨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程春金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Arial" w:hAnsi="Arial" w:cs="Arial" w:eastAsia="Arial" w:hint="default"/>
                <w:sz w:val="18"/>
                <w:szCs w:val="18"/>
              </w:rPr>
              <w:t>25</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34"/>
          <w:pgSz w:w="11910" w:h="16840"/>
          <w:pgMar w:footer="1340" w:header="877" w:top="1060" w:bottom="1540" w:left="980" w:right="0"/>
          <w:pgNumType w:start="57"/>
        </w:sectPr>
      </w:pPr>
    </w:p>
    <w:p>
      <w:pPr>
        <w:spacing w:line="240" w:lineRule="auto" w:before="10"/>
        <w:rPr>
          <w:rFonts w:ascii="Times New Roman" w:hAnsi="Times New Roman" w:cs="Times New Roman" w:eastAsia="Times New Roman" w:hint="default"/>
          <w:sz w:val="26"/>
          <w:szCs w:val="26"/>
        </w:rPr>
      </w:pPr>
      <w:r>
        <w:rPr/>
        <w:pict>
          <v:shape style="position:absolute;margin-left:134.302994pt;margin-top:425.569977pt;width:100.5pt;height:19.7pt;mso-position-horizontal-relative:page;mso-position-vertical-relative:page;z-index:-1034152" type="#_x0000_t202" filled="false" stroked="false">
            <v:textbox inset="0,0,0,0">
              <w:txbxContent>
                <w:p>
                  <w:pPr>
                    <w:pStyle w:val="BodyText"/>
                    <w:spacing w:line="240" w:lineRule="auto" w:before="49"/>
                    <w:ind w:left="0" w:right="0"/>
                    <w:jc w:val="left"/>
                  </w:pPr>
                  <w:r>
                    <w:rPr/>
                    <w:t>财务总监、</w:t>
                  </w:r>
                </w:p>
              </w:txbxContent>
            </v:textbox>
            <w10:wrap type="none"/>
          </v:shape>
        </w:pict>
      </w:r>
      <w:r>
        <w:rPr/>
        <w:pict>
          <v:group style="position:absolute;margin-left:177.740005pt;margin-top:425.569977pt;width:57.05pt;height:19.7pt;mso-position-horizontal-relative:page;mso-position-vertical-relative:page;z-index:-1034128" coordorigin="3555,8511" coordsize="1141,394">
            <v:shape style="position:absolute;left:3555;top:8511;width:1141;height:394" coordorigin="3555,8511" coordsize="1141,394" path="m3555,8905l4695,8905,4695,8511,3555,8511,3555,8905xe" filled="true" fillcolor="#ffffff" stroked="false">
              <v:path arrowok="t"/>
              <v:fill type="solid"/>
            </v:shape>
            <w10:wrap type="none"/>
          </v:group>
        </w:pict>
      </w:r>
    </w:p>
    <w:p>
      <w:pPr>
        <w:pStyle w:val="Heading2"/>
        <w:spacing w:line="240" w:lineRule="auto" w:before="26"/>
        <w:ind w:right="1121"/>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1"/>
        <w:jc w:val="left"/>
      </w:pPr>
      <w:r>
        <w:rPr/>
        <w:t>董事、监事、高级管理人员报酬的决策程序、确定依据</w:t>
      </w:r>
    </w:p>
    <w:p>
      <w:pPr>
        <w:pStyle w:val="BodyText"/>
        <w:spacing w:line="240" w:lineRule="auto" w:before="115"/>
        <w:ind w:right="1121"/>
        <w:jc w:val="left"/>
      </w:pPr>
      <w:r>
        <w:rPr>
          <w:rFonts w:ascii="Arial" w:hAnsi="Arial" w:cs="Arial" w:eastAsia="Arial" w:hint="default"/>
        </w:rPr>
        <w:t>1</w:t>
      </w:r>
      <w:r>
        <w:rPr/>
        <w:t>、董事、监事、高级管理人员报酬的决策程序</w:t>
      </w:r>
    </w:p>
    <w:p>
      <w:pPr>
        <w:pStyle w:val="BodyText"/>
        <w:spacing w:line="307" w:lineRule="auto" w:before="63"/>
        <w:ind w:right="1131" w:firstLine="360"/>
        <w:jc w:val="both"/>
      </w:pPr>
      <w:r>
        <w:rPr>
          <w:rFonts w:ascii="Arial" w:hAnsi="Arial" w:cs="Arial" w:eastAsia="Arial" w:hint="default"/>
          <w:spacing w:val="-1"/>
        </w:rPr>
        <w:t>2012</w:t>
      </w:r>
      <w:r>
        <w:rPr>
          <w:spacing w:val="-1"/>
        </w:rPr>
        <w:t>年</w:t>
      </w:r>
      <w:r>
        <w:rPr>
          <w:rFonts w:ascii="Arial" w:hAnsi="Arial" w:cs="Arial" w:eastAsia="Arial" w:hint="default"/>
          <w:spacing w:val="-1"/>
        </w:rPr>
        <w:t>5</w:t>
      </w:r>
      <w:r>
        <w:rPr>
          <w:spacing w:val="-1"/>
        </w:rPr>
        <w:t>月</w:t>
      </w:r>
      <w:r>
        <w:rPr>
          <w:rFonts w:ascii="Arial" w:hAnsi="Arial" w:cs="Arial" w:eastAsia="Arial" w:hint="default"/>
          <w:spacing w:val="-1"/>
        </w:rPr>
        <w:t>7</w:t>
      </w:r>
      <w:r>
        <w:rPr>
          <w:spacing w:val="-1"/>
        </w:rPr>
        <w:t>日，公司第二届董事会</w:t>
      </w:r>
      <w:r>
        <w:rPr>
          <w:rFonts w:ascii="Arial" w:hAnsi="Arial" w:cs="Arial" w:eastAsia="Arial" w:hint="default"/>
          <w:spacing w:val="-1"/>
        </w:rPr>
        <w:t>2011</w:t>
      </w:r>
      <w:r>
        <w:rPr>
          <w:spacing w:val="-1"/>
        </w:rPr>
        <w:t>年年度董事会，会议审议通过《关于审议《</w:t>
      </w:r>
      <w:r>
        <w:rPr>
          <w:rFonts w:ascii="Arial" w:hAnsi="Arial" w:cs="Arial" w:eastAsia="Arial" w:hint="default"/>
          <w:spacing w:val="-1"/>
        </w:rPr>
        <w:t>2012</w:t>
      </w:r>
      <w:r>
        <w:rPr>
          <w:spacing w:val="-1"/>
        </w:rPr>
        <w:t>年度﹤董事、监事及高级管理</w:t>
      </w:r>
      <w:r>
        <w:rPr/>
        <w:t> </w:t>
      </w:r>
      <w:r>
        <w:rPr>
          <w:spacing w:val="-2"/>
        </w:rPr>
        <w:t>人员薪酬方案﹥的议案》、《关于审议﹤董事、监事、高级管理人员薪酬制度﹥的议案》，独立董事就上述议案发表了同意</w:t>
      </w:r>
      <w:r>
        <w:rPr>
          <w:spacing w:val="-71"/>
        </w:rPr>
        <w:t> </w:t>
      </w:r>
      <w:r>
        <w:rPr>
          <w:spacing w:val="-71"/>
        </w:rPr>
      </w:r>
      <w:r>
        <w:rPr/>
        <w:t>意见；</w:t>
      </w:r>
      <w:r>
        <w:rPr>
          <w:rFonts w:ascii="Arial" w:hAnsi="Arial" w:cs="Arial" w:eastAsia="Arial" w:hint="default"/>
        </w:rPr>
        <w:t>2012</w:t>
      </w:r>
      <w:r>
        <w:rPr/>
        <w:t>年</w:t>
      </w:r>
      <w:r>
        <w:rPr>
          <w:rFonts w:ascii="Arial" w:hAnsi="Arial" w:cs="Arial" w:eastAsia="Arial" w:hint="default"/>
        </w:rPr>
        <w:t>5</w:t>
      </w:r>
      <w:r>
        <w:rPr/>
        <w:t>月</w:t>
      </w:r>
      <w:r>
        <w:rPr>
          <w:rFonts w:ascii="Arial" w:hAnsi="Arial" w:cs="Arial" w:eastAsia="Arial" w:hint="default"/>
        </w:rPr>
        <w:t>29</w:t>
      </w:r>
      <w:r>
        <w:rPr/>
        <w:t>日，公司</w:t>
      </w:r>
      <w:r>
        <w:rPr>
          <w:rFonts w:ascii="Arial" w:hAnsi="Arial" w:cs="Arial" w:eastAsia="Arial" w:hint="default"/>
        </w:rPr>
        <w:t>2011</w:t>
      </w:r>
      <w:r>
        <w:rPr/>
        <w:t>年年度股东大会批准《关于审议</w:t>
      </w:r>
      <w:r>
        <w:rPr>
          <w:rFonts w:ascii="Arial" w:hAnsi="Arial" w:cs="Arial" w:eastAsia="Arial" w:hint="default"/>
        </w:rPr>
        <w:t>&lt;2012</w:t>
      </w:r>
      <w:r>
        <w:rPr/>
        <w:t>年度﹤董事、监事及高级管理人员薪酬方案</w:t>
      </w:r>
      <w:r>
        <w:rPr>
          <w:rFonts w:ascii="Arial" w:hAnsi="Arial" w:cs="Arial" w:eastAsia="Arial" w:hint="default"/>
        </w:rPr>
        <w:t>&gt;</w:t>
      </w:r>
      <w:r>
        <w:rPr/>
        <w:t>的议 案》。</w:t>
      </w:r>
    </w:p>
    <w:p>
      <w:pPr>
        <w:pStyle w:val="BodyText"/>
        <w:spacing w:line="302" w:lineRule="auto" w:before="26"/>
        <w:ind w:left="513" w:right="1121" w:hanging="361"/>
        <w:jc w:val="left"/>
      </w:pPr>
      <w:r>
        <w:rPr>
          <w:rFonts w:ascii="Arial" w:hAnsi="Arial" w:cs="Arial" w:eastAsia="Arial" w:hint="default"/>
        </w:rPr>
        <w:t>2</w:t>
      </w:r>
      <w:r>
        <w:rPr/>
        <w:t>、董事、监事、高级管理人员报酬确定依据 </w:t>
      </w:r>
      <w:r>
        <w:rPr>
          <w:spacing w:val="-2"/>
        </w:rPr>
        <w:t>根据《公司章程》、《董事、监事、高级管理人员薪酬制度》等公司相关制度，结合公司经营规模等实际情况并参照行</w:t>
      </w:r>
    </w:p>
    <w:p>
      <w:pPr>
        <w:pStyle w:val="BodyText"/>
        <w:spacing w:line="240" w:lineRule="auto" w:before="29"/>
        <w:ind w:right="1121"/>
        <w:jc w:val="left"/>
      </w:pPr>
      <w:r>
        <w:rPr/>
        <w:t>业薪酬水平确定。</w:t>
      </w:r>
    </w:p>
    <w:p>
      <w:pPr>
        <w:spacing w:line="240" w:lineRule="auto" w:before="6"/>
        <w:rPr>
          <w:rFonts w:ascii="宋体" w:hAnsi="宋体" w:cs="宋体" w:eastAsia="宋体" w:hint="default"/>
          <w:sz w:val="29"/>
          <w:szCs w:val="29"/>
        </w:rPr>
      </w:pPr>
    </w:p>
    <w:p>
      <w:pPr>
        <w:pStyle w:val="BodyText"/>
        <w:spacing w:line="240" w:lineRule="auto" w:before="44"/>
        <w:ind w:right="1121"/>
        <w:jc w:val="left"/>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285"/>
        <w:gridCol w:w="911"/>
        <w:gridCol w:w="1195"/>
        <w:gridCol w:w="1198"/>
        <w:gridCol w:w="1195"/>
        <w:gridCol w:w="1196"/>
        <w:gridCol w:w="1198"/>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Arial" w:hAnsi="Arial" w:cs="Arial" w:eastAsia="Arial" w:hint="default"/>
                <w:sz w:val="18"/>
                <w:szCs w:val="18"/>
              </w:rPr>
            </w:pPr>
            <w:r>
              <w:rPr>
                <w:rFonts w:ascii="Arial"/>
                <w:sz w:val="18"/>
              </w:rPr>
              <w:t>38.55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366"/>
              <w:jc w:val="right"/>
              <w:rPr>
                <w:rFonts w:ascii="Arial" w:hAnsi="Arial" w:cs="Arial" w:eastAsia="Arial" w:hint="default"/>
                <w:sz w:val="18"/>
                <w:szCs w:val="18"/>
              </w:rPr>
            </w:pPr>
            <w:r>
              <w:rPr>
                <w:rFonts w:ascii="Arial"/>
                <w:w w:val="95"/>
                <w:sz w:val="18"/>
              </w:rPr>
              <w:t>38.55</w:t>
            </w:r>
            <w:r>
              <w:rPr>
                <w:rFonts w:ascii="Arial"/>
                <w:sz w:val="18"/>
              </w:rPr>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皮远军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Arial" w:hAnsi="Arial" w:cs="Arial" w:eastAsia="Arial" w:hint="default"/>
                <w:sz w:val="18"/>
                <w:szCs w:val="18"/>
              </w:rPr>
            </w:pPr>
            <w:r>
              <w:rPr>
                <w:rFonts w:ascii="Arial"/>
                <w:sz w:val="18"/>
              </w:rPr>
              <w:t>47.43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366"/>
              <w:jc w:val="right"/>
              <w:rPr>
                <w:rFonts w:ascii="Arial" w:hAnsi="Arial" w:cs="Arial" w:eastAsia="Arial" w:hint="default"/>
                <w:sz w:val="18"/>
                <w:szCs w:val="18"/>
              </w:rPr>
            </w:pPr>
            <w:r>
              <w:rPr>
                <w:rFonts w:ascii="Arial"/>
                <w:w w:val="95"/>
                <w:sz w:val="18"/>
              </w:rPr>
              <w:t>47.43</w:t>
            </w:r>
            <w:r>
              <w:rPr>
                <w:rFonts w:ascii="Arial"/>
                <w:sz w:val="18"/>
              </w:rPr>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陈克峰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Arial" w:hAnsi="Arial" w:cs="Arial" w:eastAsia="Arial" w:hint="default"/>
                <w:sz w:val="18"/>
                <w:szCs w:val="18"/>
              </w:rPr>
            </w:pPr>
            <w:r>
              <w:rPr>
                <w:rFonts w:ascii="Arial"/>
                <w:sz w:val="18"/>
              </w:rPr>
              <w:t>23.26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66"/>
              <w:jc w:val="right"/>
              <w:rPr>
                <w:rFonts w:ascii="Arial" w:hAnsi="Arial" w:cs="Arial" w:eastAsia="Arial" w:hint="default"/>
                <w:sz w:val="18"/>
                <w:szCs w:val="18"/>
              </w:rPr>
            </w:pPr>
            <w:r>
              <w:rPr>
                <w:rFonts w:ascii="Arial"/>
                <w:w w:val="95"/>
                <w:sz w:val="18"/>
              </w:rPr>
              <w:t>23.26</w:t>
            </w:r>
            <w:r>
              <w:rPr>
                <w:rFonts w:ascii="Arial"/>
                <w:sz w:val="18"/>
              </w:rPr>
            </w:r>
          </w:p>
        </w:tc>
      </w:tr>
      <w:tr>
        <w:trPr>
          <w:trHeight w:val="102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秦传君</w:t>
            </w:r>
          </w:p>
        </w:tc>
        <w:tc>
          <w:tcPr>
            <w:tcW w:w="1198"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董事、副总经 理、 董事会秘书</w:t>
            </w:r>
          </w:p>
        </w:tc>
        <w:tc>
          <w:tcPr>
            <w:tcW w:w="285" w:type="dxa"/>
            <w:tcBorders>
              <w:top w:val="single" w:sz="4" w:space="0" w:color="000000"/>
              <w:left w:val="single" w:sz="10" w:space="0" w:color="FFFFFF"/>
              <w:bottom w:val="single" w:sz="4" w:space="0" w:color="000000"/>
              <w:right w:val="nil" w:sz="6" w:space="0" w:color="auto"/>
            </w:tcBorders>
          </w:tcPr>
          <w:p>
            <w:pPr/>
          </w:p>
        </w:tc>
        <w:tc>
          <w:tcPr>
            <w:tcW w:w="91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Arial" w:hAnsi="Arial" w:cs="Arial" w:eastAsia="Arial" w:hint="default"/>
                <w:sz w:val="18"/>
                <w:szCs w:val="18"/>
              </w:rPr>
            </w:pPr>
            <w:r>
              <w:rPr>
                <w:rFonts w:ascii="Arial"/>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Arial" w:hAnsi="Arial" w:cs="Arial" w:eastAsia="Arial" w:hint="default"/>
                <w:sz w:val="18"/>
                <w:szCs w:val="18"/>
              </w:rPr>
            </w:pPr>
            <w:r>
              <w:rPr>
                <w:rFonts w:ascii="Arial"/>
                <w:sz w:val="18"/>
              </w:rPr>
              <w:t>29.18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66"/>
              <w:jc w:val="right"/>
              <w:rPr>
                <w:rFonts w:ascii="Arial" w:hAnsi="Arial" w:cs="Arial" w:eastAsia="Arial" w:hint="default"/>
                <w:sz w:val="18"/>
                <w:szCs w:val="18"/>
              </w:rPr>
            </w:pPr>
            <w:r>
              <w:rPr>
                <w:rFonts w:ascii="Arial"/>
                <w:w w:val="95"/>
                <w:sz w:val="18"/>
              </w:rPr>
              <w:t>29.18</w:t>
            </w:r>
            <w:r>
              <w:rPr>
                <w:rFonts w:ascii="Arial"/>
                <w:sz w:val="18"/>
              </w:rPr>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姜久春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Arial" w:hAnsi="Arial" w:cs="Arial" w:eastAsia="Arial" w:hint="default"/>
                <w:sz w:val="18"/>
                <w:szCs w:val="18"/>
              </w:rPr>
            </w:pPr>
            <w:r>
              <w:rPr>
                <w:rFonts w:ascii="Arial"/>
                <w:sz w:val="18"/>
              </w:rPr>
              <w:t>2.67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6"/>
              <w:jc w:val="right"/>
              <w:rPr>
                <w:rFonts w:ascii="Arial" w:hAnsi="Arial" w:cs="Arial" w:eastAsia="Arial" w:hint="default"/>
                <w:sz w:val="18"/>
                <w:szCs w:val="18"/>
              </w:rPr>
            </w:pPr>
            <w:r>
              <w:rPr>
                <w:rFonts w:ascii="Arial"/>
                <w:w w:val="95"/>
                <w:sz w:val="18"/>
              </w:rPr>
              <w:t>2.67</w:t>
            </w:r>
            <w:r>
              <w:rPr>
                <w:rFonts w:ascii="Arial"/>
                <w:sz w:val="18"/>
              </w:rPr>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w w:val="99"/>
                <w:sz w:val="18"/>
              </w:rPr>
              <w:t>5</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w w:val="99"/>
                <w:sz w:val="18"/>
              </w:rPr>
              <w:t>5</w:t>
            </w:r>
            <w:r>
              <w:rPr>
                <w:rFonts w:ascii="Arial"/>
                <w:sz w:val="18"/>
              </w:rPr>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Arial" w:hAnsi="Arial" w:cs="Arial" w:eastAsia="Arial" w:hint="default"/>
                <w:sz w:val="18"/>
                <w:szCs w:val="18"/>
              </w:rPr>
            </w:pPr>
            <w:r>
              <w:rPr>
                <w:rFonts w:ascii="Arial"/>
                <w:sz w:val="18"/>
              </w:rPr>
              <w:t>1.67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6"/>
              <w:jc w:val="right"/>
              <w:rPr>
                <w:rFonts w:ascii="Arial" w:hAnsi="Arial" w:cs="Arial" w:eastAsia="Arial" w:hint="default"/>
                <w:sz w:val="18"/>
                <w:szCs w:val="18"/>
              </w:rPr>
            </w:pPr>
            <w:r>
              <w:rPr>
                <w:rFonts w:ascii="Arial"/>
                <w:w w:val="95"/>
                <w:sz w:val="18"/>
              </w:rPr>
              <w:t>1.67</w:t>
            </w:r>
            <w:r>
              <w:rPr>
                <w:rFonts w:ascii="Arial"/>
                <w:sz w:val="18"/>
              </w:rPr>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w w:val="99"/>
                <w:sz w:val="18"/>
              </w:rPr>
              <w:t>5</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w w:val="99"/>
                <w:sz w:val="18"/>
              </w:rPr>
              <w:t>5</w:t>
            </w:r>
            <w:r>
              <w:rPr>
                <w:rFonts w:ascii="Arial"/>
                <w:sz w:val="18"/>
              </w:rPr>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w w:val="99"/>
                <w:sz w:val="18"/>
              </w:rPr>
              <w:t>0</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w w:val="99"/>
                <w:sz w:val="18"/>
              </w:rPr>
              <w:t>0</w:t>
            </w:r>
            <w:r>
              <w:rPr>
                <w:rFonts w:ascii="Arial"/>
                <w:sz w:val="18"/>
              </w:rPr>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丁宝玉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w w:val="99"/>
                <w:sz w:val="18"/>
              </w:rPr>
              <w:t>0</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w w:val="99"/>
                <w:sz w:val="18"/>
              </w:rPr>
              <w:t>0</w:t>
            </w:r>
            <w:r>
              <w:rPr>
                <w:rFonts w:ascii="Arial"/>
                <w:sz w:val="18"/>
              </w:rPr>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方向一</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Arial" w:hAnsi="Arial" w:cs="Arial" w:eastAsia="Arial" w:hint="default"/>
                <w:sz w:val="18"/>
                <w:szCs w:val="18"/>
              </w:rPr>
            </w:pPr>
            <w:r>
              <w:rPr>
                <w:rFonts w:ascii="Arial"/>
                <w:sz w:val="18"/>
              </w:rPr>
              <w:t>10.12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366"/>
              <w:jc w:val="right"/>
              <w:rPr>
                <w:rFonts w:ascii="Arial" w:hAnsi="Arial" w:cs="Arial" w:eastAsia="Arial" w:hint="default"/>
                <w:sz w:val="18"/>
                <w:szCs w:val="18"/>
              </w:rPr>
            </w:pPr>
            <w:r>
              <w:rPr>
                <w:rFonts w:ascii="Arial"/>
                <w:w w:val="95"/>
                <w:sz w:val="18"/>
              </w:rPr>
              <w:t>10.12</w:t>
            </w:r>
            <w:r>
              <w:rPr>
                <w:rFonts w:ascii="Arial"/>
                <w:sz w:val="18"/>
              </w:rPr>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徐治国</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Arial" w:hAnsi="Arial" w:cs="Arial" w:eastAsia="Arial" w:hint="default"/>
                <w:sz w:val="18"/>
                <w:szCs w:val="18"/>
              </w:rPr>
            </w:pPr>
            <w:r>
              <w:rPr>
                <w:rFonts w:ascii="Arial"/>
                <w:sz w:val="18"/>
              </w:rPr>
              <w:t>9.84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6"/>
              <w:jc w:val="right"/>
              <w:rPr>
                <w:rFonts w:ascii="Arial" w:hAnsi="Arial" w:cs="Arial" w:eastAsia="Arial" w:hint="default"/>
                <w:sz w:val="18"/>
                <w:szCs w:val="18"/>
              </w:rPr>
            </w:pPr>
            <w:r>
              <w:rPr>
                <w:rFonts w:ascii="Arial"/>
                <w:w w:val="95"/>
                <w:sz w:val="18"/>
              </w:rPr>
              <w:t>9.84</w:t>
            </w:r>
            <w:r>
              <w:rPr>
                <w:rFonts w:ascii="Arial"/>
                <w:sz w:val="18"/>
              </w:rPr>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金林</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Arial" w:hAnsi="Arial" w:cs="Arial" w:eastAsia="Arial" w:hint="default"/>
                <w:sz w:val="18"/>
                <w:szCs w:val="18"/>
              </w:rPr>
            </w:pPr>
            <w:r>
              <w:rPr>
                <w:rFonts w:ascii="Arial"/>
                <w:sz w:val="18"/>
              </w:rPr>
              <w:t>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Arial" w:hAnsi="Arial" w:cs="Arial" w:eastAsia="Arial" w:hint="default"/>
                <w:sz w:val="18"/>
                <w:szCs w:val="18"/>
              </w:rPr>
            </w:pPr>
            <w:r>
              <w:rPr>
                <w:rFonts w:ascii="Arial"/>
                <w:sz w:val="18"/>
              </w:rPr>
              <w:t>4.68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16"/>
              <w:jc w:val="right"/>
              <w:rPr>
                <w:rFonts w:ascii="Arial" w:hAnsi="Arial" w:cs="Arial" w:eastAsia="Arial" w:hint="default"/>
                <w:sz w:val="18"/>
                <w:szCs w:val="18"/>
              </w:rPr>
            </w:pPr>
            <w:r>
              <w:rPr>
                <w:rFonts w:ascii="Arial"/>
                <w:w w:val="95"/>
                <w:sz w:val="18"/>
              </w:rPr>
              <w:t>4.68</w:t>
            </w:r>
            <w:r>
              <w:rPr>
                <w:rFonts w:ascii="Arial"/>
                <w:sz w:val="18"/>
              </w:rPr>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陶胜</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Arial" w:hAnsi="Arial" w:cs="Arial" w:eastAsia="Arial" w:hint="default"/>
                <w:sz w:val="18"/>
                <w:szCs w:val="18"/>
              </w:rPr>
            </w:pPr>
            <w:r>
              <w:rPr>
                <w:rFonts w:ascii="Arial"/>
                <w:sz w:val="18"/>
              </w:rPr>
              <w:t>9.99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6"/>
              <w:jc w:val="right"/>
              <w:rPr>
                <w:rFonts w:ascii="Arial" w:hAnsi="Arial" w:cs="Arial" w:eastAsia="Arial" w:hint="default"/>
                <w:sz w:val="18"/>
                <w:szCs w:val="18"/>
              </w:rPr>
            </w:pPr>
            <w:r>
              <w:rPr>
                <w:rFonts w:ascii="Arial"/>
                <w:w w:val="95"/>
                <w:sz w:val="18"/>
              </w:rPr>
              <w:t>9.99</w:t>
            </w:r>
            <w:r>
              <w:rPr>
                <w:rFonts w:ascii="Arial"/>
                <w:sz w:val="18"/>
              </w:rPr>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张慧娟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Arial" w:hAnsi="Arial" w:cs="Arial" w:eastAsia="Arial" w:hint="default"/>
                <w:sz w:val="18"/>
                <w:szCs w:val="18"/>
              </w:rPr>
            </w:pPr>
            <w:r>
              <w:rPr>
                <w:rFonts w:ascii="Arial"/>
                <w:sz w:val="18"/>
              </w:rPr>
              <w:t>3.78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6"/>
              <w:jc w:val="right"/>
              <w:rPr>
                <w:rFonts w:ascii="Arial" w:hAnsi="Arial" w:cs="Arial" w:eastAsia="Arial" w:hint="default"/>
                <w:sz w:val="18"/>
                <w:szCs w:val="18"/>
              </w:rPr>
            </w:pPr>
            <w:r>
              <w:rPr>
                <w:rFonts w:ascii="Arial"/>
                <w:w w:val="95"/>
                <w:sz w:val="18"/>
              </w:rPr>
              <w:t>3.78</w:t>
            </w:r>
            <w:r>
              <w:rPr>
                <w:rFonts w:ascii="Arial"/>
                <w:sz w:val="18"/>
              </w:rPr>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w w:val="99"/>
                <w:sz w:val="18"/>
              </w:rPr>
              <w:t>0</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w w:val="99"/>
                <w:sz w:val="18"/>
              </w:rPr>
              <w:t>0</w:t>
            </w:r>
            <w:r>
              <w:rPr>
                <w:rFonts w:ascii="Arial"/>
                <w:sz w:val="18"/>
              </w:rPr>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涂洪滨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29.7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sz w:val="18"/>
              </w:rPr>
              <w:t>29.7</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程春金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Arial" w:hAnsi="Arial" w:cs="Arial" w:eastAsia="Arial" w:hint="default"/>
                <w:sz w:val="18"/>
                <w:szCs w:val="18"/>
              </w:rPr>
            </w:pPr>
            <w:r>
              <w:rPr>
                <w:rFonts w:ascii="Arial"/>
                <w:sz w:val="18"/>
              </w:rPr>
              <w:t>26.98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366"/>
              <w:jc w:val="right"/>
              <w:rPr>
                <w:rFonts w:ascii="Arial" w:hAnsi="Arial" w:cs="Arial" w:eastAsia="Arial" w:hint="default"/>
                <w:sz w:val="18"/>
                <w:szCs w:val="18"/>
              </w:rPr>
            </w:pPr>
            <w:r>
              <w:rPr>
                <w:rFonts w:ascii="Arial"/>
                <w:w w:val="95"/>
                <w:sz w:val="18"/>
              </w:rPr>
              <w:t>26.98</w:t>
            </w:r>
            <w:r>
              <w:rPr>
                <w:rFonts w:ascii="Arial"/>
                <w:sz w:val="18"/>
              </w:rPr>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副总经理、董</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Arial" w:hAnsi="Arial" w:cs="Arial" w:eastAsia="Arial" w:hint="default"/>
                <w:sz w:val="18"/>
                <w:szCs w:val="18"/>
              </w:rPr>
            </w:pPr>
            <w:r>
              <w:rPr>
                <w:rFonts w:ascii="Arial"/>
                <w:sz w:val="18"/>
              </w:rPr>
              <w:t>6.48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6"/>
              <w:jc w:val="right"/>
              <w:rPr>
                <w:rFonts w:ascii="Arial" w:hAnsi="Arial" w:cs="Arial" w:eastAsia="Arial" w:hint="default"/>
                <w:sz w:val="18"/>
                <w:szCs w:val="18"/>
              </w:rPr>
            </w:pPr>
            <w:r>
              <w:rPr>
                <w:rFonts w:ascii="Arial"/>
                <w:w w:val="95"/>
                <w:sz w:val="18"/>
              </w:rPr>
              <w:t>6.48</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1340" w:top="1060" w:bottom="15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363" w:hRule="exact"/>
        </w:trPr>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事会秘书</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9" w:right="0"/>
              <w:jc w:val="left"/>
              <w:rPr>
                <w:rFonts w:ascii="Arial" w:hAnsi="Arial" w:cs="Arial" w:eastAsia="Arial" w:hint="default"/>
                <w:sz w:val="18"/>
                <w:szCs w:val="18"/>
              </w:rPr>
            </w:pPr>
            <w:r>
              <w:rPr>
                <w:rFonts w:ascii="Arial"/>
                <w:sz w:val="18"/>
              </w:rPr>
              <w:t>254.33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Arial" w:hAnsi="Arial" w:cs="Arial" w:eastAsia="Arial" w:hint="default"/>
                <w:sz w:val="18"/>
                <w:szCs w:val="18"/>
              </w:rPr>
            </w:pPr>
            <w:r>
              <w:rPr>
                <w:rFonts w:ascii="Arial"/>
                <w:w w:val="99"/>
                <w:sz w:val="18"/>
              </w:rPr>
              <w:t>-</w:t>
            </w:r>
            <w:r>
              <w:rPr>
                <w:rFonts w:ascii="Arial"/>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9" w:right="0"/>
              <w:jc w:val="left"/>
              <w:rPr>
                <w:rFonts w:ascii="Arial" w:hAnsi="Arial" w:cs="Arial" w:eastAsia="Arial" w:hint="default"/>
                <w:sz w:val="18"/>
                <w:szCs w:val="18"/>
              </w:rPr>
            </w:pPr>
            <w:r>
              <w:rPr>
                <w:rFonts w:ascii="Arial"/>
                <w:sz w:val="18"/>
              </w:rPr>
              <w:t>254.33</w:t>
            </w:r>
          </w:p>
        </w:tc>
      </w:tr>
    </w:tbl>
    <w:p>
      <w:pPr>
        <w:pStyle w:val="BodyText"/>
        <w:spacing w:line="240" w:lineRule="auto" w:before="49"/>
        <w:ind w:right="1121"/>
        <w:jc w:val="left"/>
      </w:pPr>
      <w:r>
        <w:rPr/>
        <w:t>公司董事、监事、高级管理人员报告期内被授予的股权激励情况</w:t>
      </w:r>
    </w:p>
    <w:p>
      <w:pPr>
        <w:pStyle w:val="BodyText"/>
        <w:spacing w:line="240" w:lineRule="auto" w:before="117"/>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58"/>
        <w:gridCol w:w="958"/>
        <w:gridCol w:w="958"/>
        <w:gridCol w:w="955"/>
        <w:gridCol w:w="958"/>
        <w:gridCol w:w="958"/>
        <w:gridCol w:w="958"/>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2" w:right="20"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4" w:right="19" w:hanging="3"/>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Arial" w:hAnsi="Arial" w:cs="Arial" w:eastAsia="Arial" w:hint="default"/>
                <w:spacing w:val="-9"/>
                <w:sz w:val="18"/>
                <w:szCs w:val="18"/>
              </w:rPr>
              <w:t>/</w:t>
            </w:r>
            <w:r>
              <w:rPr>
                <w:rFonts w:ascii="Arial" w:hAnsi="Arial" w:cs="Arial" w:eastAsia="Arial" w:hint="default"/>
                <w:w w:val="100"/>
                <w:sz w:val="18"/>
                <w:szCs w:val="18"/>
              </w:rPr>
              <w:t> </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Arial" w:hAnsi="Arial" w:cs="Arial" w:eastAsia="Arial" w:hint="default"/>
                <w:sz w:val="18"/>
                <w:szCs w:val="18"/>
              </w:rPr>
              <w:t>/</w:t>
            </w: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9" w:right="0"/>
              <w:jc w:val="left"/>
              <w:rPr>
                <w:rFonts w:ascii="宋体" w:hAnsi="宋体" w:cs="宋体" w:eastAsia="宋体" w:hint="default"/>
                <w:sz w:val="18"/>
                <w:szCs w:val="18"/>
              </w:rPr>
            </w:pP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皮远军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16.69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8" w:right="0"/>
              <w:jc w:val="left"/>
              <w:rPr>
                <w:rFonts w:ascii="Arial" w:hAnsi="Arial" w:cs="Arial" w:eastAsia="Arial" w:hint="default"/>
                <w:sz w:val="18"/>
                <w:szCs w:val="18"/>
              </w:rPr>
            </w:pPr>
            <w:r>
              <w:rPr>
                <w:rFonts w:ascii="Arial"/>
                <w:sz w:val="18"/>
              </w:rPr>
              <w:t>100,000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47"/>
              <w:jc w:val="right"/>
              <w:rPr>
                <w:rFonts w:ascii="Arial" w:hAnsi="Arial" w:cs="Arial" w:eastAsia="Arial" w:hint="default"/>
                <w:sz w:val="18"/>
                <w:szCs w:val="18"/>
              </w:rPr>
            </w:pPr>
            <w:r>
              <w:rPr>
                <w:rFonts w:ascii="Arial"/>
                <w:w w:val="95"/>
                <w:sz w:val="18"/>
              </w:rPr>
              <w:t>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8" w:right="0"/>
              <w:jc w:val="left"/>
              <w:rPr>
                <w:rFonts w:ascii="Arial" w:hAnsi="Arial" w:cs="Arial" w:eastAsia="Arial" w:hint="default"/>
                <w:sz w:val="18"/>
                <w:szCs w:val="18"/>
              </w:rPr>
            </w:pPr>
            <w:r>
              <w:rPr>
                <w:rFonts w:ascii="Arial"/>
                <w:sz w:val="18"/>
              </w:rPr>
              <w:t>100,000</w:t>
            </w:r>
          </w:p>
        </w:tc>
      </w:tr>
      <w:tr>
        <w:trPr>
          <w:trHeight w:val="71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秦传君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18"/>
                <w:szCs w:val="18"/>
              </w:rPr>
            </w:pPr>
            <w:r>
              <w:rPr>
                <w:rFonts w:ascii="Arial"/>
                <w:sz w:val="18"/>
              </w:rPr>
              <w:t>16.69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 w:right="0"/>
              <w:jc w:val="left"/>
              <w:rPr>
                <w:rFonts w:ascii="Arial" w:hAnsi="Arial" w:cs="Arial" w:eastAsia="Arial" w:hint="default"/>
                <w:sz w:val="18"/>
                <w:szCs w:val="18"/>
              </w:rPr>
            </w:pPr>
            <w:r>
              <w:rPr>
                <w:rFonts w:ascii="Arial"/>
                <w:sz w:val="18"/>
              </w:rPr>
              <w:t>98,800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47"/>
              <w:jc w:val="right"/>
              <w:rPr>
                <w:rFonts w:ascii="Arial" w:hAnsi="Arial" w:cs="Arial" w:eastAsia="Arial" w:hint="default"/>
                <w:sz w:val="18"/>
                <w:szCs w:val="18"/>
              </w:rPr>
            </w:pPr>
            <w:r>
              <w:rPr>
                <w:rFonts w:ascii="Arial"/>
                <w:w w:val="95"/>
                <w:sz w:val="18"/>
              </w:rPr>
              <w:t>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 w:right="0"/>
              <w:jc w:val="left"/>
              <w:rPr>
                <w:rFonts w:ascii="Arial" w:hAnsi="Arial" w:cs="Arial" w:eastAsia="Arial" w:hint="default"/>
                <w:sz w:val="18"/>
                <w:szCs w:val="18"/>
              </w:rPr>
            </w:pPr>
            <w:r>
              <w:rPr>
                <w:rFonts w:ascii="Arial"/>
                <w:sz w:val="18"/>
              </w:rPr>
              <w:t>98,800</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涂洪滨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sz w:val="18"/>
              </w:rPr>
              <w:t>16.69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8" w:right="0"/>
              <w:jc w:val="left"/>
              <w:rPr>
                <w:rFonts w:ascii="Arial" w:hAnsi="Arial" w:cs="Arial" w:eastAsia="Arial" w:hint="default"/>
                <w:sz w:val="18"/>
                <w:szCs w:val="18"/>
              </w:rPr>
            </w:pPr>
            <w:r>
              <w:rPr>
                <w:rFonts w:ascii="Arial"/>
                <w:sz w:val="18"/>
              </w:rPr>
              <w:t>100,000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347"/>
              <w:jc w:val="right"/>
              <w:rPr>
                <w:rFonts w:ascii="Arial" w:hAnsi="Arial" w:cs="Arial" w:eastAsia="Arial" w:hint="default"/>
                <w:sz w:val="18"/>
                <w:szCs w:val="18"/>
              </w:rPr>
            </w:pPr>
            <w:r>
              <w:rPr>
                <w:rFonts w:ascii="Arial"/>
                <w:w w:val="95"/>
                <w:sz w:val="18"/>
              </w:rPr>
              <w:t>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8" w:right="0"/>
              <w:jc w:val="left"/>
              <w:rPr>
                <w:rFonts w:ascii="Arial" w:hAnsi="Arial" w:cs="Arial" w:eastAsia="Arial" w:hint="default"/>
                <w:sz w:val="18"/>
                <w:szCs w:val="18"/>
              </w:rPr>
            </w:pPr>
            <w:r>
              <w:rPr>
                <w:rFonts w:ascii="Arial"/>
                <w:sz w:val="18"/>
              </w:rPr>
              <w:t>100,000</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程春金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16.69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9" w:right="0"/>
              <w:jc w:val="left"/>
              <w:rPr>
                <w:rFonts w:ascii="Arial" w:hAnsi="Arial" w:cs="Arial" w:eastAsia="Arial" w:hint="default"/>
                <w:sz w:val="18"/>
                <w:szCs w:val="18"/>
              </w:rPr>
            </w:pPr>
            <w:r>
              <w:rPr>
                <w:rFonts w:ascii="Arial"/>
                <w:sz w:val="18"/>
              </w:rPr>
              <w:t>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47"/>
              <w:jc w:val="right"/>
              <w:rPr>
                <w:rFonts w:ascii="Arial" w:hAnsi="Arial" w:cs="Arial" w:eastAsia="Arial" w:hint="default"/>
                <w:sz w:val="18"/>
                <w:szCs w:val="18"/>
              </w:rPr>
            </w:pPr>
            <w:r>
              <w:rPr>
                <w:rFonts w:ascii="Arial"/>
                <w:w w:val="95"/>
                <w:sz w:val="18"/>
              </w:rPr>
              <w:t>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9" w:right="0"/>
              <w:jc w:val="left"/>
              <w:rPr>
                <w:rFonts w:ascii="Arial" w:hAnsi="Arial" w:cs="Arial" w:eastAsia="Arial" w:hint="default"/>
                <w:sz w:val="18"/>
                <w:szCs w:val="18"/>
              </w:rPr>
            </w:pPr>
            <w:r>
              <w:rPr>
                <w:rFonts w:ascii="Arial"/>
                <w:sz w:val="18"/>
              </w:rPr>
              <w:t>80,000</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16.69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9" w:right="0"/>
              <w:jc w:val="left"/>
              <w:rPr>
                <w:rFonts w:ascii="Arial" w:hAnsi="Arial" w:cs="Arial" w:eastAsia="Arial" w:hint="default"/>
                <w:sz w:val="18"/>
                <w:szCs w:val="18"/>
              </w:rPr>
            </w:pPr>
            <w:r>
              <w:rPr>
                <w:rFonts w:ascii="Arial"/>
                <w:sz w:val="18"/>
              </w:rPr>
              <w:t>50,000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47"/>
              <w:jc w:val="right"/>
              <w:rPr>
                <w:rFonts w:ascii="Arial" w:hAnsi="Arial" w:cs="Arial" w:eastAsia="Arial" w:hint="default"/>
                <w:sz w:val="18"/>
                <w:szCs w:val="18"/>
              </w:rPr>
            </w:pPr>
            <w:r>
              <w:rPr>
                <w:rFonts w:ascii="Arial"/>
                <w:w w:val="95"/>
                <w:sz w:val="18"/>
              </w:rPr>
              <w:t>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9" w:right="0"/>
              <w:jc w:val="left"/>
              <w:rPr>
                <w:rFonts w:ascii="Arial" w:hAnsi="Arial" w:cs="Arial" w:eastAsia="Arial" w:hint="default"/>
                <w:sz w:val="18"/>
                <w:szCs w:val="18"/>
              </w:rPr>
            </w:pPr>
            <w:r>
              <w:rPr>
                <w:rFonts w:ascii="Arial"/>
                <w:sz w:val="18"/>
              </w:rPr>
              <w:t>50,000</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9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Arial" w:hAnsi="Arial" w:cs="Arial" w:eastAsia="Arial" w:hint="default"/>
                <w:sz w:val="18"/>
                <w:szCs w:val="18"/>
              </w:rPr>
            </w:pPr>
            <w:r>
              <w:rPr>
                <w:rFonts w:ascii="Arial"/>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2"/>
              <w:ind w:left="148" w:right="0"/>
              <w:jc w:val="left"/>
              <w:rPr>
                <w:rFonts w:ascii="Arial" w:hAnsi="Arial" w:cs="Arial" w:eastAsia="Arial" w:hint="default"/>
                <w:sz w:val="18"/>
                <w:szCs w:val="18"/>
              </w:rPr>
            </w:pPr>
            <w:r>
              <w:rPr>
                <w:rFonts w:ascii="Arial"/>
                <w:sz w:val="18"/>
              </w:rPr>
              <w:t>428,800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413"/>
              <w:jc w:val="right"/>
              <w:rPr>
                <w:rFonts w:ascii="Arial" w:hAnsi="Arial" w:cs="Arial" w:eastAsia="Arial" w:hint="default"/>
                <w:sz w:val="18"/>
                <w:szCs w:val="18"/>
              </w:rPr>
            </w:pPr>
            <w:r>
              <w:rPr>
                <w:rFonts w:ascii="Arial"/>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Arial" w:hAnsi="Arial" w:cs="Arial" w:eastAsia="Arial" w:hint="default"/>
                <w:sz w:val="18"/>
                <w:szCs w:val="18"/>
              </w:rPr>
            </w:pPr>
            <w:r>
              <w:rPr>
                <w:rFonts w:ascii="Arial"/>
                <w:sz w:val="18"/>
              </w:rPr>
              <w:t>428,800</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8615" w:type="dxa"/>
            <w:gridSpan w:val="9"/>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皮远军、秦传君、涂洪滨、程春金、方吉槟报告期内获授的限制性股票均未解锁。</w:t>
            </w:r>
          </w:p>
        </w:tc>
      </w:tr>
    </w:tbl>
    <w:p>
      <w:pPr>
        <w:spacing w:line="240" w:lineRule="auto" w:before="1"/>
        <w:rPr>
          <w:rFonts w:ascii="宋体" w:hAnsi="宋体" w:cs="宋体" w:eastAsia="宋体" w:hint="default"/>
          <w:sz w:val="18"/>
          <w:szCs w:val="18"/>
        </w:rPr>
      </w:pPr>
    </w:p>
    <w:p>
      <w:pPr>
        <w:pStyle w:val="Heading2"/>
        <w:spacing w:line="240" w:lineRule="auto" w:before="26"/>
        <w:ind w:right="1121"/>
        <w:jc w:val="left"/>
        <w:rPr>
          <w:b w:val="0"/>
          <w:bCs w:val="0"/>
        </w:rPr>
      </w:pPr>
      <w:r>
        <w:rPr/>
        <w:pict>
          <v:shape style="position:absolute;margin-left:71.642998pt;margin-top:-31.964371pt;width:462.25pt;height:19.6pt;mso-position-horizontal-relative:page;mso-position-vertical-relative:paragraph;z-index:-1034104" type="#_x0000_t202" filled="false" stroked="false">
            <v:textbox inset="0,0,0,0">
              <w:txbxContent>
                <w:p>
                  <w:pPr>
                    <w:pStyle w:val="BodyText"/>
                    <w:spacing w:line="240" w:lineRule="auto" w:before="49"/>
                    <w:ind w:left="0" w:right="0"/>
                    <w:jc w:val="left"/>
                  </w:pPr>
                  <w:r>
                    <w:rPr/>
                    <w:t>（如有）</w:t>
                  </w:r>
                </w:p>
              </w:txbxContent>
            </v:textbox>
            <w10:wrap type="none"/>
          </v:shape>
        </w:pict>
      </w:r>
      <w:r>
        <w:rPr/>
        <w:pict>
          <v:group style="position:absolute;margin-left:104.779999pt;margin-top:-32.564373pt;width:429.1pt;height:20.8pt;mso-position-horizontal-relative:page;mso-position-vertical-relative:paragraph;z-index:-1034080" coordorigin="2096,-651" coordsize="8582,416">
            <v:group style="position:absolute;left:2108;top:-639;width:2;height:392" coordorigin="2108,-639" coordsize="2,392">
              <v:shape style="position:absolute;left:2108;top:-639;width:2;height:392" coordorigin="2108,-639" coordsize="0,392" path="m2108,-639l2108,-248e" filled="false" stroked="true" strokeweight="1.2pt" strokecolor="#ffffff">
                <v:path arrowok="t"/>
              </v:shape>
            </v:group>
            <v:group style="position:absolute;left:2120;top:-639;width:8558;height:392" coordorigin="2120,-639" coordsize="8558,392">
              <v:shape style="position:absolute;left:2120;top:-639;width:8558;height:392" coordorigin="2120,-639" coordsize="8558,392" path="m2120,-248l10677,-248,10677,-639,2120,-639,2120,-248xe" filled="true" fillcolor="#ffffff" stroked="false">
                <v:path arrowok="t"/>
                <v:fill type="solid"/>
              </v:shape>
            </v:group>
            <w10:wrap type="none"/>
          </v:group>
        </w:pict>
      </w:r>
      <w:r>
        <w:rPr/>
        <w:t>四、公司董事、监事、高级管理人员离职和解聘情况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before="44"/>
        <w:ind w:left="0" w:right="1141"/>
        <w:jc w:val="right"/>
      </w:pPr>
      <w:r>
        <w:rPr/>
        <w:pict>
          <v:shape style="position:absolute;margin-left:56.400002pt;margin-top:-87.728279pt;width:479.15pt;height:194.7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姜久春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08</w:t>
                        </w:r>
                        <w:r>
                          <w:rPr>
                            <w:rFonts w:ascii="Arial" w:hAnsi="Arial" w:cs="Arial" w:eastAsia="Arial"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姜久春先生现任北京交通大学电气工程学院院长，因 学校内部工作安排的需要，提出辞去公司独立董事职 务。</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秦传君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08</w:t>
                        </w:r>
                        <w:r>
                          <w:rPr>
                            <w:rFonts w:ascii="Arial" w:hAnsi="Arial" w:cs="Arial" w:eastAsia="Arial"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秦传君先生因职务繁重，申请辞去董事会秘书职务， </w:t>
                        </w:r>
                        <w:r>
                          <w:rPr>
                            <w:rFonts w:ascii="宋体" w:hAnsi="宋体" w:cs="宋体" w:eastAsia="宋体" w:hint="default"/>
                            <w:spacing w:val="-2"/>
                            <w:sz w:val="18"/>
                            <w:szCs w:val="18"/>
                          </w:rPr>
                          <w:t>辞去董事会秘书职务后，秦传君先生仍担任公司董事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副总经理、财务总监职务。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徐治国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09</w:t>
                        </w:r>
                        <w:r>
                          <w:rPr>
                            <w:rFonts w:ascii="Arial" w:hAnsi="Arial" w:cs="Arial" w:eastAsia="Arial"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徐治国先生因个人原因申请辞去公司监事职务。</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陈克峰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09</w:t>
                        </w:r>
                        <w:r>
                          <w:rPr>
                            <w:rFonts w:ascii="Arial" w:hAnsi="Arial" w:cs="Arial" w:eastAsia="Arial"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left"/>
                          <w:rPr>
                            <w:rFonts w:ascii="宋体" w:hAnsi="宋体" w:cs="宋体" w:eastAsia="宋体" w:hint="default"/>
                            <w:sz w:val="18"/>
                            <w:szCs w:val="18"/>
                          </w:rPr>
                        </w:pPr>
                        <w:r>
                          <w:rPr>
                            <w:rFonts w:ascii="宋体" w:hAnsi="宋体" w:cs="宋体" w:eastAsia="宋体" w:hint="default"/>
                            <w:spacing w:val="-2"/>
                            <w:sz w:val="18"/>
                            <w:szCs w:val="18"/>
                          </w:rPr>
                          <w:t>陈克峰先生由于职务繁重及身体原因，辞去公司董事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副总经理职务。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0"/>
        <w:ind w:right="1121"/>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1" w:firstLine="360"/>
        <w:jc w:val="left"/>
      </w:pPr>
      <w:r>
        <w:rPr>
          <w:spacing w:val="-2"/>
        </w:rPr>
        <w:t>公司报告期内核心技术人员雷民生、王永彬已离职，公司已建立和采取了一系列规章制度和措施来保护公司的核心技术</w:t>
      </w:r>
      <w:r>
        <w:rPr/>
        <w:t> 和知识产权，不会对公司的核心竞争力造成重大影响。</w:t>
      </w:r>
    </w:p>
    <w:p>
      <w:pPr>
        <w:spacing w:after="0" w:line="316" w:lineRule="auto"/>
        <w:jc w:val="left"/>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1"/>
        <w:jc w:val="left"/>
        <w:rPr>
          <w:b w:val="0"/>
          <w:bCs w:val="0"/>
        </w:rPr>
      </w:pPr>
      <w:r>
        <w:rPr/>
        <w:t>六、公司员工情况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121"/>
        <w:jc w:val="left"/>
      </w:pPr>
      <w:r>
        <w:rPr/>
        <w:t>（一）茂硕电源</w:t>
      </w:r>
    </w:p>
    <w:p>
      <w:pPr>
        <w:spacing w:line="240" w:lineRule="auto" w:before="10"/>
        <w:rPr>
          <w:rFonts w:ascii="宋体" w:hAnsi="宋体" w:cs="宋体" w:eastAsia="宋体" w:hint="default"/>
          <w:sz w:val="3"/>
          <w:szCs w:val="3"/>
        </w:rPr>
      </w:pPr>
    </w:p>
    <w:tbl>
      <w:tblPr>
        <w:tblW w:w="0" w:type="auto"/>
        <w:jc w:val="left"/>
        <w:tblInd w:w="157" w:type="dxa"/>
        <w:tblLayout w:type="fixed"/>
        <w:tblCellMar>
          <w:top w:w="0" w:type="dxa"/>
          <w:left w:w="0" w:type="dxa"/>
          <w:bottom w:w="0" w:type="dxa"/>
          <w:right w:w="0" w:type="dxa"/>
        </w:tblCellMar>
        <w:tblLook w:val="01E0"/>
      </w:tblPr>
      <w:tblGrid>
        <w:gridCol w:w="5409"/>
        <w:gridCol w:w="4138"/>
      </w:tblGrid>
      <w:tr>
        <w:trPr>
          <w:trHeight w:val="353" w:hRule="exact"/>
        </w:trPr>
        <w:tc>
          <w:tcPr>
            <w:tcW w:w="5409" w:type="dxa"/>
            <w:tcBorders>
              <w:top w:val="single" w:sz="6" w:space="0" w:color="000000"/>
              <w:left w:val="nil" w:sz="6" w:space="0" w:color="auto"/>
              <w:bottom w:val="single" w:sz="11" w:space="0" w:color="000000"/>
              <w:right w:val="single" w:sz="6" w:space="0" w:color="000000"/>
            </w:tcBorders>
          </w:tcPr>
          <w:p>
            <w:pPr>
              <w:pStyle w:val="TableParagraph"/>
              <w:spacing w:line="240" w:lineRule="auto" w:before="17"/>
              <w:ind w:left="76" w:right="0"/>
              <w:jc w:val="center"/>
              <w:rPr>
                <w:rFonts w:ascii="宋体" w:hAnsi="宋体" w:cs="宋体" w:eastAsia="宋体" w:hint="default"/>
                <w:sz w:val="18"/>
                <w:szCs w:val="18"/>
              </w:rPr>
            </w:pPr>
            <w:r>
              <w:rPr>
                <w:rFonts w:ascii="宋体" w:hAnsi="宋体" w:cs="宋体" w:eastAsia="宋体" w:hint="default"/>
                <w:sz w:val="18"/>
                <w:szCs w:val="18"/>
              </w:rPr>
              <w:t>在职员工人数</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Arial" w:hAnsi="Arial" w:cs="Arial" w:eastAsia="Arial" w:hint="default"/>
                <w:sz w:val="18"/>
                <w:szCs w:val="18"/>
              </w:rPr>
            </w:pPr>
            <w:r>
              <w:rPr>
                <w:rFonts w:ascii="Arial"/>
                <w:sz w:val="18"/>
              </w:rPr>
              <w:t>762</w:t>
            </w:r>
          </w:p>
        </w:tc>
      </w:tr>
      <w:tr>
        <w:trPr>
          <w:trHeight w:val="324" w:hRule="exact"/>
        </w:trPr>
        <w:tc>
          <w:tcPr>
            <w:tcW w:w="5409"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62" w:hRule="exact"/>
        </w:trPr>
        <w:tc>
          <w:tcPr>
            <w:tcW w:w="5409" w:type="dxa"/>
            <w:tcBorders>
              <w:top w:val="single" w:sz="10" w:space="0" w:color="000000"/>
              <w:left w:val="nil" w:sz="6" w:space="0" w:color="auto"/>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413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1"/>
              <w:ind w:right="1"/>
              <w:jc w:val="center"/>
              <w:rPr>
                <w:rFonts w:ascii="Arial" w:hAnsi="Arial" w:cs="Arial" w:eastAsia="Arial" w:hint="default"/>
                <w:sz w:val="18"/>
                <w:szCs w:val="18"/>
              </w:rPr>
            </w:pPr>
            <w:r>
              <w:rPr>
                <w:rFonts w:ascii="Arial"/>
                <w:w w:val="99"/>
                <w:sz w:val="18"/>
              </w:rPr>
              <w:t>8</w:t>
            </w:r>
            <w:r>
              <w:rPr>
                <w:rFonts w:ascii="Arial"/>
                <w:sz w:val="18"/>
              </w:rPr>
            </w:r>
          </w:p>
        </w:tc>
      </w:tr>
      <w:tr>
        <w:trPr>
          <w:trHeight w:val="348" w:hRule="exact"/>
        </w:trPr>
        <w:tc>
          <w:tcPr>
            <w:tcW w:w="54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Arial" w:hAnsi="Arial" w:cs="Arial" w:eastAsia="Arial" w:hint="default"/>
                <w:sz w:val="18"/>
                <w:szCs w:val="18"/>
              </w:rPr>
            </w:pPr>
            <w:r>
              <w:rPr>
                <w:rFonts w:ascii="Arial"/>
                <w:sz w:val="18"/>
              </w:rPr>
              <w:t>10</w:t>
            </w:r>
          </w:p>
        </w:tc>
      </w:tr>
      <w:tr>
        <w:trPr>
          <w:trHeight w:val="346" w:hRule="exact"/>
        </w:trPr>
        <w:tc>
          <w:tcPr>
            <w:tcW w:w="54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Arial" w:hAnsi="Arial" w:cs="Arial" w:eastAsia="Arial" w:hint="default"/>
                <w:sz w:val="18"/>
                <w:szCs w:val="18"/>
              </w:rPr>
            </w:pPr>
            <w:r>
              <w:rPr>
                <w:rFonts w:ascii="Arial"/>
                <w:sz w:val="18"/>
              </w:rPr>
              <w:t>52</w:t>
            </w:r>
          </w:p>
        </w:tc>
      </w:tr>
      <w:tr>
        <w:trPr>
          <w:trHeight w:val="348" w:hRule="exact"/>
        </w:trPr>
        <w:tc>
          <w:tcPr>
            <w:tcW w:w="54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Arial" w:hAnsi="Arial" w:cs="Arial" w:eastAsia="Arial" w:hint="default"/>
                <w:sz w:val="18"/>
                <w:szCs w:val="18"/>
              </w:rPr>
            </w:pPr>
            <w:r>
              <w:rPr>
                <w:rFonts w:ascii="Arial"/>
                <w:sz w:val="18"/>
              </w:rPr>
              <w:t>62</w:t>
            </w:r>
          </w:p>
        </w:tc>
      </w:tr>
      <w:tr>
        <w:trPr>
          <w:trHeight w:val="348" w:hRule="exact"/>
        </w:trPr>
        <w:tc>
          <w:tcPr>
            <w:tcW w:w="54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其它人员</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Arial" w:hAnsi="Arial" w:cs="Arial" w:eastAsia="Arial" w:hint="default"/>
                <w:sz w:val="18"/>
                <w:szCs w:val="18"/>
              </w:rPr>
            </w:pPr>
            <w:r>
              <w:rPr>
                <w:rFonts w:ascii="Arial"/>
                <w:sz w:val="18"/>
              </w:rPr>
              <w:t>84</w:t>
            </w:r>
          </w:p>
        </w:tc>
      </w:tr>
      <w:tr>
        <w:trPr>
          <w:trHeight w:val="346" w:hRule="exact"/>
        </w:trPr>
        <w:tc>
          <w:tcPr>
            <w:tcW w:w="54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Arial" w:hAnsi="Arial" w:cs="Arial" w:eastAsia="Arial" w:hint="default"/>
                <w:sz w:val="18"/>
                <w:szCs w:val="18"/>
              </w:rPr>
            </w:pPr>
            <w:r>
              <w:rPr>
                <w:rFonts w:ascii="Arial"/>
                <w:sz w:val="18"/>
              </w:rPr>
              <w:t>94</w:t>
            </w:r>
          </w:p>
        </w:tc>
      </w:tr>
      <w:tr>
        <w:trPr>
          <w:trHeight w:val="349" w:hRule="exact"/>
        </w:trPr>
        <w:tc>
          <w:tcPr>
            <w:tcW w:w="54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Arial" w:hAnsi="Arial" w:cs="Arial" w:eastAsia="Arial" w:hint="default"/>
                <w:sz w:val="18"/>
                <w:szCs w:val="18"/>
              </w:rPr>
            </w:pPr>
            <w:r>
              <w:rPr>
                <w:rFonts w:ascii="Arial"/>
                <w:sz w:val="18"/>
              </w:rPr>
              <w:t>452</w:t>
            </w:r>
          </w:p>
        </w:tc>
      </w:tr>
      <w:tr>
        <w:trPr>
          <w:trHeight w:val="359" w:hRule="exact"/>
        </w:trPr>
        <w:tc>
          <w:tcPr>
            <w:tcW w:w="9547"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35" w:hRule="exact"/>
        </w:trPr>
        <w:tc>
          <w:tcPr>
            <w:tcW w:w="5409"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48" w:hRule="exact"/>
        </w:trPr>
        <w:tc>
          <w:tcPr>
            <w:tcW w:w="5409" w:type="dxa"/>
            <w:tcBorders>
              <w:top w:val="single" w:sz="10" w:space="0" w:color="000000"/>
              <w:left w:val="nil" w:sz="6" w:space="0" w:color="auto"/>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高中以下</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Arial" w:hAnsi="Arial" w:cs="Arial" w:eastAsia="Arial" w:hint="default"/>
                <w:sz w:val="18"/>
                <w:szCs w:val="18"/>
              </w:rPr>
            </w:pPr>
            <w:r>
              <w:rPr>
                <w:rFonts w:ascii="Arial"/>
                <w:sz w:val="18"/>
              </w:rPr>
              <w:t>557</w:t>
            </w:r>
          </w:p>
        </w:tc>
      </w:tr>
      <w:tr>
        <w:trPr>
          <w:trHeight w:val="346" w:hRule="exact"/>
        </w:trPr>
        <w:tc>
          <w:tcPr>
            <w:tcW w:w="54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Arial" w:hAnsi="Arial" w:cs="Arial" w:eastAsia="Arial" w:hint="default"/>
                <w:sz w:val="18"/>
                <w:szCs w:val="18"/>
              </w:rPr>
            </w:pPr>
            <w:r>
              <w:rPr>
                <w:rFonts w:ascii="Arial"/>
                <w:sz w:val="18"/>
              </w:rPr>
              <w:t>116</w:t>
            </w:r>
          </w:p>
        </w:tc>
      </w:tr>
      <w:tr>
        <w:trPr>
          <w:trHeight w:val="348" w:hRule="exact"/>
        </w:trPr>
        <w:tc>
          <w:tcPr>
            <w:tcW w:w="54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Arial" w:hAnsi="Arial" w:cs="Arial" w:eastAsia="Arial" w:hint="default"/>
                <w:sz w:val="18"/>
                <w:szCs w:val="18"/>
              </w:rPr>
            </w:pPr>
            <w:r>
              <w:rPr>
                <w:rFonts w:ascii="Arial"/>
                <w:sz w:val="18"/>
              </w:rPr>
              <w:t>77</w:t>
            </w:r>
          </w:p>
        </w:tc>
      </w:tr>
      <w:tr>
        <w:trPr>
          <w:trHeight w:val="348" w:hRule="exact"/>
        </w:trPr>
        <w:tc>
          <w:tcPr>
            <w:tcW w:w="54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Arial" w:hAnsi="Arial" w:cs="Arial" w:eastAsia="Arial" w:hint="default"/>
                <w:sz w:val="18"/>
                <w:szCs w:val="18"/>
              </w:rPr>
            </w:pPr>
            <w:r>
              <w:rPr>
                <w:rFonts w:ascii="Arial"/>
                <w:sz w:val="18"/>
              </w:rPr>
              <w:t>12</w:t>
            </w:r>
          </w:p>
        </w:tc>
      </w:tr>
    </w:tbl>
    <w:p>
      <w:pPr>
        <w:spacing w:line="240" w:lineRule="auto" w:before="3"/>
        <w:rPr>
          <w:rFonts w:ascii="宋体" w:hAnsi="宋体" w:cs="宋体" w:eastAsia="宋体" w:hint="default"/>
          <w:sz w:val="27"/>
          <w:szCs w:val="27"/>
        </w:rPr>
      </w:pPr>
    </w:p>
    <w:p>
      <w:pPr>
        <w:spacing w:line="7128" w:lineRule="exact"/>
        <w:ind w:left="681" w:right="0" w:firstLine="0"/>
        <w:rPr>
          <w:rFonts w:ascii="宋体" w:hAnsi="宋体" w:cs="宋体" w:eastAsia="宋体" w:hint="default"/>
          <w:sz w:val="20"/>
          <w:szCs w:val="20"/>
        </w:rPr>
      </w:pPr>
      <w:r>
        <w:rPr>
          <w:rFonts w:ascii="宋体" w:hAnsi="宋体" w:cs="宋体" w:eastAsia="宋体" w:hint="default"/>
          <w:position w:val="-142"/>
          <w:sz w:val="20"/>
          <w:szCs w:val="20"/>
        </w:rPr>
        <w:pict>
          <v:group style="width:429.1pt;height:356.4pt;mso-position-horizontal-relative:char;mso-position-vertical-relative:line" coordorigin="0,0" coordsize="8582,7128">
            <v:shape style="position:absolute;left:0;top:0;width:8582;height:3341" type="#_x0000_t75" stroked="false">
              <v:imagedata r:id="rId35" o:title=""/>
            </v:shape>
            <v:shape style="position:absolute;left:24;top:3389;width:8532;height:3739" type="#_x0000_t75" stroked="false">
              <v:imagedata r:id="rId36" o:title=""/>
            </v:shape>
          </v:group>
        </w:pict>
      </w:r>
      <w:r>
        <w:rPr>
          <w:rFonts w:ascii="宋体" w:hAnsi="宋体" w:cs="宋体" w:eastAsia="宋体" w:hint="default"/>
          <w:position w:val="-142"/>
          <w:sz w:val="20"/>
          <w:szCs w:val="20"/>
        </w:rPr>
      </w:r>
    </w:p>
    <w:p>
      <w:pPr>
        <w:spacing w:after="0" w:line="7128" w:lineRule="exact"/>
        <w:rPr>
          <w:rFonts w:ascii="宋体" w:hAnsi="宋体" w:cs="宋体" w:eastAsia="宋体" w:hint="default"/>
          <w:sz w:val="20"/>
          <w:szCs w:val="20"/>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ind w:right="1121"/>
        <w:jc w:val="left"/>
      </w:pPr>
      <w:r>
        <w:rPr/>
        <w:t>（二）主要子公司：茂硕电子</w:t>
      </w:r>
    </w:p>
    <w:p>
      <w:pPr>
        <w:spacing w:line="240" w:lineRule="auto" w:before="10"/>
        <w:rPr>
          <w:rFonts w:ascii="宋体" w:hAnsi="宋体" w:cs="宋体" w:eastAsia="宋体" w:hint="default"/>
          <w:sz w:val="3"/>
          <w:szCs w:val="3"/>
        </w:rPr>
      </w:pPr>
    </w:p>
    <w:tbl>
      <w:tblPr>
        <w:tblW w:w="0" w:type="auto"/>
        <w:jc w:val="left"/>
        <w:tblInd w:w="157" w:type="dxa"/>
        <w:tblLayout w:type="fixed"/>
        <w:tblCellMar>
          <w:top w:w="0" w:type="dxa"/>
          <w:left w:w="0" w:type="dxa"/>
          <w:bottom w:w="0" w:type="dxa"/>
          <w:right w:w="0" w:type="dxa"/>
        </w:tblCellMar>
        <w:tblLook w:val="01E0"/>
      </w:tblPr>
      <w:tblGrid>
        <w:gridCol w:w="4969"/>
        <w:gridCol w:w="4575"/>
      </w:tblGrid>
      <w:tr>
        <w:trPr>
          <w:trHeight w:val="356" w:hRule="exact"/>
        </w:trPr>
        <w:tc>
          <w:tcPr>
            <w:tcW w:w="4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在职员工人数</w:t>
            </w:r>
          </w:p>
        </w:tc>
        <w:tc>
          <w:tcPr>
            <w:tcW w:w="4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Arial" w:hAnsi="Arial" w:cs="Arial" w:eastAsia="Arial" w:hint="default"/>
                <w:sz w:val="18"/>
                <w:szCs w:val="18"/>
              </w:rPr>
            </w:pPr>
            <w:r>
              <w:rPr>
                <w:rFonts w:ascii="Arial"/>
                <w:sz w:val="18"/>
              </w:rPr>
              <w:t>1218</w:t>
            </w:r>
          </w:p>
        </w:tc>
      </w:tr>
      <w:tr>
        <w:trPr>
          <w:trHeight w:val="322" w:hRule="exact"/>
        </w:trPr>
        <w:tc>
          <w:tcPr>
            <w:tcW w:w="4969"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57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365" w:hRule="exact"/>
        </w:trPr>
        <w:tc>
          <w:tcPr>
            <w:tcW w:w="4969" w:type="dxa"/>
            <w:tcBorders>
              <w:top w:val="single" w:sz="10" w:space="0" w:color="000000"/>
              <w:left w:val="nil" w:sz="6" w:space="0" w:color="auto"/>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457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left="3" w:right="0"/>
              <w:jc w:val="center"/>
              <w:rPr>
                <w:rFonts w:ascii="Arial" w:hAnsi="Arial" w:cs="Arial" w:eastAsia="Arial" w:hint="default"/>
                <w:sz w:val="18"/>
                <w:szCs w:val="18"/>
              </w:rPr>
            </w:pPr>
            <w:r>
              <w:rPr>
                <w:rFonts w:ascii="Arial"/>
                <w:w w:val="99"/>
                <w:sz w:val="18"/>
              </w:rPr>
              <w:t>6</w:t>
            </w:r>
            <w:r>
              <w:rPr>
                <w:rFonts w:ascii="Arial"/>
                <w:sz w:val="18"/>
              </w:rPr>
            </w:r>
          </w:p>
        </w:tc>
      </w:tr>
      <w:tr>
        <w:trPr>
          <w:trHeight w:val="346" w:hRule="exact"/>
        </w:trPr>
        <w:tc>
          <w:tcPr>
            <w:tcW w:w="4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4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Arial" w:hAnsi="Arial" w:cs="Arial" w:eastAsia="Arial" w:hint="default"/>
                <w:sz w:val="18"/>
                <w:szCs w:val="18"/>
              </w:rPr>
            </w:pPr>
            <w:r>
              <w:rPr>
                <w:rFonts w:ascii="Arial"/>
                <w:sz w:val="18"/>
              </w:rPr>
              <w:t>47</w:t>
            </w:r>
          </w:p>
        </w:tc>
      </w:tr>
      <w:tr>
        <w:trPr>
          <w:trHeight w:val="348" w:hRule="exact"/>
        </w:trPr>
        <w:tc>
          <w:tcPr>
            <w:tcW w:w="4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Arial" w:hAnsi="Arial" w:cs="Arial" w:eastAsia="Arial" w:hint="default"/>
                <w:sz w:val="18"/>
                <w:szCs w:val="18"/>
              </w:rPr>
            </w:pPr>
            <w:r>
              <w:rPr>
                <w:rFonts w:ascii="Arial"/>
                <w:sz w:val="18"/>
              </w:rPr>
              <w:t>50</w:t>
            </w:r>
          </w:p>
        </w:tc>
      </w:tr>
      <w:tr>
        <w:trPr>
          <w:trHeight w:val="346" w:hRule="exact"/>
        </w:trPr>
        <w:tc>
          <w:tcPr>
            <w:tcW w:w="4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4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Arial" w:hAnsi="Arial" w:cs="Arial" w:eastAsia="Arial" w:hint="default"/>
                <w:sz w:val="18"/>
                <w:szCs w:val="18"/>
              </w:rPr>
            </w:pPr>
            <w:r>
              <w:rPr>
                <w:rFonts w:ascii="Arial"/>
                <w:sz w:val="18"/>
              </w:rPr>
              <w:t>52</w:t>
            </w:r>
          </w:p>
        </w:tc>
      </w:tr>
      <w:tr>
        <w:trPr>
          <w:trHeight w:val="348" w:hRule="exact"/>
        </w:trPr>
        <w:tc>
          <w:tcPr>
            <w:tcW w:w="4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4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Arial" w:hAnsi="Arial" w:cs="Arial" w:eastAsia="Arial" w:hint="default"/>
                <w:sz w:val="18"/>
                <w:szCs w:val="18"/>
              </w:rPr>
            </w:pPr>
            <w:r>
              <w:rPr>
                <w:rFonts w:ascii="Arial"/>
                <w:sz w:val="18"/>
              </w:rPr>
              <w:t>1035</w:t>
            </w:r>
          </w:p>
        </w:tc>
      </w:tr>
      <w:tr>
        <w:trPr>
          <w:trHeight w:val="348" w:hRule="exact"/>
        </w:trPr>
        <w:tc>
          <w:tcPr>
            <w:tcW w:w="4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79" w:right="0"/>
              <w:jc w:val="center"/>
              <w:rPr>
                <w:rFonts w:ascii="宋体" w:hAnsi="宋体" w:cs="宋体" w:eastAsia="宋体" w:hint="default"/>
                <w:sz w:val="18"/>
                <w:szCs w:val="18"/>
              </w:rPr>
            </w:pPr>
            <w:r>
              <w:rPr>
                <w:rFonts w:ascii="宋体" w:hAnsi="宋体" w:cs="宋体" w:eastAsia="宋体" w:hint="default"/>
                <w:sz w:val="18"/>
                <w:szCs w:val="18"/>
              </w:rPr>
              <w:t>其它人员</w:t>
            </w:r>
          </w:p>
        </w:tc>
        <w:tc>
          <w:tcPr>
            <w:tcW w:w="4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Arial" w:hAnsi="Arial" w:cs="Arial" w:eastAsia="Arial" w:hint="default"/>
                <w:sz w:val="18"/>
                <w:szCs w:val="18"/>
              </w:rPr>
            </w:pPr>
            <w:r>
              <w:rPr>
                <w:rFonts w:ascii="Arial"/>
                <w:sz w:val="18"/>
              </w:rPr>
              <w:t>28</w:t>
            </w:r>
          </w:p>
        </w:tc>
      </w:tr>
      <w:tr>
        <w:trPr>
          <w:trHeight w:val="359" w:hRule="exact"/>
        </w:trPr>
        <w:tc>
          <w:tcPr>
            <w:tcW w:w="9544" w:type="dxa"/>
            <w:gridSpan w:val="2"/>
            <w:tcBorders>
              <w:top w:val="single" w:sz="6" w:space="0" w:color="000000"/>
              <w:left w:val="nil" w:sz="6" w:space="0" w:color="auto"/>
              <w:bottom w:val="single" w:sz="11"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35" w:hRule="exact"/>
        </w:trPr>
        <w:tc>
          <w:tcPr>
            <w:tcW w:w="4969"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57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46" w:hRule="exact"/>
        </w:trPr>
        <w:tc>
          <w:tcPr>
            <w:tcW w:w="4969" w:type="dxa"/>
            <w:tcBorders>
              <w:top w:val="single" w:sz="10" w:space="0" w:color="000000"/>
              <w:left w:val="nil" w:sz="6" w:space="0" w:color="auto"/>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高中以下</w:t>
            </w:r>
          </w:p>
        </w:tc>
        <w:tc>
          <w:tcPr>
            <w:tcW w:w="4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Arial" w:hAnsi="Arial" w:cs="Arial" w:eastAsia="Arial" w:hint="default"/>
                <w:sz w:val="18"/>
                <w:szCs w:val="18"/>
              </w:rPr>
            </w:pPr>
            <w:r>
              <w:rPr>
                <w:rFonts w:ascii="Arial"/>
                <w:sz w:val="18"/>
              </w:rPr>
              <w:t>1098</w:t>
            </w:r>
          </w:p>
        </w:tc>
      </w:tr>
      <w:tr>
        <w:trPr>
          <w:trHeight w:val="348" w:hRule="exact"/>
        </w:trPr>
        <w:tc>
          <w:tcPr>
            <w:tcW w:w="4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4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Arial" w:hAnsi="Arial" w:cs="Arial" w:eastAsia="Arial" w:hint="default"/>
                <w:sz w:val="18"/>
                <w:szCs w:val="18"/>
              </w:rPr>
            </w:pPr>
            <w:r>
              <w:rPr>
                <w:rFonts w:ascii="Arial"/>
                <w:sz w:val="18"/>
              </w:rPr>
              <w:t>82</w:t>
            </w:r>
          </w:p>
        </w:tc>
      </w:tr>
      <w:tr>
        <w:trPr>
          <w:trHeight w:val="348" w:hRule="exact"/>
        </w:trPr>
        <w:tc>
          <w:tcPr>
            <w:tcW w:w="4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4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Arial" w:hAnsi="Arial" w:cs="Arial" w:eastAsia="Arial" w:hint="default"/>
                <w:sz w:val="18"/>
                <w:szCs w:val="18"/>
              </w:rPr>
            </w:pPr>
            <w:r>
              <w:rPr>
                <w:rFonts w:ascii="Arial"/>
                <w:sz w:val="18"/>
              </w:rPr>
              <w:t>37</w:t>
            </w:r>
          </w:p>
        </w:tc>
      </w:tr>
      <w:tr>
        <w:trPr>
          <w:trHeight w:val="346" w:hRule="exact"/>
        </w:trPr>
        <w:tc>
          <w:tcPr>
            <w:tcW w:w="4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4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center"/>
              <w:rPr>
                <w:rFonts w:ascii="Arial" w:hAnsi="Arial" w:cs="Arial" w:eastAsia="Arial" w:hint="default"/>
                <w:sz w:val="18"/>
                <w:szCs w:val="18"/>
              </w:rPr>
            </w:pPr>
            <w:r>
              <w:rPr>
                <w:rFonts w:ascii="Arial"/>
                <w:w w:val="99"/>
                <w:sz w:val="18"/>
              </w:rPr>
              <w:t>1</w:t>
            </w:r>
            <w:r>
              <w:rPr>
                <w:rFonts w:ascii="Arial"/>
                <w:sz w:val="18"/>
              </w:rPr>
            </w:r>
          </w:p>
        </w:tc>
      </w:tr>
    </w:tbl>
    <w:p>
      <w:pPr>
        <w:spacing w:line="240" w:lineRule="auto" w:before="12"/>
        <w:rPr>
          <w:rFonts w:ascii="宋体" w:hAnsi="宋体" w:cs="宋体" w:eastAsia="宋体" w:hint="default"/>
          <w:sz w:val="4"/>
          <w:szCs w:val="4"/>
        </w:rPr>
      </w:pPr>
    </w:p>
    <w:p>
      <w:pPr>
        <w:spacing w:line="3924" w:lineRule="exact"/>
        <w:ind w:left="714"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5406168" cy="2491930"/>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37" cstate="print"/>
                    <a:stretch>
                      <a:fillRect/>
                    </a:stretch>
                  </pic:blipFill>
                  <pic:spPr>
                    <a:xfrm>
                      <a:off x="0" y="0"/>
                      <a:ext cx="5406168" cy="2491930"/>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8"/>
        <w:rPr>
          <w:rFonts w:ascii="宋体" w:hAnsi="宋体" w:cs="宋体" w:eastAsia="宋体" w:hint="default"/>
          <w:sz w:val="12"/>
          <w:szCs w:val="12"/>
        </w:rPr>
      </w:pPr>
    </w:p>
    <w:p>
      <w:pPr>
        <w:spacing w:line="4171" w:lineRule="exact"/>
        <w:ind w:left="698"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5427329" cy="2648902"/>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38" cstate="print"/>
                    <a:stretch>
                      <a:fillRect/>
                    </a:stretch>
                  </pic:blipFill>
                  <pic:spPr>
                    <a:xfrm>
                      <a:off x="0" y="0"/>
                      <a:ext cx="5427329" cy="2648902"/>
                    </a:xfrm>
                    <a:prstGeom prst="rect">
                      <a:avLst/>
                    </a:prstGeom>
                  </pic:spPr>
                </pic:pic>
              </a:graphicData>
            </a:graphic>
          </wp:inline>
        </w:drawing>
      </w:r>
      <w:r>
        <w:rPr>
          <w:rFonts w:ascii="宋体" w:hAnsi="宋体" w:cs="宋体" w:eastAsia="宋体" w:hint="default"/>
          <w:position w:val="-82"/>
          <w:sz w:val="20"/>
          <w:szCs w:val="20"/>
        </w:rPr>
      </w:r>
    </w:p>
    <w:p>
      <w:pPr>
        <w:spacing w:after="0" w:line="4171" w:lineRule="exact"/>
        <w:rPr>
          <w:rFonts w:ascii="宋体" w:hAnsi="宋体" w:cs="宋体" w:eastAsia="宋体" w:hint="default"/>
          <w:sz w:val="20"/>
          <w:szCs w:val="20"/>
        </w:rPr>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212" w:right="1192"/>
        <w:jc w:val="left"/>
      </w:pPr>
      <w:r>
        <w:rPr/>
        <w:t>薪酬政策：</w:t>
      </w:r>
    </w:p>
    <w:p>
      <w:pPr>
        <w:pStyle w:val="BodyText"/>
        <w:spacing w:line="316" w:lineRule="auto" w:before="77"/>
        <w:ind w:left="212" w:right="1034" w:firstLine="360"/>
        <w:jc w:val="left"/>
      </w:pPr>
      <w:r>
        <w:rPr>
          <w:spacing w:val="-2"/>
        </w:rPr>
        <w:t>公司员工工资主要由岗位工资、绩效工资、福利津贴、年终奖构成。公司根据年度经营目标的制定和分解建立经济责任</w:t>
      </w:r>
      <w:r>
        <w:rPr/>
        <w:t> </w:t>
      </w:r>
      <w:r>
        <w:rPr>
          <w:spacing w:val="-2"/>
        </w:rPr>
        <w:t>制考核体系，制定各部门经济责任制指标，其中绩效工资根据经济指标、管理指标、优化指标、内控等相关指标确定。以公</w:t>
      </w:r>
      <w:r>
        <w:rPr>
          <w:spacing w:val="-68"/>
        </w:rPr>
        <w:t> </w:t>
      </w:r>
      <w:r>
        <w:rPr>
          <w:spacing w:val="-68"/>
        </w:rPr>
      </w:r>
      <w:r>
        <w:rPr/>
        <w:t>司中长期发展规划以及关键经营目标导向，以岗位职责为基础、工作绩效为尺度体现效率优先兼顾公平、按劳分配的原则，</w:t>
      </w:r>
      <w:r>
        <w:rPr/>
        <w:t> </w:t>
      </w:r>
      <w:r>
        <w:rPr>
          <w:spacing w:val="-2"/>
        </w:rPr>
        <w:t>逐步建立与市场经济相适应的企业内部分配激励机制来吸引人才和留住人才，结合国家相关法律法规，制定出公司内具有公</w:t>
      </w:r>
      <w:r>
        <w:rPr>
          <w:spacing w:val="-64"/>
        </w:rPr>
        <w:t> </w:t>
      </w:r>
      <w:r>
        <w:rPr>
          <w:spacing w:val="-64"/>
        </w:rPr>
      </w:r>
      <w:r>
        <w:rPr/>
        <w:t>平性、行业内具有竞争力的薪酬福利制度。</w:t>
      </w:r>
    </w:p>
    <w:p>
      <w:pPr>
        <w:spacing w:line="240" w:lineRule="auto" w:before="4"/>
        <w:rPr>
          <w:rFonts w:ascii="宋体" w:hAnsi="宋体" w:cs="宋体" w:eastAsia="宋体" w:hint="default"/>
          <w:sz w:val="25"/>
          <w:szCs w:val="25"/>
        </w:rPr>
      </w:pPr>
    </w:p>
    <w:p>
      <w:pPr>
        <w:pStyle w:val="BodyText"/>
        <w:spacing w:line="240" w:lineRule="auto"/>
        <w:ind w:left="212" w:right="1192"/>
        <w:jc w:val="left"/>
      </w:pPr>
      <w:r>
        <w:rPr/>
        <w:t>培训计划：</w:t>
      </w:r>
    </w:p>
    <w:p>
      <w:pPr>
        <w:pStyle w:val="BodyText"/>
        <w:spacing w:line="316" w:lineRule="auto" w:before="76"/>
        <w:ind w:left="212" w:right="0" w:firstLine="360"/>
        <w:jc w:val="left"/>
      </w:pPr>
      <w:r>
        <w:rPr>
          <w:spacing w:val="-2"/>
        </w:rPr>
        <w:t>公司构建了有效的培训体系：年度培训计划覆盖了新员工入职培训、上岗培训、岗位技能培训、交叉技能培训、关键岗</w:t>
      </w:r>
      <w:r>
        <w:rPr/>
        <w:t> </w:t>
      </w:r>
      <w:r>
        <w:rPr>
          <w:spacing w:val="-4"/>
        </w:rPr>
        <w:t>位技能培训、专项业务培训等各类培训；课程覆盖了素质、技能、管理、专业技能等方面；培训方式形式多样，有课堂授课、</w:t>
      </w:r>
      <w:r>
        <w:rPr>
          <w:spacing w:val="-41"/>
        </w:rPr>
        <w:t> </w:t>
      </w:r>
      <w:r>
        <w:rPr>
          <w:spacing w:val="-41"/>
        </w:rPr>
      </w:r>
      <w:r>
        <w:rPr>
          <w:spacing w:val="-2"/>
        </w:rPr>
        <w:t>实操演练、导师制、业务交流、案例研讨、团队拓展、管理提升项目等；并通过培训绩效考核、关键岗位管理制度、讲师管</w:t>
      </w:r>
      <w:r>
        <w:rPr>
          <w:spacing w:val="-64"/>
        </w:rPr>
        <w:t> </w:t>
      </w:r>
      <w:r>
        <w:rPr>
          <w:spacing w:val="-64"/>
        </w:rPr>
      </w:r>
      <w:r>
        <w:rPr/>
        <w:t>理制度、课程开发及试讲制度等有效保证了年度计划有效实施。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Heading1"/>
        <w:spacing w:line="240" w:lineRule="auto"/>
        <w:ind w:left="3650" w:right="4566"/>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left="212" w:right="1192"/>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left="212" w:right="0" w:firstLine="317"/>
        <w:jc w:val="left"/>
      </w:pPr>
      <w:r>
        <w:rPr>
          <w:spacing w:val="-4"/>
        </w:rPr>
        <w:t>公司自</w:t>
      </w:r>
      <w:r>
        <w:rPr>
          <w:rFonts w:ascii="Arial" w:hAnsi="Arial" w:cs="Arial" w:eastAsia="Arial" w:hint="default"/>
          <w:spacing w:val="-4"/>
        </w:rPr>
        <w:t>2012</w:t>
      </w:r>
      <w:r>
        <w:rPr>
          <w:spacing w:val="-4"/>
        </w:rPr>
        <w:t>年上市以来一直十分重视内部治理工作，开展了公司治理专项活动，遵循简单、透明、规范、责任的价值观，</w:t>
      </w:r>
      <w:r>
        <w:rPr/>
        <w:t> </w:t>
      </w:r>
      <w:r>
        <w:rPr>
          <w:spacing w:val="-2"/>
        </w:rPr>
        <w:t>严格按照法律、法规以及上市公司规范性文件的要求，不断完善公司治理，规范公司运作。目前已建立起符合公司业务规模</w:t>
      </w:r>
      <w:r>
        <w:rPr>
          <w:spacing w:val="-65"/>
        </w:rPr>
        <w:t> </w:t>
      </w:r>
      <w:r>
        <w:rPr>
          <w:spacing w:val="-65"/>
        </w:rPr>
      </w:r>
      <w:r>
        <w:rPr>
          <w:spacing w:val="-2"/>
        </w:rPr>
        <w:t>和经营管理需要的组织结构，合理设置部门和岗位，科学规划职责和权限，形成各司其职，各负其责、相互配合、相互制约</w:t>
      </w:r>
      <w:r>
        <w:rPr>
          <w:spacing w:val="-70"/>
        </w:rPr>
        <w:t> </w:t>
      </w:r>
      <w:r>
        <w:rPr>
          <w:spacing w:val="-70"/>
        </w:rPr>
      </w:r>
      <w:r>
        <w:rPr>
          <w:spacing w:val="-2"/>
        </w:rPr>
        <w:t>的内部控制体系。公司内控体制完备，尤其是内部审计方面层次分明、职责明确，能有效地防范公司风险；另外，公司监事</w:t>
      </w:r>
      <w:r>
        <w:rPr>
          <w:spacing w:val="-68"/>
        </w:rPr>
        <w:t> </w:t>
      </w:r>
      <w:r>
        <w:rPr>
          <w:spacing w:val="-68"/>
        </w:rPr>
      </w:r>
      <w:r>
        <w:rPr>
          <w:spacing w:val="-2"/>
        </w:rPr>
        <w:t>会勤勉尽职，监事深入企业调研，主动提出管理建议，有效地完善了公司内部治理机制；公司通过创新管理体制，不断完善</w:t>
      </w:r>
      <w:r>
        <w:rPr>
          <w:spacing w:val="-67"/>
        </w:rPr>
        <w:t> </w:t>
      </w:r>
      <w:r>
        <w:rPr>
          <w:spacing w:val="-67"/>
        </w:rPr>
      </w:r>
      <w:r>
        <w:rPr/>
        <w:t>公司信息披露管理与投资者关系管理。</w:t>
      </w:r>
    </w:p>
    <w:p>
      <w:pPr>
        <w:pStyle w:val="BodyText"/>
        <w:spacing w:line="312" w:lineRule="auto" w:before="20"/>
        <w:ind w:left="212" w:right="1134" w:firstLine="317"/>
        <w:jc w:val="both"/>
      </w:pPr>
      <w:r>
        <w:rPr>
          <w:spacing w:val="-1"/>
        </w:rPr>
        <w:t>公司制定了《年报信息披露重大差错责任追究制度》，并深入开展规范财务会计基础工作专项活动；建立起《内幕信息</w:t>
      </w:r>
      <w:r>
        <w:rPr/>
        <w:t> 及知情人管理制度》，公司严格内幕信息的防控，报告期内公司并无发现内幕信息知情人违规买卖公司证券的行为。</w:t>
      </w:r>
      <w:r>
        <w:rPr>
          <w:rFonts w:ascii="Arial" w:hAnsi="Arial" w:cs="Arial" w:eastAsia="Arial" w:hint="default"/>
        </w:rPr>
        <w:t>2012</w:t>
      </w:r>
      <w:r>
        <w:rPr>
          <w:rFonts w:ascii="Arial" w:hAnsi="Arial" w:cs="Arial" w:eastAsia="Arial" w:hint="default"/>
          <w:w w:val="99"/>
        </w:rPr>
        <w:t> </w:t>
      </w:r>
      <w:r>
        <w:rPr>
          <w:spacing w:val="-2"/>
        </w:rPr>
        <w:t>年，公司按照证监会要求，对公司章程进行了修订，进一步提高现金分红的透明度，帮助投资者形成稳定的投资预期，加强</w:t>
      </w:r>
      <w:r>
        <w:rPr>
          <w:spacing w:val="-66"/>
        </w:rPr>
        <w:t> </w:t>
      </w:r>
      <w:r>
        <w:rPr>
          <w:spacing w:val="-66"/>
        </w:rPr>
      </w:r>
      <w:r>
        <w:rPr/>
        <w:t>投资者保护，改善公司治理。</w:t>
      </w:r>
    </w:p>
    <w:p>
      <w:pPr>
        <w:pStyle w:val="BodyText"/>
        <w:spacing w:line="316" w:lineRule="auto" w:before="22"/>
        <w:ind w:left="212" w:right="1129" w:firstLine="317"/>
        <w:jc w:val="left"/>
      </w:pPr>
      <w:r>
        <w:rPr>
          <w:spacing w:val="-1"/>
        </w:rPr>
        <w:t>公司严格按照《公司法》、《证券法》和《上市公司治理准则》等法律、法规的要求，不断完善公司治理结构，进一步</w:t>
      </w:r>
      <w:r>
        <w:rPr/>
        <w:t> </w:t>
      </w:r>
      <w:r>
        <w:rPr>
          <w:spacing w:val="-2"/>
        </w:rPr>
        <w:t>规范了公司运作，以符合有关法律、法规的要求。报告期内，公司董事、监事和高级管理人员加强了上市公司治理的相关法</w:t>
      </w:r>
      <w:r>
        <w:rPr>
          <w:spacing w:val="-67"/>
        </w:rPr>
        <w:t> </w:t>
      </w:r>
      <w:r>
        <w:rPr>
          <w:spacing w:val="-67"/>
        </w:rPr>
      </w:r>
      <w:r>
        <w:rPr/>
        <w:t>规、文件的学习，增强了管理层的自我约束，勤勉尽责，切实维护全体股东特别是中小股东的利益。 报告期内，公司建立或修订的制度名称及公开信息披露情况如下表：</w:t>
      </w:r>
    </w:p>
    <w:p>
      <w:pPr>
        <w:spacing w:line="240" w:lineRule="auto" w:before="9"/>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905"/>
        <w:gridCol w:w="4835"/>
        <w:gridCol w:w="2945"/>
        <w:gridCol w:w="1229"/>
      </w:tblGrid>
      <w:tr>
        <w:trPr>
          <w:trHeight w:val="397"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1"/>
              <w:jc w:val="center"/>
              <w:rPr>
                <w:rFonts w:ascii="宋体" w:hAnsi="宋体" w:cs="宋体" w:eastAsia="宋体" w:hint="default"/>
                <w:sz w:val="20"/>
                <w:szCs w:val="20"/>
              </w:rPr>
            </w:pPr>
            <w:r>
              <w:rPr>
                <w:rFonts w:ascii="宋体" w:hAnsi="宋体" w:cs="宋体" w:eastAsia="宋体" w:hint="default"/>
                <w:sz w:val="20"/>
                <w:szCs w:val="20"/>
              </w:rPr>
              <w:t>序号</w:t>
            </w:r>
          </w:p>
        </w:tc>
        <w:tc>
          <w:tcPr>
            <w:tcW w:w="483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制度名称</w:t>
            </w:r>
          </w:p>
        </w:tc>
        <w:tc>
          <w:tcPr>
            <w:tcW w:w="29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1" w:right="0"/>
              <w:jc w:val="center"/>
              <w:rPr>
                <w:rFonts w:ascii="宋体" w:hAnsi="宋体" w:cs="宋体" w:eastAsia="宋体" w:hint="default"/>
                <w:sz w:val="20"/>
                <w:szCs w:val="20"/>
              </w:rPr>
            </w:pPr>
            <w:r>
              <w:rPr>
                <w:rFonts w:ascii="宋体" w:hAnsi="宋体" w:cs="宋体" w:eastAsia="宋体" w:hint="default"/>
                <w:sz w:val="20"/>
                <w:szCs w:val="20"/>
              </w:rPr>
              <w:t>会议</w:t>
            </w:r>
          </w:p>
        </w:tc>
        <w:tc>
          <w:tcPr>
            <w:tcW w:w="12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审议时间</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1"/>
              <w:jc w:val="center"/>
              <w:rPr>
                <w:rFonts w:ascii="宋体" w:hAnsi="宋体" w:cs="宋体" w:eastAsia="宋体" w:hint="default"/>
                <w:sz w:val="20"/>
                <w:szCs w:val="20"/>
              </w:rPr>
            </w:pPr>
            <w:r>
              <w:rPr>
                <w:rFonts w:ascii="宋体"/>
                <w:w w:val="99"/>
                <w:sz w:val="20"/>
              </w:rPr>
              <w:t>1</w:t>
            </w:r>
            <w:r>
              <w:rPr>
                <w:rFonts w:ascii="宋体"/>
                <w:sz w:val="20"/>
              </w:rPr>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《财务负责人管理制度》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3</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 w:right="0"/>
              <w:jc w:val="center"/>
              <w:rPr>
                <w:rFonts w:ascii="宋体" w:hAnsi="宋体" w:cs="宋体" w:eastAsia="宋体" w:hint="default"/>
                <w:sz w:val="20"/>
                <w:szCs w:val="20"/>
              </w:rPr>
            </w:pPr>
            <w:r>
              <w:rPr>
                <w:rFonts w:ascii="宋体"/>
                <w:sz w:val="20"/>
              </w:rPr>
              <w:t>2012-4-5</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1"/>
              <w:jc w:val="center"/>
              <w:rPr>
                <w:rFonts w:ascii="宋体" w:hAnsi="宋体" w:cs="宋体" w:eastAsia="宋体" w:hint="default"/>
                <w:sz w:val="20"/>
                <w:szCs w:val="20"/>
              </w:rPr>
            </w:pPr>
            <w:r>
              <w:rPr>
                <w:rFonts w:ascii="宋体"/>
                <w:w w:val="99"/>
                <w:sz w:val="20"/>
              </w:rPr>
              <w:t>2</w:t>
            </w:r>
            <w:r>
              <w:rPr>
                <w:rFonts w:ascii="宋体"/>
                <w:sz w:val="20"/>
              </w:rPr>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《董事、监事、高级管理人员内部问责制度》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3</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 w:right="0"/>
              <w:jc w:val="center"/>
              <w:rPr>
                <w:rFonts w:ascii="宋体" w:hAnsi="宋体" w:cs="宋体" w:eastAsia="宋体" w:hint="default"/>
                <w:sz w:val="20"/>
                <w:szCs w:val="20"/>
              </w:rPr>
            </w:pPr>
            <w:r>
              <w:rPr>
                <w:rFonts w:ascii="宋体"/>
                <w:sz w:val="20"/>
              </w:rPr>
              <w:t>2012-4-5</w:t>
            </w:r>
          </w:p>
        </w:tc>
      </w:tr>
      <w:tr>
        <w:trPr>
          <w:trHeight w:val="634"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1"/>
              <w:jc w:val="center"/>
              <w:rPr>
                <w:rFonts w:ascii="宋体" w:hAnsi="宋体" w:cs="宋体" w:eastAsia="宋体" w:hint="default"/>
                <w:sz w:val="20"/>
                <w:szCs w:val="20"/>
              </w:rPr>
            </w:pPr>
            <w:r>
              <w:rPr>
                <w:rFonts w:ascii="宋体"/>
                <w:w w:val="99"/>
                <w:sz w:val="20"/>
              </w:rPr>
              <w:t>3</w:t>
            </w:r>
            <w:r>
              <w:rPr>
                <w:rFonts w:ascii="宋体"/>
                <w:sz w:val="20"/>
              </w:rPr>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《董事会审计委员会年报工作规程》</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3</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 w:right="0"/>
              <w:jc w:val="center"/>
              <w:rPr>
                <w:rFonts w:ascii="宋体" w:hAnsi="宋体" w:cs="宋体" w:eastAsia="宋体" w:hint="default"/>
                <w:sz w:val="20"/>
                <w:szCs w:val="20"/>
              </w:rPr>
            </w:pPr>
            <w:r>
              <w:rPr>
                <w:rFonts w:ascii="宋体"/>
                <w:sz w:val="20"/>
              </w:rPr>
              <w:t>2012-4-5</w:t>
            </w:r>
          </w:p>
        </w:tc>
      </w:tr>
      <w:tr>
        <w:trPr>
          <w:trHeight w:val="636" w:hRule="exact"/>
        </w:trPr>
        <w:tc>
          <w:tcPr>
            <w:tcW w:w="9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right="1"/>
              <w:jc w:val="center"/>
              <w:rPr>
                <w:rFonts w:ascii="宋体" w:hAnsi="宋体" w:cs="宋体" w:eastAsia="宋体" w:hint="default"/>
                <w:sz w:val="20"/>
                <w:szCs w:val="20"/>
              </w:rPr>
            </w:pPr>
            <w:r>
              <w:rPr>
                <w:rFonts w:ascii="宋体"/>
                <w:w w:val="99"/>
                <w:sz w:val="20"/>
              </w:rPr>
              <w:t>4</w:t>
            </w:r>
            <w:r>
              <w:rPr>
                <w:rFonts w:ascii="宋体"/>
                <w:sz w:val="20"/>
              </w:rPr>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《独立董事年报工作制度》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3</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 w:right="0"/>
              <w:jc w:val="center"/>
              <w:rPr>
                <w:rFonts w:ascii="宋体" w:hAnsi="宋体" w:cs="宋体" w:eastAsia="宋体" w:hint="default"/>
                <w:sz w:val="20"/>
                <w:szCs w:val="20"/>
              </w:rPr>
            </w:pPr>
            <w:r>
              <w:rPr>
                <w:rFonts w:ascii="宋体"/>
                <w:sz w:val="20"/>
              </w:rPr>
              <w:t>2012-4-5</w:t>
            </w:r>
          </w:p>
        </w:tc>
      </w:tr>
    </w:tbl>
    <w:p>
      <w:pPr>
        <w:spacing w:after="0" w:line="254" w:lineRule="exact"/>
        <w:jc w:val="center"/>
        <w:rPr>
          <w:rFonts w:ascii="宋体" w:hAnsi="宋体" w:cs="宋体" w:eastAsia="宋体" w:hint="default"/>
          <w:sz w:val="20"/>
          <w:szCs w:val="20"/>
        </w:rPr>
        <w:sectPr>
          <w:pgSz w:w="11910" w:h="16840"/>
          <w:pgMar w:header="877" w:footer="1340" w:top="1060" w:bottom="1540" w:left="92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33984"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63</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904"/>
        <w:gridCol w:w="4835"/>
        <w:gridCol w:w="2945"/>
        <w:gridCol w:w="1229"/>
      </w:tblGrid>
      <w:tr>
        <w:trPr>
          <w:trHeight w:val="634"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395" w:right="0"/>
              <w:jc w:val="left"/>
              <w:rPr>
                <w:rFonts w:ascii="宋体" w:hAnsi="宋体" w:cs="宋体" w:eastAsia="宋体" w:hint="default"/>
                <w:sz w:val="20"/>
                <w:szCs w:val="20"/>
              </w:rPr>
            </w:pPr>
            <w:r>
              <w:rPr>
                <w:rFonts w:ascii="宋体"/>
                <w:w w:val="99"/>
                <w:sz w:val="20"/>
              </w:rPr>
              <w:t>5</w:t>
            </w:r>
            <w:r>
              <w:rPr>
                <w:rFonts w:ascii="宋体"/>
                <w:sz w:val="20"/>
              </w:rPr>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《内幕信息知情人登记制度》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3</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05"/>
              <w:jc w:val="right"/>
              <w:rPr>
                <w:rFonts w:ascii="宋体" w:hAnsi="宋体" w:cs="宋体" w:eastAsia="宋体" w:hint="default"/>
                <w:sz w:val="20"/>
                <w:szCs w:val="20"/>
              </w:rPr>
            </w:pPr>
            <w:r>
              <w:rPr>
                <w:rFonts w:ascii="宋体"/>
                <w:w w:val="95"/>
                <w:sz w:val="20"/>
              </w:rPr>
              <w:t>2012-4-5</w:t>
            </w:r>
            <w:r>
              <w:rPr>
                <w:rFonts w:ascii="宋体"/>
                <w:sz w:val="20"/>
              </w:rPr>
            </w:r>
          </w:p>
        </w:tc>
      </w:tr>
      <w:tr>
        <w:trPr>
          <w:trHeight w:val="634"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395" w:right="0"/>
              <w:jc w:val="left"/>
              <w:rPr>
                <w:rFonts w:ascii="宋体" w:hAnsi="宋体" w:cs="宋体" w:eastAsia="宋体" w:hint="default"/>
                <w:sz w:val="20"/>
                <w:szCs w:val="20"/>
              </w:rPr>
            </w:pPr>
            <w:r>
              <w:rPr>
                <w:rFonts w:ascii="宋体"/>
                <w:w w:val="99"/>
                <w:sz w:val="20"/>
              </w:rPr>
              <w:t>6</w:t>
            </w:r>
            <w:r>
              <w:rPr>
                <w:rFonts w:ascii="宋体"/>
                <w:sz w:val="20"/>
              </w:rPr>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《年报信息披露重大差错责任追究制度》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3</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05"/>
              <w:jc w:val="right"/>
              <w:rPr>
                <w:rFonts w:ascii="宋体" w:hAnsi="宋体" w:cs="宋体" w:eastAsia="宋体" w:hint="default"/>
                <w:sz w:val="20"/>
                <w:szCs w:val="20"/>
              </w:rPr>
            </w:pPr>
            <w:r>
              <w:rPr>
                <w:rFonts w:ascii="宋体"/>
                <w:w w:val="95"/>
                <w:sz w:val="20"/>
              </w:rPr>
              <w:t>2012-4-5</w:t>
            </w:r>
            <w:r>
              <w:rPr>
                <w:rFonts w:ascii="宋体"/>
                <w:sz w:val="20"/>
              </w:rPr>
            </w:r>
          </w:p>
        </w:tc>
      </w:tr>
      <w:tr>
        <w:trPr>
          <w:trHeight w:val="634"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395" w:right="0"/>
              <w:jc w:val="left"/>
              <w:rPr>
                <w:rFonts w:ascii="宋体" w:hAnsi="宋体" w:cs="宋体" w:eastAsia="宋体" w:hint="default"/>
                <w:sz w:val="20"/>
                <w:szCs w:val="20"/>
              </w:rPr>
            </w:pPr>
            <w:r>
              <w:rPr>
                <w:rFonts w:ascii="宋体"/>
                <w:w w:val="99"/>
                <w:sz w:val="20"/>
              </w:rPr>
              <w:t>7</w:t>
            </w:r>
            <w:r>
              <w:rPr>
                <w:rFonts w:ascii="宋体"/>
                <w:sz w:val="20"/>
              </w:rPr>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《外部信息使用人管理制度》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3</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05"/>
              <w:jc w:val="right"/>
              <w:rPr>
                <w:rFonts w:ascii="宋体" w:hAnsi="宋体" w:cs="宋体" w:eastAsia="宋体" w:hint="default"/>
                <w:sz w:val="20"/>
                <w:szCs w:val="20"/>
              </w:rPr>
            </w:pPr>
            <w:r>
              <w:rPr>
                <w:rFonts w:ascii="宋体"/>
                <w:w w:val="95"/>
                <w:sz w:val="20"/>
              </w:rPr>
              <w:t>2012-4-5</w:t>
            </w:r>
            <w:r>
              <w:rPr>
                <w:rFonts w:ascii="宋体"/>
                <w:sz w:val="20"/>
              </w:rPr>
            </w:r>
          </w:p>
        </w:tc>
      </w:tr>
      <w:tr>
        <w:trPr>
          <w:trHeight w:val="636"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6" w:lineRule="exact"/>
              <w:ind w:left="395" w:right="0"/>
              <w:jc w:val="left"/>
              <w:rPr>
                <w:rFonts w:ascii="宋体" w:hAnsi="宋体" w:cs="宋体" w:eastAsia="宋体" w:hint="default"/>
                <w:sz w:val="20"/>
                <w:szCs w:val="20"/>
              </w:rPr>
            </w:pPr>
            <w:r>
              <w:rPr>
                <w:rFonts w:ascii="宋体"/>
                <w:w w:val="99"/>
                <w:sz w:val="20"/>
              </w:rPr>
              <w:t>8</w:t>
            </w:r>
            <w:r>
              <w:rPr>
                <w:rFonts w:ascii="宋体"/>
                <w:sz w:val="20"/>
              </w:rPr>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《董事会秘书工作制度》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4</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55"/>
              <w:jc w:val="right"/>
              <w:rPr>
                <w:rFonts w:ascii="宋体" w:hAnsi="宋体" w:cs="宋体" w:eastAsia="宋体" w:hint="default"/>
                <w:sz w:val="20"/>
                <w:szCs w:val="20"/>
              </w:rPr>
            </w:pPr>
            <w:r>
              <w:rPr>
                <w:rFonts w:ascii="宋体"/>
                <w:w w:val="95"/>
                <w:sz w:val="20"/>
              </w:rPr>
              <w:t>2012-4-19</w:t>
            </w:r>
            <w:r>
              <w:rPr>
                <w:rFonts w:ascii="宋体"/>
                <w:sz w:val="20"/>
              </w:rPr>
            </w:r>
          </w:p>
        </w:tc>
      </w:tr>
      <w:tr>
        <w:trPr>
          <w:trHeight w:val="634"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395" w:right="0"/>
              <w:jc w:val="left"/>
              <w:rPr>
                <w:rFonts w:ascii="宋体" w:hAnsi="宋体" w:cs="宋体" w:eastAsia="宋体" w:hint="default"/>
                <w:sz w:val="20"/>
                <w:szCs w:val="20"/>
              </w:rPr>
            </w:pPr>
            <w:r>
              <w:rPr>
                <w:rFonts w:ascii="宋体"/>
                <w:w w:val="99"/>
                <w:sz w:val="20"/>
              </w:rPr>
              <w:t>9</w:t>
            </w:r>
            <w:r>
              <w:rPr>
                <w:rFonts w:ascii="宋体"/>
                <w:sz w:val="20"/>
              </w:rPr>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《总经理工作细则》</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4</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55"/>
              <w:jc w:val="right"/>
              <w:rPr>
                <w:rFonts w:ascii="宋体" w:hAnsi="宋体" w:cs="宋体" w:eastAsia="宋体" w:hint="default"/>
                <w:sz w:val="20"/>
                <w:szCs w:val="20"/>
              </w:rPr>
            </w:pPr>
            <w:r>
              <w:rPr>
                <w:rFonts w:ascii="宋体"/>
                <w:w w:val="95"/>
                <w:sz w:val="20"/>
              </w:rPr>
              <w:t>2012-4-19</w:t>
            </w:r>
            <w:r>
              <w:rPr>
                <w:rFonts w:ascii="宋体"/>
                <w:sz w:val="20"/>
              </w:rPr>
            </w:r>
          </w:p>
        </w:tc>
      </w:tr>
      <w:tr>
        <w:trPr>
          <w:trHeight w:val="634"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347" w:right="0"/>
              <w:jc w:val="left"/>
              <w:rPr>
                <w:rFonts w:ascii="宋体" w:hAnsi="宋体" w:cs="宋体" w:eastAsia="宋体" w:hint="default"/>
                <w:sz w:val="20"/>
                <w:szCs w:val="20"/>
              </w:rPr>
            </w:pPr>
            <w:r>
              <w:rPr>
                <w:rFonts w:ascii="宋体"/>
                <w:sz w:val="20"/>
              </w:rPr>
              <w:t>10</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《董事会审计委员会工作条例》</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4</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55"/>
              <w:jc w:val="right"/>
              <w:rPr>
                <w:rFonts w:ascii="宋体" w:hAnsi="宋体" w:cs="宋体" w:eastAsia="宋体" w:hint="default"/>
                <w:sz w:val="20"/>
                <w:szCs w:val="20"/>
              </w:rPr>
            </w:pPr>
            <w:r>
              <w:rPr>
                <w:rFonts w:ascii="宋体"/>
                <w:w w:val="95"/>
                <w:sz w:val="20"/>
              </w:rPr>
              <w:t>2012-4-19</w:t>
            </w:r>
            <w:r>
              <w:rPr>
                <w:rFonts w:ascii="宋体"/>
                <w:sz w:val="20"/>
              </w:rPr>
            </w:r>
          </w:p>
        </w:tc>
      </w:tr>
      <w:tr>
        <w:trPr>
          <w:trHeight w:val="634"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347" w:right="0"/>
              <w:jc w:val="left"/>
              <w:rPr>
                <w:rFonts w:ascii="宋体" w:hAnsi="宋体" w:cs="宋体" w:eastAsia="宋体" w:hint="default"/>
                <w:sz w:val="20"/>
                <w:szCs w:val="20"/>
              </w:rPr>
            </w:pPr>
            <w:r>
              <w:rPr>
                <w:rFonts w:ascii="宋体"/>
                <w:sz w:val="20"/>
              </w:rPr>
              <w:t>11</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《董事会提名委员会工作条例》</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4</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55"/>
              <w:jc w:val="right"/>
              <w:rPr>
                <w:rFonts w:ascii="宋体" w:hAnsi="宋体" w:cs="宋体" w:eastAsia="宋体" w:hint="default"/>
                <w:sz w:val="20"/>
                <w:szCs w:val="20"/>
              </w:rPr>
            </w:pPr>
            <w:r>
              <w:rPr>
                <w:rFonts w:ascii="宋体"/>
                <w:w w:val="95"/>
                <w:sz w:val="20"/>
              </w:rPr>
              <w:t>2012-4-19</w:t>
            </w:r>
            <w:r>
              <w:rPr>
                <w:rFonts w:ascii="宋体"/>
                <w:sz w:val="20"/>
              </w:rPr>
            </w:r>
          </w:p>
        </w:tc>
      </w:tr>
      <w:tr>
        <w:trPr>
          <w:trHeight w:val="634"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347" w:right="0"/>
              <w:jc w:val="left"/>
              <w:rPr>
                <w:rFonts w:ascii="宋体" w:hAnsi="宋体" w:cs="宋体" w:eastAsia="宋体" w:hint="default"/>
                <w:sz w:val="20"/>
                <w:szCs w:val="20"/>
              </w:rPr>
            </w:pPr>
            <w:r>
              <w:rPr>
                <w:rFonts w:ascii="宋体"/>
                <w:sz w:val="20"/>
              </w:rPr>
              <w:t>12</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《董事会薪酬与考核委员会工作条例》</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4</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55"/>
              <w:jc w:val="right"/>
              <w:rPr>
                <w:rFonts w:ascii="宋体" w:hAnsi="宋体" w:cs="宋体" w:eastAsia="宋体" w:hint="default"/>
                <w:sz w:val="20"/>
                <w:szCs w:val="20"/>
              </w:rPr>
            </w:pPr>
            <w:r>
              <w:rPr>
                <w:rFonts w:ascii="宋体"/>
                <w:w w:val="95"/>
                <w:sz w:val="20"/>
              </w:rPr>
              <w:t>2012-4-19</w:t>
            </w:r>
            <w:r>
              <w:rPr>
                <w:rFonts w:ascii="宋体"/>
                <w:sz w:val="20"/>
              </w:rPr>
            </w:r>
          </w:p>
        </w:tc>
      </w:tr>
      <w:tr>
        <w:trPr>
          <w:trHeight w:val="634"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347" w:right="0"/>
              <w:jc w:val="left"/>
              <w:rPr>
                <w:rFonts w:ascii="宋体" w:hAnsi="宋体" w:cs="宋体" w:eastAsia="宋体" w:hint="default"/>
                <w:sz w:val="20"/>
                <w:szCs w:val="20"/>
              </w:rPr>
            </w:pPr>
            <w:r>
              <w:rPr>
                <w:rFonts w:ascii="宋体"/>
                <w:sz w:val="20"/>
              </w:rPr>
              <w:t>13</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《董事会战略委员会工作条例》</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4</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55"/>
              <w:jc w:val="right"/>
              <w:rPr>
                <w:rFonts w:ascii="宋体" w:hAnsi="宋体" w:cs="宋体" w:eastAsia="宋体" w:hint="default"/>
                <w:sz w:val="20"/>
                <w:szCs w:val="20"/>
              </w:rPr>
            </w:pPr>
            <w:r>
              <w:rPr>
                <w:rFonts w:ascii="宋体"/>
                <w:w w:val="95"/>
                <w:sz w:val="20"/>
              </w:rPr>
              <w:t>2012-4-19</w:t>
            </w:r>
            <w:r>
              <w:rPr>
                <w:rFonts w:ascii="宋体"/>
                <w:sz w:val="20"/>
              </w:rPr>
            </w:r>
          </w:p>
        </w:tc>
      </w:tr>
      <w:tr>
        <w:trPr>
          <w:trHeight w:val="636"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6" w:lineRule="exact"/>
              <w:ind w:left="347" w:right="0"/>
              <w:jc w:val="left"/>
              <w:rPr>
                <w:rFonts w:ascii="宋体" w:hAnsi="宋体" w:cs="宋体" w:eastAsia="宋体" w:hint="default"/>
                <w:sz w:val="20"/>
                <w:szCs w:val="20"/>
              </w:rPr>
            </w:pPr>
            <w:r>
              <w:rPr>
                <w:rFonts w:ascii="宋体"/>
                <w:sz w:val="20"/>
              </w:rPr>
              <w:t>14</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《关联交易管理办法》</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4</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55"/>
              <w:jc w:val="right"/>
              <w:rPr>
                <w:rFonts w:ascii="宋体" w:hAnsi="宋体" w:cs="宋体" w:eastAsia="宋体" w:hint="default"/>
                <w:sz w:val="20"/>
                <w:szCs w:val="20"/>
              </w:rPr>
            </w:pPr>
            <w:r>
              <w:rPr>
                <w:rFonts w:ascii="宋体"/>
                <w:w w:val="95"/>
                <w:sz w:val="20"/>
              </w:rPr>
              <w:t>2012-4-19</w:t>
            </w:r>
            <w:r>
              <w:rPr>
                <w:rFonts w:ascii="宋体"/>
                <w:sz w:val="20"/>
              </w:rPr>
            </w:r>
          </w:p>
        </w:tc>
      </w:tr>
      <w:tr>
        <w:trPr>
          <w:trHeight w:val="634"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347" w:right="0"/>
              <w:jc w:val="left"/>
              <w:rPr>
                <w:rFonts w:ascii="宋体" w:hAnsi="宋体" w:cs="宋体" w:eastAsia="宋体" w:hint="default"/>
                <w:sz w:val="20"/>
                <w:szCs w:val="20"/>
              </w:rPr>
            </w:pPr>
            <w:r>
              <w:rPr>
                <w:rFonts w:ascii="宋体"/>
                <w:sz w:val="20"/>
              </w:rPr>
              <w:t>15</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《控股子公司管理制度》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4</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55"/>
              <w:jc w:val="right"/>
              <w:rPr>
                <w:rFonts w:ascii="宋体" w:hAnsi="宋体" w:cs="宋体" w:eastAsia="宋体" w:hint="default"/>
                <w:sz w:val="20"/>
                <w:szCs w:val="20"/>
              </w:rPr>
            </w:pPr>
            <w:r>
              <w:rPr>
                <w:rFonts w:ascii="宋体"/>
                <w:w w:val="95"/>
                <w:sz w:val="20"/>
              </w:rPr>
              <w:t>2012-4-19</w:t>
            </w:r>
            <w:r>
              <w:rPr>
                <w:rFonts w:ascii="宋体"/>
                <w:sz w:val="20"/>
              </w:rPr>
            </w:r>
          </w:p>
        </w:tc>
      </w:tr>
      <w:tr>
        <w:trPr>
          <w:trHeight w:val="634"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347" w:right="0"/>
              <w:jc w:val="left"/>
              <w:rPr>
                <w:rFonts w:ascii="宋体" w:hAnsi="宋体" w:cs="宋体" w:eastAsia="宋体" w:hint="default"/>
                <w:sz w:val="20"/>
                <w:szCs w:val="20"/>
              </w:rPr>
            </w:pPr>
            <w:r>
              <w:rPr>
                <w:rFonts w:ascii="宋体"/>
                <w:sz w:val="20"/>
              </w:rPr>
              <w:t>16</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《投资者关系管理制度》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4</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55"/>
              <w:jc w:val="right"/>
              <w:rPr>
                <w:rFonts w:ascii="宋体" w:hAnsi="宋体" w:cs="宋体" w:eastAsia="宋体" w:hint="default"/>
                <w:sz w:val="20"/>
                <w:szCs w:val="20"/>
              </w:rPr>
            </w:pPr>
            <w:r>
              <w:rPr>
                <w:rFonts w:ascii="宋体"/>
                <w:w w:val="95"/>
                <w:sz w:val="20"/>
              </w:rPr>
              <w:t>2012-4-19</w:t>
            </w:r>
            <w:r>
              <w:rPr>
                <w:rFonts w:ascii="宋体"/>
                <w:sz w:val="20"/>
              </w:rPr>
            </w:r>
          </w:p>
        </w:tc>
      </w:tr>
      <w:tr>
        <w:trPr>
          <w:trHeight w:val="634"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347" w:right="0"/>
              <w:jc w:val="left"/>
              <w:rPr>
                <w:rFonts w:ascii="宋体" w:hAnsi="宋体" w:cs="宋体" w:eastAsia="宋体" w:hint="default"/>
                <w:sz w:val="20"/>
                <w:szCs w:val="20"/>
              </w:rPr>
            </w:pPr>
            <w:r>
              <w:rPr>
                <w:rFonts w:ascii="宋体"/>
                <w:sz w:val="20"/>
              </w:rPr>
              <w:t>17</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《信息披露事务管理制度》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4</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55"/>
              <w:jc w:val="right"/>
              <w:rPr>
                <w:rFonts w:ascii="宋体" w:hAnsi="宋体" w:cs="宋体" w:eastAsia="宋体" w:hint="default"/>
                <w:sz w:val="20"/>
                <w:szCs w:val="20"/>
              </w:rPr>
            </w:pPr>
            <w:r>
              <w:rPr>
                <w:rFonts w:ascii="宋体"/>
                <w:w w:val="95"/>
                <w:sz w:val="20"/>
              </w:rPr>
              <w:t>2012-4-19</w:t>
            </w:r>
            <w:r>
              <w:rPr>
                <w:rFonts w:ascii="宋体"/>
                <w:sz w:val="20"/>
              </w:rPr>
            </w:r>
          </w:p>
        </w:tc>
      </w:tr>
      <w:tr>
        <w:trPr>
          <w:trHeight w:val="634"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347" w:right="0"/>
              <w:jc w:val="left"/>
              <w:rPr>
                <w:rFonts w:ascii="宋体" w:hAnsi="宋体" w:cs="宋体" w:eastAsia="宋体" w:hint="default"/>
                <w:sz w:val="20"/>
                <w:szCs w:val="20"/>
              </w:rPr>
            </w:pPr>
            <w:r>
              <w:rPr>
                <w:rFonts w:ascii="宋体"/>
                <w:sz w:val="20"/>
              </w:rPr>
              <w:t>18</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《重大信息内部报告制度》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4</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55"/>
              <w:jc w:val="right"/>
              <w:rPr>
                <w:rFonts w:ascii="宋体" w:hAnsi="宋体" w:cs="宋体" w:eastAsia="宋体" w:hint="default"/>
                <w:sz w:val="20"/>
                <w:szCs w:val="20"/>
              </w:rPr>
            </w:pPr>
            <w:r>
              <w:rPr>
                <w:rFonts w:ascii="宋体"/>
                <w:w w:val="95"/>
                <w:sz w:val="20"/>
              </w:rPr>
              <w:t>2012-4-19</w:t>
            </w:r>
            <w:r>
              <w:rPr>
                <w:rFonts w:ascii="宋体"/>
                <w:sz w:val="20"/>
              </w:rPr>
            </w:r>
          </w:p>
        </w:tc>
      </w:tr>
      <w:tr>
        <w:trPr>
          <w:trHeight w:val="634"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4" w:lineRule="exact"/>
              <w:ind w:left="347" w:right="0"/>
              <w:jc w:val="left"/>
              <w:rPr>
                <w:rFonts w:ascii="宋体" w:hAnsi="宋体" w:cs="宋体" w:eastAsia="宋体" w:hint="default"/>
                <w:sz w:val="20"/>
                <w:szCs w:val="20"/>
              </w:rPr>
            </w:pPr>
            <w:r>
              <w:rPr>
                <w:rFonts w:ascii="宋体"/>
                <w:sz w:val="20"/>
              </w:rPr>
              <w:t>19</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7"/>
              <w:jc w:val="left"/>
              <w:rPr>
                <w:rFonts w:ascii="宋体" w:hAnsi="宋体" w:cs="宋体" w:eastAsia="宋体" w:hint="default"/>
                <w:sz w:val="20"/>
                <w:szCs w:val="20"/>
              </w:rPr>
            </w:pPr>
            <w:r>
              <w:rPr>
                <w:rFonts w:ascii="宋体" w:hAnsi="宋体" w:cs="宋体" w:eastAsia="宋体" w:hint="default"/>
                <w:sz w:val="20"/>
                <w:szCs w:val="20"/>
              </w:rPr>
              <w:t>《董事、监事和高级管理人员所持股份及其变动管理</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4</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55"/>
              <w:jc w:val="right"/>
              <w:rPr>
                <w:rFonts w:ascii="宋体" w:hAnsi="宋体" w:cs="宋体" w:eastAsia="宋体" w:hint="default"/>
                <w:sz w:val="20"/>
                <w:szCs w:val="20"/>
              </w:rPr>
            </w:pPr>
            <w:r>
              <w:rPr>
                <w:rFonts w:ascii="宋体"/>
                <w:w w:val="95"/>
                <w:sz w:val="20"/>
              </w:rPr>
              <w:t>2012-4-19</w:t>
            </w:r>
            <w:r>
              <w:rPr>
                <w:rFonts w:ascii="宋体"/>
                <w:sz w:val="20"/>
              </w:rPr>
            </w:r>
          </w:p>
        </w:tc>
      </w:tr>
      <w:tr>
        <w:trPr>
          <w:trHeight w:val="396"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6" w:lineRule="exact"/>
              <w:ind w:left="347" w:right="0"/>
              <w:jc w:val="left"/>
              <w:rPr>
                <w:rFonts w:ascii="宋体" w:hAnsi="宋体" w:cs="宋体" w:eastAsia="宋体" w:hint="default"/>
                <w:sz w:val="20"/>
                <w:szCs w:val="20"/>
              </w:rPr>
            </w:pPr>
            <w:r>
              <w:rPr>
                <w:rFonts w:ascii="宋体"/>
                <w:sz w:val="20"/>
              </w:rPr>
              <w:t>20</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《独立董事工作制度》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年第</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2"/>
                <w:sz w:val="20"/>
                <w:szCs w:val="20"/>
              </w:rPr>
              <w:t> </w:t>
            </w:r>
            <w:r>
              <w:rPr>
                <w:rFonts w:ascii="宋体" w:hAnsi="宋体" w:cs="宋体" w:eastAsia="宋体" w:hint="default"/>
                <w:sz w:val="20"/>
                <w:szCs w:val="20"/>
              </w:rPr>
              <w:t>次临时股东大会</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5"/>
              <w:jc w:val="right"/>
              <w:rPr>
                <w:rFonts w:ascii="宋体" w:hAnsi="宋体" w:cs="宋体" w:eastAsia="宋体" w:hint="default"/>
                <w:sz w:val="20"/>
                <w:szCs w:val="20"/>
              </w:rPr>
            </w:pPr>
            <w:r>
              <w:rPr>
                <w:rFonts w:ascii="宋体"/>
                <w:w w:val="95"/>
                <w:sz w:val="20"/>
              </w:rPr>
              <w:t>2012-5-7</w:t>
            </w:r>
            <w:r>
              <w:rPr>
                <w:rFonts w:ascii="宋体"/>
                <w:sz w:val="20"/>
              </w:rPr>
            </w:r>
          </w:p>
        </w:tc>
      </w:tr>
      <w:tr>
        <w:trPr>
          <w:trHeight w:val="396"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6" w:lineRule="exact"/>
              <w:ind w:left="347" w:right="0"/>
              <w:jc w:val="left"/>
              <w:rPr>
                <w:rFonts w:ascii="宋体" w:hAnsi="宋体" w:cs="宋体" w:eastAsia="宋体" w:hint="default"/>
                <w:sz w:val="20"/>
                <w:szCs w:val="20"/>
              </w:rPr>
            </w:pPr>
            <w:r>
              <w:rPr>
                <w:rFonts w:ascii="宋体"/>
                <w:sz w:val="20"/>
              </w:rPr>
              <w:t>21</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《董事会议事规则》</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年第</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2"/>
                <w:sz w:val="20"/>
                <w:szCs w:val="20"/>
              </w:rPr>
              <w:t> </w:t>
            </w:r>
            <w:r>
              <w:rPr>
                <w:rFonts w:ascii="宋体" w:hAnsi="宋体" w:cs="宋体" w:eastAsia="宋体" w:hint="default"/>
                <w:sz w:val="20"/>
                <w:szCs w:val="20"/>
              </w:rPr>
              <w:t>次临时股东大会</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5"/>
              <w:jc w:val="right"/>
              <w:rPr>
                <w:rFonts w:ascii="宋体" w:hAnsi="宋体" w:cs="宋体" w:eastAsia="宋体" w:hint="default"/>
                <w:sz w:val="20"/>
                <w:szCs w:val="20"/>
              </w:rPr>
            </w:pPr>
            <w:r>
              <w:rPr>
                <w:rFonts w:ascii="宋体"/>
                <w:w w:val="95"/>
                <w:sz w:val="20"/>
              </w:rPr>
              <w:t>2012-5-7</w:t>
            </w:r>
            <w:r>
              <w:rPr>
                <w:rFonts w:ascii="宋体"/>
                <w:sz w:val="20"/>
              </w:rPr>
            </w:r>
          </w:p>
        </w:tc>
      </w:tr>
      <w:tr>
        <w:trPr>
          <w:trHeight w:val="396"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6" w:lineRule="exact"/>
              <w:ind w:left="347" w:right="0"/>
              <w:jc w:val="left"/>
              <w:rPr>
                <w:rFonts w:ascii="宋体" w:hAnsi="宋体" w:cs="宋体" w:eastAsia="宋体" w:hint="default"/>
                <w:sz w:val="20"/>
                <w:szCs w:val="20"/>
              </w:rPr>
            </w:pPr>
            <w:r>
              <w:rPr>
                <w:rFonts w:ascii="宋体"/>
                <w:sz w:val="20"/>
              </w:rPr>
              <w:t>22</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《监事会议事规则》</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年第</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2"/>
                <w:sz w:val="20"/>
                <w:szCs w:val="20"/>
              </w:rPr>
              <w:t> </w:t>
            </w:r>
            <w:r>
              <w:rPr>
                <w:rFonts w:ascii="宋体" w:hAnsi="宋体" w:cs="宋体" w:eastAsia="宋体" w:hint="default"/>
                <w:sz w:val="20"/>
                <w:szCs w:val="20"/>
              </w:rPr>
              <w:t>次临时股东大会</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5"/>
              <w:jc w:val="right"/>
              <w:rPr>
                <w:rFonts w:ascii="宋体" w:hAnsi="宋体" w:cs="宋体" w:eastAsia="宋体" w:hint="default"/>
                <w:sz w:val="20"/>
                <w:szCs w:val="20"/>
              </w:rPr>
            </w:pPr>
            <w:r>
              <w:rPr>
                <w:rFonts w:ascii="宋体"/>
                <w:w w:val="95"/>
                <w:sz w:val="20"/>
              </w:rPr>
              <w:t>2012-5-7</w:t>
            </w:r>
            <w:r>
              <w:rPr>
                <w:rFonts w:ascii="宋体"/>
                <w:sz w:val="20"/>
              </w:rPr>
            </w:r>
          </w:p>
        </w:tc>
      </w:tr>
      <w:tr>
        <w:trPr>
          <w:trHeight w:val="397"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6" w:lineRule="exact"/>
              <w:ind w:left="347" w:right="0"/>
              <w:jc w:val="left"/>
              <w:rPr>
                <w:rFonts w:ascii="宋体" w:hAnsi="宋体" w:cs="宋体" w:eastAsia="宋体" w:hint="default"/>
                <w:sz w:val="20"/>
                <w:szCs w:val="20"/>
              </w:rPr>
            </w:pPr>
            <w:r>
              <w:rPr>
                <w:rFonts w:ascii="宋体"/>
                <w:sz w:val="20"/>
              </w:rPr>
              <w:t>23</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《股东大会议事规则》</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年第</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2"/>
                <w:sz w:val="20"/>
                <w:szCs w:val="20"/>
              </w:rPr>
              <w:t> </w:t>
            </w:r>
            <w:r>
              <w:rPr>
                <w:rFonts w:ascii="宋体" w:hAnsi="宋体" w:cs="宋体" w:eastAsia="宋体" w:hint="default"/>
                <w:sz w:val="20"/>
                <w:szCs w:val="20"/>
              </w:rPr>
              <w:t>次临时股东大会</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5"/>
              <w:jc w:val="right"/>
              <w:rPr>
                <w:rFonts w:ascii="宋体" w:hAnsi="宋体" w:cs="宋体" w:eastAsia="宋体" w:hint="default"/>
                <w:sz w:val="20"/>
                <w:szCs w:val="20"/>
              </w:rPr>
            </w:pPr>
            <w:r>
              <w:rPr>
                <w:rFonts w:ascii="宋体"/>
                <w:w w:val="95"/>
                <w:sz w:val="20"/>
              </w:rPr>
              <w:t>2012-5-7</w:t>
            </w:r>
            <w:r>
              <w:rPr>
                <w:rFonts w:ascii="宋体"/>
                <w:sz w:val="20"/>
              </w:rPr>
            </w:r>
          </w:p>
        </w:tc>
      </w:tr>
      <w:tr>
        <w:trPr>
          <w:trHeight w:val="396"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6" w:lineRule="exact"/>
              <w:ind w:left="347" w:right="0"/>
              <w:jc w:val="left"/>
              <w:rPr>
                <w:rFonts w:ascii="宋体" w:hAnsi="宋体" w:cs="宋体" w:eastAsia="宋体" w:hint="default"/>
                <w:sz w:val="20"/>
                <w:szCs w:val="20"/>
              </w:rPr>
            </w:pPr>
            <w:r>
              <w:rPr>
                <w:rFonts w:ascii="宋体"/>
                <w:sz w:val="20"/>
              </w:rPr>
              <w:t>24</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《对外担保管理办法》</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年第</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2"/>
                <w:sz w:val="20"/>
                <w:szCs w:val="20"/>
              </w:rPr>
              <w:t> </w:t>
            </w:r>
            <w:r>
              <w:rPr>
                <w:rFonts w:ascii="宋体" w:hAnsi="宋体" w:cs="宋体" w:eastAsia="宋体" w:hint="default"/>
                <w:sz w:val="20"/>
                <w:szCs w:val="20"/>
              </w:rPr>
              <w:t>次临时股东大会</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5"/>
              <w:jc w:val="right"/>
              <w:rPr>
                <w:rFonts w:ascii="宋体" w:hAnsi="宋体" w:cs="宋体" w:eastAsia="宋体" w:hint="default"/>
                <w:sz w:val="20"/>
                <w:szCs w:val="20"/>
              </w:rPr>
            </w:pPr>
            <w:r>
              <w:rPr>
                <w:rFonts w:ascii="宋体"/>
                <w:w w:val="95"/>
                <w:sz w:val="20"/>
              </w:rPr>
              <w:t>2012-5-7</w:t>
            </w:r>
            <w:r>
              <w:rPr>
                <w:rFonts w:ascii="宋体"/>
                <w:sz w:val="20"/>
              </w:rPr>
            </w:r>
          </w:p>
        </w:tc>
      </w:tr>
      <w:tr>
        <w:trPr>
          <w:trHeight w:val="396"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6" w:lineRule="exact"/>
              <w:ind w:left="347" w:right="0"/>
              <w:jc w:val="left"/>
              <w:rPr>
                <w:rFonts w:ascii="宋体" w:hAnsi="宋体" w:cs="宋体" w:eastAsia="宋体" w:hint="default"/>
                <w:sz w:val="20"/>
                <w:szCs w:val="20"/>
              </w:rPr>
            </w:pPr>
            <w:r>
              <w:rPr>
                <w:rFonts w:ascii="宋体"/>
                <w:sz w:val="20"/>
              </w:rPr>
              <w:t>25</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《对外投资管理办法》</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年第</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2"/>
                <w:sz w:val="20"/>
                <w:szCs w:val="20"/>
              </w:rPr>
              <w:t> </w:t>
            </w:r>
            <w:r>
              <w:rPr>
                <w:rFonts w:ascii="宋体" w:hAnsi="宋体" w:cs="宋体" w:eastAsia="宋体" w:hint="default"/>
                <w:sz w:val="20"/>
                <w:szCs w:val="20"/>
              </w:rPr>
              <w:t>次临时股东大会</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5"/>
              <w:jc w:val="right"/>
              <w:rPr>
                <w:rFonts w:ascii="宋体" w:hAnsi="宋体" w:cs="宋体" w:eastAsia="宋体" w:hint="default"/>
                <w:sz w:val="20"/>
                <w:szCs w:val="20"/>
              </w:rPr>
            </w:pPr>
            <w:r>
              <w:rPr>
                <w:rFonts w:ascii="宋体"/>
                <w:w w:val="95"/>
                <w:sz w:val="20"/>
              </w:rPr>
              <w:t>2012-5-7</w:t>
            </w:r>
            <w:r>
              <w:rPr>
                <w:rFonts w:ascii="宋体"/>
                <w:sz w:val="20"/>
              </w:rPr>
            </w:r>
          </w:p>
        </w:tc>
      </w:tr>
      <w:tr>
        <w:trPr>
          <w:trHeight w:val="396"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6" w:lineRule="exact"/>
              <w:ind w:left="347" w:right="0"/>
              <w:jc w:val="left"/>
              <w:rPr>
                <w:rFonts w:ascii="宋体" w:hAnsi="宋体" w:cs="宋体" w:eastAsia="宋体" w:hint="default"/>
                <w:sz w:val="20"/>
                <w:szCs w:val="20"/>
              </w:rPr>
            </w:pPr>
            <w:r>
              <w:rPr>
                <w:rFonts w:ascii="宋体"/>
                <w:sz w:val="20"/>
              </w:rPr>
              <w:t>26</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《内部审计制度》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年第</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2"/>
                <w:sz w:val="20"/>
                <w:szCs w:val="20"/>
              </w:rPr>
              <w:t> </w:t>
            </w:r>
            <w:r>
              <w:rPr>
                <w:rFonts w:ascii="宋体" w:hAnsi="宋体" w:cs="宋体" w:eastAsia="宋体" w:hint="default"/>
                <w:sz w:val="20"/>
                <w:szCs w:val="20"/>
              </w:rPr>
              <w:t>次临时股东大会</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5"/>
              <w:jc w:val="right"/>
              <w:rPr>
                <w:rFonts w:ascii="宋体" w:hAnsi="宋体" w:cs="宋体" w:eastAsia="宋体" w:hint="default"/>
                <w:sz w:val="20"/>
                <w:szCs w:val="20"/>
              </w:rPr>
            </w:pPr>
            <w:r>
              <w:rPr>
                <w:rFonts w:ascii="宋体"/>
                <w:w w:val="95"/>
                <w:sz w:val="20"/>
              </w:rPr>
              <w:t>2012-5-7</w:t>
            </w:r>
            <w:r>
              <w:rPr>
                <w:rFonts w:ascii="宋体"/>
                <w:sz w:val="20"/>
              </w:rPr>
            </w:r>
          </w:p>
        </w:tc>
      </w:tr>
      <w:tr>
        <w:trPr>
          <w:trHeight w:val="396"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6" w:lineRule="exact"/>
              <w:ind w:left="347" w:right="0"/>
              <w:jc w:val="left"/>
              <w:rPr>
                <w:rFonts w:ascii="宋体" w:hAnsi="宋体" w:cs="宋体" w:eastAsia="宋体" w:hint="default"/>
                <w:sz w:val="20"/>
                <w:szCs w:val="20"/>
              </w:rPr>
            </w:pPr>
            <w:r>
              <w:rPr>
                <w:rFonts w:ascii="宋体"/>
                <w:sz w:val="20"/>
              </w:rPr>
              <w:t>27</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《会计师事务所选聘制度》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年第</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2"/>
                <w:sz w:val="20"/>
                <w:szCs w:val="20"/>
              </w:rPr>
              <w:t> </w:t>
            </w:r>
            <w:r>
              <w:rPr>
                <w:rFonts w:ascii="宋体" w:hAnsi="宋体" w:cs="宋体" w:eastAsia="宋体" w:hint="default"/>
                <w:sz w:val="20"/>
                <w:szCs w:val="20"/>
              </w:rPr>
              <w:t>次临时股东大会</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5"/>
              <w:jc w:val="right"/>
              <w:rPr>
                <w:rFonts w:ascii="宋体" w:hAnsi="宋体" w:cs="宋体" w:eastAsia="宋体" w:hint="default"/>
                <w:sz w:val="20"/>
                <w:szCs w:val="20"/>
              </w:rPr>
            </w:pPr>
            <w:r>
              <w:rPr>
                <w:rFonts w:ascii="宋体"/>
                <w:w w:val="95"/>
                <w:sz w:val="20"/>
              </w:rPr>
              <w:t>2012-5-7</w:t>
            </w:r>
            <w:r>
              <w:rPr>
                <w:rFonts w:ascii="宋体"/>
                <w:sz w:val="20"/>
              </w:rPr>
            </w:r>
          </w:p>
        </w:tc>
      </w:tr>
      <w:tr>
        <w:trPr>
          <w:trHeight w:val="396"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6" w:lineRule="exact"/>
              <w:ind w:left="347" w:right="0"/>
              <w:jc w:val="left"/>
              <w:rPr>
                <w:rFonts w:ascii="宋体" w:hAnsi="宋体" w:cs="宋体" w:eastAsia="宋体" w:hint="default"/>
                <w:sz w:val="20"/>
                <w:szCs w:val="20"/>
              </w:rPr>
            </w:pPr>
            <w:r>
              <w:rPr>
                <w:rFonts w:ascii="宋体"/>
                <w:sz w:val="20"/>
              </w:rPr>
              <w:t>28</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《募集资金管理制度》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年第</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2"/>
                <w:sz w:val="20"/>
                <w:szCs w:val="20"/>
              </w:rPr>
              <w:t> </w:t>
            </w:r>
            <w:r>
              <w:rPr>
                <w:rFonts w:ascii="宋体" w:hAnsi="宋体" w:cs="宋体" w:eastAsia="宋体" w:hint="default"/>
                <w:sz w:val="20"/>
                <w:szCs w:val="20"/>
              </w:rPr>
              <w:t>次临时股东大会</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5"/>
              <w:jc w:val="right"/>
              <w:rPr>
                <w:rFonts w:ascii="宋体" w:hAnsi="宋体" w:cs="宋体" w:eastAsia="宋体" w:hint="default"/>
                <w:sz w:val="20"/>
                <w:szCs w:val="20"/>
              </w:rPr>
            </w:pPr>
            <w:r>
              <w:rPr>
                <w:rFonts w:ascii="宋体"/>
                <w:w w:val="95"/>
                <w:sz w:val="20"/>
              </w:rPr>
              <w:t>2012-5-7</w:t>
            </w:r>
            <w:r>
              <w:rPr>
                <w:rFonts w:ascii="宋体"/>
                <w:sz w:val="20"/>
              </w:rPr>
            </w:r>
          </w:p>
        </w:tc>
      </w:tr>
      <w:tr>
        <w:trPr>
          <w:trHeight w:val="396"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6" w:lineRule="exact"/>
              <w:ind w:left="347" w:right="0"/>
              <w:jc w:val="left"/>
              <w:rPr>
                <w:rFonts w:ascii="宋体" w:hAnsi="宋体" w:cs="宋体" w:eastAsia="宋体" w:hint="default"/>
                <w:sz w:val="20"/>
                <w:szCs w:val="20"/>
              </w:rPr>
            </w:pPr>
            <w:r>
              <w:rPr>
                <w:rFonts w:ascii="宋体"/>
                <w:sz w:val="20"/>
              </w:rPr>
              <w:t>29</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《公司章程》</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年第</w:t>
            </w:r>
            <w:r>
              <w:rPr>
                <w:rFonts w:ascii="宋体" w:hAnsi="宋体" w:cs="宋体" w:eastAsia="宋体" w:hint="default"/>
                <w:spacing w:val="-53"/>
                <w:sz w:val="20"/>
                <w:szCs w:val="20"/>
              </w:rPr>
              <w:t> </w:t>
            </w:r>
            <w:r>
              <w:rPr>
                <w:rFonts w:ascii="宋体" w:hAnsi="宋体" w:cs="宋体" w:eastAsia="宋体" w:hint="default"/>
                <w:sz w:val="20"/>
                <w:szCs w:val="20"/>
              </w:rPr>
              <w:t>2</w:t>
            </w:r>
            <w:r>
              <w:rPr>
                <w:rFonts w:ascii="宋体" w:hAnsi="宋体" w:cs="宋体" w:eastAsia="宋体" w:hint="default"/>
                <w:spacing w:val="-52"/>
                <w:sz w:val="20"/>
                <w:szCs w:val="20"/>
              </w:rPr>
              <w:t> </w:t>
            </w:r>
            <w:r>
              <w:rPr>
                <w:rFonts w:ascii="宋体" w:hAnsi="宋体" w:cs="宋体" w:eastAsia="宋体" w:hint="default"/>
                <w:sz w:val="20"/>
                <w:szCs w:val="20"/>
              </w:rPr>
              <w:t>次临时股东大会</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5"/>
              <w:jc w:val="right"/>
              <w:rPr>
                <w:rFonts w:ascii="宋体" w:hAnsi="宋体" w:cs="宋体" w:eastAsia="宋体" w:hint="default"/>
                <w:sz w:val="20"/>
                <w:szCs w:val="20"/>
              </w:rPr>
            </w:pPr>
            <w:r>
              <w:rPr>
                <w:rFonts w:ascii="宋体"/>
                <w:w w:val="95"/>
                <w:sz w:val="20"/>
              </w:rPr>
              <w:t>2012-5-7</w:t>
            </w:r>
            <w:r>
              <w:rPr>
                <w:rFonts w:ascii="宋体"/>
                <w:sz w:val="20"/>
              </w:rPr>
            </w:r>
          </w:p>
        </w:tc>
      </w:tr>
      <w:tr>
        <w:trPr>
          <w:trHeight w:val="398"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6" w:lineRule="exact"/>
              <w:ind w:left="347" w:right="0"/>
              <w:jc w:val="left"/>
              <w:rPr>
                <w:rFonts w:ascii="宋体" w:hAnsi="宋体" w:cs="宋体" w:eastAsia="宋体" w:hint="default"/>
                <w:sz w:val="20"/>
                <w:szCs w:val="20"/>
              </w:rPr>
            </w:pPr>
            <w:r>
              <w:rPr>
                <w:rFonts w:ascii="宋体"/>
                <w:sz w:val="20"/>
              </w:rPr>
              <w:t>30</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《董事、监事、高级管理人员薪酬制度》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4"/>
                <w:sz w:val="20"/>
                <w:szCs w:val="20"/>
              </w:rPr>
              <w:t> </w:t>
            </w:r>
            <w:r>
              <w:rPr>
                <w:rFonts w:ascii="宋体" w:hAnsi="宋体" w:cs="宋体" w:eastAsia="宋体" w:hint="default"/>
                <w:sz w:val="20"/>
                <w:szCs w:val="20"/>
              </w:rPr>
              <w:t>年年度股东大会</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55"/>
              <w:jc w:val="right"/>
              <w:rPr>
                <w:rFonts w:ascii="宋体" w:hAnsi="宋体" w:cs="宋体" w:eastAsia="宋体" w:hint="default"/>
                <w:sz w:val="20"/>
                <w:szCs w:val="20"/>
              </w:rPr>
            </w:pPr>
            <w:r>
              <w:rPr>
                <w:rFonts w:ascii="宋体"/>
                <w:w w:val="95"/>
                <w:sz w:val="20"/>
              </w:rPr>
              <w:t>2012-5-30</w:t>
            </w:r>
            <w:r>
              <w:rPr>
                <w:rFonts w:ascii="宋体"/>
                <w:sz w:val="20"/>
              </w:rPr>
            </w:r>
          </w:p>
        </w:tc>
      </w:tr>
    </w:tbl>
    <w:p>
      <w:pPr>
        <w:spacing w:after="0" w:line="256" w:lineRule="exact"/>
        <w:jc w:val="right"/>
        <w:rPr>
          <w:rFonts w:ascii="宋体" w:hAnsi="宋体" w:cs="宋体" w:eastAsia="宋体" w:hint="default"/>
          <w:sz w:val="20"/>
          <w:szCs w:val="20"/>
        </w:rPr>
        <w:sectPr>
          <w:headerReference w:type="default" r:id="rId39"/>
          <w:footerReference w:type="default" r:id="rId40"/>
          <w:pgSz w:w="11910" w:h="16840"/>
          <w:pgMar w:header="877" w:footer="0" w:top="1060" w:bottom="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904"/>
        <w:gridCol w:w="4835"/>
        <w:gridCol w:w="2945"/>
        <w:gridCol w:w="1229"/>
      </w:tblGrid>
      <w:tr>
        <w:trPr>
          <w:trHeight w:val="634"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6" w:lineRule="exact"/>
              <w:ind w:right="1"/>
              <w:jc w:val="center"/>
              <w:rPr>
                <w:rFonts w:ascii="宋体" w:hAnsi="宋体" w:cs="宋体" w:eastAsia="宋体" w:hint="default"/>
                <w:sz w:val="22"/>
                <w:szCs w:val="22"/>
              </w:rPr>
            </w:pPr>
            <w:r>
              <w:rPr>
                <w:rFonts w:ascii="宋体"/>
                <w:sz w:val="22"/>
              </w:rPr>
              <w:t>31</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《远期结售汇内控管理制度》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z w:val="20"/>
                <w:szCs w:val="20"/>
              </w:rPr>
              <w:t>第二届董事会</w:t>
            </w:r>
            <w:r>
              <w:rPr>
                <w:rFonts w:ascii="宋体" w:hAnsi="宋体" w:cs="宋体" w:eastAsia="宋体" w:hint="default"/>
                <w:spacing w:val="-45"/>
                <w:sz w:val="20"/>
                <w:szCs w:val="20"/>
              </w:rPr>
              <w:t> </w:t>
            </w:r>
            <w:r>
              <w:rPr>
                <w:rFonts w:ascii="宋体" w:hAnsi="宋体" w:cs="宋体" w:eastAsia="宋体" w:hint="default"/>
                <w:sz w:val="20"/>
                <w:szCs w:val="20"/>
              </w:rPr>
              <w:t>2012</w:t>
            </w:r>
            <w:r>
              <w:rPr>
                <w:rFonts w:ascii="宋体" w:hAnsi="宋体" w:cs="宋体" w:eastAsia="宋体" w:hint="default"/>
                <w:spacing w:val="-44"/>
                <w:sz w:val="20"/>
                <w:szCs w:val="20"/>
              </w:rPr>
              <w:t> </w:t>
            </w:r>
            <w:r>
              <w:rPr>
                <w:rFonts w:ascii="宋体" w:hAnsi="宋体" w:cs="宋体" w:eastAsia="宋体" w:hint="default"/>
                <w:sz w:val="20"/>
                <w:szCs w:val="20"/>
              </w:rPr>
              <w:t>年第</w:t>
            </w:r>
            <w:r>
              <w:rPr>
                <w:rFonts w:ascii="宋体" w:hAnsi="宋体" w:cs="宋体" w:eastAsia="宋体" w:hint="default"/>
                <w:spacing w:val="-44"/>
                <w:sz w:val="20"/>
                <w:szCs w:val="20"/>
              </w:rPr>
              <w:t> </w:t>
            </w:r>
            <w:r>
              <w:rPr>
                <w:rFonts w:ascii="宋体" w:hAnsi="宋体" w:cs="宋体" w:eastAsia="宋体" w:hint="default"/>
                <w:sz w:val="20"/>
                <w:szCs w:val="20"/>
              </w:rPr>
              <w:t>5</w:t>
            </w:r>
            <w:r>
              <w:rPr>
                <w:rFonts w:ascii="宋体" w:hAnsi="宋体" w:cs="宋体" w:eastAsia="宋体" w:hint="default"/>
                <w:spacing w:val="-46"/>
                <w:sz w:val="20"/>
                <w:szCs w:val="20"/>
              </w:rPr>
              <w:t> </w:t>
            </w:r>
            <w:r>
              <w:rPr>
                <w:rFonts w:ascii="宋体" w:hAnsi="宋体" w:cs="宋体" w:eastAsia="宋体" w:hint="default"/>
                <w:sz w:val="20"/>
                <w:szCs w:val="20"/>
              </w:rPr>
              <w:t>次临</w:t>
            </w:r>
            <w:r>
              <w:rPr>
                <w:rFonts w:ascii="宋体" w:hAnsi="宋体" w:cs="宋体" w:eastAsia="宋体" w:hint="default"/>
                <w:w w:val="99"/>
                <w:sz w:val="20"/>
                <w:szCs w:val="20"/>
              </w:rPr>
              <w:t> </w:t>
            </w:r>
            <w:r>
              <w:rPr>
                <w:rFonts w:ascii="宋体" w:hAnsi="宋体" w:cs="宋体" w:eastAsia="宋体" w:hint="default"/>
                <w:sz w:val="20"/>
                <w:szCs w:val="20"/>
              </w:rPr>
              <w:t>时会议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 w:right="0"/>
              <w:jc w:val="center"/>
              <w:rPr>
                <w:rFonts w:ascii="宋体" w:hAnsi="宋体" w:cs="宋体" w:eastAsia="宋体" w:hint="default"/>
                <w:sz w:val="20"/>
                <w:szCs w:val="20"/>
              </w:rPr>
            </w:pPr>
            <w:r>
              <w:rPr>
                <w:rFonts w:ascii="宋体"/>
                <w:sz w:val="20"/>
              </w:rPr>
              <w:t>2012-6-27</w:t>
            </w:r>
          </w:p>
        </w:tc>
      </w:tr>
      <w:tr>
        <w:trPr>
          <w:trHeight w:val="396"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6" w:lineRule="exact"/>
              <w:ind w:right="1"/>
              <w:jc w:val="center"/>
              <w:rPr>
                <w:rFonts w:ascii="宋体" w:hAnsi="宋体" w:cs="宋体" w:eastAsia="宋体" w:hint="default"/>
                <w:sz w:val="22"/>
                <w:szCs w:val="22"/>
              </w:rPr>
            </w:pPr>
            <w:r>
              <w:rPr>
                <w:rFonts w:ascii="宋体"/>
                <w:sz w:val="22"/>
              </w:rPr>
              <w:t>32</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《公司章程》</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年第</w:t>
            </w:r>
            <w:r>
              <w:rPr>
                <w:rFonts w:ascii="宋体" w:hAnsi="宋体" w:cs="宋体" w:eastAsia="宋体" w:hint="default"/>
                <w:spacing w:val="-53"/>
                <w:sz w:val="20"/>
                <w:szCs w:val="20"/>
              </w:rPr>
              <w:t> </w:t>
            </w: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次临时股东大会</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 w:right="0"/>
              <w:jc w:val="center"/>
              <w:rPr>
                <w:rFonts w:ascii="宋体" w:hAnsi="宋体" w:cs="宋体" w:eastAsia="宋体" w:hint="default"/>
                <w:sz w:val="20"/>
                <w:szCs w:val="20"/>
              </w:rPr>
            </w:pPr>
            <w:r>
              <w:rPr>
                <w:rFonts w:ascii="宋体"/>
                <w:sz w:val="20"/>
              </w:rPr>
              <w:t>2012-7-13</w:t>
            </w:r>
          </w:p>
        </w:tc>
      </w:tr>
      <w:tr>
        <w:trPr>
          <w:trHeight w:val="396" w:hRule="exact"/>
        </w:trPr>
        <w:tc>
          <w:tcPr>
            <w:tcW w:w="9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6" w:lineRule="exact"/>
              <w:ind w:right="1"/>
              <w:jc w:val="center"/>
              <w:rPr>
                <w:rFonts w:ascii="宋体" w:hAnsi="宋体" w:cs="宋体" w:eastAsia="宋体" w:hint="default"/>
                <w:sz w:val="22"/>
                <w:szCs w:val="22"/>
              </w:rPr>
            </w:pPr>
            <w:r>
              <w:rPr>
                <w:rFonts w:ascii="宋体"/>
                <w:sz w:val="22"/>
              </w:rPr>
              <w:t>33</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《公司章程》</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年第</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次临时股东大会</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 w:right="0"/>
              <w:jc w:val="center"/>
              <w:rPr>
                <w:rFonts w:ascii="宋体" w:hAnsi="宋体" w:cs="宋体" w:eastAsia="宋体" w:hint="default"/>
                <w:sz w:val="20"/>
                <w:szCs w:val="20"/>
              </w:rPr>
            </w:pPr>
            <w:r>
              <w:rPr>
                <w:rFonts w:ascii="宋体"/>
                <w:sz w:val="20"/>
              </w:rPr>
              <w:t>2012-10-23</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pStyle w:val="BodyText"/>
        <w:spacing w:line="240" w:lineRule="auto"/>
        <w:ind w:left="212" w:right="0"/>
        <w:jc w:val="both"/>
      </w:pPr>
      <w:r>
        <w:rPr/>
        <w:t>公司治理与《公司法》和中国证监会相关规定的要求是否存在差异</w:t>
      </w:r>
    </w:p>
    <w:p>
      <w:pPr>
        <w:pStyle w:val="BodyText"/>
        <w:spacing w:line="338" w:lineRule="auto" w:before="117"/>
        <w:ind w:left="212" w:right="553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1"/>
        </w:rPr>
        <w:t> </w:t>
      </w:r>
      <w:r>
        <w:rPr/>
        <w:t>否 公司治理与《公司法》和中国证监会相关规定的要求不存在差异。</w:t>
      </w:r>
    </w:p>
    <w:p>
      <w:pPr>
        <w:pStyle w:val="BodyText"/>
        <w:spacing w:line="240" w:lineRule="auto" w:before="43"/>
        <w:ind w:left="212" w:right="0"/>
        <w:jc w:val="both"/>
      </w:pPr>
      <w:r>
        <w:rPr/>
        <w:t>公司治理专项活动开展情况以及内幕信息知情人登记管理制度的制定、实施情况</w:t>
      </w:r>
    </w:p>
    <w:p>
      <w:pPr>
        <w:pStyle w:val="BodyText"/>
        <w:spacing w:line="357" w:lineRule="auto" w:before="117"/>
        <w:ind w:left="573" w:right="1033"/>
        <w:jc w:val="left"/>
      </w:pPr>
      <w:r>
        <w:rPr/>
        <w:t>（一）公司治理专项活动的开展情况 </w:t>
      </w:r>
      <w:r>
        <w:rPr>
          <w:spacing w:val="-4"/>
          <w:w w:val="99"/>
        </w:rPr>
        <w:t>为贯彻落实中国证监会深圳证监局《关于做好深圳辖区上市公司治理专项活动有关工作的通知》（深证局公司字【</w:t>
      </w:r>
      <w:r>
        <w:rPr>
          <w:rFonts w:ascii="Arial" w:hAnsi="Arial" w:cs="Arial" w:eastAsia="Arial" w:hint="default"/>
          <w:spacing w:val="-4"/>
          <w:w w:val="99"/>
        </w:rPr>
        <w:t>2007</w:t>
      </w:r>
      <w:r>
        <w:rPr>
          <w:spacing w:val="-4"/>
          <w:w w:val="99"/>
        </w:rPr>
        <w:t>】</w:t>
      </w:r>
    </w:p>
    <w:p>
      <w:pPr>
        <w:pStyle w:val="BodyText"/>
        <w:spacing w:line="213" w:lineRule="exact"/>
        <w:ind w:left="212" w:right="0"/>
        <w:jc w:val="both"/>
      </w:pPr>
      <w:r>
        <w:rPr>
          <w:rFonts w:ascii="Arial" w:hAnsi="Arial" w:cs="Arial" w:eastAsia="Arial" w:hint="default"/>
          <w:w w:val="99"/>
        </w:rPr>
        <w:t>14</w:t>
      </w:r>
      <w:r>
        <w:rPr>
          <w:rFonts w:ascii="Arial" w:hAnsi="Arial" w:cs="Arial" w:eastAsia="Arial" w:hint="default"/>
          <w:spacing w:val="-4"/>
        </w:rPr>
        <w:t> </w:t>
      </w:r>
      <w:r>
        <w:rPr/>
        <w:t>号</w:t>
      </w:r>
      <w:r>
        <w:rPr>
          <w:spacing w:val="-92"/>
        </w:rPr>
        <w:t>）</w:t>
      </w:r>
      <w:r>
        <w:rPr>
          <w:spacing w:val="-20"/>
        </w:rPr>
        <w:t>、</w:t>
      </w:r>
      <w:r>
        <w:rPr/>
        <w:t>深圳证监</w:t>
      </w:r>
      <w:r>
        <w:rPr>
          <w:spacing w:val="-20"/>
        </w:rPr>
        <w:t>局</w:t>
      </w:r>
      <w:r>
        <w:rPr/>
        <w:t>《关于做好</w:t>
      </w:r>
      <w:r>
        <w:rPr>
          <w:spacing w:val="-45"/>
        </w:rPr>
        <w:t> </w:t>
      </w:r>
      <w:r>
        <w:rPr>
          <w:rFonts w:ascii="Arial" w:hAnsi="Arial" w:cs="Arial" w:eastAsia="Arial" w:hint="default"/>
          <w:w w:val="99"/>
        </w:rPr>
        <w:t>20</w:t>
      </w:r>
      <w:r>
        <w:rPr>
          <w:rFonts w:ascii="Arial" w:hAnsi="Arial" w:cs="Arial" w:eastAsia="Arial" w:hint="default"/>
          <w:spacing w:val="-2"/>
          <w:w w:val="99"/>
        </w:rPr>
        <w:t>0</w:t>
      </w:r>
      <w:r>
        <w:rPr>
          <w:rFonts w:ascii="Arial" w:hAnsi="Arial" w:cs="Arial" w:eastAsia="Arial" w:hint="default"/>
          <w:w w:val="99"/>
        </w:rPr>
        <w:t>9</w:t>
      </w:r>
      <w:r>
        <w:rPr>
          <w:rFonts w:ascii="Arial" w:hAnsi="Arial" w:cs="Arial" w:eastAsia="Arial" w:hint="default"/>
          <w:spacing w:val="-3"/>
        </w:rPr>
        <w:t> </w:t>
      </w:r>
      <w:r>
        <w:rPr/>
        <w:t>年上市公司治理相</w:t>
      </w:r>
      <w:r>
        <w:rPr>
          <w:spacing w:val="-3"/>
        </w:rPr>
        <w:t>关</w:t>
      </w:r>
      <w:r>
        <w:rPr/>
        <w:t>工作的通知</w:t>
      </w:r>
      <w:r>
        <w:rPr>
          <w:spacing w:val="-111"/>
        </w:rPr>
        <w:t>》</w:t>
      </w:r>
      <w:r>
        <w:rPr/>
        <w:t>（深证局公司</w:t>
      </w:r>
      <w:r>
        <w:rPr>
          <w:spacing w:val="-20"/>
        </w:rPr>
        <w:t>字</w:t>
      </w:r>
      <w:r>
        <w:rPr>
          <w:spacing w:val="2"/>
        </w:rPr>
        <w:t>【</w:t>
      </w:r>
      <w:r>
        <w:rPr>
          <w:rFonts w:ascii="Arial" w:hAnsi="Arial" w:cs="Arial" w:eastAsia="Arial" w:hint="default"/>
          <w:w w:val="99"/>
        </w:rPr>
        <w:t>2009</w:t>
      </w:r>
      <w:r>
        <w:rPr>
          <w:spacing w:val="-20"/>
        </w:rPr>
        <w:t>】</w:t>
      </w:r>
      <w:r>
        <w:rPr>
          <w:rFonts w:ascii="Arial" w:hAnsi="Arial" w:cs="Arial" w:eastAsia="Arial" w:hint="default"/>
          <w:spacing w:val="-2"/>
          <w:w w:val="99"/>
        </w:rPr>
        <w:t>6</w:t>
      </w:r>
      <w:r>
        <w:rPr>
          <w:rFonts w:ascii="Arial" w:hAnsi="Arial" w:cs="Arial" w:eastAsia="Arial" w:hint="default"/>
          <w:w w:val="99"/>
        </w:rPr>
        <w:t>5</w:t>
      </w:r>
      <w:r>
        <w:rPr>
          <w:rFonts w:ascii="Arial" w:hAnsi="Arial" w:cs="Arial" w:eastAsia="Arial" w:hint="default"/>
          <w:spacing w:val="-4"/>
        </w:rPr>
        <w:t> </w:t>
      </w:r>
      <w:r>
        <w:rPr/>
        <w:t>号</w:t>
      </w:r>
      <w:r>
        <w:rPr>
          <w:spacing w:val="-20"/>
        </w:rPr>
        <w:t>）</w:t>
      </w:r>
      <w:r>
        <w:rPr/>
        <w:t>等有关文件及</w:t>
      </w:r>
      <w:r>
        <w:rPr>
          <w:spacing w:val="-3"/>
        </w:rPr>
        <w:t>要</w:t>
      </w:r>
      <w:r>
        <w:rPr/>
        <w:t>求，</w:t>
      </w:r>
    </w:p>
    <w:p>
      <w:pPr>
        <w:pStyle w:val="BodyText"/>
        <w:spacing w:line="240" w:lineRule="auto" w:before="63"/>
        <w:ind w:left="212" w:right="0"/>
        <w:jc w:val="both"/>
      </w:pPr>
      <w:r>
        <w:rPr/>
        <w:t>茂硕电源科技股份有限公司（以下简称</w:t>
      </w:r>
      <w:r>
        <w:rPr>
          <w:rFonts w:ascii="Arial" w:hAnsi="Arial" w:cs="Arial" w:eastAsia="Arial" w:hint="default"/>
        </w:rPr>
        <w:t>“</w:t>
      </w:r>
      <w:r>
        <w:rPr/>
        <w:t>公司</w:t>
      </w:r>
      <w:r>
        <w:rPr>
          <w:rFonts w:ascii="Arial" w:hAnsi="Arial" w:cs="Arial" w:eastAsia="Arial" w:hint="default"/>
        </w:rPr>
        <w:t>”</w:t>
      </w:r>
      <w:r>
        <w:rPr/>
        <w:t>）开展了上市公司治理专项活动。具体情况如下：</w:t>
      </w:r>
      <w:r>
        <w:rPr>
          <w:rFonts w:ascii="Arial" w:hAnsi="Arial" w:cs="Arial" w:eastAsia="Arial" w:hint="default"/>
        </w:rPr>
        <w:t>2012</w:t>
      </w:r>
      <w:r>
        <w:rPr>
          <w:rFonts w:ascii="Arial" w:hAnsi="Arial" w:cs="Arial" w:eastAsia="Arial" w:hint="default"/>
          <w:spacing w:val="-14"/>
        </w:rPr>
        <w:t> </w:t>
      </w:r>
      <w:r>
        <w:rPr/>
        <w:t>年</w:t>
      </w:r>
      <w:r>
        <w:rPr>
          <w:spacing w:val="-53"/>
        </w:rPr>
        <w:t> </w:t>
      </w:r>
      <w:r>
        <w:rPr>
          <w:rFonts w:ascii="Arial" w:hAnsi="Arial" w:cs="Arial" w:eastAsia="Arial" w:hint="default"/>
        </w:rPr>
        <w:t>8</w:t>
      </w:r>
      <w:r>
        <w:rPr>
          <w:rFonts w:ascii="Arial" w:hAnsi="Arial" w:cs="Arial" w:eastAsia="Arial" w:hint="default"/>
          <w:spacing w:val="-12"/>
        </w:rPr>
        <w:t> </w:t>
      </w:r>
      <w:r>
        <w:rPr/>
        <w:t>月</w:t>
      </w:r>
      <w:r>
        <w:rPr>
          <w:spacing w:val="-55"/>
        </w:rPr>
        <w:t> </w:t>
      </w:r>
      <w:r>
        <w:rPr>
          <w:rFonts w:ascii="Arial" w:hAnsi="Arial" w:cs="Arial" w:eastAsia="Arial" w:hint="default"/>
        </w:rPr>
        <w:t>13</w:t>
      </w:r>
      <w:r>
        <w:rPr>
          <w:rFonts w:ascii="Arial" w:hAnsi="Arial" w:cs="Arial" w:eastAsia="Arial" w:hint="default"/>
          <w:spacing w:val="-12"/>
        </w:rPr>
        <w:t> </w:t>
      </w:r>
      <w:r>
        <w:rPr>
          <w:spacing w:val="-3"/>
        </w:rPr>
        <w:t>日，第二届</w:t>
      </w:r>
    </w:p>
    <w:p>
      <w:pPr>
        <w:pStyle w:val="BodyText"/>
        <w:spacing w:line="240" w:lineRule="auto" w:before="63"/>
        <w:ind w:left="212" w:right="0"/>
        <w:jc w:val="both"/>
      </w:pPr>
      <w:r>
        <w:rPr/>
        <w:t>董事会</w:t>
      </w:r>
      <w:r>
        <w:rPr>
          <w:spacing w:val="-44"/>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2</w:t>
      </w:r>
      <w:r>
        <w:rPr>
          <w:rFonts w:ascii="Arial" w:hAnsi="Arial" w:cs="Arial" w:eastAsia="Arial" w:hint="default"/>
          <w:spacing w:val="-4"/>
        </w:rPr>
        <w:t> </w:t>
      </w:r>
      <w:r>
        <w:rPr/>
        <w:t>年第</w:t>
      </w:r>
      <w:r>
        <w:rPr>
          <w:spacing w:val="-45"/>
        </w:rPr>
        <w:t> </w:t>
      </w:r>
      <w:r>
        <w:rPr>
          <w:rFonts w:ascii="Arial" w:hAnsi="Arial" w:cs="Arial" w:eastAsia="Arial" w:hint="default"/>
          <w:w w:val="99"/>
        </w:rPr>
        <w:t>6</w:t>
      </w:r>
      <w:r>
        <w:rPr>
          <w:rFonts w:ascii="Arial" w:hAnsi="Arial" w:cs="Arial" w:eastAsia="Arial" w:hint="default"/>
          <w:spacing w:val="-4"/>
        </w:rPr>
        <w:t> </w:t>
      </w:r>
      <w:r>
        <w:rPr/>
        <w:t>次临时</w:t>
      </w:r>
      <w:r>
        <w:rPr>
          <w:spacing w:val="-3"/>
        </w:rPr>
        <w:t>会</w:t>
      </w:r>
      <w:r>
        <w:rPr/>
        <w:t>议审议通过了茂硕电源科技股份有限公</w:t>
      </w:r>
      <w:r>
        <w:rPr>
          <w:spacing w:val="-22"/>
        </w:rPr>
        <w:t>司</w:t>
      </w:r>
      <w:r>
        <w:rPr/>
        <w:t>《关于开展公司治理专项活动的工作方案</w:t>
      </w:r>
      <w:r>
        <w:rPr>
          <w:spacing w:val="-92"/>
        </w:rPr>
        <w:t>》</w:t>
      </w:r>
      <w:r>
        <w:rPr>
          <w:spacing w:val="-113"/>
        </w:rPr>
        <w:t>、</w:t>
      </w:r>
      <w:r>
        <w:rPr/>
        <w:t>《</w:t>
      </w:r>
      <w:r>
        <w:rPr>
          <w:spacing w:val="2"/>
        </w:rPr>
        <w:t>关</w:t>
      </w:r>
      <w:r>
        <w:rPr/>
        <w:t>于开</w:t>
      </w:r>
    </w:p>
    <w:p>
      <w:pPr>
        <w:pStyle w:val="BodyText"/>
        <w:spacing w:line="307" w:lineRule="auto" w:before="63"/>
        <w:ind w:left="212" w:right="1132"/>
        <w:jc w:val="both"/>
      </w:pPr>
      <w:r>
        <w:rPr/>
        <w:t>展规范财务会计基础工作专项活动的工作方案</w:t>
      </w:r>
      <w:r>
        <w:rPr>
          <w:spacing w:val="-92"/>
        </w:rPr>
        <w:t>》</w:t>
      </w:r>
      <w:r>
        <w:rPr>
          <w:spacing w:val="-52"/>
        </w:rPr>
        <w:t>。</w:t>
      </w:r>
      <w:r>
        <w:rPr>
          <w:rFonts w:ascii="Arial" w:hAnsi="Arial" w:cs="Arial" w:eastAsia="Arial" w:hint="default"/>
          <w:w w:val="99"/>
        </w:rPr>
        <w:t>2012</w:t>
      </w:r>
      <w:r>
        <w:rPr>
          <w:rFonts w:ascii="Arial" w:hAnsi="Arial" w:cs="Arial" w:eastAsia="Arial" w:hint="default"/>
          <w:spacing w:val="-4"/>
        </w:rPr>
        <w:t> </w:t>
      </w:r>
      <w:r>
        <w:rPr/>
        <w:t>年</w:t>
      </w:r>
      <w:r>
        <w:rPr>
          <w:spacing w:val="-47"/>
        </w:rPr>
        <w:t> </w:t>
      </w:r>
      <w:r>
        <w:rPr>
          <w:rFonts w:ascii="Arial" w:hAnsi="Arial" w:cs="Arial" w:eastAsia="Arial" w:hint="default"/>
          <w:w w:val="99"/>
        </w:rPr>
        <w:t>9</w:t>
      </w:r>
      <w:r>
        <w:rPr>
          <w:rFonts w:ascii="Arial" w:hAnsi="Arial" w:cs="Arial" w:eastAsia="Arial" w:hint="default"/>
          <w:spacing w:val="-7"/>
        </w:rPr>
        <w:t> </w:t>
      </w:r>
      <w:r>
        <w:rPr/>
        <w:t>月</w:t>
      </w:r>
      <w:r>
        <w:rPr>
          <w:spacing w:val="-45"/>
        </w:rPr>
        <w:t> </w:t>
      </w:r>
      <w:r>
        <w:rPr>
          <w:rFonts w:ascii="Arial" w:hAnsi="Arial" w:cs="Arial" w:eastAsia="Arial" w:hint="default"/>
          <w:w w:val="99"/>
        </w:rPr>
        <w:t>28</w:t>
      </w:r>
      <w:r>
        <w:rPr>
          <w:rFonts w:ascii="Arial" w:hAnsi="Arial" w:cs="Arial" w:eastAsia="Arial" w:hint="default"/>
          <w:spacing w:val="-4"/>
        </w:rPr>
        <w:t> </w:t>
      </w:r>
      <w:r>
        <w:rPr/>
        <w:t>日</w:t>
      </w:r>
      <w:r>
        <w:rPr>
          <w:spacing w:val="-53"/>
        </w:rPr>
        <w:t>，</w:t>
      </w:r>
      <w:r>
        <w:rPr/>
        <w:t>第二届董事会</w:t>
      </w:r>
      <w:r>
        <w:rPr>
          <w:spacing w:val="-47"/>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2</w:t>
      </w:r>
      <w:r>
        <w:rPr>
          <w:rFonts w:ascii="Arial" w:hAnsi="Arial" w:cs="Arial" w:eastAsia="Arial" w:hint="default"/>
          <w:spacing w:val="-6"/>
        </w:rPr>
        <w:t> </w:t>
      </w:r>
      <w:r>
        <w:rPr/>
        <w:t>年第</w:t>
      </w:r>
      <w:r>
        <w:rPr>
          <w:spacing w:val="-45"/>
        </w:rPr>
        <w:t> </w:t>
      </w:r>
      <w:r>
        <w:rPr>
          <w:rFonts w:ascii="Arial" w:hAnsi="Arial" w:cs="Arial" w:eastAsia="Arial" w:hint="default"/>
          <w:w w:val="99"/>
        </w:rPr>
        <w:t>9</w:t>
      </w:r>
      <w:r>
        <w:rPr>
          <w:rFonts w:ascii="Arial" w:hAnsi="Arial" w:cs="Arial" w:eastAsia="Arial" w:hint="default"/>
          <w:spacing w:val="-4"/>
        </w:rPr>
        <w:t> </w:t>
      </w:r>
      <w:r>
        <w:rPr/>
        <w:t>次临时会议审议通过</w:t>
      </w:r>
      <w:r>
        <w:rPr>
          <w:spacing w:val="-56"/>
        </w:rPr>
        <w:t>了</w:t>
      </w:r>
      <w:r>
        <w:rPr/>
        <w:t>《关</w:t>
      </w:r>
      <w:r>
        <w:rPr/>
        <w:t> 于加强上市公司治理专项活动自查</w:t>
      </w:r>
      <w:r>
        <w:rPr>
          <w:spacing w:val="1"/>
        </w:rPr>
        <w:t>报</w:t>
      </w:r>
      <w:r>
        <w:rPr/>
        <w:t>告和整改计划</w:t>
      </w:r>
      <w:r>
        <w:rPr>
          <w:spacing w:val="-92"/>
        </w:rPr>
        <w:t>》、</w:t>
      </w:r>
      <w:r>
        <w:rPr/>
        <w:t>《关</w:t>
      </w:r>
      <w:r>
        <w:rPr>
          <w:spacing w:val="2"/>
        </w:rPr>
        <w:t>于</w:t>
      </w:r>
      <w:r>
        <w:rPr/>
        <w:t>开展规范财务会计基础工作专项活动的自查报告和整改计划</w:t>
      </w:r>
      <w:r>
        <w:rPr>
          <w:spacing w:val="-89"/>
        </w:rPr>
        <w:t>》</w:t>
      </w:r>
      <w:r>
        <w:rPr/>
        <w:t>。</w:t>
      </w:r>
      <w:r>
        <w:rPr/>
        <w:t> </w:t>
      </w:r>
      <w:r>
        <w:rPr>
          <w:rFonts w:ascii="Arial" w:hAnsi="Arial" w:cs="Arial" w:eastAsia="Arial" w:hint="default"/>
          <w:w w:val="99"/>
        </w:rPr>
        <w:t>2012</w:t>
      </w:r>
      <w:r>
        <w:rPr>
          <w:rFonts w:ascii="Arial" w:hAnsi="Arial" w:cs="Arial" w:eastAsia="Arial" w:hint="default"/>
          <w:spacing w:val="-6"/>
        </w:rPr>
        <w:t> </w:t>
      </w:r>
      <w:r>
        <w:rPr/>
        <w:t>年</w:t>
      </w:r>
      <w:r>
        <w:rPr>
          <w:spacing w:val="-45"/>
        </w:rPr>
        <w:t> </w:t>
      </w:r>
      <w:r>
        <w:rPr>
          <w:rFonts w:ascii="Arial" w:hAnsi="Arial" w:cs="Arial" w:eastAsia="Arial" w:hint="default"/>
          <w:spacing w:val="-14"/>
          <w:w w:val="99"/>
        </w:rPr>
        <w:t>1</w:t>
      </w:r>
      <w:r>
        <w:rPr>
          <w:rFonts w:ascii="Arial" w:hAnsi="Arial" w:cs="Arial" w:eastAsia="Arial" w:hint="default"/>
          <w:w w:val="99"/>
        </w:rPr>
        <w:t>1</w:t>
      </w:r>
      <w:r>
        <w:rPr>
          <w:rFonts w:ascii="Arial" w:hAnsi="Arial" w:cs="Arial" w:eastAsia="Arial" w:hint="default"/>
          <w:spacing w:val="-4"/>
        </w:rPr>
        <w:t> </w:t>
      </w:r>
      <w:r>
        <w:rPr/>
        <w:t>月</w:t>
      </w:r>
      <w:r>
        <w:rPr>
          <w:spacing w:val="-47"/>
        </w:rPr>
        <w:t> </w:t>
      </w:r>
      <w:r>
        <w:rPr>
          <w:rFonts w:ascii="Arial" w:hAnsi="Arial" w:cs="Arial" w:eastAsia="Arial" w:hint="default"/>
          <w:w w:val="99"/>
        </w:rPr>
        <w:t>23</w:t>
      </w:r>
      <w:r>
        <w:rPr>
          <w:rFonts w:ascii="Arial" w:hAnsi="Arial" w:cs="Arial" w:eastAsia="Arial" w:hint="default"/>
          <w:spacing w:val="-4"/>
        </w:rPr>
        <w:t> </w:t>
      </w:r>
      <w:r>
        <w:rPr/>
        <w:t>日</w:t>
      </w:r>
      <w:r>
        <w:rPr>
          <w:spacing w:val="-53"/>
        </w:rPr>
        <w:t>，</w:t>
      </w:r>
      <w:r>
        <w:rPr/>
        <w:t>第二届</w:t>
      </w:r>
      <w:r>
        <w:rPr>
          <w:spacing w:val="-3"/>
        </w:rPr>
        <w:t>董</w:t>
      </w:r>
      <w:r>
        <w:rPr/>
        <w:t>事会</w:t>
      </w:r>
      <w:r>
        <w:rPr>
          <w:spacing w:val="-44"/>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2</w:t>
      </w:r>
      <w:r>
        <w:rPr>
          <w:rFonts w:ascii="Arial" w:hAnsi="Arial" w:cs="Arial" w:eastAsia="Arial" w:hint="default"/>
          <w:spacing w:val="-4"/>
        </w:rPr>
        <w:t> </w:t>
      </w:r>
      <w:r>
        <w:rPr/>
        <w:t>年第</w:t>
      </w:r>
      <w:r>
        <w:rPr>
          <w:spacing w:val="-45"/>
        </w:rPr>
        <w:t> </w:t>
      </w:r>
      <w:r>
        <w:rPr>
          <w:rFonts w:ascii="Arial" w:hAnsi="Arial" w:cs="Arial" w:eastAsia="Arial" w:hint="default"/>
          <w:w w:val="99"/>
        </w:rPr>
        <w:t>2</w:t>
      </w:r>
      <w:r>
        <w:rPr>
          <w:rFonts w:ascii="Arial" w:hAnsi="Arial" w:cs="Arial" w:eastAsia="Arial" w:hint="default"/>
          <w:spacing w:val="-4"/>
        </w:rPr>
        <w:t> </w:t>
      </w:r>
      <w:r>
        <w:rPr/>
        <w:t>次定期会</w:t>
      </w:r>
      <w:r>
        <w:rPr>
          <w:spacing w:val="-3"/>
        </w:rPr>
        <w:t>议</w:t>
      </w:r>
      <w:r>
        <w:rPr/>
        <w:t>审议通过</w:t>
      </w:r>
      <w:r>
        <w:rPr>
          <w:spacing w:val="-53"/>
        </w:rPr>
        <w:t>了</w:t>
      </w:r>
      <w:r>
        <w:rPr/>
        <w:t>《关于加强上市</w:t>
      </w:r>
      <w:r>
        <w:rPr>
          <w:spacing w:val="2"/>
        </w:rPr>
        <w:t>公</w:t>
      </w:r>
      <w:r>
        <w:rPr/>
        <w:t>司治理专项活动的整改报告</w:t>
      </w:r>
      <w:r>
        <w:rPr>
          <w:spacing w:val="-92"/>
        </w:rPr>
        <w:t>》</w:t>
      </w:r>
      <w:r>
        <w:rPr>
          <w:spacing w:val="-142"/>
        </w:rPr>
        <w:t>、</w:t>
      </w:r>
      <w:r>
        <w:rPr/>
        <w:t>《关</w:t>
      </w:r>
      <w:r>
        <w:rPr/>
        <w:t> 于开展规范财务会计基础工作专项活动的整改报告</w:t>
      </w:r>
      <w:r>
        <w:rPr>
          <w:spacing w:val="-92"/>
        </w:rPr>
        <w:t>》</w:t>
      </w:r>
      <w:r>
        <w:rPr/>
        <w:t>。</w:t>
      </w:r>
    </w:p>
    <w:p>
      <w:pPr>
        <w:pStyle w:val="BodyText"/>
        <w:spacing w:line="319" w:lineRule="auto" w:before="67"/>
        <w:ind w:left="212" w:right="0" w:firstLine="360"/>
        <w:jc w:val="left"/>
      </w:pPr>
      <w:r>
        <w:rPr>
          <w:spacing w:val="-2"/>
        </w:rPr>
        <w:t>公司治理专项活动期间，公司董事会、管理层及各有关部门和人员严格按照董事会审议通过的《工作方案》的安排，及</w:t>
      </w:r>
      <w:r>
        <w:rPr/>
        <w:t> </w:t>
      </w:r>
      <w:r>
        <w:rPr>
          <w:spacing w:val="-4"/>
        </w:rPr>
        <w:t>时、积极开展自查和整改工作。保荐机构出具了相关的审核意见，本次公司治理专项活动的开展，增强了公司规范运作意识，</w:t>
      </w:r>
      <w:r>
        <w:rPr>
          <w:spacing w:val="-45"/>
        </w:rPr>
        <w:t> </w:t>
      </w:r>
      <w:r>
        <w:rPr>
          <w:spacing w:val="-45"/>
        </w:rPr>
      </w:r>
      <w:r>
        <w:rPr>
          <w:spacing w:val="-2"/>
        </w:rPr>
        <w:t>进一步完善了公司内部管理制度，拓展了相关部门履行职责的深度和广度，提高了公司治理水平，为公司整体竞争力的提升</w:t>
      </w:r>
      <w:r>
        <w:rPr>
          <w:spacing w:val="-63"/>
        </w:rPr>
        <w:t> </w:t>
      </w:r>
      <w:r>
        <w:rPr>
          <w:spacing w:val="-63"/>
        </w:rPr>
      </w:r>
      <w:r>
        <w:rPr/>
        <w:t>奠定了夯实的基础。</w:t>
      </w:r>
    </w:p>
    <w:p>
      <w:pPr>
        <w:pStyle w:val="BodyText"/>
        <w:spacing w:line="357" w:lineRule="auto" w:before="58"/>
        <w:ind w:left="573" w:right="1137"/>
        <w:jc w:val="left"/>
      </w:pPr>
      <w:r>
        <w:rPr/>
        <w:t>（二）内幕信息知情人登记管理制度的制定及实施情况 </w:t>
      </w:r>
      <w:r>
        <w:rPr>
          <w:spacing w:val="-2"/>
        </w:rPr>
        <w:t>公司已经建立《内幕信息知情人登记管理制度》。制度明确了内幕信息及内幕信息知情人的范围，规定了内幕信息的审</w:t>
      </w:r>
    </w:p>
    <w:p>
      <w:pPr>
        <w:pStyle w:val="BodyText"/>
        <w:spacing w:line="224" w:lineRule="exact"/>
        <w:ind w:left="212" w:right="0"/>
        <w:jc w:val="both"/>
      </w:pPr>
      <w:r>
        <w:rPr/>
        <w:t>批和登记备案制度以及保密责任</w:t>
      </w:r>
      <w:r>
        <w:rPr>
          <w:spacing w:val="-87"/>
        </w:rPr>
        <w:t>，</w:t>
      </w:r>
      <w:r>
        <w:rPr/>
        <w:t>此项制度已成为公司内控体系的重要组成部分</w:t>
      </w:r>
      <w:r>
        <w:rPr>
          <w:spacing w:val="-87"/>
        </w:rPr>
        <w:t>。</w:t>
      </w:r>
      <w:r>
        <w:rPr/>
        <w:t>在内幕信息及知情人管理制度的执行方面，</w:t>
      </w:r>
    </w:p>
    <w:p>
      <w:pPr>
        <w:pStyle w:val="BodyText"/>
        <w:spacing w:line="316" w:lineRule="auto" w:before="76"/>
        <w:ind w:left="212" w:right="1122"/>
        <w:jc w:val="left"/>
      </w:pPr>
      <w:r>
        <w:rPr>
          <w:spacing w:val="-2"/>
        </w:rPr>
        <w:t>公司严格按照制度规定和要求，对内幕信息的内部流转、披露实施了有效监管。报告期内未发生内幕信息知情人在影响公司</w:t>
      </w:r>
      <w:r>
        <w:rPr>
          <w:spacing w:val="-65"/>
        </w:rPr>
        <w:t> </w:t>
      </w:r>
      <w:r>
        <w:rPr>
          <w:spacing w:val="-65"/>
        </w:rPr>
      </w:r>
      <w:r>
        <w:rPr/>
        <w:t>股价的重大敏感信息披露前利用内幕信息买卖公司股份情况。</w:t>
      </w:r>
    </w:p>
    <w:p>
      <w:pPr>
        <w:spacing w:line="240" w:lineRule="auto" w:before="11"/>
        <w:rPr>
          <w:rFonts w:ascii="宋体" w:hAnsi="宋体" w:cs="宋体" w:eastAsia="宋体" w:hint="default"/>
          <w:sz w:val="20"/>
          <w:szCs w:val="20"/>
        </w:rPr>
      </w:pPr>
    </w:p>
    <w:p>
      <w:pPr>
        <w:pStyle w:val="Heading2"/>
        <w:spacing w:line="240" w:lineRule="auto"/>
        <w:ind w:left="212"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2" w:right="0"/>
        <w:jc w:val="both"/>
        <w:rPr>
          <w:b w:val="0"/>
          <w:bCs w:val="0"/>
        </w:rPr>
      </w:pPr>
      <w:r>
        <w:rPr/>
        <w:pict>
          <v:shape style="position:absolute;margin-left:289.970001pt;margin-top:51.893673pt;width:85.5pt;height:39pt;mso-position-horizontal-relative:page;mso-position-vertical-relative:paragraph;z-index:-1033936" type="#_x0000_t202" filled="false" stroked="false">
            <v:textbox inset="0,0,0,0">
              <w:txbxContent>
                <w:p>
                  <w:pPr>
                    <w:spacing w:line="240" w:lineRule="auto" w:before="0"/>
                    <w:rPr>
                      <w:rFonts w:ascii="宋体" w:hAnsi="宋体" w:cs="宋体" w:eastAsia="宋体" w:hint="default"/>
                      <w:b/>
                      <w:bCs/>
                      <w:sz w:val="18"/>
                      <w:szCs w:val="18"/>
                    </w:rPr>
                  </w:pPr>
                </w:p>
                <w:p>
                  <w:pPr>
                    <w:pStyle w:val="BodyText"/>
                    <w:spacing w:line="240" w:lineRule="auto" w:before="144"/>
                    <w:ind w:left="0" w:right="0"/>
                    <w:jc w:val="left"/>
                  </w:pPr>
                  <w:r>
                    <w:rPr/>
                    <w:t>）</w:t>
                  </w:r>
                </w:p>
              </w:txbxContent>
            </v:textbox>
            <w10:wrap type="none"/>
          </v:shape>
        </w:pict>
      </w:r>
      <w:r>
        <w:rPr>
          <w:rFonts w:ascii="Arial" w:hAnsi="Arial" w:cs="Arial" w:eastAsia="Arial"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20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2" w:lineRule="auto"/>
              <w:ind w:left="24" w:right="45"/>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05</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29</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68"/>
              <w:ind w:left="23" w:right="35"/>
              <w:jc w:val="both"/>
              <w:rPr>
                <w:rFonts w:ascii="Arial" w:hAnsi="Arial" w:cs="Arial" w:eastAsia="Arial" w:hint="default"/>
                <w:sz w:val="18"/>
                <w:szCs w:val="18"/>
              </w:rPr>
            </w:pPr>
            <w:r>
              <w:rPr>
                <w:rFonts w:ascii="宋体" w:hAnsi="宋体" w:cs="宋体" w:eastAsia="宋体" w:hint="default"/>
                <w:sz w:val="18"/>
                <w:szCs w:val="18"/>
              </w:rPr>
              <w:t>（</w:t>
            </w:r>
            <w:r>
              <w:rPr>
                <w:rFonts w:ascii="Arial" w:hAnsi="Arial" w:cs="Arial" w:eastAsia="Arial" w:hint="default"/>
                <w:w w:val="99"/>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20</w:t>
            </w:r>
            <w:r>
              <w:rPr>
                <w:rFonts w:ascii="Arial" w:hAnsi="Arial" w:cs="Arial" w:eastAsia="Arial" w:hint="default"/>
                <w:spacing w:val="-14"/>
                <w:w w:val="99"/>
                <w:sz w:val="18"/>
                <w:szCs w:val="18"/>
              </w:rPr>
              <w:t>1</w:t>
            </w:r>
            <w:r>
              <w:rPr>
                <w:rFonts w:ascii="Arial" w:hAnsi="Arial" w:cs="Arial" w:eastAsia="Arial" w:hint="default"/>
                <w:w w:val="99"/>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年度董 事会工作报告</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p>
            <w:pPr>
              <w:pStyle w:val="TableParagraph"/>
              <w:spacing w:line="302" w:lineRule="auto" w:before="11"/>
              <w:ind w:left="23" w:right="43"/>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Arial" w:hAnsi="Arial" w:cs="Arial" w:eastAsia="Arial" w:hint="default"/>
                <w:spacing w:val="-3"/>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年度监事会 </w:t>
            </w:r>
            <w:r>
              <w:rPr>
                <w:rFonts w:ascii="宋体" w:hAnsi="宋体" w:cs="宋体" w:eastAsia="宋体" w:hint="default"/>
                <w:spacing w:val="-12"/>
                <w:w w:val="99"/>
                <w:sz w:val="18"/>
                <w:szCs w:val="18"/>
              </w:rPr>
              <w:t>工作报告》（</w:t>
            </w:r>
            <w:r>
              <w:rPr>
                <w:rFonts w:ascii="Arial" w:hAnsi="Arial" w:cs="Arial" w:eastAsia="Arial" w:hint="default"/>
                <w:spacing w:val="-12"/>
                <w:w w:val="99"/>
                <w:sz w:val="18"/>
                <w:szCs w:val="18"/>
              </w:rPr>
              <w:t>3</w:t>
            </w:r>
            <w:r>
              <w:rPr>
                <w:rFonts w:ascii="宋体" w:hAnsi="宋体" w:cs="宋体" w:eastAsia="宋体" w:hint="default"/>
                <w:spacing w:val="-12"/>
                <w:w w:val="99"/>
                <w:sz w:val="18"/>
                <w:szCs w:val="18"/>
              </w:rPr>
              <w:t>）</w:t>
            </w:r>
          </w:p>
          <w:p>
            <w:pPr>
              <w:pStyle w:val="TableParagraph"/>
              <w:spacing w:line="302" w:lineRule="auto" w:before="11"/>
              <w:ind w:left="23" w:right="17"/>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Arial" w:hAnsi="Arial" w:cs="Arial" w:eastAsia="Arial" w:hint="default"/>
                <w:spacing w:val="-3"/>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年度财务决 算及</w:t>
            </w:r>
            <w:r>
              <w:rPr>
                <w:rFonts w:ascii="宋体" w:hAnsi="宋体" w:cs="宋体" w:eastAsia="宋体" w:hint="default"/>
                <w:spacing w:val="-63"/>
                <w:sz w:val="18"/>
                <w:szCs w:val="18"/>
              </w:rPr>
              <w:t> </w:t>
            </w:r>
            <w:r>
              <w:rPr>
                <w:rFonts w:ascii="Arial" w:hAnsi="Arial" w:cs="Arial" w:eastAsia="Arial" w:hint="default"/>
                <w:sz w:val="18"/>
                <w:szCs w:val="18"/>
              </w:rPr>
              <w:t>2012</w:t>
            </w:r>
            <w:r>
              <w:rPr>
                <w:rFonts w:ascii="Arial" w:hAnsi="Arial" w:cs="Arial" w:eastAsia="Arial" w:hint="default"/>
                <w:spacing w:val="-22"/>
                <w:sz w:val="18"/>
                <w:szCs w:val="18"/>
              </w:rPr>
              <w:t> </w:t>
            </w:r>
            <w:r>
              <w:rPr>
                <w:rFonts w:ascii="宋体" w:hAnsi="宋体" w:cs="宋体" w:eastAsia="宋体" w:hint="default"/>
                <w:sz w:val="18"/>
                <w:szCs w:val="18"/>
              </w:rPr>
              <w:t>年度财务 </w:t>
            </w:r>
            <w:r>
              <w:rPr>
                <w:rFonts w:ascii="宋体" w:hAnsi="宋体" w:cs="宋体" w:eastAsia="宋体" w:hint="default"/>
                <w:spacing w:val="-12"/>
                <w:w w:val="99"/>
                <w:sz w:val="18"/>
                <w:szCs w:val="18"/>
              </w:rPr>
              <w:t>预算报告》（</w:t>
            </w:r>
            <w:r>
              <w:rPr>
                <w:rFonts w:ascii="Arial" w:hAnsi="Arial" w:cs="Arial" w:eastAsia="Arial" w:hint="default"/>
                <w:spacing w:val="-12"/>
                <w:w w:val="99"/>
                <w:sz w:val="18"/>
                <w:szCs w:val="18"/>
              </w:rPr>
              <w:t>4</w:t>
            </w:r>
            <w:r>
              <w:rPr>
                <w:rFonts w:ascii="宋体" w:hAnsi="宋体" w:cs="宋体" w:eastAsia="宋体" w:hint="default"/>
                <w:spacing w:val="-12"/>
                <w:w w:val="99"/>
                <w:sz w:val="18"/>
                <w:szCs w:val="18"/>
              </w:rPr>
              <w:t>）</w:t>
            </w:r>
          </w:p>
          <w:p>
            <w:pPr>
              <w:pStyle w:val="TableParagraph"/>
              <w:spacing w:line="240" w:lineRule="auto" w:before="11"/>
              <w:ind w:left="23"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Arial" w:hAnsi="Arial" w:cs="Arial" w:eastAsia="Arial" w:hint="default"/>
                <w:spacing w:val="-3"/>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年度利润分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left="2"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79.25pt;height:39pt;mso-position-horizontal-relative:char;mso-position-vertical-relative:line" coordorigin="0,0" coordsize="1585,780">
                  <v:group style="position:absolute;left:0;top:0;width:1585;height:780" coordorigin="0,0" coordsize="1585,780">
                    <v:shape style="position:absolute;left:0;top:0;width:1585;height:780" coordorigin="0,0" coordsize="1585,780" path="m0,780l1584,780,1584,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会议以现场投票方 </w:t>
            </w:r>
            <w:r>
              <w:rPr>
                <w:rFonts w:ascii="宋体" w:hAnsi="宋体" w:cs="宋体" w:eastAsia="宋体" w:hint="default"/>
                <w:spacing w:val="-10"/>
                <w:sz w:val="18"/>
                <w:szCs w:val="18"/>
              </w:rPr>
              <w:t>式，审议通过了全部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05</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30</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Arial" w:hAnsi="Arial" w:cs="Arial" w:eastAsia="Arial" w:hint="default"/>
                <w:sz w:val="18"/>
                <w:szCs w:val="18"/>
              </w:rPr>
              <w:t>2012</w:t>
            </w:r>
            <w:r>
              <w:rPr>
                <w:rFonts w:ascii="Arial" w:hAnsi="Arial" w:cs="Arial" w:eastAsia="Arial"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309" w:lineRule="auto" w:before="63"/>
              <w:ind w:left="23" w:right="23"/>
              <w:jc w:val="left"/>
              <w:rPr>
                <w:rFonts w:ascii="宋体" w:hAnsi="宋体" w:cs="宋体" w:eastAsia="宋体" w:hint="default"/>
                <w:sz w:val="18"/>
                <w:szCs w:val="18"/>
              </w:rPr>
            </w:pPr>
            <w:r>
              <w:rPr>
                <w:rFonts w:ascii="Arial" w:hAnsi="Arial" w:cs="Arial" w:eastAsia="Arial" w:hint="default"/>
                <w:sz w:val="18"/>
                <w:szCs w:val="18"/>
              </w:rPr>
              <w:t>30</w:t>
            </w:r>
            <w:r>
              <w:rPr>
                <w:rFonts w:ascii="Arial" w:hAnsi="Arial" w:cs="Arial" w:eastAsia="Arial" w:hint="default"/>
                <w:spacing w:val="-15"/>
                <w:sz w:val="18"/>
                <w:szCs w:val="18"/>
              </w:rPr>
              <w:t> </w:t>
            </w:r>
            <w:r>
              <w:rPr>
                <w:rFonts w:ascii="宋体" w:hAnsi="宋体" w:cs="宋体" w:eastAsia="宋体" w:hint="default"/>
                <w:sz w:val="18"/>
                <w:szCs w:val="18"/>
              </w:rPr>
              <w:t>日刊登的：</w:t>
            </w:r>
            <w:r>
              <w:rPr>
                <w:rFonts w:ascii="Arial" w:hAnsi="Arial" w:cs="Arial" w:eastAsia="Arial" w:hint="default"/>
                <w:sz w:val="18"/>
                <w:szCs w:val="18"/>
              </w:rPr>
              <w:t>2011</w:t>
            </w:r>
            <w:r>
              <w:rPr>
                <w:rFonts w:ascii="Arial" w:hAnsi="Arial" w:cs="Arial" w:eastAsia="Arial" w:hint="default"/>
                <w:w w:val="99"/>
                <w:sz w:val="18"/>
                <w:szCs w:val="18"/>
              </w:rPr>
              <w:t> </w:t>
            </w:r>
            <w:r>
              <w:rPr>
                <w:rFonts w:ascii="宋体" w:hAnsi="宋体" w:cs="宋体" w:eastAsia="宋体" w:hint="default"/>
                <w:sz w:val="18"/>
                <w:szCs w:val="18"/>
              </w:rPr>
              <w:t>年年度股东大会会 议决议的公告</w:t>
            </w:r>
          </w:p>
          <w:p>
            <w:pPr>
              <w:pStyle w:val="TableParagraph"/>
              <w:spacing w:line="302" w:lineRule="auto" w:before="24"/>
              <w:ind w:left="23" w:right="19"/>
              <w:jc w:val="left"/>
              <w:rPr>
                <w:rFonts w:ascii="宋体" w:hAnsi="宋体" w:cs="宋体" w:eastAsia="宋体" w:hint="default"/>
                <w:sz w:val="18"/>
                <w:szCs w:val="18"/>
              </w:rPr>
            </w:pPr>
            <w:r>
              <w:rPr>
                <w:rFonts w:ascii="宋体" w:hAnsi="宋体" w:cs="宋体" w:eastAsia="宋体" w:hint="default"/>
                <w:spacing w:val="-10"/>
                <w:w w:val="99"/>
                <w:sz w:val="18"/>
                <w:szCs w:val="18"/>
              </w:rPr>
              <w:t>（</w:t>
            </w:r>
            <w:r>
              <w:rPr>
                <w:rFonts w:ascii="Arial" w:hAnsi="Arial" w:cs="Arial" w:eastAsia="Arial" w:hint="default"/>
                <w:spacing w:val="-10"/>
                <w:w w:val="99"/>
                <w:sz w:val="18"/>
                <w:szCs w:val="18"/>
              </w:rPr>
              <w:t>2012-022</w:t>
            </w:r>
            <w:r>
              <w:rPr>
                <w:rFonts w:ascii="宋体" w:hAnsi="宋体" w:cs="宋体" w:eastAsia="宋体" w:hint="default"/>
                <w:spacing w:val="-10"/>
                <w:w w:val="99"/>
                <w:sz w:val="18"/>
                <w:szCs w:val="18"/>
              </w:rPr>
              <w:t>）。巨潮</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资讯网</w:t>
            </w:r>
          </w:p>
          <w:p>
            <w:pPr>
              <w:pStyle w:val="TableParagraph"/>
              <w:spacing w:line="302" w:lineRule="auto" w:before="29"/>
              <w:ind w:left="23" w:right="117"/>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Arial" w:hAnsi="Arial" w:cs="Arial" w:eastAsia="Arial" w:hint="default"/>
                <w:spacing w:val="-1"/>
                <w:sz w:val="18"/>
                <w:szCs w:val="18"/>
              </w:rPr>
              <w:t>http://www.cninf</w:t>
            </w:r>
            <w:r>
              <w:rPr>
                <w:rFonts w:ascii="Arial" w:hAnsi="Arial" w:cs="Arial" w:eastAsia="Arial" w:hint="default"/>
                <w:w w:val="100"/>
                <w:sz w:val="18"/>
                <w:szCs w:val="18"/>
              </w:rPr>
              <w:t> </w:t>
            </w:r>
            <w:r>
              <w:rPr>
                <w:rFonts w:ascii="Arial" w:hAnsi="Arial" w:cs="Arial" w:eastAsia="Arial" w:hint="default"/>
                <w:sz w:val="18"/>
                <w:szCs w:val="18"/>
              </w:rPr>
              <w:t>o.com.cn</w:t>
            </w:r>
            <w:r>
              <w:rPr>
                <w:rFonts w:ascii="宋体" w:hAnsi="宋体" w:cs="宋体" w:eastAsia="宋体" w:hint="default"/>
                <w:sz w:val="18"/>
                <w:szCs w:val="18"/>
              </w:rPr>
              <w:t>）</w:t>
            </w:r>
          </w:p>
        </w:tc>
      </w:tr>
    </w:tbl>
    <w:p>
      <w:pPr>
        <w:spacing w:after="0" w:line="302" w:lineRule="auto"/>
        <w:jc w:val="left"/>
        <w:rPr>
          <w:rFonts w:ascii="宋体" w:hAnsi="宋体" w:cs="宋体" w:eastAsia="宋体" w:hint="default"/>
          <w:sz w:val="18"/>
          <w:szCs w:val="18"/>
        </w:rPr>
        <w:sectPr>
          <w:footerReference w:type="default" r:id="rId41"/>
          <w:pgSz w:w="11910" w:h="16840"/>
          <w:pgMar w:footer="1340" w:header="877" w:top="1060" w:bottom="1540" w:left="920" w:right="0"/>
          <w:pgNumType w:start="64"/>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9"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配方案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《关于</w:t>
            </w:r>
          </w:p>
        </w:tc>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r>
      <w:tr>
        <w:trPr>
          <w:trHeight w:val="30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续聘审计机构并确</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定其报酬的议案》</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6"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w w:val="99"/>
                <w:sz w:val="18"/>
                <w:szCs w:val="18"/>
              </w:rPr>
              <w:t>6</w:t>
            </w:r>
            <w:r>
              <w:rPr>
                <w:rFonts w:ascii="宋体" w:hAnsi="宋体" w:cs="宋体" w:eastAsia="宋体" w:hint="default"/>
                <w:spacing w:val="-108"/>
                <w:sz w:val="18"/>
                <w:szCs w:val="18"/>
              </w:rPr>
              <w:t>）</w:t>
            </w:r>
            <w:r>
              <w:rPr>
                <w:rFonts w:ascii="宋体" w:hAnsi="宋体" w:cs="宋体" w:eastAsia="宋体" w:hint="default"/>
                <w:sz w:val="18"/>
                <w:szCs w:val="18"/>
              </w:rPr>
              <w:t>《关于审议</w:t>
            </w:r>
            <w:r>
              <w:rPr>
                <w:rFonts w:ascii="Arial" w:hAnsi="Arial" w:cs="Arial" w:eastAsia="Arial" w:hint="default"/>
                <w:sz w:val="18"/>
                <w:szCs w:val="18"/>
              </w:rPr>
              <w:t>&lt;</w:t>
            </w:r>
            <w:r>
              <w:rPr>
                <w:rFonts w:ascii="宋体" w:hAnsi="宋体" w:cs="宋体" w:eastAsia="宋体" w:hint="default"/>
                <w:sz w:val="18"/>
                <w:szCs w:val="18"/>
              </w:rPr>
              <w:t>董</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0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10"/>
                <w:sz w:val="18"/>
                <w:szCs w:val="18"/>
              </w:rPr>
              <w:t>事、监事、高级管理</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6"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人员薪酬制度</w:t>
            </w:r>
            <w:r>
              <w:rPr>
                <w:rFonts w:ascii="Arial" w:hAnsi="Arial" w:cs="Arial" w:eastAsia="Arial" w:hint="default"/>
                <w:sz w:val="18"/>
                <w:szCs w:val="18"/>
              </w:rPr>
              <w:t>&gt;</w:t>
            </w:r>
            <w:r>
              <w:rPr>
                <w:rFonts w:ascii="宋体" w:hAnsi="宋体" w:cs="宋体" w:eastAsia="宋体" w:hint="default"/>
                <w:sz w:val="18"/>
                <w:szCs w:val="18"/>
              </w:rPr>
              <w:t>的</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Arial" w:hAnsi="Arial" w:cs="Arial" w:eastAsia="Arial" w:hint="default"/>
                <w:sz w:val="18"/>
                <w:szCs w:val="18"/>
              </w:rPr>
            </w:pP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7</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2012</w:t>
            </w:r>
            <w:r>
              <w:rPr>
                <w:rFonts w:ascii="Arial" w:hAnsi="Arial" w:cs="Arial" w:eastAsia="Arial" w:hint="default"/>
                <w:sz w:val="18"/>
                <w:szCs w:val="18"/>
              </w:rPr>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0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年度董事</w:t>
            </w:r>
            <w:r>
              <w:rPr>
                <w:rFonts w:ascii="宋体" w:hAnsi="宋体" w:cs="宋体" w:eastAsia="宋体" w:hint="default"/>
                <w:spacing w:val="-82"/>
                <w:sz w:val="18"/>
                <w:szCs w:val="18"/>
              </w:rPr>
              <w:t>、</w:t>
            </w:r>
            <w:r>
              <w:rPr>
                <w:rFonts w:ascii="宋体" w:hAnsi="宋体" w:cs="宋体" w:eastAsia="宋体" w:hint="default"/>
                <w:sz w:val="18"/>
                <w:szCs w:val="18"/>
              </w:rPr>
              <w:t>监事及高</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级管理人员薪酬方</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60"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121"/>
        <w:jc w:val="left"/>
        <w:rPr>
          <w:b w:val="0"/>
          <w:bCs w:val="0"/>
        </w:rPr>
      </w:pPr>
      <w:r>
        <w:rPr/>
        <w:pict>
          <v:shape style="position:absolute;margin-left:217.610001pt;margin-top:84.893684pt;width:156.65pt;height:17.650pt;mso-position-horizontal-relative:page;mso-position-vertical-relative:paragraph;z-index:-1033912" type="#_x0000_t202" filled="false" stroked="false">
            <v:textbox inset="0,0,0,0">
              <w:txbxContent>
                <w:p>
                  <w:pPr>
                    <w:pStyle w:val="BodyText"/>
                    <w:spacing w:line="240" w:lineRule="auto" w:before="49"/>
                    <w:ind w:left="0" w:right="0"/>
                    <w:jc w:val="left"/>
                  </w:pPr>
                  <w:r>
                    <w:rPr/>
                    <w:t>请融资贷款的议案》</w:t>
                  </w:r>
                </w:p>
              </w:txbxContent>
            </v:textbox>
            <w10:wrap type="none"/>
          </v:shape>
        </w:pict>
      </w:r>
      <w:r>
        <w:rPr/>
        <w:pict>
          <v:group style="position:absolute;margin-left:297.290009pt;margin-top:84.893684pt;width:76.95pt;height:17.650pt;mso-position-horizontal-relative:page;mso-position-vertical-relative:paragraph;z-index:-1033888" coordorigin="5946,1698" coordsize="1539,353">
            <v:shape style="position:absolute;left:5946;top:1698;width:1539;height:353" coordorigin="5946,1698" coordsize="1539,353" path="m5946,2051l7485,2051,7485,1698,5946,1698,5946,2051xe" filled="true" fillcolor="#ffffff" stroked="false">
              <v:path arrowok="t"/>
              <v:fill type="solid"/>
            </v:shape>
            <w10:wrap type="none"/>
          </v:group>
        </w:pict>
      </w:r>
      <w:r>
        <w:rPr>
          <w:rFonts w:ascii="Arial" w:hAnsi="Arial" w:cs="Arial" w:eastAsia="Arial" w:hint="default"/>
        </w:rPr>
        <w:t>2</w:t>
      </w:r>
      <w:r>
        <w:rPr/>
        <w:t>、本报告期临时股东大会情况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2"/>
              <w:ind w:left="24" w:right="23"/>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01</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20</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13" w:space="0" w:color="FFFFFF"/>
            </w:tcBorders>
          </w:tcPr>
          <w:p>
            <w:pPr>
              <w:pStyle w:val="TableParagraph"/>
              <w:spacing w:line="302" w:lineRule="auto" w:before="49"/>
              <w:ind w:left="23" w:right="96"/>
              <w:jc w:val="both"/>
              <w:rPr>
                <w:rFonts w:ascii="宋体" w:hAnsi="宋体" w:cs="宋体" w:eastAsia="宋体" w:hint="default"/>
                <w:sz w:val="18"/>
                <w:szCs w:val="18"/>
              </w:rPr>
            </w:pPr>
            <w:r>
              <w:rPr>
                <w:rFonts w:ascii="宋体" w:hAnsi="宋体" w:cs="宋体" w:eastAsia="宋体" w:hint="default"/>
                <w:spacing w:val="-11"/>
                <w:w w:val="99"/>
                <w:sz w:val="18"/>
                <w:szCs w:val="18"/>
              </w:rPr>
              <w:t>（</w:t>
            </w:r>
            <w:r>
              <w:rPr>
                <w:rFonts w:ascii="Arial" w:hAnsi="Arial" w:cs="Arial" w:eastAsia="Arial" w:hint="default"/>
                <w:spacing w:val="-11"/>
                <w:w w:val="99"/>
                <w:sz w:val="18"/>
                <w:szCs w:val="18"/>
              </w:rPr>
              <w:t>1</w:t>
            </w:r>
            <w:r>
              <w:rPr>
                <w:rFonts w:ascii="宋体" w:hAnsi="宋体" w:cs="宋体" w:eastAsia="宋体" w:hint="default"/>
                <w:spacing w:val="-11"/>
                <w:w w:val="99"/>
                <w:sz w:val="18"/>
                <w:szCs w:val="18"/>
              </w:rPr>
              <w:t>）《关于向兴业</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银行高新区支行申</w:t>
            </w:r>
          </w:p>
          <w:p>
            <w:pPr>
              <w:pStyle w:val="TableParagraph"/>
              <w:spacing w:line="240" w:lineRule="auto" w:before="1"/>
              <w:ind w:right="0"/>
              <w:jc w:val="left"/>
              <w:rPr>
                <w:rFonts w:ascii="宋体" w:hAnsi="宋体" w:cs="宋体" w:eastAsia="宋体" w:hint="default"/>
                <w:b/>
                <w:bCs/>
                <w:sz w:val="26"/>
                <w:szCs w:val="26"/>
              </w:rPr>
            </w:pPr>
          </w:p>
          <w:p>
            <w:pPr>
              <w:pStyle w:val="TableParagraph"/>
              <w:spacing w:line="312" w:lineRule="auto"/>
              <w:ind w:left="23" w:right="96"/>
              <w:jc w:val="both"/>
              <w:rPr>
                <w:rFonts w:ascii="宋体" w:hAnsi="宋体" w:cs="宋体" w:eastAsia="宋体" w:hint="default"/>
                <w:sz w:val="18"/>
                <w:szCs w:val="18"/>
              </w:rPr>
            </w:pPr>
            <w:r>
              <w:rPr>
                <w:rFonts w:ascii="宋体" w:hAnsi="宋体" w:cs="宋体" w:eastAsia="宋体" w:hint="default"/>
                <w:spacing w:val="-11"/>
                <w:w w:val="99"/>
                <w:sz w:val="18"/>
                <w:szCs w:val="18"/>
              </w:rPr>
              <w:t>（</w:t>
            </w:r>
            <w:r>
              <w:rPr>
                <w:rFonts w:ascii="Arial" w:hAnsi="Arial" w:cs="Arial" w:eastAsia="Arial" w:hint="default"/>
                <w:spacing w:val="-11"/>
                <w:w w:val="99"/>
                <w:sz w:val="18"/>
                <w:szCs w:val="18"/>
              </w:rPr>
              <w:t>2</w:t>
            </w:r>
            <w:r>
              <w:rPr>
                <w:rFonts w:ascii="宋体" w:hAnsi="宋体" w:cs="宋体" w:eastAsia="宋体" w:hint="default"/>
                <w:spacing w:val="-11"/>
                <w:w w:val="99"/>
                <w:sz w:val="18"/>
                <w:szCs w:val="18"/>
              </w:rPr>
              <w:t>）《关于为子公</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司深圳茂硕电子科 技有限公司提供担 保的议案》</w:t>
            </w:r>
          </w:p>
        </w:tc>
        <w:tc>
          <w:tcPr>
            <w:tcW w:w="15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2" w:right="22"/>
              <w:jc w:val="left"/>
              <w:rPr>
                <w:rFonts w:ascii="宋体" w:hAnsi="宋体" w:cs="宋体" w:eastAsia="宋体" w:hint="default"/>
                <w:sz w:val="18"/>
                <w:szCs w:val="18"/>
              </w:rPr>
            </w:pPr>
            <w:r>
              <w:rPr>
                <w:rFonts w:ascii="宋体" w:hAnsi="宋体" w:cs="宋体" w:eastAsia="宋体" w:hint="default"/>
                <w:sz w:val="18"/>
                <w:szCs w:val="18"/>
              </w:rPr>
              <w:t>会议以现场投票方 </w:t>
            </w:r>
            <w:r>
              <w:rPr>
                <w:rFonts w:ascii="宋体" w:hAnsi="宋体" w:cs="宋体" w:eastAsia="宋体" w:hint="default"/>
                <w:spacing w:val="-10"/>
                <w:sz w:val="18"/>
                <w:szCs w:val="18"/>
              </w:rPr>
              <w:t>式，审议通过了全部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9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302" w:lineRule="auto"/>
              <w:ind w:left="24" w:right="23"/>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05</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07</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
              <w:jc w:val="left"/>
              <w:rPr>
                <w:rFonts w:ascii="宋体" w:hAnsi="宋体" w:cs="宋体" w:eastAsia="宋体" w:hint="default"/>
                <w:sz w:val="18"/>
                <w:szCs w:val="18"/>
              </w:rPr>
            </w:pPr>
            <w:r>
              <w:rPr>
                <w:rFonts w:ascii="宋体" w:hAnsi="宋体" w:cs="宋体" w:eastAsia="宋体" w:hint="default"/>
                <w:spacing w:val="-11"/>
                <w:w w:val="99"/>
                <w:sz w:val="18"/>
                <w:szCs w:val="18"/>
              </w:rPr>
              <w:t>（</w:t>
            </w:r>
            <w:r>
              <w:rPr>
                <w:rFonts w:ascii="Arial" w:hAnsi="Arial" w:cs="Arial" w:eastAsia="Arial" w:hint="default"/>
                <w:spacing w:val="-11"/>
                <w:w w:val="99"/>
                <w:sz w:val="18"/>
                <w:szCs w:val="18"/>
              </w:rPr>
              <w:t>1</w:t>
            </w:r>
            <w:r>
              <w:rPr>
                <w:rFonts w:ascii="宋体" w:hAnsi="宋体" w:cs="宋体" w:eastAsia="宋体" w:hint="default"/>
                <w:spacing w:val="-11"/>
                <w:w w:val="99"/>
                <w:sz w:val="18"/>
                <w:szCs w:val="18"/>
              </w:rPr>
              <w:t>）《关于变更公</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司名称及经营范围 </w:t>
            </w:r>
            <w:r>
              <w:rPr>
                <w:rFonts w:ascii="宋体" w:hAnsi="宋体" w:cs="宋体" w:eastAsia="宋体" w:hint="default"/>
                <w:spacing w:val="-19"/>
                <w:w w:val="99"/>
                <w:sz w:val="18"/>
                <w:szCs w:val="18"/>
              </w:rPr>
              <w:t>的议案》（</w:t>
            </w:r>
            <w:r>
              <w:rPr>
                <w:rFonts w:ascii="Arial" w:hAnsi="Arial" w:cs="Arial" w:eastAsia="Arial" w:hint="default"/>
                <w:spacing w:val="-19"/>
                <w:w w:val="99"/>
                <w:sz w:val="18"/>
                <w:szCs w:val="18"/>
              </w:rPr>
              <w:t>2</w:t>
            </w:r>
            <w:r>
              <w:rPr>
                <w:rFonts w:ascii="宋体" w:hAnsi="宋体" w:cs="宋体" w:eastAsia="宋体" w:hint="default"/>
                <w:spacing w:val="-19"/>
                <w:w w:val="99"/>
                <w:sz w:val="18"/>
                <w:szCs w:val="18"/>
              </w:rPr>
              <w:t>）《关于</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z w:val="18"/>
                <w:szCs w:val="18"/>
              </w:rPr>
              <w:t>修订</w:t>
            </w:r>
            <w:r>
              <w:rPr>
                <w:rFonts w:ascii="Arial" w:hAnsi="Arial" w:cs="Arial" w:eastAsia="Arial" w:hint="default"/>
                <w:sz w:val="18"/>
                <w:szCs w:val="18"/>
              </w:rPr>
              <w:t>&lt;</w:t>
            </w:r>
            <w:r>
              <w:rPr>
                <w:rFonts w:ascii="宋体" w:hAnsi="宋体" w:cs="宋体" w:eastAsia="宋体" w:hint="default"/>
                <w:sz w:val="18"/>
                <w:szCs w:val="18"/>
              </w:rPr>
              <w:t>公司章程</w:t>
            </w:r>
            <w:r>
              <w:rPr>
                <w:rFonts w:ascii="Arial" w:hAnsi="Arial" w:cs="Arial" w:eastAsia="Arial" w:hint="default"/>
                <w:sz w:val="18"/>
                <w:szCs w:val="18"/>
              </w:rPr>
              <w:t>&gt;</w:t>
            </w:r>
            <w:r>
              <w:rPr>
                <w:rFonts w:ascii="宋体" w:hAnsi="宋体" w:cs="宋体" w:eastAsia="宋体" w:hint="default"/>
                <w:sz w:val="18"/>
                <w:szCs w:val="18"/>
              </w:rPr>
              <w:t>的 </w:t>
            </w:r>
            <w:r>
              <w:rPr>
                <w:rFonts w:ascii="宋体" w:hAnsi="宋体" w:cs="宋体" w:eastAsia="宋体" w:hint="default"/>
                <w:spacing w:val="-19"/>
                <w:w w:val="99"/>
                <w:sz w:val="18"/>
                <w:szCs w:val="18"/>
              </w:rPr>
              <w:t>议案》（</w:t>
            </w:r>
            <w:r>
              <w:rPr>
                <w:rFonts w:ascii="Arial" w:hAnsi="Arial" w:cs="Arial" w:eastAsia="Arial" w:hint="default"/>
                <w:spacing w:val="-19"/>
                <w:w w:val="99"/>
                <w:sz w:val="18"/>
                <w:szCs w:val="18"/>
              </w:rPr>
              <w:t>3</w:t>
            </w:r>
            <w:r>
              <w:rPr>
                <w:rFonts w:ascii="宋体" w:hAnsi="宋体" w:cs="宋体" w:eastAsia="宋体" w:hint="default"/>
                <w:spacing w:val="-19"/>
                <w:w w:val="99"/>
                <w:sz w:val="18"/>
                <w:szCs w:val="18"/>
              </w:rPr>
              <w:t>）《关于审</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z w:val="18"/>
                <w:szCs w:val="18"/>
              </w:rPr>
              <w:t>议</w:t>
            </w:r>
            <w:r>
              <w:rPr>
                <w:rFonts w:ascii="Arial" w:hAnsi="Arial" w:cs="Arial" w:eastAsia="Arial" w:hint="default"/>
                <w:sz w:val="18"/>
                <w:szCs w:val="18"/>
              </w:rPr>
              <w:t>&lt;</w:t>
            </w:r>
            <w:r>
              <w:rPr>
                <w:rFonts w:ascii="宋体" w:hAnsi="宋体" w:cs="宋体" w:eastAsia="宋体" w:hint="default"/>
                <w:sz w:val="18"/>
                <w:szCs w:val="18"/>
              </w:rPr>
              <w:t>独立董事工作 </w:t>
            </w:r>
            <w:r>
              <w:rPr>
                <w:rFonts w:ascii="宋体" w:hAnsi="宋体" w:cs="宋体" w:eastAsia="宋体" w:hint="default"/>
                <w:spacing w:val="-10"/>
                <w:w w:val="99"/>
                <w:sz w:val="18"/>
                <w:szCs w:val="18"/>
              </w:rPr>
              <w:t>制度</w:t>
            </w:r>
            <w:r>
              <w:rPr>
                <w:rFonts w:ascii="Arial" w:hAnsi="Arial" w:cs="Arial" w:eastAsia="Arial" w:hint="default"/>
                <w:spacing w:val="-10"/>
                <w:w w:val="99"/>
                <w:sz w:val="18"/>
                <w:szCs w:val="18"/>
              </w:rPr>
              <w:t>&gt;</w:t>
            </w:r>
            <w:r>
              <w:rPr>
                <w:rFonts w:ascii="宋体" w:hAnsi="宋体" w:cs="宋体" w:eastAsia="宋体" w:hint="default"/>
                <w:spacing w:val="-10"/>
                <w:w w:val="99"/>
                <w:sz w:val="18"/>
                <w:szCs w:val="18"/>
              </w:rPr>
              <w:t>的议案》（</w:t>
            </w:r>
            <w:r>
              <w:rPr>
                <w:rFonts w:ascii="Arial" w:hAnsi="Arial" w:cs="Arial" w:eastAsia="Arial" w:hint="default"/>
                <w:spacing w:val="-10"/>
                <w:w w:val="99"/>
                <w:sz w:val="18"/>
                <w:szCs w:val="18"/>
              </w:rPr>
              <w:t>4</w:t>
            </w:r>
            <w:r>
              <w:rPr>
                <w:rFonts w:ascii="宋体" w:hAnsi="宋体" w:cs="宋体" w:eastAsia="宋体" w:hint="default"/>
                <w:spacing w:val="-10"/>
                <w:w w:val="99"/>
                <w:sz w:val="18"/>
                <w:szCs w:val="18"/>
              </w:rPr>
              <w:t>）</w:t>
            </w:r>
          </w:p>
          <w:p>
            <w:pPr>
              <w:pStyle w:val="TableParagraph"/>
              <w:spacing w:line="302" w:lineRule="auto" w:before="9"/>
              <w:ind w:left="23" w:right="19"/>
              <w:jc w:val="left"/>
              <w:rPr>
                <w:rFonts w:ascii="宋体" w:hAnsi="宋体" w:cs="宋体" w:eastAsia="宋体" w:hint="default"/>
                <w:sz w:val="18"/>
                <w:szCs w:val="18"/>
              </w:rPr>
            </w:pPr>
            <w:r>
              <w:rPr>
                <w:rFonts w:ascii="宋体" w:hAnsi="宋体" w:cs="宋体" w:eastAsia="宋体" w:hint="default"/>
                <w:sz w:val="18"/>
                <w:szCs w:val="18"/>
              </w:rPr>
              <w:t>《关于审议</w:t>
            </w:r>
            <w:r>
              <w:rPr>
                <w:rFonts w:ascii="Arial" w:hAnsi="Arial" w:cs="Arial" w:eastAsia="Arial" w:hint="default"/>
                <w:sz w:val="18"/>
                <w:szCs w:val="18"/>
              </w:rPr>
              <w:t>&lt;</w:t>
            </w:r>
            <w:r>
              <w:rPr>
                <w:rFonts w:ascii="宋体" w:hAnsi="宋体" w:cs="宋体" w:eastAsia="宋体" w:hint="default"/>
                <w:sz w:val="18"/>
                <w:szCs w:val="18"/>
              </w:rPr>
              <w:t>董事 会议事规则</w:t>
            </w:r>
            <w:r>
              <w:rPr>
                <w:rFonts w:ascii="Arial" w:hAnsi="Arial" w:cs="Arial" w:eastAsia="Arial" w:hint="default"/>
                <w:sz w:val="18"/>
                <w:szCs w:val="18"/>
              </w:rPr>
              <w:t>&gt;</w:t>
            </w:r>
            <w:r>
              <w:rPr>
                <w:rFonts w:ascii="宋体" w:hAnsi="宋体" w:cs="宋体" w:eastAsia="宋体" w:hint="default"/>
                <w:sz w:val="18"/>
                <w:szCs w:val="18"/>
              </w:rPr>
              <w:t>的议 </w:t>
            </w:r>
            <w:r>
              <w:rPr>
                <w:rFonts w:ascii="宋体" w:hAnsi="宋体" w:cs="宋体" w:eastAsia="宋体" w:hint="default"/>
                <w:spacing w:val="-19"/>
                <w:w w:val="99"/>
                <w:sz w:val="18"/>
                <w:szCs w:val="18"/>
              </w:rPr>
              <w:t>案》（</w:t>
            </w:r>
            <w:r>
              <w:rPr>
                <w:rFonts w:ascii="Arial" w:hAnsi="Arial" w:cs="Arial" w:eastAsia="Arial" w:hint="default"/>
                <w:spacing w:val="-19"/>
                <w:w w:val="99"/>
                <w:sz w:val="18"/>
                <w:szCs w:val="18"/>
              </w:rPr>
              <w:t>5</w:t>
            </w:r>
            <w:r>
              <w:rPr>
                <w:rFonts w:ascii="宋体" w:hAnsi="宋体" w:cs="宋体" w:eastAsia="宋体" w:hint="default"/>
                <w:spacing w:val="-19"/>
                <w:w w:val="99"/>
                <w:sz w:val="18"/>
                <w:szCs w:val="18"/>
              </w:rPr>
              <w:t>）《关于审议</w:t>
            </w:r>
          </w:p>
          <w:p>
            <w:pPr>
              <w:pStyle w:val="TableParagraph"/>
              <w:spacing w:line="302" w:lineRule="auto" w:before="11"/>
              <w:ind w:left="23" w:right="19"/>
              <w:jc w:val="left"/>
              <w:rPr>
                <w:rFonts w:ascii="宋体" w:hAnsi="宋体" w:cs="宋体" w:eastAsia="宋体" w:hint="default"/>
                <w:sz w:val="18"/>
                <w:szCs w:val="18"/>
              </w:rPr>
            </w:pPr>
            <w:r>
              <w:rPr>
                <w:rFonts w:ascii="Arial" w:hAnsi="Arial" w:cs="Arial" w:eastAsia="Arial" w:hint="default"/>
                <w:sz w:val="18"/>
                <w:szCs w:val="18"/>
              </w:rPr>
              <w:t>&lt;</w:t>
            </w:r>
            <w:r>
              <w:rPr>
                <w:rFonts w:ascii="宋体" w:hAnsi="宋体" w:cs="宋体" w:eastAsia="宋体" w:hint="default"/>
                <w:sz w:val="18"/>
                <w:szCs w:val="18"/>
              </w:rPr>
              <w:t>监事会议事规则</w:t>
            </w:r>
            <w:r>
              <w:rPr>
                <w:rFonts w:ascii="Arial" w:hAnsi="Arial" w:cs="Arial" w:eastAsia="Arial" w:hint="default"/>
                <w:sz w:val="18"/>
                <w:szCs w:val="18"/>
              </w:rPr>
              <w:t>&gt;</w:t>
            </w:r>
            <w:r>
              <w:rPr>
                <w:rFonts w:ascii="Arial" w:hAnsi="Arial" w:cs="Arial" w:eastAsia="Arial" w:hint="default"/>
                <w:w w:val="100"/>
                <w:sz w:val="18"/>
                <w:szCs w:val="18"/>
              </w:rPr>
              <w:t> </w:t>
            </w:r>
            <w:r>
              <w:rPr>
                <w:rFonts w:ascii="宋体" w:hAnsi="宋体" w:cs="宋体" w:eastAsia="宋体" w:hint="default"/>
                <w:spacing w:val="-19"/>
                <w:w w:val="99"/>
                <w:sz w:val="18"/>
                <w:szCs w:val="18"/>
              </w:rPr>
              <w:t>的议案》（</w:t>
            </w:r>
            <w:r>
              <w:rPr>
                <w:rFonts w:ascii="Arial" w:hAnsi="Arial" w:cs="Arial" w:eastAsia="Arial" w:hint="default"/>
                <w:spacing w:val="-19"/>
                <w:w w:val="99"/>
                <w:sz w:val="18"/>
                <w:szCs w:val="18"/>
              </w:rPr>
              <w:t>6</w:t>
            </w:r>
            <w:r>
              <w:rPr>
                <w:rFonts w:ascii="宋体" w:hAnsi="宋体" w:cs="宋体" w:eastAsia="宋体" w:hint="default"/>
                <w:spacing w:val="-19"/>
                <w:w w:val="99"/>
                <w:sz w:val="18"/>
                <w:szCs w:val="18"/>
              </w:rPr>
              <w:t>）《关于</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z w:val="18"/>
                <w:szCs w:val="18"/>
              </w:rPr>
              <w:t>审议</w:t>
            </w:r>
            <w:r>
              <w:rPr>
                <w:rFonts w:ascii="Arial" w:hAnsi="Arial" w:cs="Arial" w:eastAsia="Arial" w:hint="default"/>
                <w:sz w:val="18"/>
                <w:szCs w:val="18"/>
              </w:rPr>
              <w:t>&lt;</w:t>
            </w:r>
            <w:r>
              <w:rPr>
                <w:rFonts w:ascii="宋体" w:hAnsi="宋体" w:cs="宋体" w:eastAsia="宋体" w:hint="default"/>
                <w:sz w:val="18"/>
                <w:szCs w:val="18"/>
              </w:rPr>
              <w:t>股东大会议 事规则</w:t>
            </w:r>
            <w:r>
              <w:rPr>
                <w:rFonts w:ascii="Arial" w:hAnsi="Arial" w:cs="Arial" w:eastAsia="Arial" w:hint="default"/>
                <w:sz w:val="18"/>
                <w:szCs w:val="18"/>
              </w:rPr>
              <w:t>&gt;</w:t>
            </w:r>
            <w:r>
              <w:rPr>
                <w:rFonts w:ascii="宋体" w:hAnsi="宋体" w:cs="宋体" w:eastAsia="宋体" w:hint="default"/>
                <w:sz w:val="18"/>
                <w:szCs w:val="18"/>
              </w:rPr>
              <w:t>的议案》</w:t>
            </w:r>
          </w:p>
          <w:p>
            <w:pPr>
              <w:pStyle w:val="TableParagraph"/>
              <w:spacing w:line="302" w:lineRule="auto" w:before="11"/>
              <w:ind w:left="23" w:right="19"/>
              <w:jc w:val="left"/>
              <w:rPr>
                <w:rFonts w:ascii="宋体" w:hAnsi="宋体" w:cs="宋体" w:eastAsia="宋体" w:hint="default"/>
                <w:sz w:val="18"/>
                <w:szCs w:val="18"/>
              </w:rPr>
            </w:pPr>
            <w:r>
              <w:rPr>
                <w:rFonts w:ascii="宋体" w:hAnsi="宋体" w:cs="宋体" w:eastAsia="宋体" w:hint="default"/>
                <w:spacing w:val="-11"/>
                <w:w w:val="99"/>
                <w:sz w:val="18"/>
                <w:szCs w:val="18"/>
              </w:rPr>
              <w:t>（</w:t>
            </w:r>
            <w:r>
              <w:rPr>
                <w:rFonts w:ascii="Arial" w:hAnsi="Arial" w:cs="Arial" w:eastAsia="Arial" w:hint="default"/>
                <w:spacing w:val="-11"/>
                <w:w w:val="99"/>
                <w:sz w:val="18"/>
                <w:szCs w:val="18"/>
              </w:rPr>
              <w:t>7</w:t>
            </w:r>
            <w:r>
              <w:rPr>
                <w:rFonts w:ascii="宋体" w:hAnsi="宋体" w:cs="宋体" w:eastAsia="宋体" w:hint="default"/>
                <w:spacing w:val="-11"/>
                <w:w w:val="99"/>
                <w:sz w:val="18"/>
                <w:szCs w:val="18"/>
              </w:rPr>
              <w:t>）《关于审议</w:t>
            </w:r>
            <w:r>
              <w:rPr>
                <w:rFonts w:ascii="Arial" w:hAnsi="Arial" w:cs="Arial" w:eastAsia="Arial" w:hint="default"/>
                <w:spacing w:val="-11"/>
                <w:w w:val="99"/>
                <w:sz w:val="18"/>
                <w:szCs w:val="18"/>
              </w:rPr>
              <w:t>&lt;</w:t>
            </w:r>
            <w:r>
              <w:rPr>
                <w:rFonts w:ascii="宋体" w:hAnsi="宋体" w:cs="宋体" w:eastAsia="宋体" w:hint="default"/>
                <w:spacing w:val="-11"/>
                <w:w w:val="99"/>
                <w:sz w:val="18"/>
                <w:szCs w:val="18"/>
              </w:rPr>
              <w:t>对</w:t>
            </w:r>
            <w:r>
              <w:rPr>
                <w:rFonts w:ascii="宋体" w:hAnsi="宋体" w:cs="宋体" w:eastAsia="宋体" w:hint="default"/>
                <w:spacing w:val="-88"/>
                <w:w w:val="99"/>
                <w:sz w:val="18"/>
                <w:szCs w:val="18"/>
              </w:rPr>
              <w:t> </w:t>
            </w:r>
            <w:r>
              <w:rPr>
                <w:rFonts w:ascii="宋体" w:hAnsi="宋体" w:cs="宋体" w:eastAsia="宋体" w:hint="default"/>
                <w:sz w:val="18"/>
                <w:szCs w:val="18"/>
              </w:rPr>
              <w:t>外担保管理办法</w:t>
            </w:r>
            <w:r>
              <w:rPr>
                <w:rFonts w:ascii="Arial" w:hAnsi="Arial" w:cs="Arial" w:eastAsia="Arial" w:hint="default"/>
                <w:sz w:val="18"/>
                <w:szCs w:val="18"/>
              </w:rPr>
              <w:t>&gt; </w:t>
            </w:r>
            <w:r>
              <w:rPr>
                <w:rFonts w:ascii="宋体" w:hAnsi="宋体" w:cs="宋体" w:eastAsia="宋体" w:hint="default"/>
                <w:spacing w:val="-19"/>
                <w:w w:val="99"/>
                <w:sz w:val="18"/>
                <w:szCs w:val="18"/>
              </w:rPr>
              <w:t>的议案》（</w:t>
            </w:r>
            <w:r>
              <w:rPr>
                <w:rFonts w:ascii="Arial" w:hAnsi="Arial" w:cs="Arial" w:eastAsia="Arial" w:hint="default"/>
                <w:spacing w:val="-19"/>
                <w:w w:val="99"/>
                <w:sz w:val="18"/>
                <w:szCs w:val="18"/>
              </w:rPr>
              <w:t>8</w:t>
            </w:r>
            <w:r>
              <w:rPr>
                <w:rFonts w:ascii="宋体" w:hAnsi="宋体" w:cs="宋体" w:eastAsia="宋体" w:hint="default"/>
                <w:spacing w:val="-19"/>
                <w:w w:val="99"/>
                <w:sz w:val="18"/>
                <w:szCs w:val="18"/>
              </w:rPr>
              <w:t>）《关于</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z w:val="18"/>
                <w:szCs w:val="18"/>
              </w:rPr>
              <w:t>审议</w:t>
            </w:r>
            <w:r>
              <w:rPr>
                <w:rFonts w:ascii="Arial" w:hAnsi="Arial" w:cs="Arial" w:eastAsia="Arial" w:hint="default"/>
                <w:sz w:val="18"/>
                <w:szCs w:val="18"/>
              </w:rPr>
              <w:t>&lt;</w:t>
            </w:r>
            <w:r>
              <w:rPr>
                <w:rFonts w:ascii="宋体" w:hAnsi="宋体" w:cs="宋体" w:eastAsia="宋体" w:hint="default"/>
                <w:sz w:val="18"/>
                <w:szCs w:val="18"/>
              </w:rPr>
              <w:t>对外投资管 理办法</w:t>
            </w:r>
            <w:r>
              <w:rPr>
                <w:rFonts w:ascii="Arial" w:hAnsi="Arial" w:cs="Arial" w:eastAsia="Arial" w:hint="default"/>
                <w:sz w:val="18"/>
                <w:szCs w:val="18"/>
              </w:rPr>
              <w:t>&gt;</w:t>
            </w:r>
            <w:r>
              <w:rPr>
                <w:rFonts w:ascii="宋体" w:hAnsi="宋体" w:cs="宋体" w:eastAsia="宋体" w:hint="default"/>
                <w:sz w:val="18"/>
                <w:szCs w:val="18"/>
              </w:rPr>
              <w:t>的议案》</w:t>
            </w:r>
          </w:p>
          <w:p>
            <w:pPr>
              <w:pStyle w:val="TableParagraph"/>
              <w:spacing w:line="302" w:lineRule="auto" w:before="11"/>
              <w:ind w:left="23" w:right="19"/>
              <w:jc w:val="left"/>
              <w:rPr>
                <w:rFonts w:ascii="宋体" w:hAnsi="宋体" w:cs="宋体" w:eastAsia="宋体" w:hint="default"/>
                <w:sz w:val="18"/>
                <w:szCs w:val="18"/>
              </w:rPr>
            </w:pPr>
            <w:r>
              <w:rPr>
                <w:rFonts w:ascii="宋体" w:hAnsi="宋体" w:cs="宋体" w:eastAsia="宋体" w:hint="default"/>
                <w:spacing w:val="-11"/>
                <w:w w:val="99"/>
                <w:sz w:val="18"/>
                <w:szCs w:val="18"/>
              </w:rPr>
              <w:t>（</w:t>
            </w:r>
            <w:r>
              <w:rPr>
                <w:rFonts w:ascii="Arial" w:hAnsi="Arial" w:cs="Arial" w:eastAsia="Arial" w:hint="default"/>
                <w:spacing w:val="-11"/>
                <w:w w:val="99"/>
                <w:sz w:val="18"/>
                <w:szCs w:val="18"/>
              </w:rPr>
              <w:t>9</w:t>
            </w:r>
            <w:r>
              <w:rPr>
                <w:rFonts w:ascii="宋体" w:hAnsi="宋体" w:cs="宋体" w:eastAsia="宋体" w:hint="default"/>
                <w:spacing w:val="-11"/>
                <w:w w:val="99"/>
                <w:sz w:val="18"/>
                <w:szCs w:val="18"/>
              </w:rPr>
              <w:t>）《关于审议</w:t>
            </w:r>
            <w:r>
              <w:rPr>
                <w:rFonts w:ascii="Arial" w:hAnsi="Arial" w:cs="Arial" w:eastAsia="Arial" w:hint="default"/>
                <w:spacing w:val="-11"/>
                <w:w w:val="99"/>
                <w:sz w:val="18"/>
                <w:szCs w:val="18"/>
              </w:rPr>
              <w:t>&lt;</w:t>
            </w:r>
            <w:r>
              <w:rPr>
                <w:rFonts w:ascii="宋体" w:hAnsi="宋体" w:cs="宋体" w:eastAsia="宋体" w:hint="default"/>
                <w:spacing w:val="-11"/>
                <w:w w:val="99"/>
                <w:sz w:val="18"/>
                <w:szCs w:val="18"/>
              </w:rPr>
              <w:t>内</w:t>
            </w:r>
            <w:r>
              <w:rPr>
                <w:rFonts w:ascii="宋体" w:hAnsi="宋体" w:cs="宋体" w:eastAsia="宋体" w:hint="default"/>
                <w:spacing w:val="-88"/>
                <w:w w:val="99"/>
                <w:sz w:val="18"/>
                <w:szCs w:val="18"/>
              </w:rPr>
              <w:t> </w:t>
            </w:r>
            <w:r>
              <w:rPr>
                <w:rFonts w:ascii="宋体" w:hAnsi="宋体" w:cs="宋体" w:eastAsia="宋体" w:hint="default"/>
                <w:sz w:val="18"/>
                <w:szCs w:val="18"/>
              </w:rPr>
              <w:t>部审计制度</w:t>
            </w:r>
            <w:r>
              <w:rPr>
                <w:rFonts w:ascii="Arial" w:hAnsi="Arial" w:cs="Arial" w:eastAsia="Arial" w:hint="default"/>
                <w:sz w:val="18"/>
                <w:szCs w:val="18"/>
              </w:rPr>
              <w:t>&gt;</w:t>
            </w:r>
            <w:r>
              <w:rPr>
                <w:rFonts w:ascii="宋体" w:hAnsi="宋体" w:cs="宋体" w:eastAsia="宋体" w:hint="default"/>
                <w:sz w:val="18"/>
                <w:szCs w:val="18"/>
              </w:rPr>
              <w:t>的议 </w:t>
            </w:r>
            <w:r>
              <w:rPr>
                <w:rFonts w:ascii="宋体" w:hAnsi="宋体" w:cs="宋体" w:eastAsia="宋体" w:hint="default"/>
                <w:spacing w:val="-19"/>
                <w:w w:val="99"/>
                <w:sz w:val="18"/>
                <w:szCs w:val="18"/>
              </w:rPr>
              <w:t>案》（</w:t>
            </w:r>
            <w:r>
              <w:rPr>
                <w:rFonts w:ascii="Arial" w:hAnsi="Arial" w:cs="Arial" w:eastAsia="Arial" w:hint="default"/>
                <w:spacing w:val="-19"/>
                <w:w w:val="99"/>
                <w:sz w:val="18"/>
                <w:szCs w:val="18"/>
              </w:rPr>
              <w:t>10</w:t>
            </w:r>
            <w:r>
              <w:rPr>
                <w:rFonts w:ascii="宋体" w:hAnsi="宋体" w:cs="宋体" w:eastAsia="宋体" w:hint="default"/>
                <w:spacing w:val="-19"/>
                <w:w w:val="99"/>
                <w:sz w:val="18"/>
                <w:szCs w:val="18"/>
              </w:rPr>
              <w:t>）《关于制</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会议以现场投票方 </w:t>
            </w:r>
            <w:r>
              <w:rPr>
                <w:rFonts w:ascii="宋体" w:hAnsi="宋体" w:cs="宋体" w:eastAsia="宋体" w:hint="default"/>
                <w:spacing w:val="-10"/>
                <w:sz w:val="18"/>
                <w:szCs w:val="18"/>
              </w:rPr>
              <w:t>式，审议通过了全部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05</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08</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307" w:lineRule="auto"/>
              <w:ind w:left="23" w:right="17"/>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9"/>
                <w:sz w:val="18"/>
                <w:szCs w:val="18"/>
              </w:rPr>
              <w:t> </w:t>
            </w:r>
            <w:r>
              <w:rPr>
                <w:rFonts w:ascii="Arial" w:hAnsi="Arial" w:cs="Arial" w:eastAsia="Arial" w:hint="default"/>
                <w:sz w:val="18"/>
                <w:szCs w:val="18"/>
              </w:rPr>
              <w:t>2012</w:t>
            </w:r>
            <w:r>
              <w:rPr>
                <w:rFonts w:ascii="Arial" w:hAnsi="Arial" w:cs="Arial" w:eastAsia="Arial"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5</w:t>
            </w:r>
            <w:r>
              <w:rPr>
                <w:rFonts w:ascii="Arial" w:hAnsi="Arial" w:cs="Arial" w:eastAsia="Arial"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8</w:t>
            </w:r>
            <w:r>
              <w:rPr>
                <w:rFonts w:ascii="Arial" w:hAnsi="Arial" w:cs="Arial" w:eastAsia="Arial" w:hint="default"/>
                <w:w w:val="99"/>
                <w:sz w:val="18"/>
                <w:szCs w:val="18"/>
              </w:rPr>
              <w:t> </w:t>
            </w:r>
            <w:r>
              <w:rPr>
                <w:rFonts w:ascii="宋体" w:hAnsi="宋体" w:cs="宋体" w:eastAsia="宋体" w:hint="default"/>
                <w:spacing w:val="-4"/>
                <w:sz w:val="18"/>
                <w:szCs w:val="18"/>
              </w:rPr>
              <w:t>日刊登的：</w:t>
            </w:r>
            <w:r>
              <w:rPr>
                <w:rFonts w:ascii="Arial" w:hAnsi="Arial" w:cs="Arial" w:eastAsia="Arial" w:hint="default"/>
                <w:spacing w:val="-4"/>
                <w:sz w:val="18"/>
                <w:szCs w:val="18"/>
              </w:rPr>
              <w:t>2012 </w:t>
            </w:r>
            <w:r>
              <w:rPr>
                <w:rFonts w:ascii="宋体" w:hAnsi="宋体" w:cs="宋体" w:eastAsia="宋体" w:hint="default"/>
                <w:sz w:val="18"/>
                <w:szCs w:val="18"/>
              </w:rPr>
              <w:t>年 第二次临时股东大 会会议决议的公告</w:t>
            </w:r>
          </w:p>
          <w:p>
            <w:pPr>
              <w:pStyle w:val="TableParagraph"/>
              <w:spacing w:line="302" w:lineRule="auto" w:before="26"/>
              <w:ind w:left="23" w:right="19"/>
              <w:jc w:val="left"/>
              <w:rPr>
                <w:rFonts w:ascii="宋体" w:hAnsi="宋体" w:cs="宋体" w:eastAsia="宋体" w:hint="default"/>
                <w:sz w:val="18"/>
                <w:szCs w:val="18"/>
              </w:rPr>
            </w:pPr>
            <w:r>
              <w:rPr>
                <w:rFonts w:ascii="宋体" w:hAnsi="宋体" w:cs="宋体" w:eastAsia="宋体" w:hint="default"/>
                <w:spacing w:val="-10"/>
                <w:w w:val="99"/>
                <w:sz w:val="18"/>
                <w:szCs w:val="18"/>
              </w:rPr>
              <w:t>（</w:t>
            </w:r>
            <w:r>
              <w:rPr>
                <w:rFonts w:ascii="Arial" w:hAnsi="Arial" w:cs="Arial" w:eastAsia="Arial" w:hint="default"/>
                <w:spacing w:val="-10"/>
                <w:w w:val="99"/>
                <w:sz w:val="18"/>
                <w:szCs w:val="18"/>
              </w:rPr>
              <w:t>2012-016</w:t>
            </w:r>
            <w:r>
              <w:rPr>
                <w:rFonts w:ascii="宋体" w:hAnsi="宋体" w:cs="宋体" w:eastAsia="宋体" w:hint="default"/>
                <w:spacing w:val="-10"/>
                <w:w w:val="99"/>
                <w:sz w:val="18"/>
                <w:szCs w:val="18"/>
              </w:rPr>
              <w:t>）。巨潮</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资讯网</w:t>
            </w:r>
          </w:p>
          <w:p>
            <w:pPr>
              <w:pStyle w:val="TableParagraph"/>
              <w:spacing w:line="302" w:lineRule="auto" w:before="30"/>
              <w:ind w:left="23" w:right="117"/>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Arial" w:hAnsi="Arial" w:cs="Arial" w:eastAsia="Arial" w:hint="default"/>
                <w:spacing w:val="-1"/>
                <w:sz w:val="18"/>
                <w:szCs w:val="18"/>
              </w:rPr>
              <w:t>http://www.cninf</w:t>
            </w:r>
            <w:r>
              <w:rPr>
                <w:rFonts w:ascii="Arial" w:hAnsi="Arial" w:cs="Arial" w:eastAsia="Arial" w:hint="default"/>
                <w:w w:val="100"/>
                <w:sz w:val="18"/>
                <w:szCs w:val="18"/>
              </w:rPr>
              <w:t> </w:t>
            </w:r>
            <w:r>
              <w:rPr>
                <w:rFonts w:ascii="Arial" w:hAnsi="Arial" w:cs="Arial" w:eastAsia="Arial" w:hint="default"/>
                <w:sz w:val="18"/>
                <w:szCs w:val="18"/>
              </w:rPr>
              <w:t>o.com.cn</w:t>
            </w:r>
            <w:r>
              <w:rPr>
                <w:rFonts w:ascii="宋体" w:hAnsi="宋体" w:cs="宋体" w:eastAsia="宋体" w:hint="default"/>
                <w:sz w:val="18"/>
                <w:szCs w:val="18"/>
              </w:rPr>
              <w:t>）</w:t>
            </w:r>
          </w:p>
        </w:tc>
      </w:tr>
    </w:tbl>
    <w:p>
      <w:pPr>
        <w:spacing w:after="0" w:line="302"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0.970001pt;margin-top:153.019989pt;width:94.5pt;height:54.6pt;mso-position-horizontal-relative:page;mso-position-vertical-relative:page;z-index:-1033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1527"/>
                    <w:jc w:val="center"/>
                  </w:pPr>
                  <w:r>
                    <w:rPr/>
                    <w:t>年）</w:t>
                  </w:r>
                </w:p>
                <w:p>
                  <w:pPr>
                    <w:pStyle w:val="BodyText"/>
                    <w:spacing w:line="240" w:lineRule="auto" w:before="76"/>
                    <w:ind w:left="0" w:right="1347"/>
                    <w:jc w:val="center"/>
                  </w:pPr>
                  <w:r>
                    <w:rPr/>
                    <w:t>）</w:t>
                  </w:r>
                </w:p>
              </w:txbxContent>
            </v:textbox>
            <w10:wrap type="none"/>
          </v:shape>
        </w:pict>
      </w:r>
      <w:r>
        <w:rPr/>
        <w:pict>
          <v:shape style="position:absolute;margin-left:217.610001pt;margin-top:258.385986pt;width:157.85pt;height:54.65pt;mso-position-horizontal-relative:page;mso-position-vertical-relative:page;z-index:-1033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0" w:right="0"/>
                    <w:jc w:val="left"/>
                  </w:pPr>
                  <w:r>
                    <w:rPr/>
                    <w:t>柒仟万元整的议案》</w:t>
                  </w:r>
                </w:p>
              </w:txbxContent>
            </v:textbox>
            <w10:wrap type="none"/>
          </v:shape>
        </w:pict>
      </w:r>
      <w:r>
        <w:rPr/>
        <w:pict>
          <v:shape style="position:absolute;margin-left:217.610001pt;margin-top:207.61998pt;width:156.65pt;height:22.05pt;mso-position-horizontal-relative:page;mso-position-vertical-relative:page;z-index:-1033816"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ind w:left="0" w:right="0"/>
                    <w:jc w:val="left"/>
                  </w:pPr>
                  <w:r>
                    <w:rPr/>
                    <w:t>﹥部分条款的议案》</w:t>
                  </w:r>
                </w:p>
              </w:txbxContent>
            </v:textbox>
            <w10:wrap type="none"/>
          </v:shape>
        </w:pict>
      </w:r>
      <w:r>
        <w:rPr/>
        <w:pict>
          <v:shape style="position:absolute;margin-left:217.610001pt;margin-top:481.869995pt;width:156.65pt;height:22.05pt;mso-position-horizontal-relative:page;mso-position-vertical-relative:page;z-index:-1033792"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ind w:left="0" w:right="0"/>
                    <w:jc w:val="left"/>
                  </w:pPr>
                  <w:r>
                    <w:rPr/>
                    <w:t>计师事务所的议案》</w:t>
                  </w:r>
                </w:p>
              </w:txbxContent>
            </v:textbox>
            <w10:wrap type="none"/>
          </v:shape>
        </w:pict>
      </w:r>
      <w:r>
        <w:rPr/>
        <w:pict>
          <v:group style="position:absolute;margin-left:296.209991pt;margin-top:153.019989pt;width:79.25pt;height:72.25pt;mso-position-horizontal-relative:page;mso-position-vertical-relative:page;z-index:-1033768" coordorigin="5924,3060" coordsize="1585,1445">
            <v:group style="position:absolute;left:5924;top:3060;width:1585;height:1092" coordorigin="5924,3060" coordsize="1585,1092">
              <v:shape style="position:absolute;left:5924;top:3060;width:1585;height:1092" coordorigin="5924,3060" coordsize="1585,1092" path="m5924,4152l7509,4152,7509,3060,5924,3060,5924,4152xe" filled="true" fillcolor="#ffffff" stroked="false">
                <v:path arrowok="t"/>
                <v:fill type="solid"/>
              </v:shape>
            </v:group>
            <v:group style="position:absolute;left:5946;top:4152;width:1539;height:353" coordorigin="5946,4152" coordsize="1539,353">
              <v:shape style="position:absolute;left:5946;top:4152;width:1539;height:353" coordorigin="5946,4152" coordsize="1539,353" path="m5946,4505l7485,4505,7485,4152,5946,4152,5946,4505xe" filled="true" fillcolor="#ffffff" stroked="false">
                <v:path arrowok="t"/>
                <v:fill type="solid"/>
              </v:shape>
            </v:group>
            <w10:wrap type="none"/>
          </v:group>
        </w:pict>
      </w:r>
      <w:r>
        <w:rPr/>
        <w:pict>
          <v:group style="position:absolute;margin-left:296.209991pt;margin-top:258.385986pt;width:79.25pt;height:54.65pt;mso-position-horizontal-relative:page;mso-position-vertical-relative:page;z-index:-1033744" coordorigin="5924,5168" coordsize="1585,1093">
            <v:shape style="position:absolute;left:5924;top:5168;width:1585;height:1093" coordorigin="5924,5168" coordsize="1585,1093" path="m5924,6260l7509,6260,7509,5168,5924,5168,5924,6260xe" filled="true" fillcolor="#ffffff" stroked="false">
              <v:path arrowok="t"/>
              <v:fill type="solid"/>
            </v:shape>
            <w10:wrap type="none"/>
          </v:group>
        </w:pict>
      </w:r>
      <w:r>
        <w:rPr/>
        <w:pict>
          <v:group style="position:absolute;margin-left:297.290009pt;margin-top:481.869995pt;width:76.95pt;height:17.650pt;mso-position-horizontal-relative:page;mso-position-vertical-relative:page;z-index:-1033720" coordorigin="5946,9637" coordsize="1539,353">
            <v:shape style="position:absolute;left:5946;top:9637;width:1539;height:353" coordorigin="5946,9637" coordsize="1539,353" path="m5946,9990l7485,9990,7485,9637,5946,9637,5946,999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8"/>
              <w:ind w:left="23" w:right="12"/>
              <w:jc w:val="left"/>
              <w:rPr>
                <w:rFonts w:ascii="宋体" w:hAnsi="宋体" w:cs="宋体" w:eastAsia="宋体" w:hint="default"/>
                <w:sz w:val="18"/>
                <w:szCs w:val="18"/>
              </w:rPr>
            </w:pPr>
            <w:r>
              <w:rPr>
                <w:rFonts w:ascii="宋体" w:hAnsi="宋体" w:cs="宋体" w:eastAsia="宋体" w:hint="default"/>
                <w:sz w:val="18"/>
                <w:szCs w:val="18"/>
              </w:rPr>
              <w:t>定</w:t>
            </w:r>
            <w:r>
              <w:rPr>
                <w:rFonts w:ascii="Arial" w:hAnsi="Arial" w:cs="Arial" w:eastAsia="Arial" w:hint="default"/>
                <w:sz w:val="18"/>
                <w:szCs w:val="18"/>
              </w:rPr>
              <w:t>&lt;</w:t>
            </w:r>
            <w:r>
              <w:rPr>
                <w:rFonts w:ascii="宋体" w:hAnsi="宋体" w:cs="宋体" w:eastAsia="宋体" w:hint="default"/>
                <w:sz w:val="18"/>
                <w:szCs w:val="18"/>
              </w:rPr>
              <w:t>会计师事务所 选聘制度</w:t>
            </w:r>
            <w:r>
              <w:rPr>
                <w:rFonts w:ascii="Arial" w:hAnsi="Arial" w:cs="Arial" w:eastAsia="Arial" w:hint="default"/>
                <w:sz w:val="18"/>
                <w:szCs w:val="18"/>
              </w:rPr>
              <w:t>&gt;</w:t>
            </w:r>
            <w:r>
              <w:rPr>
                <w:rFonts w:ascii="宋体" w:hAnsi="宋体" w:cs="宋体" w:eastAsia="宋体" w:hint="default"/>
                <w:sz w:val="18"/>
                <w:szCs w:val="18"/>
              </w:rPr>
              <w:t>的议案》</w:t>
            </w:r>
          </w:p>
          <w:p>
            <w:pPr>
              <w:pStyle w:val="TableParagraph"/>
              <w:spacing w:line="309" w:lineRule="auto" w:before="11"/>
              <w:ind w:left="23" w:right="96"/>
              <w:jc w:val="left"/>
              <w:rPr>
                <w:rFonts w:ascii="宋体" w:hAnsi="宋体" w:cs="宋体" w:eastAsia="宋体" w:hint="default"/>
                <w:sz w:val="18"/>
                <w:szCs w:val="18"/>
              </w:rPr>
            </w:pPr>
            <w:r>
              <w:rPr>
                <w:rFonts w:ascii="宋体" w:hAnsi="宋体" w:cs="宋体" w:eastAsia="宋体" w:hint="default"/>
                <w:spacing w:val="-11"/>
                <w:w w:val="99"/>
                <w:sz w:val="18"/>
                <w:szCs w:val="18"/>
              </w:rPr>
              <w:t>（</w:t>
            </w:r>
            <w:r>
              <w:rPr>
                <w:rFonts w:ascii="Arial" w:hAnsi="Arial" w:cs="Arial" w:eastAsia="Arial" w:hint="default"/>
                <w:spacing w:val="-11"/>
                <w:w w:val="99"/>
                <w:sz w:val="18"/>
                <w:szCs w:val="18"/>
              </w:rPr>
              <w:t>11</w:t>
            </w:r>
            <w:r>
              <w:rPr>
                <w:rFonts w:ascii="宋体" w:hAnsi="宋体" w:cs="宋体" w:eastAsia="宋体" w:hint="default"/>
                <w:spacing w:val="-11"/>
                <w:w w:val="99"/>
                <w:sz w:val="18"/>
                <w:szCs w:val="18"/>
              </w:rPr>
              <w:t>）《关于审议</w:t>
            </w:r>
            <w:r>
              <w:rPr>
                <w:rFonts w:ascii="Arial" w:hAnsi="Arial" w:cs="Arial" w:eastAsia="Arial" w:hint="default"/>
                <w:spacing w:val="-11"/>
                <w:w w:val="99"/>
                <w:sz w:val="18"/>
                <w:szCs w:val="18"/>
              </w:rPr>
              <w:t>&lt;</w:t>
            </w:r>
            <w:r>
              <w:rPr>
                <w:rFonts w:ascii="Arial" w:hAnsi="Arial" w:cs="Arial" w:eastAsia="Arial" w:hint="default"/>
                <w:spacing w:val="-46"/>
                <w:w w:val="99"/>
                <w:sz w:val="18"/>
                <w:szCs w:val="18"/>
              </w:rPr>
              <w:t> </w:t>
            </w:r>
            <w:r>
              <w:rPr>
                <w:rFonts w:ascii="宋体" w:hAnsi="宋体" w:cs="宋体" w:eastAsia="宋体" w:hint="default"/>
                <w:sz w:val="18"/>
                <w:szCs w:val="18"/>
              </w:rPr>
              <w:t>募集资金管理制 度</w:t>
            </w:r>
            <w:r>
              <w:rPr>
                <w:rFonts w:ascii="Arial" w:hAnsi="Arial" w:cs="Arial" w:eastAsia="Arial" w:hint="default"/>
                <w:sz w:val="18"/>
                <w:szCs w:val="18"/>
              </w:rPr>
              <w:t>&gt;</w:t>
            </w:r>
            <w:r>
              <w:rPr>
                <w:rFonts w:ascii="宋体" w:hAnsi="宋体" w:cs="宋体" w:eastAsia="宋体" w:hint="default"/>
                <w:sz w:val="18"/>
                <w:szCs w:val="18"/>
              </w:rPr>
              <w:t>的议案》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2" w:lineRule="auto"/>
              <w:ind w:left="24" w:right="23"/>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07</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13</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13" w:space="0" w:color="FFFFFF"/>
            </w:tcBorders>
          </w:tcPr>
          <w:p>
            <w:pPr>
              <w:pStyle w:val="TableParagraph"/>
              <w:spacing w:line="302" w:lineRule="auto" w:before="49"/>
              <w:ind w:left="23" w:right="96"/>
              <w:jc w:val="both"/>
              <w:rPr>
                <w:rFonts w:ascii="Arial" w:hAnsi="Arial" w:cs="Arial" w:eastAsia="Arial" w:hint="default"/>
                <w:sz w:val="18"/>
                <w:szCs w:val="18"/>
              </w:rPr>
            </w:pPr>
            <w:r>
              <w:rPr>
                <w:rFonts w:ascii="宋体" w:hAnsi="宋体" w:cs="宋体" w:eastAsia="宋体" w:hint="default"/>
                <w:spacing w:val="-11"/>
                <w:w w:val="99"/>
                <w:sz w:val="18"/>
                <w:szCs w:val="18"/>
              </w:rPr>
              <w:t>（</w:t>
            </w:r>
            <w:r>
              <w:rPr>
                <w:rFonts w:ascii="Arial" w:hAnsi="Arial" w:cs="Arial" w:eastAsia="Arial" w:hint="default"/>
                <w:spacing w:val="-11"/>
                <w:w w:val="99"/>
                <w:sz w:val="18"/>
                <w:szCs w:val="18"/>
              </w:rPr>
              <w:t>1</w:t>
            </w:r>
            <w:r>
              <w:rPr>
                <w:rFonts w:ascii="宋体" w:hAnsi="宋体" w:cs="宋体" w:eastAsia="宋体" w:hint="default"/>
                <w:spacing w:val="-11"/>
                <w:w w:val="99"/>
                <w:sz w:val="18"/>
                <w:szCs w:val="18"/>
              </w:rPr>
              <w:t>）《关于未来三</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年（</w:t>
            </w:r>
            <w:r>
              <w:rPr>
                <w:rFonts w:ascii="Arial" w:hAnsi="Arial" w:cs="Arial" w:eastAsia="Arial" w:hint="default"/>
                <w:sz w:val="18"/>
                <w:szCs w:val="18"/>
              </w:rPr>
              <w:t>2012-2014</w:t>
            </w:r>
          </w:p>
          <w:p>
            <w:pPr>
              <w:pStyle w:val="TableParagraph"/>
              <w:spacing w:line="240" w:lineRule="auto" w:before="11"/>
              <w:ind w:left="23" w:right="0"/>
              <w:jc w:val="both"/>
              <w:rPr>
                <w:rFonts w:ascii="Arial" w:hAnsi="Arial" w:cs="Arial" w:eastAsia="Arial" w:hint="default"/>
                <w:sz w:val="18"/>
                <w:szCs w:val="18"/>
              </w:rPr>
            </w:pPr>
            <w:r>
              <w:rPr>
                <w:rFonts w:ascii="宋体" w:hAnsi="宋体" w:cs="宋体" w:eastAsia="宋体" w:hint="default"/>
                <w:sz w:val="18"/>
                <w:szCs w:val="18"/>
              </w:rPr>
              <w:t>股东回报规划</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《修订﹤公司章程</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2" w:lineRule="auto"/>
              <w:ind w:left="23" w:right="96"/>
              <w:jc w:val="both"/>
              <w:rPr>
                <w:rFonts w:ascii="宋体" w:hAnsi="宋体" w:cs="宋体" w:eastAsia="宋体" w:hint="default"/>
                <w:sz w:val="18"/>
                <w:szCs w:val="18"/>
              </w:rPr>
            </w:pPr>
            <w:r>
              <w:rPr>
                <w:rFonts w:ascii="宋体" w:hAnsi="宋体" w:cs="宋体" w:eastAsia="宋体" w:hint="default"/>
                <w:spacing w:val="-11"/>
                <w:w w:val="99"/>
                <w:sz w:val="18"/>
                <w:szCs w:val="18"/>
              </w:rPr>
              <w:t>（</w:t>
            </w:r>
            <w:r>
              <w:rPr>
                <w:rFonts w:ascii="Arial" w:hAnsi="Arial" w:cs="Arial" w:eastAsia="Arial" w:hint="default"/>
                <w:spacing w:val="-11"/>
                <w:w w:val="99"/>
                <w:sz w:val="18"/>
                <w:szCs w:val="18"/>
              </w:rPr>
              <w:t>3</w:t>
            </w:r>
            <w:r>
              <w:rPr>
                <w:rFonts w:ascii="宋体" w:hAnsi="宋体" w:cs="宋体" w:eastAsia="宋体" w:hint="default"/>
                <w:spacing w:val="-11"/>
                <w:w w:val="99"/>
                <w:sz w:val="18"/>
                <w:szCs w:val="18"/>
              </w:rPr>
              <w:t>）《关于向平安</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银行股份有限公司 深圳分行申请综合 授信额度人民币</w:t>
            </w:r>
          </w:p>
        </w:tc>
        <w:tc>
          <w:tcPr>
            <w:tcW w:w="15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2" w:right="22"/>
              <w:jc w:val="left"/>
              <w:rPr>
                <w:rFonts w:ascii="宋体" w:hAnsi="宋体" w:cs="宋体" w:eastAsia="宋体" w:hint="default"/>
                <w:sz w:val="18"/>
                <w:szCs w:val="18"/>
              </w:rPr>
            </w:pPr>
            <w:r>
              <w:rPr>
                <w:rFonts w:ascii="宋体" w:hAnsi="宋体" w:cs="宋体" w:eastAsia="宋体" w:hint="default"/>
                <w:sz w:val="18"/>
                <w:szCs w:val="18"/>
              </w:rPr>
              <w:t>会议以现场投票方 </w:t>
            </w:r>
            <w:r>
              <w:rPr>
                <w:rFonts w:ascii="宋体" w:hAnsi="宋体" w:cs="宋体" w:eastAsia="宋体" w:hint="default"/>
                <w:spacing w:val="-10"/>
                <w:sz w:val="18"/>
                <w:szCs w:val="18"/>
              </w:rPr>
              <w:t>式，审议通过了全部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07</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14</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Arial" w:hAnsi="Arial" w:cs="Arial" w:eastAsia="Arial" w:hint="default"/>
                <w:sz w:val="18"/>
                <w:szCs w:val="18"/>
              </w:rPr>
              <w:t>2012</w:t>
            </w:r>
            <w:r>
              <w:rPr>
                <w:rFonts w:ascii="Arial" w:hAnsi="Arial" w:cs="Arial" w:eastAsia="Arial"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7</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309" w:lineRule="auto" w:before="63"/>
              <w:ind w:left="23" w:right="18"/>
              <w:jc w:val="left"/>
              <w:rPr>
                <w:rFonts w:ascii="宋体" w:hAnsi="宋体" w:cs="宋体" w:eastAsia="宋体" w:hint="default"/>
                <w:sz w:val="18"/>
                <w:szCs w:val="18"/>
              </w:rPr>
            </w:pPr>
            <w:r>
              <w:rPr>
                <w:rFonts w:ascii="Arial" w:hAnsi="Arial" w:cs="Arial" w:eastAsia="Arial" w:hint="default"/>
                <w:sz w:val="18"/>
                <w:szCs w:val="18"/>
              </w:rPr>
              <w:t>14</w:t>
            </w:r>
            <w:r>
              <w:rPr>
                <w:rFonts w:ascii="Arial" w:hAnsi="Arial" w:cs="Arial" w:eastAsia="Arial" w:hint="default"/>
                <w:spacing w:val="-12"/>
                <w:sz w:val="18"/>
                <w:szCs w:val="18"/>
              </w:rPr>
              <w:t> </w:t>
            </w:r>
            <w:r>
              <w:rPr>
                <w:rFonts w:ascii="宋体" w:hAnsi="宋体" w:cs="宋体" w:eastAsia="宋体" w:hint="default"/>
                <w:sz w:val="18"/>
                <w:szCs w:val="18"/>
              </w:rPr>
              <w:t>日刊登的：</w:t>
            </w:r>
            <w:r>
              <w:rPr>
                <w:rFonts w:ascii="Arial" w:hAnsi="Arial" w:cs="Arial" w:eastAsia="Arial" w:hint="default"/>
                <w:sz w:val="18"/>
                <w:szCs w:val="18"/>
              </w:rPr>
              <w:t>2012</w:t>
            </w:r>
            <w:r>
              <w:rPr>
                <w:rFonts w:ascii="Arial" w:hAnsi="Arial" w:cs="Arial" w:eastAsia="Arial" w:hint="default"/>
                <w:w w:val="99"/>
                <w:sz w:val="18"/>
                <w:szCs w:val="18"/>
              </w:rPr>
              <w:t> </w:t>
            </w:r>
            <w:r>
              <w:rPr>
                <w:rFonts w:ascii="宋体" w:hAnsi="宋体" w:cs="宋体" w:eastAsia="宋体" w:hint="default"/>
                <w:sz w:val="18"/>
                <w:szCs w:val="18"/>
              </w:rPr>
              <w:t>年第二次临时股东 大会会议决议的公 </w:t>
            </w:r>
            <w:r>
              <w:rPr>
                <w:rFonts w:ascii="宋体" w:hAnsi="宋体" w:cs="宋体" w:eastAsia="宋体" w:hint="default"/>
                <w:spacing w:val="-10"/>
                <w:w w:val="99"/>
                <w:sz w:val="18"/>
                <w:szCs w:val="18"/>
              </w:rPr>
              <w:t>告（</w:t>
            </w:r>
            <w:r>
              <w:rPr>
                <w:rFonts w:ascii="Arial" w:hAnsi="Arial" w:cs="Arial" w:eastAsia="Arial" w:hint="default"/>
                <w:spacing w:val="-10"/>
                <w:w w:val="99"/>
                <w:sz w:val="18"/>
                <w:szCs w:val="18"/>
              </w:rPr>
              <w:t>2012-032</w:t>
            </w:r>
            <w:r>
              <w:rPr>
                <w:rFonts w:ascii="宋体" w:hAnsi="宋体" w:cs="宋体" w:eastAsia="宋体" w:hint="default"/>
                <w:spacing w:val="-10"/>
                <w:w w:val="99"/>
                <w:sz w:val="18"/>
                <w:szCs w:val="18"/>
              </w:rPr>
              <w:t>）。巨</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潮资讯网</w:t>
            </w:r>
          </w:p>
          <w:p>
            <w:pPr>
              <w:pStyle w:val="TableParagraph"/>
              <w:spacing w:line="302" w:lineRule="auto" w:before="25"/>
              <w:ind w:left="23" w:right="117"/>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Arial" w:hAnsi="Arial" w:cs="Arial" w:eastAsia="Arial" w:hint="default"/>
                <w:spacing w:val="-1"/>
                <w:sz w:val="18"/>
                <w:szCs w:val="18"/>
              </w:rPr>
              <w:t>http://www.cninf</w:t>
            </w:r>
            <w:r>
              <w:rPr>
                <w:rFonts w:ascii="Arial" w:hAnsi="Arial" w:cs="Arial" w:eastAsia="Arial" w:hint="default"/>
                <w:w w:val="100"/>
                <w:sz w:val="18"/>
                <w:szCs w:val="18"/>
              </w:rPr>
              <w:t> </w:t>
            </w:r>
            <w:r>
              <w:rPr>
                <w:rFonts w:ascii="Arial" w:hAnsi="Arial" w:cs="Arial" w:eastAsia="Arial" w:hint="default"/>
                <w:sz w:val="18"/>
                <w:szCs w:val="18"/>
              </w:rPr>
              <w:t>o.com.cn</w:t>
            </w:r>
            <w:r>
              <w:rPr>
                <w:rFonts w:ascii="宋体" w:hAnsi="宋体" w:cs="宋体" w:eastAsia="宋体" w:hint="default"/>
                <w:sz w:val="18"/>
                <w:szCs w:val="18"/>
              </w:rPr>
              <w:t>）</w:t>
            </w:r>
          </w:p>
        </w:tc>
      </w:tr>
      <w:tr>
        <w:trPr>
          <w:trHeight w:val="258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7"/>
              <w:ind w:left="24" w:right="23"/>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08</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30</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7"/>
              <w:ind w:left="23" w:right="108"/>
              <w:jc w:val="left"/>
              <w:rPr>
                <w:rFonts w:ascii="宋体" w:hAnsi="宋体" w:cs="宋体" w:eastAsia="宋体" w:hint="default"/>
                <w:sz w:val="18"/>
                <w:szCs w:val="18"/>
              </w:rPr>
            </w:pPr>
            <w:r>
              <w:rPr>
                <w:rFonts w:ascii="宋体" w:hAnsi="宋体" w:cs="宋体" w:eastAsia="宋体" w:hint="default"/>
                <w:spacing w:val="-11"/>
                <w:w w:val="99"/>
                <w:sz w:val="18"/>
                <w:szCs w:val="18"/>
              </w:rPr>
              <w:t>（</w:t>
            </w:r>
            <w:r>
              <w:rPr>
                <w:rFonts w:ascii="Arial" w:hAnsi="Arial" w:cs="Arial" w:eastAsia="Arial" w:hint="default"/>
                <w:spacing w:val="-11"/>
                <w:w w:val="99"/>
                <w:sz w:val="18"/>
                <w:szCs w:val="18"/>
              </w:rPr>
              <w:t>1</w:t>
            </w:r>
            <w:r>
              <w:rPr>
                <w:rFonts w:ascii="宋体" w:hAnsi="宋体" w:cs="宋体" w:eastAsia="宋体" w:hint="default"/>
                <w:spacing w:val="-11"/>
                <w:w w:val="99"/>
                <w:sz w:val="18"/>
                <w:szCs w:val="18"/>
              </w:rPr>
              <w:t>）《关于选举独</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立董事的议案》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会议以现场投票方 </w:t>
            </w:r>
            <w:r>
              <w:rPr>
                <w:rFonts w:ascii="宋体" w:hAnsi="宋体" w:cs="宋体" w:eastAsia="宋体" w:hint="default"/>
                <w:spacing w:val="-10"/>
                <w:sz w:val="18"/>
                <w:szCs w:val="18"/>
              </w:rPr>
              <w:t>式，审议通过了全部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08</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31</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Arial" w:hAnsi="Arial" w:cs="Arial" w:eastAsia="Arial" w:hint="default"/>
                <w:sz w:val="18"/>
                <w:szCs w:val="18"/>
              </w:rPr>
              <w:t>2012</w:t>
            </w:r>
            <w:r>
              <w:rPr>
                <w:rFonts w:ascii="Arial" w:hAnsi="Arial" w:cs="Arial" w:eastAsia="Arial"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8</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309" w:lineRule="auto" w:before="63"/>
              <w:ind w:left="23" w:right="18"/>
              <w:jc w:val="left"/>
              <w:rPr>
                <w:rFonts w:ascii="宋体" w:hAnsi="宋体" w:cs="宋体" w:eastAsia="宋体" w:hint="default"/>
                <w:sz w:val="18"/>
                <w:szCs w:val="18"/>
              </w:rPr>
            </w:pPr>
            <w:r>
              <w:rPr>
                <w:rFonts w:ascii="Arial" w:hAnsi="Arial" w:cs="Arial" w:eastAsia="Arial" w:hint="default"/>
                <w:sz w:val="18"/>
                <w:szCs w:val="18"/>
              </w:rPr>
              <w:t>31</w:t>
            </w:r>
            <w:r>
              <w:rPr>
                <w:rFonts w:ascii="Arial" w:hAnsi="Arial" w:cs="Arial" w:eastAsia="Arial" w:hint="default"/>
                <w:spacing w:val="-12"/>
                <w:sz w:val="18"/>
                <w:szCs w:val="18"/>
              </w:rPr>
              <w:t> </w:t>
            </w:r>
            <w:r>
              <w:rPr>
                <w:rFonts w:ascii="宋体" w:hAnsi="宋体" w:cs="宋体" w:eastAsia="宋体" w:hint="default"/>
                <w:sz w:val="18"/>
                <w:szCs w:val="18"/>
              </w:rPr>
              <w:t>日刊登的：</w:t>
            </w:r>
            <w:r>
              <w:rPr>
                <w:rFonts w:ascii="Arial" w:hAnsi="Arial" w:cs="Arial" w:eastAsia="Arial" w:hint="default"/>
                <w:sz w:val="18"/>
                <w:szCs w:val="18"/>
              </w:rPr>
              <w:t>2012</w:t>
            </w:r>
            <w:r>
              <w:rPr>
                <w:rFonts w:ascii="Arial" w:hAnsi="Arial" w:cs="Arial" w:eastAsia="Arial" w:hint="default"/>
                <w:w w:val="99"/>
                <w:sz w:val="18"/>
                <w:szCs w:val="18"/>
              </w:rPr>
              <w:t> </w:t>
            </w:r>
            <w:r>
              <w:rPr>
                <w:rFonts w:ascii="宋体" w:hAnsi="宋体" w:cs="宋体" w:eastAsia="宋体" w:hint="default"/>
                <w:sz w:val="18"/>
                <w:szCs w:val="18"/>
              </w:rPr>
              <w:t>年第二次临时股东 大会会议决议的公 </w:t>
            </w:r>
            <w:r>
              <w:rPr>
                <w:rFonts w:ascii="宋体" w:hAnsi="宋体" w:cs="宋体" w:eastAsia="宋体" w:hint="default"/>
                <w:spacing w:val="-10"/>
                <w:w w:val="99"/>
                <w:sz w:val="18"/>
                <w:szCs w:val="18"/>
              </w:rPr>
              <w:t>告（</w:t>
            </w:r>
            <w:r>
              <w:rPr>
                <w:rFonts w:ascii="Arial" w:hAnsi="Arial" w:cs="Arial" w:eastAsia="Arial" w:hint="default"/>
                <w:spacing w:val="-10"/>
                <w:w w:val="99"/>
                <w:sz w:val="18"/>
                <w:szCs w:val="18"/>
              </w:rPr>
              <w:t>2012-042</w:t>
            </w:r>
            <w:r>
              <w:rPr>
                <w:rFonts w:ascii="宋体" w:hAnsi="宋体" w:cs="宋体" w:eastAsia="宋体" w:hint="default"/>
                <w:spacing w:val="-10"/>
                <w:w w:val="99"/>
                <w:sz w:val="18"/>
                <w:szCs w:val="18"/>
              </w:rPr>
              <w:t>）。巨</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潮资讯网</w:t>
            </w:r>
          </w:p>
          <w:p>
            <w:pPr>
              <w:pStyle w:val="TableParagraph"/>
              <w:spacing w:line="302" w:lineRule="auto" w:before="24"/>
              <w:ind w:left="23" w:right="117"/>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Arial" w:hAnsi="Arial" w:cs="Arial" w:eastAsia="Arial" w:hint="default"/>
                <w:spacing w:val="-1"/>
                <w:sz w:val="18"/>
                <w:szCs w:val="18"/>
              </w:rPr>
              <w:t>http://www.cninf</w:t>
            </w:r>
            <w:r>
              <w:rPr>
                <w:rFonts w:ascii="Arial" w:hAnsi="Arial" w:cs="Arial" w:eastAsia="Arial" w:hint="default"/>
                <w:w w:val="100"/>
                <w:sz w:val="18"/>
                <w:szCs w:val="18"/>
              </w:rPr>
              <w:t> </w:t>
            </w:r>
            <w:r>
              <w:rPr>
                <w:rFonts w:ascii="Arial" w:hAnsi="Arial" w:cs="Arial" w:eastAsia="Arial" w:hint="default"/>
                <w:sz w:val="18"/>
                <w:szCs w:val="18"/>
              </w:rPr>
              <w:t>o.com.cn</w:t>
            </w:r>
            <w:r>
              <w:rPr>
                <w:rFonts w:ascii="宋体" w:hAnsi="宋体" w:cs="宋体" w:eastAsia="宋体" w:hint="default"/>
                <w:sz w:val="18"/>
                <w:szCs w:val="18"/>
              </w:rPr>
              <w:t>）</w:t>
            </w:r>
          </w:p>
        </w:tc>
      </w:tr>
      <w:tr>
        <w:trPr>
          <w:trHeight w:val="258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7"/>
              <w:ind w:left="24" w:right="23"/>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10</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23</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w w:val="99"/>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《关于聘任会</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02" w:lineRule="auto"/>
              <w:ind w:left="23" w:right="7"/>
              <w:jc w:val="left"/>
              <w:rPr>
                <w:rFonts w:ascii="宋体" w:hAnsi="宋体" w:cs="宋体" w:eastAsia="宋体" w:hint="default"/>
                <w:sz w:val="18"/>
                <w:szCs w:val="18"/>
              </w:rPr>
            </w:pPr>
            <w:r>
              <w:rPr>
                <w:rFonts w:ascii="宋体" w:hAnsi="宋体" w:cs="宋体" w:eastAsia="宋体" w:hint="default"/>
                <w:spacing w:val="-19"/>
                <w:w w:val="99"/>
                <w:sz w:val="18"/>
                <w:szCs w:val="18"/>
              </w:rPr>
              <w:t>（</w:t>
            </w:r>
            <w:r>
              <w:rPr>
                <w:rFonts w:ascii="Arial" w:hAnsi="Arial" w:cs="Arial" w:eastAsia="Arial" w:hint="default"/>
                <w:spacing w:val="-19"/>
                <w:w w:val="99"/>
                <w:sz w:val="18"/>
                <w:szCs w:val="18"/>
              </w:rPr>
              <w:t>2</w:t>
            </w:r>
            <w:r>
              <w:rPr>
                <w:rFonts w:ascii="宋体" w:hAnsi="宋体" w:cs="宋体" w:eastAsia="宋体" w:hint="default"/>
                <w:spacing w:val="-19"/>
                <w:w w:val="99"/>
                <w:sz w:val="18"/>
                <w:szCs w:val="18"/>
              </w:rPr>
              <w:t>）《关于修订〈公</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司章程〉的议案》</w:t>
            </w:r>
          </w:p>
        </w:tc>
        <w:tc>
          <w:tcPr>
            <w:tcW w:w="15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2" w:right="22"/>
              <w:jc w:val="left"/>
              <w:rPr>
                <w:rFonts w:ascii="宋体" w:hAnsi="宋体" w:cs="宋体" w:eastAsia="宋体" w:hint="default"/>
                <w:sz w:val="18"/>
                <w:szCs w:val="18"/>
              </w:rPr>
            </w:pPr>
            <w:r>
              <w:rPr>
                <w:rFonts w:ascii="宋体" w:hAnsi="宋体" w:cs="宋体" w:eastAsia="宋体" w:hint="default"/>
                <w:sz w:val="18"/>
                <w:szCs w:val="18"/>
              </w:rPr>
              <w:t>会议以现场投票方 </w:t>
            </w:r>
            <w:r>
              <w:rPr>
                <w:rFonts w:ascii="宋体" w:hAnsi="宋体" w:cs="宋体" w:eastAsia="宋体" w:hint="default"/>
                <w:spacing w:val="-10"/>
                <w:sz w:val="18"/>
                <w:szCs w:val="18"/>
              </w:rPr>
              <w:t>式，审议通过了全部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10</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24</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8"/>
                <w:sz w:val="18"/>
                <w:szCs w:val="18"/>
              </w:rPr>
              <w:t> </w:t>
            </w:r>
            <w:r>
              <w:rPr>
                <w:rFonts w:ascii="Arial" w:hAnsi="Arial" w:cs="Arial" w:eastAsia="Arial" w:hint="default"/>
                <w:sz w:val="18"/>
                <w:szCs w:val="18"/>
              </w:rPr>
              <w:t>2012</w:t>
            </w:r>
            <w:r>
              <w:rPr>
                <w:rFonts w:ascii="Arial" w:hAnsi="Arial" w:cs="Arial" w:eastAsia="Arial"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309" w:lineRule="auto" w:before="63"/>
              <w:ind w:left="23" w:right="18"/>
              <w:jc w:val="left"/>
              <w:rPr>
                <w:rFonts w:ascii="宋体" w:hAnsi="宋体" w:cs="宋体" w:eastAsia="宋体" w:hint="default"/>
                <w:sz w:val="18"/>
                <w:szCs w:val="18"/>
              </w:rPr>
            </w:pPr>
            <w:r>
              <w:rPr>
                <w:rFonts w:ascii="Arial" w:hAnsi="Arial" w:cs="Arial" w:eastAsia="Arial" w:hint="default"/>
                <w:sz w:val="18"/>
                <w:szCs w:val="18"/>
              </w:rPr>
              <w:t>25</w:t>
            </w:r>
            <w:r>
              <w:rPr>
                <w:rFonts w:ascii="Arial" w:hAnsi="Arial" w:cs="Arial" w:eastAsia="Arial" w:hint="default"/>
                <w:spacing w:val="-12"/>
                <w:sz w:val="18"/>
                <w:szCs w:val="18"/>
              </w:rPr>
              <w:t> </w:t>
            </w:r>
            <w:r>
              <w:rPr>
                <w:rFonts w:ascii="宋体" w:hAnsi="宋体" w:cs="宋体" w:eastAsia="宋体" w:hint="default"/>
                <w:sz w:val="18"/>
                <w:szCs w:val="18"/>
              </w:rPr>
              <w:t>日刊登的：</w:t>
            </w:r>
            <w:r>
              <w:rPr>
                <w:rFonts w:ascii="Arial" w:hAnsi="Arial" w:cs="Arial" w:eastAsia="Arial" w:hint="default"/>
                <w:sz w:val="18"/>
                <w:szCs w:val="18"/>
              </w:rPr>
              <w:t>2012</w:t>
            </w:r>
            <w:r>
              <w:rPr>
                <w:rFonts w:ascii="Arial" w:hAnsi="Arial" w:cs="Arial" w:eastAsia="Arial" w:hint="default"/>
                <w:w w:val="99"/>
                <w:sz w:val="18"/>
                <w:szCs w:val="18"/>
              </w:rPr>
              <w:t> </w:t>
            </w:r>
            <w:r>
              <w:rPr>
                <w:rFonts w:ascii="宋体" w:hAnsi="宋体" w:cs="宋体" w:eastAsia="宋体" w:hint="default"/>
                <w:sz w:val="18"/>
                <w:szCs w:val="18"/>
              </w:rPr>
              <w:t>年第二次临时股东 大会会议决议的公 </w:t>
            </w:r>
            <w:r>
              <w:rPr>
                <w:rFonts w:ascii="宋体" w:hAnsi="宋体" w:cs="宋体" w:eastAsia="宋体" w:hint="default"/>
                <w:spacing w:val="-10"/>
                <w:w w:val="99"/>
                <w:sz w:val="18"/>
                <w:szCs w:val="18"/>
              </w:rPr>
              <w:t>告（</w:t>
            </w:r>
            <w:r>
              <w:rPr>
                <w:rFonts w:ascii="Arial" w:hAnsi="Arial" w:cs="Arial" w:eastAsia="Arial" w:hint="default"/>
                <w:spacing w:val="-10"/>
                <w:w w:val="99"/>
                <w:sz w:val="18"/>
                <w:szCs w:val="18"/>
              </w:rPr>
              <w:t>2012-054</w:t>
            </w:r>
            <w:r>
              <w:rPr>
                <w:rFonts w:ascii="宋体" w:hAnsi="宋体" w:cs="宋体" w:eastAsia="宋体" w:hint="default"/>
                <w:spacing w:val="-10"/>
                <w:w w:val="99"/>
                <w:sz w:val="18"/>
                <w:szCs w:val="18"/>
              </w:rPr>
              <w:t>）。巨</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潮资讯网</w:t>
            </w:r>
          </w:p>
          <w:p>
            <w:pPr>
              <w:pStyle w:val="TableParagraph"/>
              <w:spacing w:line="302" w:lineRule="auto" w:before="24"/>
              <w:ind w:left="23" w:right="117"/>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Arial" w:hAnsi="Arial" w:cs="Arial" w:eastAsia="Arial" w:hint="default"/>
                <w:spacing w:val="-1"/>
                <w:sz w:val="18"/>
                <w:szCs w:val="18"/>
              </w:rPr>
              <w:t>http://www.cninf</w:t>
            </w:r>
            <w:r>
              <w:rPr>
                <w:rFonts w:ascii="Arial" w:hAnsi="Arial" w:cs="Arial" w:eastAsia="Arial" w:hint="default"/>
                <w:w w:val="100"/>
                <w:sz w:val="18"/>
                <w:szCs w:val="18"/>
              </w:rPr>
              <w:t> </w:t>
            </w:r>
            <w:r>
              <w:rPr>
                <w:rFonts w:ascii="Arial" w:hAnsi="Arial" w:cs="Arial" w:eastAsia="Arial" w:hint="default"/>
                <w:sz w:val="18"/>
                <w:szCs w:val="18"/>
              </w:rPr>
              <w:t>o.com.cn</w:t>
            </w:r>
            <w:r>
              <w:rPr>
                <w:rFonts w:ascii="宋体" w:hAnsi="宋体" w:cs="宋体" w:eastAsia="宋体" w:hint="default"/>
                <w:sz w:val="18"/>
                <w:szCs w:val="18"/>
              </w:rPr>
              <w:t>）</w:t>
            </w:r>
          </w:p>
        </w:tc>
      </w:tr>
      <w:tr>
        <w:trPr>
          <w:trHeight w:val="379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41"/>
              <w:ind w:left="24" w:right="23"/>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pacing w:val="-9"/>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08"/>
              <w:jc w:val="both"/>
              <w:rPr>
                <w:rFonts w:ascii="宋体" w:hAnsi="宋体" w:cs="宋体" w:eastAsia="宋体" w:hint="default"/>
                <w:sz w:val="18"/>
                <w:szCs w:val="18"/>
              </w:rPr>
            </w:pPr>
            <w:r>
              <w:rPr>
                <w:rFonts w:ascii="宋体" w:hAnsi="宋体" w:cs="宋体" w:eastAsia="宋体" w:hint="default"/>
                <w:spacing w:val="-11"/>
                <w:w w:val="99"/>
                <w:sz w:val="18"/>
                <w:szCs w:val="18"/>
              </w:rPr>
              <w:t>（</w:t>
            </w:r>
            <w:r>
              <w:rPr>
                <w:rFonts w:ascii="Arial" w:hAnsi="Arial" w:cs="Arial" w:eastAsia="Arial" w:hint="default"/>
                <w:spacing w:val="-11"/>
                <w:w w:val="99"/>
                <w:sz w:val="18"/>
                <w:szCs w:val="18"/>
              </w:rPr>
              <w:t>1</w:t>
            </w:r>
            <w:r>
              <w:rPr>
                <w:rFonts w:ascii="宋体" w:hAnsi="宋体" w:cs="宋体" w:eastAsia="宋体" w:hint="default"/>
                <w:spacing w:val="-11"/>
                <w:w w:val="99"/>
                <w:sz w:val="18"/>
                <w:szCs w:val="18"/>
              </w:rPr>
              <w:t>）《茂硕电源科</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技股份有限公司限 制性股票激励计划</w:t>
            </w:r>
          </w:p>
          <w:p>
            <w:pPr>
              <w:pStyle w:val="TableParagraph"/>
              <w:spacing w:line="314" w:lineRule="auto" w:before="25"/>
              <w:ind w:left="23" w:right="19"/>
              <w:jc w:val="left"/>
              <w:rPr>
                <w:rFonts w:ascii="宋体" w:hAnsi="宋体" w:cs="宋体" w:eastAsia="宋体" w:hint="default"/>
                <w:sz w:val="18"/>
                <w:szCs w:val="18"/>
              </w:rPr>
            </w:pPr>
            <w:r>
              <w:rPr>
                <w:rFonts w:ascii="宋体" w:hAnsi="宋体" w:cs="宋体" w:eastAsia="宋体" w:hint="default"/>
                <w:spacing w:val="-10"/>
                <w:sz w:val="18"/>
                <w:szCs w:val="18"/>
              </w:rPr>
              <w:t>（修订案）及其摘要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9"/>
                <w:w w:val="99"/>
                <w:sz w:val="18"/>
                <w:szCs w:val="18"/>
              </w:rPr>
              <w:t>的议案》（</w:t>
            </w:r>
            <w:r>
              <w:rPr>
                <w:rFonts w:ascii="Arial" w:hAnsi="Arial" w:cs="Arial" w:eastAsia="Arial" w:hint="default"/>
                <w:spacing w:val="-19"/>
                <w:w w:val="99"/>
                <w:sz w:val="18"/>
                <w:szCs w:val="18"/>
              </w:rPr>
              <w:t>2</w:t>
            </w:r>
            <w:r>
              <w:rPr>
                <w:rFonts w:ascii="宋体" w:hAnsi="宋体" w:cs="宋体" w:eastAsia="宋体" w:hint="default"/>
                <w:spacing w:val="-19"/>
                <w:w w:val="99"/>
                <w:sz w:val="18"/>
                <w:szCs w:val="18"/>
              </w:rPr>
              <w:t>）《茂硕</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z w:val="18"/>
                <w:szCs w:val="18"/>
              </w:rPr>
              <w:t>电源科技股份有限 公司限制性股票激 励计划实施考核管 </w:t>
            </w:r>
            <w:r>
              <w:rPr>
                <w:rFonts w:ascii="宋体" w:hAnsi="宋体" w:cs="宋体" w:eastAsia="宋体" w:hint="default"/>
                <w:spacing w:val="-19"/>
                <w:w w:val="99"/>
                <w:sz w:val="18"/>
                <w:szCs w:val="18"/>
              </w:rPr>
              <w:t>理办法》（</w:t>
            </w:r>
            <w:r>
              <w:rPr>
                <w:rFonts w:ascii="Arial" w:hAnsi="Arial" w:cs="Arial" w:eastAsia="Arial" w:hint="default"/>
                <w:spacing w:val="-19"/>
                <w:w w:val="99"/>
                <w:sz w:val="18"/>
                <w:szCs w:val="18"/>
              </w:rPr>
              <w:t>3</w:t>
            </w:r>
            <w:r>
              <w:rPr>
                <w:rFonts w:ascii="宋体" w:hAnsi="宋体" w:cs="宋体" w:eastAsia="宋体" w:hint="default"/>
                <w:spacing w:val="-19"/>
                <w:w w:val="99"/>
                <w:sz w:val="18"/>
                <w:szCs w:val="18"/>
              </w:rPr>
              <w:t>）《关于</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z w:val="18"/>
                <w:szCs w:val="18"/>
              </w:rPr>
              <w:t>周筠女士作为股权 激励对象的议案》</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w w:val="99"/>
                <w:sz w:val="18"/>
                <w:szCs w:val="18"/>
              </w:rPr>
              <w:t>4</w:t>
            </w:r>
            <w:r>
              <w:rPr>
                <w:rFonts w:ascii="宋体" w:hAnsi="宋体" w:cs="宋体" w:eastAsia="宋体" w:hint="default"/>
                <w:spacing w:val="-92"/>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《关于提请股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会议以现场及网络 </w:t>
            </w:r>
            <w:r>
              <w:rPr>
                <w:rFonts w:ascii="宋体" w:hAnsi="宋体" w:cs="宋体" w:eastAsia="宋体" w:hint="default"/>
                <w:spacing w:val="-10"/>
                <w:sz w:val="18"/>
                <w:szCs w:val="18"/>
              </w:rPr>
              <w:t>投票方式，审议通过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了全部议案。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pacing w:val="-9"/>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5"/>
                <w:sz w:val="18"/>
                <w:szCs w:val="18"/>
              </w:rPr>
              <w:t> </w:t>
            </w:r>
            <w:r>
              <w:rPr>
                <w:rFonts w:ascii="Arial" w:hAnsi="Arial" w:cs="Arial" w:eastAsia="Arial" w:hint="default"/>
                <w:sz w:val="18"/>
                <w:szCs w:val="18"/>
              </w:rPr>
              <w:t>2012</w:t>
            </w:r>
            <w:r>
              <w:rPr>
                <w:rFonts w:ascii="Arial" w:hAnsi="Arial" w:cs="Arial" w:eastAsia="Arial"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pacing w:val="-9"/>
                <w:sz w:val="18"/>
                <w:szCs w:val="18"/>
              </w:rPr>
              <w:t>11</w:t>
            </w:r>
            <w:r>
              <w:rPr>
                <w:rFonts w:ascii="Arial" w:hAnsi="Arial" w:cs="Arial" w:eastAsia="Arial" w:hint="default"/>
                <w:spacing w:val="-4"/>
                <w:sz w:val="18"/>
                <w:szCs w:val="18"/>
              </w:rPr>
              <w:t> </w:t>
            </w:r>
            <w:r>
              <w:rPr>
                <w:rFonts w:ascii="宋体" w:hAnsi="宋体" w:cs="宋体" w:eastAsia="宋体" w:hint="default"/>
                <w:sz w:val="18"/>
                <w:szCs w:val="18"/>
              </w:rPr>
              <w:t>月</w:t>
            </w:r>
          </w:p>
          <w:p>
            <w:pPr>
              <w:pStyle w:val="TableParagraph"/>
              <w:spacing w:line="309" w:lineRule="auto" w:before="64"/>
              <w:ind w:left="23" w:right="18"/>
              <w:jc w:val="left"/>
              <w:rPr>
                <w:rFonts w:ascii="宋体" w:hAnsi="宋体" w:cs="宋体" w:eastAsia="宋体" w:hint="default"/>
                <w:sz w:val="18"/>
                <w:szCs w:val="18"/>
              </w:rPr>
            </w:pPr>
            <w:r>
              <w:rPr>
                <w:rFonts w:ascii="Arial" w:hAnsi="Arial" w:cs="Arial" w:eastAsia="Arial" w:hint="default"/>
                <w:sz w:val="18"/>
                <w:szCs w:val="18"/>
              </w:rPr>
              <w:t>14</w:t>
            </w:r>
            <w:r>
              <w:rPr>
                <w:rFonts w:ascii="Arial" w:hAnsi="Arial" w:cs="Arial" w:eastAsia="Arial" w:hint="default"/>
                <w:spacing w:val="-12"/>
                <w:sz w:val="18"/>
                <w:szCs w:val="18"/>
              </w:rPr>
              <w:t> </w:t>
            </w:r>
            <w:r>
              <w:rPr>
                <w:rFonts w:ascii="宋体" w:hAnsi="宋体" w:cs="宋体" w:eastAsia="宋体" w:hint="default"/>
                <w:sz w:val="18"/>
                <w:szCs w:val="18"/>
              </w:rPr>
              <w:t>日刊登的：</w:t>
            </w:r>
            <w:r>
              <w:rPr>
                <w:rFonts w:ascii="Arial" w:hAnsi="Arial" w:cs="Arial" w:eastAsia="Arial" w:hint="default"/>
                <w:sz w:val="18"/>
                <w:szCs w:val="18"/>
              </w:rPr>
              <w:t>2012</w:t>
            </w:r>
            <w:r>
              <w:rPr>
                <w:rFonts w:ascii="Arial" w:hAnsi="Arial" w:cs="Arial" w:eastAsia="Arial" w:hint="default"/>
                <w:w w:val="99"/>
                <w:sz w:val="18"/>
                <w:szCs w:val="18"/>
              </w:rPr>
              <w:t> </w:t>
            </w:r>
            <w:r>
              <w:rPr>
                <w:rFonts w:ascii="宋体" w:hAnsi="宋体" w:cs="宋体" w:eastAsia="宋体" w:hint="default"/>
                <w:sz w:val="18"/>
                <w:szCs w:val="18"/>
              </w:rPr>
              <w:t>年第二次临时股东 大会会议决议的公 </w:t>
            </w:r>
            <w:r>
              <w:rPr>
                <w:rFonts w:ascii="宋体" w:hAnsi="宋体" w:cs="宋体" w:eastAsia="宋体" w:hint="default"/>
                <w:spacing w:val="-10"/>
                <w:w w:val="99"/>
                <w:sz w:val="18"/>
                <w:szCs w:val="18"/>
              </w:rPr>
              <w:t>告（</w:t>
            </w:r>
            <w:r>
              <w:rPr>
                <w:rFonts w:ascii="Arial" w:hAnsi="Arial" w:cs="Arial" w:eastAsia="Arial" w:hint="default"/>
                <w:spacing w:val="-10"/>
                <w:w w:val="99"/>
                <w:sz w:val="18"/>
                <w:szCs w:val="18"/>
              </w:rPr>
              <w:t>2012-063</w:t>
            </w:r>
            <w:r>
              <w:rPr>
                <w:rFonts w:ascii="宋体" w:hAnsi="宋体" w:cs="宋体" w:eastAsia="宋体" w:hint="default"/>
                <w:spacing w:val="-10"/>
                <w:w w:val="99"/>
                <w:sz w:val="18"/>
                <w:szCs w:val="18"/>
              </w:rPr>
              <w:t>）。巨</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潮资讯网</w:t>
            </w:r>
          </w:p>
          <w:p>
            <w:pPr>
              <w:pStyle w:val="TableParagraph"/>
              <w:spacing w:line="302" w:lineRule="auto" w:before="24"/>
              <w:ind w:left="23" w:right="117"/>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Arial" w:hAnsi="Arial" w:cs="Arial" w:eastAsia="Arial" w:hint="default"/>
                <w:spacing w:val="-1"/>
                <w:sz w:val="18"/>
                <w:szCs w:val="18"/>
              </w:rPr>
              <w:t>http://www.cninf</w:t>
            </w:r>
            <w:r>
              <w:rPr>
                <w:rFonts w:ascii="Arial" w:hAnsi="Arial" w:cs="Arial" w:eastAsia="Arial" w:hint="default"/>
                <w:w w:val="100"/>
                <w:sz w:val="18"/>
                <w:szCs w:val="18"/>
              </w:rPr>
              <w:t> </w:t>
            </w:r>
            <w:r>
              <w:rPr>
                <w:rFonts w:ascii="Arial" w:hAnsi="Arial" w:cs="Arial" w:eastAsia="Arial" w:hint="default"/>
                <w:sz w:val="18"/>
                <w:szCs w:val="18"/>
              </w:rPr>
              <w:t>o.com.cn</w:t>
            </w:r>
            <w:r>
              <w:rPr>
                <w:rFonts w:ascii="宋体" w:hAnsi="宋体" w:cs="宋体" w:eastAsia="宋体" w:hint="default"/>
                <w:sz w:val="18"/>
                <w:szCs w:val="18"/>
              </w:rPr>
              <w:t>）</w:t>
            </w:r>
          </w:p>
        </w:tc>
      </w:tr>
    </w:tbl>
    <w:p>
      <w:pPr>
        <w:spacing w:after="0" w:line="302" w:lineRule="auto"/>
        <w:jc w:val="left"/>
        <w:rPr>
          <w:rFonts w:ascii="宋体" w:hAnsi="宋体" w:cs="宋体" w:eastAsia="宋体" w:hint="default"/>
          <w:sz w:val="18"/>
          <w:szCs w:val="18"/>
        </w:rPr>
        <w:sectPr>
          <w:pgSz w:w="11910" w:h="16840"/>
          <w:pgMar w:header="877" w:footer="1340" w:top="1060" w:bottom="16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299"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19"/>
              <w:jc w:val="both"/>
              <w:rPr>
                <w:rFonts w:ascii="宋体" w:hAnsi="宋体" w:cs="宋体" w:eastAsia="宋体" w:hint="default"/>
                <w:sz w:val="18"/>
                <w:szCs w:val="18"/>
              </w:rPr>
            </w:pPr>
            <w:r>
              <w:rPr>
                <w:rFonts w:ascii="宋体" w:hAnsi="宋体" w:cs="宋体" w:eastAsia="宋体" w:hint="default"/>
                <w:sz w:val="18"/>
                <w:szCs w:val="18"/>
              </w:rPr>
              <w:t>东大会授权董事会 办理公司限制性股 票激励计划有关事 项的议案》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21"/>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13</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5</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8</w:t>
            </w:r>
            <w:r>
              <w:rPr>
                <w:rFonts w:ascii="Arial"/>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0</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13</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9</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4</w:t>
            </w:r>
            <w:r>
              <w:rPr>
                <w:rFonts w:ascii="Arial"/>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0</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5</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5</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0</w:t>
            </w:r>
            <w:r>
              <w:rPr>
                <w:rFonts w:ascii="Arial"/>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0</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姜久春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8</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3</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5</w:t>
            </w:r>
            <w:r>
              <w:rPr>
                <w:rFonts w:ascii="Arial"/>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0</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7</w:t>
            </w:r>
            <w:r>
              <w:rPr>
                <w:rFonts w:ascii="Arial"/>
                <w:sz w:val="18"/>
              </w:rPr>
            </w:r>
          </w:p>
        </w:tc>
      </w:tr>
    </w:tbl>
    <w:p>
      <w:pPr>
        <w:pStyle w:val="BodyText"/>
        <w:spacing w:line="357" w:lineRule="auto" w:before="49"/>
        <w:ind w:right="8054"/>
        <w:jc w:val="left"/>
      </w:pPr>
      <w:r>
        <w:rPr/>
        <w:t>连续两次未亲自出席董事会的说明 不适用</w:t>
      </w:r>
    </w:p>
    <w:p>
      <w:pPr>
        <w:spacing w:line="240" w:lineRule="auto" w:before="6"/>
        <w:rPr>
          <w:rFonts w:ascii="宋体" w:hAnsi="宋体" w:cs="宋体" w:eastAsia="宋体" w:hint="default"/>
          <w:sz w:val="20"/>
          <w:szCs w:val="20"/>
        </w:rPr>
      </w:pPr>
    </w:p>
    <w:p>
      <w:pPr>
        <w:pStyle w:val="Heading3"/>
        <w:spacing w:line="240" w:lineRule="auto"/>
        <w:ind w:right="1121"/>
        <w:jc w:val="left"/>
        <w:rPr>
          <w:b w:val="0"/>
          <w:bCs w:val="0"/>
        </w:rPr>
      </w:pPr>
      <w:r>
        <w:rPr>
          <w:rFonts w:ascii="Arial" w:hAnsi="Arial" w:cs="Arial" w:eastAsia="Arial"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1"/>
        <w:jc w:val="left"/>
      </w:pPr>
      <w:r>
        <w:rPr/>
        <w:t>独立董事对公司有关事项是否提出异议</w:t>
      </w:r>
    </w:p>
    <w:p>
      <w:pPr>
        <w:pStyle w:val="BodyText"/>
        <w:spacing w:line="340" w:lineRule="auto" w:before="115"/>
        <w:ind w:right="697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1121"/>
        <w:jc w:val="left"/>
        <w:rPr>
          <w:b w:val="0"/>
          <w:bCs w:val="0"/>
        </w:rPr>
      </w:pPr>
      <w:r>
        <w:rPr>
          <w:rFonts w:ascii="Arial" w:hAnsi="Arial" w:cs="Arial" w:eastAsia="Arial" w:hint="default"/>
        </w:rPr>
        <w:t>3</w:t>
      </w:r>
      <w:r>
        <w:rPr/>
        <w:t>、独立董事履行职责的其他说明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21"/>
        <w:jc w:val="left"/>
      </w:pPr>
      <w:r>
        <w:rPr/>
        <w:t>独立董事对公司有关建议是否被采纳</w:t>
      </w:r>
    </w:p>
    <w:p>
      <w:pPr>
        <w:pStyle w:val="BodyText"/>
        <w:spacing w:line="340" w:lineRule="auto" w:before="117"/>
        <w:ind w:right="679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2"/>
        </w:rPr>
        <w:t> </w:t>
      </w:r>
      <w:r>
        <w:rPr/>
        <w:t>否 独立董事对公司有关建议被采纳或未被采纳的说明</w:t>
      </w:r>
    </w:p>
    <w:p>
      <w:pPr>
        <w:pStyle w:val="BodyText"/>
        <w:spacing w:line="314" w:lineRule="auto" w:before="39"/>
        <w:ind w:right="1034" w:firstLine="360"/>
        <w:jc w:val="left"/>
      </w:pPr>
      <w:r>
        <w:rPr/>
        <w:t>报告期内，公司独立董事在</w:t>
      </w:r>
      <w:r>
        <w:rPr>
          <w:rFonts w:ascii="Arial" w:hAnsi="Arial" w:cs="Arial" w:eastAsia="Arial" w:hint="default"/>
        </w:rPr>
        <w:t>2012</w:t>
      </w:r>
      <w:r>
        <w:rPr/>
        <w:t>年度勤勉尽责，忠实履行独立董事职务，对公司董事会各项议案，在详实听取相关人 </w:t>
      </w:r>
      <w:r>
        <w:rPr>
          <w:spacing w:val="-2"/>
        </w:rPr>
        <w:t>员汇报的基础上，发表意见、行使职权，对公司各项决策的制定起到了积极的推动作用，并对信息披露等情况进行监督和核</w:t>
      </w:r>
      <w:r>
        <w:rPr>
          <w:spacing w:val="-64"/>
        </w:rPr>
        <w:t> </w:t>
      </w:r>
      <w:r>
        <w:rPr>
          <w:spacing w:val="-64"/>
        </w:rPr>
      </w:r>
      <w:r>
        <w:rPr>
          <w:spacing w:val="-2"/>
        </w:rPr>
        <w:t>查，对报告期内公司发生的募集资金使用、对外投资、高级管理人员聘任等事项出具了独立、公正的独立董事意见，积极有</w:t>
      </w:r>
      <w:r>
        <w:rPr>
          <w:spacing w:val="-67"/>
        </w:rPr>
        <w:t> </w:t>
      </w:r>
      <w:r>
        <w:rPr>
          <w:spacing w:val="-67"/>
        </w:rPr>
      </w:r>
      <w:r>
        <w:rPr>
          <w:spacing w:val="-2"/>
        </w:rPr>
        <w:t>效地履行了独立董事的职责，维护了公司和中小股东的合法权益。独立董事利用自己的专业优势，提出了内部控制建设、科</w:t>
      </w:r>
      <w:r>
        <w:rPr>
          <w:spacing w:val="-63"/>
        </w:rPr>
        <w:t> </w:t>
      </w:r>
      <w:r>
        <w:rPr>
          <w:spacing w:val="-63"/>
        </w:rPr>
      </w:r>
      <w:r>
        <w:rPr>
          <w:spacing w:val="-4"/>
        </w:rPr>
        <w:t>研创新等方面的建议，并密切关注公司的经营情况，利用召开董事会、股东大会的机会及其他时间，积极与其他董事、监事、</w:t>
      </w:r>
      <w:r>
        <w:rPr>
          <w:spacing w:val="-43"/>
        </w:rPr>
        <w:t> </w:t>
      </w:r>
      <w:r>
        <w:rPr>
          <w:spacing w:val="-43"/>
        </w:rPr>
      </w:r>
      <w:r>
        <w:rPr/>
        <w:t>管理层沟通交流，及时掌握公司的经营动态，为公司规范化运作、公司总体发展战略以及面临的市场形势提出建设性意见。</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2"/>
        <w:spacing w:line="240" w:lineRule="auto"/>
        <w:ind w:right="1121"/>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178" w:lineRule="exact"/>
        <w:ind w:left="513" w:right="1121"/>
        <w:jc w:val="left"/>
      </w:pPr>
      <w:r>
        <w:rPr/>
        <w:t>公司董事会下设四个专门委员会，分别为审计委员会、提名委员会、战略委员会、薪酬与考核委员会。</w:t>
      </w:r>
      <w:r>
        <w:rPr>
          <w:rFonts w:ascii="Arial" w:hAnsi="Arial" w:cs="Arial" w:eastAsia="Arial" w:hint="default"/>
        </w:rPr>
        <w:t>2012</w:t>
      </w:r>
      <w:r>
        <w:rPr/>
        <w:t>年各专门</w:t>
      </w:r>
    </w:p>
    <w:p>
      <w:pPr>
        <w:spacing w:after="0" w:line="178" w:lineRule="exact"/>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8"/>
        <w:jc w:val="both"/>
      </w:pPr>
      <w:r>
        <w:rPr>
          <w:spacing w:val="-2"/>
        </w:rPr>
        <w:t>委员会本着勤勉尽责的原则，按照有关法律法规、规范性文件及公司各专门委员会工作细则的有关规定开展相关工作，报告</w:t>
      </w:r>
      <w:r>
        <w:rPr>
          <w:spacing w:val="-61"/>
        </w:rPr>
        <w:t> </w:t>
      </w:r>
      <w:r>
        <w:rPr>
          <w:spacing w:val="-61"/>
        </w:rPr>
      </w:r>
      <w:r>
        <w:rPr/>
        <w:t>期内，各专门委员会履职情况如下：</w:t>
      </w:r>
    </w:p>
    <w:p>
      <w:pPr>
        <w:pStyle w:val="BodyText"/>
        <w:spacing w:line="316" w:lineRule="auto" w:before="17"/>
        <w:ind w:left="513" w:right="1033"/>
        <w:jc w:val="left"/>
      </w:pPr>
      <w:r>
        <w:rPr/>
        <w:t>（一）审计委员会 报告期内，审计委员会根据《董事会审计委员会工作细则》及其他有关规定积极开展工作，认真履行职责。报告期内，</w:t>
      </w:r>
    </w:p>
    <w:p>
      <w:pPr>
        <w:pStyle w:val="BodyText"/>
        <w:spacing w:line="312" w:lineRule="auto" w:before="19"/>
        <w:ind w:right="1132"/>
        <w:jc w:val="both"/>
      </w:pPr>
      <w:r>
        <w:rPr/>
        <w:t>审计委员会召开了</w:t>
      </w:r>
      <w:r>
        <w:rPr>
          <w:rFonts w:ascii="Arial" w:hAnsi="Arial" w:cs="Arial" w:eastAsia="Arial" w:hint="default"/>
        </w:rPr>
        <w:t>7</w:t>
      </w:r>
      <w:r>
        <w:rPr/>
        <w:t>次会议，审查了公司内部控制制度及执行情况，审核了公司所有重要的会计政策，定期了解公司财务状 </w:t>
      </w:r>
      <w:r>
        <w:rPr>
          <w:spacing w:val="-2"/>
        </w:rPr>
        <w:t>况和经营情况，督促和指导公司审计部门对公司财务管理运行情况进行定期和不定期的检查和评估，委员会认为公司内控制</w:t>
      </w:r>
      <w:r>
        <w:rPr>
          <w:spacing w:val="-64"/>
        </w:rPr>
        <w:t> </w:t>
      </w:r>
      <w:r>
        <w:rPr>
          <w:spacing w:val="-64"/>
        </w:rPr>
      </w:r>
      <w:r>
        <w:rPr>
          <w:spacing w:val="-2"/>
        </w:rPr>
        <w:t>度体系符合法律、法规及《公司章程》的要求，适应当前公司生产经营实际情况的需要。同时，审计委员会还就下列事项展</w:t>
      </w:r>
      <w:r>
        <w:rPr>
          <w:spacing w:val="-68"/>
        </w:rPr>
        <w:t> </w:t>
      </w:r>
      <w:r>
        <w:rPr>
          <w:spacing w:val="-68"/>
        </w:rPr>
      </w:r>
      <w:r>
        <w:rPr/>
        <w:t>开工作：</w:t>
      </w:r>
    </w:p>
    <w:p>
      <w:pPr>
        <w:pStyle w:val="BodyText"/>
        <w:spacing w:line="302" w:lineRule="auto" w:before="22"/>
        <w:ind w:right="1114" w:firstLine="360"/>
        <w:jc w:val="left"/>
      </w:pPr>
      <w:r>
        <w:rPr/>
        <w:t>（</w:t>
      </w:r>
      <w:r>
        <w:rPr>
          <w:rFonts w:ascii="Arial" w:hAnsi="Arial" w:cs="Arial" w:eastAsia="Arial" w:hint="default"/>
        </w:rPr>
        <w:t>1</w:t>
      </w:r>
      <w:r>
        <w:rPr/>
        <w:t>）与会计师事务所就年度审计报告编制进行沟通与交流，要求审计机构密切关注中国证监会、深圳证券交易所等监 管部门对年报审计工作的相关政策和要求，确保审计的独立性和审计工作保质保量如期完成；</w:t>
      </w:r>
    </w:p>
    <w:p>
      <w:pPr>
        <w:pStyle w:val="BodyText"/>
        <w:spacing w:line="240" w:lineRule="auto" w:before="29"/>
        <w:ind w:left="513" w:right="1121"/>
        <w:jc w:val="left"/>
      </w:pPr>
      <w:r>
        <w:rPr/>
        <w:t>（</w:t>
      </w:r>
      <w:r>
        <w:rPr>
          <w:rFonts w:ascii="Arial" w:hAnsi="Arial" w:cs="Arial" w:eastAsia="Arial" w:hint="default"/>
        </w:rPr>
        <w:t>2</w:t>
      </w:r>
      <w:r>
        <w:rPr/>
        <w:t>）审议公司内部审计部门提交的季度工作报告，年度工作计划；</w:t>
      </w:r>
    </w:p>
    <w:p>
      <w:pPr>
        <w:pStyle w:val="BodyText"/>
        <w:spacing w:line="240" w:lineRule="auto" w:before="63"/>
        <w:ind w:left="513" w:right="1121"/>
        <w:jc w:val="left"/>
      </w:pPr>
      <w:r>
        <w:rPr/>
        <w:t>（</w:t>
      </w:r>
      <w:r>
        <w:rPr>
          <w:rFonts w:ascii="Arial" w:hAnsi="Arial" w:cs="Arial" w:eastAsia="Arial" w:hint="default"/>
        </w:rPr>
        <w:t>3</w:t>
      </w:r>
      <w:r>
        <w:rPr/>
        <w:t>）关于开展规范财务会计基础工作专项活动；</w:t>
      </w:r>
    </w:p>
    <w:p>
      <w:pPr>
        <w:pStyle w:val="BodyText"/>
        <w:spacing w:line="240" w:lineRule="auto" w:before="64"/>
        <w:ind w:left="513" w:right="1121"/>
        <w:jc w:val="left"/>
      </w:pPr>
      <w:r>
        <w:rPr/>
        <w:t>（</w:t>
      </w:r>
      <w:r>
        <w:rPr>
          <w:rFonts w:ascii="Arial" w:hAnsi="Arial" w:cs="Arial" w:eastAsia="Arial" w:hint="default"/>
        </w:rPr>
        <w:t>4</w:t>
      </w:r>
      <w:r>
        <w:rPr/>
        <w:t>）对会计师事务所的工作进行评价和总结，并向董事会提出续聘议案。</w:t>
      </w:r>
    </w:p>
    <w:p>
      <w:pPr>
        <w:pStyle w:val="BodyText"/>
        <w:spacing w:line="316" w:lineRule="auto" w:before="63"/>
        <w:ind w:left="513" w:right="1033"/>
        <w:jc w:val="left"/>
      </w:pPr>
      <w:r>
        <w:rPr/>
        <w:t>（二）提名委员会 报告期内，提名委员会根据《董事会提名委员会工作条例》及其他有关规定积极开展工作，认真履行职责。报告期内，</w:t>
      </w:r>
    </w:p>
    <w:p>
      <w:pPr>
        <w:pStyle w:val="BodyText"/>
        <w:spacing w:line="302" w:lineRule="auto" w:before="19"/>
        <w:ind w:right="1132"/>
        <w:jc w:val="both"/>
      </w:pPr>
      <w:r>
        <w:rPr/>
        <w:t>提名委员会召开了</w:t>
      </w:r>
      <w:r>
        <w:rPr>
          <w:rFonts w:ascii="Arial" w:hAnsi="Arial" w:cs="Arial" w:eastAsia="Arial" w:hint="default"/>
        </w:rPr>
        <w:t>2</w:t>
      </w:r>
      <w:r>
        <w:rPr/>
        <w:t>次会议，提名委员会对公司董事会规模和人员结构的情况、董事和高级管理人员的任职资格等相关事宜 进行了认真的评审，认为公司董事、高级管理人员具有丰富的行业经验和管理经验，完全胜任各自的工作。</w:t>
      </w:r>
    </w:p>
    <w:p>
      <w:pPr>
        <w:pStyle w:val="BodyText"/>
        <w:spacing w:line="316" w:lineRule="auto" w:before="29"/>
        <w:ind w:left="513" w:right="0"/>
        <w:jc w:val="left"/>
      </w:pPr>
      <w:r>
        <w:rPr/>
        <w:t>（三）薪酬与考核委员会 </w:t>
      </w:r>
      <w:r>
        <w:rPr>
          <w:spacing w:val="-4"/>
        </w:rPr>
        <w:t>报告期内，薪酬与考核委员会根据《董事会薪酬与考核委员会工作条例》及其他有关规定积极开展工作，认真履行职责。</w:t>
      </w:r>
    </w:p>
    <w:p>
      <w:pPr>
        <w:pStyle w:val="BodyText"/>
        <w:spacing w:line="309" w:lineRule="auto" w:before="19"/>
        <w:ind w:right="1131"/>
        <w:jc w:val="both"/>
      </w:pPr>
      <w:r>
        <w:rPr/>
        <w:t>报告期内，薪酬与考核委员会召开了</w:t>
      </w:r>
      <w:r>
        <w:rPr>
          <w:rFonts w:ascii="Arial" w:hAnsi="Arial" w:cs="Arial" w:eastAsia="Arial" w:hint="default"/>
        </w:rPr>
        <w:t>2</w:t>
      </w:r>
      <w:r>
        <w:rPr/>
        <w:t>次会议，薪酬与考核委员会对公司董事和高级管理人员的薪酬情况进行了审核，认为 </w:t>
      </w:r>
      <w:r>
        <w:rPr>
          <w:spacing w:val="-2"/>
        </w:rPr>
        <w:t>其薪酬标准和年度薪酬总额的确定符合公司相关薪酬管理制度的规定。同时，对公司实施限制性股票激励计划提出了意见并</w:t>
      </w:r>
      <w:r>
        <w:rPr>
          <w:spacing w:val="-62"/>
        </w:rPr>
        <w:t> </w:t>
      </w:r>
      <w:r>
        <w:rPr>
          <w:spacing w:val="-62"/>
        </w:rPr>
      </w:r>
      <w:r>
        <w:rPr/>
        <w:t>积极推动计划的实施。</w:t>
      </w:r>
    </w:p>
    <w:p>
      <w:pPr>
        <w:pStyle w:val="BodyText"/>
        <w:spacing w:line="316" w:lineRule="auto" w:before="24"/>
        <w:ind w:left="513" w:right="1113"/>
        <w:jc w:val="left"/>
      </w:pPr>
      <w:r>
        <w:rPr/>
        <w:t>（四）战略委员会 报告期内，战略与投资委员会召开了</w:t>
      </w:r>
      <w:r>
        <w:rPr>
          <w:rFonts w:ascii="Arial" w:hAnsi="Arial" w:cs="Arial" w:eastAsia="Arial" w:hint="default"/>
        </w:rPr>
        <w:t>1</w:t>
      </w:r>
      <w:r>
        <w:rPr/>
        <w:t>次会议，战略委员会根据《董事会战略委员会工作条例》及其他有关规定积极开</w:t>
      </w:r>
    </w:p>
    <w:p>
      <w:pPr>
        <w:pStyle w:val="BodyText"/>
        <w:spacing w:line="316" w:lineRule="auto"/>
        <w:ind w:right="1133"/>
        <w:jc w:val="both"/>
      </w:pPr>
      <w:r>
        <w:rPr>
          <w:spacing w:val="-2"/>
        </w:rPr>
        <w:t>展工作，认真履行职责。围绕着募集资金的有效使用进行了大量的调研工作，并积极推动公司针对外部环境的变化有效梳理</w:t>
      </w:r>
      <w:r>
        <w:rPr>
          <w:spacing w:val="-66"/>
        </w:rPr>
        <w:t> </w:t>
      </w:r>
      <w:r>
        <w:rPr>
          <w:spacing w:val="-66"/>
        </w:rPr>
      </w:r>
      <w:r>
        <w:rPr/>
        <w:t>思路以重新明确在新的外部环境下公司的定位和核心竞争力，为公司有效使用募集资金奠定基础。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769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1"/>
        </w:rPr>
        <w:t> </w:t>
      </w:r>
      <w:r>
        <w:rPr/>
        <w:t>否 监事会对报告期内的监督事项无异议。</w:t>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r>
        <w:rPr/>
        <w:t>六、公司相对于控股股东在业务、人员、资产、机构、财务等方面的独立完整情况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121"/>
        <w:jc w:val="left"/>
      </w:pPr>
      <w:r>
        <w:rPr>
          <w:rFonts w:ascii="Arial" w:hAnsi="Arial" w:cs="Arial" w:eastAsia="Arial" w:hint="default"/>
        </w:rPr>
        <w:t>(</w:t>
      </w:r>
      <w:r>
        <w:rPr/>
        <w:t>一</w:t>
      </w:r>
      <w:r>
        <w:rPr>
          <w:rFonts w:ascii="Arial" w:hAnsi="Arial" w:cs="Arial" w:eastAsia="Arial" w:hint="default"/>
        </w:rPr>
        <w:t>)</w:t>
      </w:r>
      <w:r>
        <w:rPr>
          <w:rFonts w:ascii="Arial" w:hAnsi="Arial" w:cs="Arial" w:eastAsia="Arial" w:hint="default"/>
          <w:spacing w:val="30"/>
        </w:rPr>
        <w:t> </w:t>
      </w:r>
      <w:r>
        <w:rPr/>
        <w:t>业务独立</w:t>
      </w:r>
      <w:r>
        <w:rPr>
          <w:w w:val="99"/>
        </w:rPr>
        <w:t> </w:t>
      </w:r>
      <w:r>
        <w:rPr>
          <w:spacing w:val="-2"/>
        </w:rPr>
        <w:t>公司具有独立的研发、生产、销售业务体系，拥有完整的法人财产权，能够独立支配和使用人、财、物等生产要素，顺</w:t>
      </w:r>
    </w:p>
    <w:p>
      <w:pPr>
        <w:pStyle w:val="BodyText"/>
        <w:spacing w:line="316" w:lineRule="auto" w:before="1"/>
        <w:ind w:right="1130"/>
        <w:jc w:val="both"/>
      </w:pPr>
      <w:r>
        <w:rPr>
          <w:spacing w:val="-2"/>
        </w:rPr>
        <w:t>利组织和实施生产经营活动。在业务上与控股股东、实际控制人及其控制的关联企业不存在同业竞争关系和关联交易，本公</w:t>
      </w:r>
      <w:r>
        <w:rPr>
          <w:spacing w:val="-63"/>
        </w:rPr>
        <w:t> </w:t>
      </w:r>
      <w:r>
        <w:rPr>
          <w:spacing w:val="-63"/>
        </w:rPr>
      </w:r>
      <w:r>
        <w:rPr>
          <w:spacing w:val="-2"/>
        </w:rPr>
        <w:t>司控股股东德旺投资和实际控制人顾永德做出了避免同业竞争的承诺；在采购、生产和销售上不依赖于任何企业或个人，公</w:t>
      </w:r>
      <w:r>
        <w:rPr>
          <w:spacing w:val="-66"/>
        </w:rPr>
        <w:t> </w:t>
      </w:r>
      <w:r>
        <w:rPr>
          <w:spacing w:val="-66"/>
        </w:rPr>
      </w:r>
      <w:r>
        <w:rPr/>
        <w:t>司完全独立有序地开展所有业务。</w:t>
      </w:r>
    </w:p>
    <w:p>
      <w:pPr>
        <w:pStyle w:val="BodyText"/>
        <w:spacing w:line="240" w:lineRule="auto" w:before="59"/>
        <w:ind w:left="513" w:right="1121"/>
        <w:jc w:val="left"/>
      </w:pPr>
      <w:r>
        <w:rPr>
          <w:rFonts w:ascii="Arial" w:hAnsi="Arial" w:cs="Arial" w:eastAsia="Arial" w:hint="default"/>
        </w:rPr>
        <w:t>(</w:t>
      </w:r>
      <w:r>
        <w:rPr/>
        <w:t>二</w:t>
      </w:r>
      <w:r>
        <w:rPr>
          <w:rFonts w:ascii="Arial" w:hAnsi="Arial" w:cs="Arial" w:eastAsia="Arial" w:hint="default"/>
        </w:rPr>
        <w:t>)  </w:t>
      </w:r>
      <w:r>
        <w:rPr>
          <w:rFonts w:ascii="Arial" w:hAnsi="Arial" w:cs="Arial" w:eastAsia="Arial" w:hint="default"/>
          <w:spacing w:val="29"/>
        </w:rPr>
        <w:t> </w:t>
      </w:r>
      <w:r>
        <w:rPr/>
        <w:t>资产完整</w:t>
      </w:r>
    </w:p>
    <w:p>
      <w:pPr>
        <w:spacing w:after="0" w:line="240" w:lineRule="auto"/>
        <w:jc w:val="left"/>
        <w:sectPr>
          <w:footerReference w:type="default" r:id="rId42"/>
          <w:pgSz w:w="11910" w:h="16840"/>
          <w:pgMar w:footer="1340" w:header="877" w:top="1060" w:bottom="1540" w:left="980" w:right="0"/>
          <w:pgNumType w:start="68"/>
        </w:sectPr>
      </w:pPr>
    </w:p>
    <w:p>
      <w:pPr>
        <w:spacing w:line="240" w:lineRule="auto" w:before="9"/>
        <w:rPr>
          <w:rFonts w:ascii="宋体" w:hAnsi="宋体" w:cs="宋体" w:eastAsia="宋体" w:hint="default"/>
          <w:sz w:val="25"/>
          <w:szCs w:val="25"/>
        </w:rPr>
      </w:pPr>
    </w:p>
    <w:p>
      <w:pPr>
        <w:pStyle w:val="BodyText"/>
        <w:spacing w:line="316" w:lineRule="auto" w:before="44"/>
        <w:ind w:right="1034" w:firstLine="360"/>
        <w:jc w:val="left"/>
      </w:pPr>
      <w:r>
        <w:rPr>
          <w:spacing w:val="-2"/>
        </w:rPr>
        <w:t>公司由有限责任公司整体变更为股份有限公司，承继了原有限责任公司所有的资产、负债及权益，具备与生产经营有关</w:t>
      </w:r>
      <w:r>
        <w:rPr/>
        <w:t> </w:t>
      </w:r>
      <w:r>
        <w:rPr>
          <w:spacing w:val="-2"/>
        </w:rPr>
        <w:t>的生产系统、辅助生产系统和配套设施，合法使用与生产经营有关的资产，具有独立的原料采购和产品销售系统。公司资产</w:t>
      </w:r>
      <w:r>
        <w:rPr>
          <w:spacing w:val="-65"/>
        </w:rPr>
        <w:t> </w:t>
      </w:r>
      <w:r>
        <w:rPr>
          <w:spacing w:val="-65"/>
        </w:rPr>
      </w:r>
      <w:r>
        <w:rPr>
          <w:spacing w:val="-2"/>
        </w:rPr>
        <w:t>与发起人资产产权界定清晰。公司拥有独立、完整的资产，所有与经营性业务相关的主要资产均进入本公司。本公司具有与</w:t>
      </w:r>
      <w:r>
        <w:rPr>
          <w:spacing w:val="-64"/>
        </w:rPr>
        <w:t> </w:t>
      </w:r>
      <w:r>
        <w:rPr>
          <w:spacing w:val="-64"/>
        </w:rPr>
      </w:r>
      <w:r>
        <w:rPr/>
        <w:t>生产经营有关的生产系统、辅助生产系统和配套设施，合法拥有与生产经营有关的土地、厂房、机器设备以及商标、专利、 </w:t>
      </w:r>
      <w:r>
        <w:rPr>
          <w:spacing w:val="-2"/>
        </w:rPr>
        <w:t>非专利技术的所有权和使用权，且产权清晰，不存在与股东共同使用财产或相互提供服务等情形，因此也不存在导致公司资</w:t>
      </w:r>
      <w:r>
        <w:rPr>
          <w:spacing w:val="-66"/>
        </w:rPr>
        <w:t> </w:t>
      </w:r>
      <w:r>
        <w:rPr>
          <w:spacing w:val="-66"/>
        </w:rPr>
      </w:r>
      <w:r>
        <w:rPr>
          <w:spacing w:val="-2"/>
        </w:rPr>
        <w:t>产、收益转移的可能。公司拥有完全独立的生产系统、辅助生产系统与配套措施，公司资产独立完整，独立于本公司股东及</w:t>
      </w:r>
      <w:r>
        <w:rPr>
          <w:spacing w:val="-66"/>
        </w:rPr>
        <w:t> </w:t>
      </w:r>
      <w:r>
        <w:rPr>
          <w:spacing w:val="-66"/>
        </w:rPr>
      </w:r>
      <w:r>
        <w:rPr/>
        <w:t>其他关联方。</w:t>
      </w:r>
    </w:p>
    <w:p>
      <w:pPr>
        <w:pStyle w:val="BodyText"/>
        <w:spacing w:line="338" w:lineRule="auto" w:before="59"/>
        <w:ind w:left="513" w:right="1121"/>
        <w:jc w:val="left"/>
      </w:pPr>
      <w:r>
        <w:rPr>
          <w:rFonts w:ascii="Arial" w:hAnsi="Arial" w:cs="Arial" w:eastAsia="Arial" w:hint="default"/>
        </w:rPr>
        <w:t>(</w:t>
      </w:r>
      <w:r>
        <w:rPr/>
        <w:t>三</w:t>
      </w:r>
      <w:r>
        <w:rPr>
          <w:rFonts w:ascii="Arial" w:hAnsi="Arial" w:cs="Arial" w:eastAsia="Arial" w:hint="default"/>
        </w:rPr>
        <w:t>)</w:t>
      </w:r>
      <w:r>
        <w:rPr>
          <w:rFonts w:ascii="Arial" w:hAnsi="Arial" w:cs="Arial" w:eastAsia="Arial" w:hint="default"/>
          <w:spacing w:val="30"/>
        </w:rPr>
        <w:t> </w:t>
      </w:r>
      <w:r>
        <w:rPr/>
        <w:t>人员独立</w:t>
      </w:r>
      <w:r>
        <w:rPr>
          <w:w w:val="99"/>
        </w:rPr>
        <w:t> </w:t>
      </w:r>
      <w:r>
        <w:rPr>
          <w:spacing w:val="-2"/>
        </w:rPr>
        <w:t>公司独立招聘员工，设有独立的劳动、人事、工资管理体系。本公司总经理、副总经理、财务总监和董事会秘书等高级</w:t>
      </w:r>
    </w:p>
    <w:p>
      <w:pPr>
        <w:pStyle w:val="BodyText"/>
        <w:spacing w:line="316" w:lineRule="auto" w:before="2"/>
        <w:ind w:right="1034"/>
        <w:jc w:val="left"/>
      </w:pPr>
      <w:r>
        <w:rPr>
          <w:spacing w:val="-2"/>
        </w:rPr>
        <w:t>管理人员没有在控股股东、实际控制人及其控制的其他企业中担任除董事、监事以外的其他职务，没有在控股股东、实际控</w:t>
      </w:r>
      <w:r>
        <w:rPr>
          <w:spacing w:val="-64"/>
        </w:rPr>
        <w:t> </w:t>
      </w:r>
      <w:r>
        <w:rPr>
          <w:spacing w:val="-64"/>
        </w:rPr>
      </w:r>
      <w:r>
        <w:rPr/>
        <w:t>制人及其控制的其他企业领薪；本公司的财务人员没有在控股股东、实际控制人及其控制的其他企业中兼职。公司的董事、 </w:t>
      </w:r>
      <w:r>
        <w:rPr>
          <w:spacing w:val="-4"/>
        </w:rPr>
        <w:t>监事、高级管理人员及其近亲属所从事的工作均不存在与公司利益相冲突的情形，也未在与公司业务相同或相似的企业任职。</w:t>
      </w:r>
    </w:p>
    <w:p>
      <w:pPr>
        <w:pStyle w:val="BodyText"/>
        <w:spacing w:line="340" w:lineRule="auto" w:before="60"/>
        <w:ind w:left="513" w:right="1121" w:firstLine="2"/>
        <w:jc w:val="left"/>
      </w:pPr>
      <w:r>
        <w:rPr>
          <w:rFonts w:ascii="Arial" w:hAnsi="Arial" w:cs="Arial" w:eastAsia="Arial" w:hint="default"/>
        </w:rPr>
        <w:t>(</w:t>
      </w:r>
      <w:r>
        <w:rPr/>
        <w:t>四</w:t>
      </w:r>
      <w:r>
        <w:rPr>
          <w:rFonts w:ascii="Arial" w:hAnsi="Arial" w:cs="Arial" w:eastAsia="Arial" w:hint="default"/>
        </w:rPr>
        <w:t>)</w:t>
      </w:r>
      <w:r>
        <w:rPr>
          <w:rFonts w:ascii="Arial" w:hAnsi="Arial" w:cs="Arial" w:eastAsia="Arial" w:hint="default"/>
          <w:spacing w:val="27"/>
        </w:rPr>
        <w:t> </w:t>
      </w:r>
      <w:r>
        <w:rPr/>
        <w:t>机构独立</w:t>
      </w:r>
      <w:r>
        <w:rPr>
          <w:w w:val="99"/>
        </w:rPr>
        <w:t> </w:t>
      </w:r>
      <w:r>
        <w:rPr>
          <w:spacing w:val="-2"/>
        </w:rPr>
        <w:t>公司建立了适应自身经营发展需要的组织结构，按照《公司法》的要求，建立健全了股东大会、董事会、监事会和经营</w:t>
      </w:r>
    </w:p>
    <w:p>
      <w:pPr>
        <w:pStyle w:val="BodyText"/>
        <w:spacing w:line="316" w:lineRule="auto" w:before="1"/>
        <w:ind w:right="1121"/>
        <w:jc w:val="left"/>
      </w:pPr>
      <w:r>
        <w:rPr>
          <w:spacing w:val="-2"/>
        </w:rPr>
        <w:t>管理层的组织结构体系，各机构均独立运作，不存在股东及其他单位、个人直接或间接干预公司的机构设置和生产经营活动</w:t>
      </w:r>
      <w:r>
        <w:rPr>
          <w:spacing w:val="-63"/>
        </w:rPr>
        <w:t> </w:t>
      </w:r>
      <w:r>
        <w:rPr>
          <w:spacing w:val="-63"/>
        </w:rPr>
      </w:r>
      <w:r>
        <w:rPr/>
        <w:t>的情形。公司的生产经营和办公机构与控股股东完全独立，不存在混合经营、合署办公的情形。</w:t>
      </w:r>
    </w:p>
    <w:p>
      <w:pPr>
        <w:pStyle w:val="BodyText"/>
        <w:spacing w:line="340" w:lineRule="auto" w:before="57"/>
        <w:ind w:left="513" w:right="1028"/>
        <w:jc w:val="left"/>
      </w:pPr>
      <w:r>
        <w:rPr>
          <w:rFonts w:ascii="Arial" w:hAnsi="Arial" w:cs="Arial" w:eastAsia="Arial" w:hint="default"/>
        </w:rPr>
        <w:t>(</w:t>
      </w:r>
      <w:r>
        <w:rPr/>
        <w:t>五</w:t>
      </w:r>
      <w:r>
        <w:rPr>
          <w:rFonts w:ascii="Arial" w:hAnsi="Arial" w:cs="Arial" w:eastAsia="Arial" w:hint="default"/>
        </w:rPr>
        <w:t>)</w:t>
      </w:r>
      <w:r>
        <w:rPr>
          <w:rFonts w:ascii="Arial" w:hAnsi="Arial" w:cs="Arial" w:eastAsia="Arial" w:hint="default"/>
          <w:spacing w:val="30"/>
        </w:rPr>
        <w:t> </w:t>
      </w:r>
      <w:r>
        <w:rPr/>
        <w:t>财务独立</w:t>
      </w:r>
      <w:r>
        <w:rPr>
          <w:w w:val="99"/>
        </w:rPr>
        <w:t> </w:t>
      </w:r>
      <w:r>
        <w:rPr>
          <w:spacing w:val="-4"/>
        </w:rPr>
        <w:t>公司建立了独立的财务核算体系，具有规范的、符合上市公司要求的财务会计制度和对分公司、子公司的财务管理制度；</w:t>
      </w:r>
    </w:p>
    <w:p>
      <w:pPr>
        <w:pStyle w:val="BodyText"/>
        <w:spacing w:line="316" w:lineRule="auto" w:before="1"/>
        <w:ind w:right="0"/>
        <w:jc w:val="left"/>
      </w:pPr>
      <w:r>
        <w:rPr>
          <w:spacing w:val="-4"/>
        </w:rPr>
        <w:t>公司能独立作出财务决策，不存在控制人干预公司资金使用的情况，不存在以资产、权益或信誉为股东提供债务担保的情况，</w:t>
      </w:r>
      <w:r>
        <w:rPr>
          <w:spacing w:val="-43"/>
        </w:rPr>
        <w:t> </w:t>
      </w:r>
      <w:r>
        <w:rPr>
          <w:spacing w:val="-43"/>
        </w:rPr>
      </w:r>
      <w:r>
        <w:rPr>
          <w:spacing w:val="-2"/>
        </w:rPr>
        <w:t>也不存在资产被股东占用而损害公司利益的情况。本公司独立在银行开户，独立纳税，不存在与控股股东、实际控制人及其</w:t>
      </w:r>
      <w:r>
        <w:rPr>
          <w:spacing w:val="-64"/>
        </w:rPr>
        <w:t> </w:t>
      </w:r>
      <w:r>
        <w:rPr>
          <w:spacing w:val="-64"/>
        </w:rPr>
      </w:r>
      <w:r>
        <w:rPr/>
        <w:t>控制的其他企业共用银行账户的情形。本公司作为独立纳税人，依法独立纳税。</w:t>
      </w:r>
    </w:p>
    <w:p>
      <w:pPr>
        <w:spacing w:line="240" w:lineRule="auto" w:before="11"/>
        <w:rPr>
          <w:rFonts w:ascii="宋体" w:hAnsi="宋体" w:cs="宋体" w:eastAsia="宋体" w:hint="default"/>
          <w:sz w:val="20"/>
          <w:szCs w:val="20"/>
        </w:rPr>
      </w:pPr>
    </w:p>
    <w:p>
      <w:pPr>
        <w:pStyle w:val="Heading2"/>
        <w:spacing w:line="240" w:lineRule="auto"/>
        <w:ind w:right="1121"/>
        <w:jc w:val="left"/>
        <w:rPr>
          <w:b w:val="0"/>
          <w:bCs w:val="0"/>
        </w:rPr>
      </w:pP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21"/>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1121"/>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公司董事会设立了薪酬与考核委员会，公司高级管理人员直接对董事会负责，接受董事会的考核。公司的激励机制符合</w:t>
      </w:r>
      <w:r>
        <w:rPr/>
        <w:t> </w:t>
      </w:r>
      <w:r>
        <w:rPr>
          <w:spacing w:val="-2"/>
        </w:rPr>
        <w:t>公司现状及相关法律、法规及《公司章程》等规定。公司年初根据公司年度财务预算、年度经营管理目标和生产经营指标制</w:t>
      </w:r>
      <w:r>
        <w:rPr>
          <w:spacing w:val="-65"/>
        </w:rPr>
        <w:t> </w:t>
      </w:r>
      <w:r>
        <w:rPr>
          <w:spacing w:val="-65"/>
        </w:rPr>
      </w:r>
      <w:r>
        <w:rPr>
          <w:spacing w:val="-2"/>
        </w:rPr>
        <w:t>定《董事、监事、高级管理人员薪酬制度》，并将其薪酬回报与绩效目标的完成情况挂钩，做到职责明确、目标明确。为进</w:t>
      </w:r>
      <w:r>
        <w:rPr>
          <w:spacing w:val="-72"/>
        </w:rPr>
        <w:t> </w:t>
      </w:r>
      <w:r>
        <w:rPr>
          <w:spacing w:val="-72"/>
        </w:rPr>
      </w:r>
      <w:r>
        <w:rPr>
          <w:spacing w:val="-2"/>
        </w:rPr>
        <w:t>一步提高公司经营管理者的积极性、创造性，促进公司业绩持续增长，在提升公司价值的同时实现员工与公司共同发展，公</w:t>
      </w:r>
      <w:r>
        <w:rPr>
          <w:spacing w:val="-66"/>
        </w:rPr>
        <w:t> </w:t>
      </w:r>
      <w:r>
        <w:rPr>
          <w:spacing w:val="-66"/>
        </w:rPr>
      </w:r>
      <w:r>
        <w:rPr/>
        <w:t>司制定并实施了限制性股票激励计划。激励机制的不断完善，有效促进了公司持续健康发展。</w:t>
      </w:r>
    </w:p>
    <w:p>
      <w:pPr>
        <w:spacing w:after="0" w:line="316" w:lineRule="auto"/>
        <w:jc w:val="both"/>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30"/>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1"/>
        <w:jc w:val="left"/>
        <w:rPr>
          <w:b w:val="0"/>
          <w:bCs w:val="0"/>
        </w:rPr>
      </w:pPr>
      <w:r>
        <w:rPr/>
        <w:t>一、内部控制建设情况</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034" w:firstLine="360"/>
        <w:jc w:val="left"/>
      </w:pPr>
      <w:r>
        <w:rPr>
          <w:spacing w:val="-10"/>
        </w:rPr>
        <w:t>为规范经营管理，控制风险，保证经营业务活动的正常开展，公司根据《公司法》、《证券法》、《企业内部控制基本规范》</w:t>
      </w:r>
      <w:r>
        <w:rPr/>
        <w:t> </w:t>
      </w:r>
      <w:r>
        <w:rPr>
          <w:spacing w:val="-2"/>
        </w:rPr>
        <w:t>等有关法律、法规和规章制度，结合公司的实际情况、自身特点和管理需要，建立了股东大会、董事会、监事会及经理层的</w:t>
      </w:r>
      <w:r>
        <w:rPr>
          <w:spacing w:val="-68"/>
        </w:rPr>
        <w:t> </w:t>
      </w:r>
      <w:r>
        <w:rPr>
          <w:spacing w:val="-68"/>
        </w:rPr>
      </w:r>
      <w:r>
        <w:rPr/>
        <w:t>治理结构，制定了贯穿于公司经营管理各层面、各环节的内部控制管理制度并不断完善，特别加强对财务报告、关联交易、 </w:t>
      </w:r>
      <w:r>
        <w:rPr>
          <w:spacing w:val="-2"/>
        </w:rPr>
        <w:t>对外担保、重大决策、控股子公司等重大方面防范控制。公司内部控制建设基本符合《企业内部控制基本规范》等有关法律</w:t>
      </w:r>
      <w:r>
        <w:rPr>
          <w:spacing w:val="-67"/>
        </w:rPr>
        <w:t> </w:t>
      </w:r>
      <w:r>
        <w:rPr>
          <w:spacing w:val="-67"/>
        </w:rPr>
      </w:r>
      <w:r>
        <w:rPr/>
        <w:t>法规的要求，内部控制体系具备了较好的完整性、合理性和有效性。内容详见公司</w:t>
      </w:r>
      <w:r>
        <w:rPr>
          <w:spacing w:val="-44"/>
        </w:rPr>
        <w:t> </w:t>
      </w:r>
      <w:r>
        <w:rPr>
          <w:rFonts w:ascii="Arial" w:hAnsi="Arial" w:cs="Arial" w:eastAsia="Arial" w:hint="default"/>
        </w:rPr>
        <w:t>2013</w:t>
      </w:r>
      <w:r>
        <w:rPr>
          <w:rFonts w:ascii="Arial" w:hAnsi="Arial" w:cs="Arial" w:eastAsia="Arial" w:hint="default"/>
          <w:spacing w:val="-7"/>
        </w:rPr>
        <w:t> </w:t>
      </w:r>
      <w:r>
        <w:rPr/>
        <w:t>年</w:t>
      </w:r>
      <w:r>
        <w:rPr>
          <w:spacing w:val="-46"/>
        </w:rPr>
        <w:t> </w:t>
      </w:r>
      <w:r>
        <w:rPr>
          <w:rFonts w:ascii="Arial" w:hAnsi="Arial" w:cs="Arial" w:eastAsia="Arial" w:hint="default"/>
        </w:rPr>
        <w:t>4</w:t>
      </w:r>
      <w:r>
        <w:rPr>
          <w:rFonts w:ascii="Arial" w:hAnsi="Arial" w:cs="Arial" w:eastAsia="Arial" w:hint="default"/>
          <w:spacing w:val="-5"/>
        </w:rPr>
        <w:t> </w:t>
      </w:r>
      <w:r>
        <w:rPr/>
        <w:t>月</w:t>
      </w:r>
      <w:r>
        <w:rPr>
          <w:spacing w:val="-46"/>
        </w:rPr>
        <w:t> </w:t>
      </w:r>
      <w:r>
        <w:rPr>
          <w:rFonts w:ascii="Arial" w:hAnsi="Arial" w:cs="Arial" w:eastAsia="Arial" w:hint="default"/>
        </w:rPr>
        <w:t>23</w:t>
      </w:r>
      <w:r>
        <w:rPr>
          <w:rFonts w:ascii="Arial" w:hAnsi="Arial" w:cs="Arial" w:eastAsia="Arial" w:hint="default"/>
          <w:spacing w:val="-5"/>
        </w:rPr>
        <w:t> </w:t>
      </w:r>
      <w:r>
        <w:rPr/>
        <w:t>日刊登于巨潮资讯网 </w:t>
      </w:r>
      <w:hyperlink r:id="rId12">
        <w:r>
          <w:rPr>
            <w:rFonts w:ascii="Arial" w:hAnsi="Arial" w:cs="Arial" w:eastAsia="Arial" w:hint="default"/>
            <w:spacing w:val="-1"/>
            <w:w w:val="99"/>
          </w:rPr>
          <w:t>www.cninfo.com.cn</w:t>
        </w:r>
      </w:hyperlink>
      <w:r>
        <w:rPr>
          <w:rFonts w:ascii="Arial" w:hAnsi="Arial" w:cs="Arial" w:eastAsia="Arial" w:hint="default"/>
          <w:spacing w:val="4"/>
          <w:w w:val="99"/>
        </w:rPr>
        <w:t> </w:t>
      </w:r>
      <w:r>
        <w:rPr>
          <w:spacing w:val="-7"/>
        </w:rPr>
        <w:t>的《内部控制自我评价报告》。</w:t>
      </w:r>
    </w:p>
    <w:p>
      <w:pPr>
        <w:spacing w:line="240" w:lineRule="auto" w:before="7"/>
        <w:rPr>
          <w:rFonts w:ascii="宋体" w:hAnsi="宋体" w:cs="宋体" w:eastAsia="宋体" w:hint="default"/>
          <w:sz w:val="19"/>
          <w:szCs w:val="19"/>
        </w:rPr>
      </w:pPr>
    </w:p>
    <w:p>
      <w:pPr>
        <w:pStyle w:val="Heading2"/>
        <w:spacing w:line="240" w:lineRule="auto"/>
        <w:ind w:right="1121"/>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034" w:firstLine="360"/>
        <w:jc w:val="left"/>
      </w:pPr>
      <w:r>
        <w:rPr>
          <w:spacing w:val="-9"/>
        </w:rPr>
        <w:t>公司董事会认为：公司已依据《公司法》、《证券法》、《内部会计控制规范</w:t>
      </w:r>
      <w:r>
        <w:rPr>
          <w:rFonts w:ascii="Arial" w:hAnsi="Arial" w:cs="Arial" w:eastAsia="Arial" w:hint="default"/>
          <w:spacing w:val="-9"/>
        </w:rPr>
        <w:t>—</w:t>
      </w:r>
      <w:r>
        <w:rPr>
          <w:spacing w:val="-9"/>
        </w:rPr>
        <w:t>基本规范（试行）》等法律、法规，建立了</w:t>
      </w:r>
      <w:r>
        <w:rPr/>
        <w:t> 较为合理和完善的内部控制制度，内部控制制度在完整性、合理性方面不存在重大缺陷。公司内部控制制度的制定和运行， </w:t>
      </w:r>
      <w:r>
        <w:rPr>
          <w:spacing w:val="-2"/>
        </w:rPr>
        <w:t>保证了公司经营的正常、有效进行，促进了公司的内部管理。随着公司的不断发展壮大，公司将根据业务发展和内部机构调</w:t>
      </w:r>
      <w:r>
        <w:rPr>
          <w:spacing w:val="-64"/>
        </w:rPr>
        <w:t> </w:t>
      </w:r>
      <w:r>
        <w:rPr>
          <w:spacing w:val="-64"/>
        </w:rPr>
      </w:r>
      <w:r>
        <w:rPr>
          <w:spacing w:val="-4"/>
        </w:rPr>
        <w:t>整的需要，及时完善和补充内部控制制度，提高内部控制制度的可操作性，使其更好的发挥在公司生产经营中的促进、监督、</w:t>
      </w:r>
      <w:r>
        <w:rPr>
          <w:spacing w:val="-46"/>
        </w:rPr>
        <w:t> </w:t>
      </w:r>
      <w:r>
        <w:rPr>
          <w:spacing w:val="-46"/>
        </w:rPr>
      </w:r>
      <w:r>
        <w:rPr/>
        <w:t>制约作用。</w:t>
      </w:r>
    </w:p>
    <w:p>
      <w:pPr>
        <w:spacing w:line="240" w:lineRule="auto" w:before="10"/>
        <w:rPr>
          <w:rFonts w:ascii="宋体" w:hAnsi="宋体" w:cs="宋体" w:eastAsia="宋体" w:hint="default"/>
          <w:sz w:val="20"/>
          <w:szCs w:val="20"/>
        </w:rPr>
      </w:pPr>
    </w:p>
    <w:p>
      <w:pPr>
        <w:pStyle w:val="Heading2"/>
        <w:spacing w:line="240" w:lineRule="auto"/>
        <w:ind w:right="1121"/>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firstLine="360"/>
        <w:jc w:val="left"/>
      </w:pPr>
      <w:r>
        <w:rPr>
          <w:spacing w:val="-10"/>
        </w:rPr>
        <w:t>公司依据《公司法》、《会计法》、《企业会计准则》和《企业内部控制基本规范》以及监管部门的相关规范性文件为依据，</w:t>
      </w:r>
      <w:r>
        <w:rPr/>
        <w:t> 建立了财务报告内部控制。报告期内，公司财务报告内部控制不存在重大缺陷。</w:t>
      </w:r>
    </w:p>
    <w:p>
      <w:pPr>
        <w:spacing w:line="240" w:lineRule="auto" w:before="9"/>
        <w:rPr>
          <w:rFonts w:ascii="宋体" w:hAnsi="宋体" w:cs="宋体" w:eastAsia="宋体" w:hint="default"/>
          <w:sz w:val="20"/>
          <w:szCs w:val="20"/>
        </w:rPr>
      </w:pPr>
    </w:p>
    <w:p>
      <w:pPr>
        <w:pStyle w:val="Heading2"/>
        <w:spacing w:line="240" w:lineRule="auto"/>
        <w:ind w:right="1121"/>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Arial" w:hAnsi="Arial" w:cs="Arial" w:eastAsia="Arial" w:hint="default"/>
                <w:sz w:val="18"/>
                <w:szCs w:val="18"/>
              </w:rPr>
            </w:pPr>
            <w:r>
              <w:rPr>
                <w:rFonts w:ascii="宋体" w:hAnsi="宋体" w:cs="宋体" w:eastAsia="宋体" w:hint="default"/>
                <w:sz w:val="18"/>
                <w:szCs w:val="18"/>
              </w:rPr>
              <w:t>《</w:t>
            </w:r>
            <w:r>
              <w:rPr>
                <w:rFonts w:ascii="Arial" w:hAnsi="Arial" w:cs="Arial" w:eastAsia="Arial" w:hint="default"/>
                <w:sz w:val="18"/>
                <w:szCs w:val="18"/>
              </w:rPr>
              <w:t>2012 </w:t>
            </w:r>
            <w:r>
              <w:rPr>
                <w:rFonts w:ascii="宋体" w:hAnsi="宋体" w:cs="宋体" w:eastAsia="宋体" w:hint="default"/>
                <w:sz w:val="18"/>
                <w:szCs w:val="18"/>
              </w:rPr>
              <w:t>年度内部控制自我评价报告》刊登在巨潮资讯网</w:t>
            </w:r>
            <w:r>
              <w:rPr>
                <w:rFonts w:ascii="宋体" w:hAnsi="宋体" w:cs="宋体" w:eastAsia="宋体" w:hint="default"/>
                <w:spacing w:val="-67"/>
                <w:sz w:val="18"/>
                <w:szCs w:val="18"/>
              </w:rPr>
              <w:t> </w:t>
            </w:r>
            <w:hyperlink r:id="rId12">
              <w:r>
                <w:rPr>
                  <w:rFonts w:ascii="Arial" w:hAnsi="Arial" w:cs="Arial" w:eastAsia="Arial" w:hint="default"/>
                  <w:sz w:val="18"/>
                  <w:szCs w:val="18"/>
                </w:rPr>
                <w:t>www.cninfo.com.cn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1"/>
        <w:jc w:val="left"/>
        <w:rPr>
          <w:b w:val="0"/>
          <w:bCs w:val="0"/>
        </w:rPr>
      </w:pPr>
      <w:r>
        <w:rPr/>
        <w:t>五、内部控制审计报告</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3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会计师事务所是否出具非标准意见的内部控制审计报告</w:t>
      </w:r>
    </w:p>
    <w:p>
      <w:pPr>
        <w:pStyle w:val="BodyText"/>
        <w:spacing w:line="338" w:lineRule="auto" w:before="41"/>
        <w:ind w:right="463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1"/>
        </w:rPr>
        <w:t> </w:t>
      </w:r>
      <w:r>
        <w:rPr/>
        <w:t>否 会计师事务所出具的内部控制审计报告与董事会的自我评价报告意见是否一致</w:t>
      </w:r>
    </w:p>
    <w:p>
      <w:pPr>
        <w:pStyle w:val="BodyText"/>
        <w:spacing w:line="240" w:lineRule="auto" w:before="43"/>
        <w:ind w:right="1121"/>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2"/>
        </w:rPr>
        <w:t> </w:t>
      </w:r>
      <w:r>
        <w:rPr/>
        <w:t>否</w:t>
      </w:r>
    </w:p>
    <w:p>
      <w:pPr>
        <w:spacing w:after="0" w:line="240" w:lineRule="auto"/>
        <w:jc w:val="left"/>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1"/>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1" w:firstLine="360"/>
        <w:jc w:val="left"/>
      </w:pPr>
      <w:r>
        <w:rPr>
          <w:spacing w:val="-2"/>
        </w:rPr>
        <w:t>公司按照中国证监会、深圳证券交易所等监管部门的要求，结合公司实际情况，制定了《年报信息披露重大差错责任追</w:t>
      </w:r>
      <w:r>
        <w:rPr/>
        <w:t> 究制度》并严格执行，报告期内未发生重大会计差错更正、重大遗漏信息补充以及业绩预先修正等情况。</w:t>
      </w:r>
    </w:p>
    <w:p>
      <w:pPr>
        <w:spacing w:after="0" w:line="316"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30"/>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1"/>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国浩审字</w:t>
            </w:r>
            <w:r>
              <w:rPr>
                <w:rFonts w:ascii="Arial" w:hAnsi="Arial" w:cs="Arial" w:eastAsia="Arial" w:hint="default"/>
                <w:sz w:val="18"/>
                <w:szCs w:val="18"/>
              </w:rPr>
              <w:t>[2013]817A0008</w:t>
            </w:r>
            <w:r>
              <w:rPr>
                <w:rFonts w:ascii="Arial" w:hAnsi="Arial" w:cs="Arial" w:eastAsia="Arial" w:hint="default"/>
                <w:spacing w:val="-11"/>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4"/>
          <w:szCs w:val="24"/>
        </w:rPr>
      </w:pPr>
    </w:p>
    <w:p>
      <w:pPr>
        <w:pStyle w:val="Heading5"/>
        <w:spacing w:line="240" w:lineRule="auto"/>
        <w:ind w:right="0"/>
        <w:jc w:val="left"/>
        <w:rPr>
          <w:b w:val="0"/>
          <w:bCs w:val="0"/>
        </w:rPr>
      </w:pPr>
      <w:r>
        <w:rPr>
          <w:w w:val="95"/>
        </w:rPr>
        <w:t>茂硕电源科技股份有限公司全体股东：</w:t>
      </w:r>
      <w:r>
        <w:rPr>
          <w:b w:val="0"/>
          <w:bCs w:val="0"/>
        </w:rPr>
      </w:r>
    </w:p>
    <w:p>
      <w:pPr>
        <w:spacing w:line="360" w:lineRule="auto" w:before="49"/>
        <w:ind w:left="200" w:right="5394" w:hanging="48"/>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 </w:t>
      </w:r>
      <w:r>
        <w:rPr>
          <w:rFonts w:ascii="宋体" w:hAnsi="宋体" w:cs="宋体" w:eastAsia="宋体" w:hint="default"/>
          <w:b/>
          <w:bCs/>
          <w:sz w:val="18"/>
          <w:szCs w:val="18"/>
        </w:rPr>
        <w:t>审 计 报</w:t>
      </w:r>
      <w:r>
        <w:rPr>
          <w:rFonts w:ascii="宋体" w:hAnsi="宋体" w:cs="宋体" w:eastAsia="宋体" w:hint="default"/>
          <w:b/>
          <w:bCs/>
          <w:spacing w:val="-15"/>
          <w:sz w:val="18"/>
          <w:szCs w:val="18"/>
        </w:rPr>
        <w:t> </w:t>
      </w:r>
      <w:r>
        <w:rPr>
          <w:rFonts w:ascii="宋体" w:hAnsi="宋体" w:cs="宋体" w:eastAsia="宋体" w:hint="default"/>
          <w:b/>
          <w:bCs/>
          <w:sz w:val="18"/>
          <w:szCs w:val="18"/>
        </w:rPr>
        <w:t>告</w:t>
      </w:r>
      <w:r>
        <w:rPr>
          <w:rFonts w:ascii="宋体" w:hAnsi="宋体" w:cs="宋体" w:eastAsia="宋体" w:hint="default"/>
          <w:sz w:val="18"/>
          <w:szCs w:val="18"/>
        </w:rPr>
      </w:r>
    </w:p>
    <w:p>
      <w:pPr>
        <w:pStyle w:val="BodyText"/>
        <w:spacing w:line="235" w:lineRule="exact"/>
        <w:ind w:left="903" w:right="0"/>
        <w:jc w:val="left"/>
      </w:pPr>
      <w:r>
        <w:rPr/>
        <w:t>国浩审字</w:t>
      </w:r>
      <w:r>
        <w:rPr>
          <w:rFonts w:ascii="Arial" w:hAnsi="Arial" w:cs="Arial" w:eastAsia="Arial" w:hint="default"/>
        </w:rPr>
        <w:t>[2013]817A0008</w:t>
      </w:r>
      <w:r>
        <w:rPr/>
        <w:t>号</w:t>
      </w:r>
    </w:p>
    <w:p>
      <w:pPr>
        <w:spacing w:after="0" w:line="235" w:lineRule="exact"/>
        <w:jc w:val="left"/>
        <w:sectPr>
          <w:type w:val="continuous"/>
          <w:pgSz w:w="11910" w:h="16840"/>
          <w:pgMar w:top="1060" w:bottom="1540" w:left="980" w:right="0"/>
          <w:cols w:num="2" w:equalWidth="0">
            <w:col w:w="3224" w:space="1056"/>
            <w:col w:w="6650"/>
          </w:cols>
        </w:sectPr>
      </w:pPr>
    </w:p>
    <w:p>
      <w:pPr>
        <w:pStyle w:val="BodyText"/>
        <w:spacing w:line="302" w:lineRule="auto" w:before="76"/>
        <w:ind w:right="1124" w:firstLine="480"/>
        <w:jc w:val="both"/>
      </w:pPr>
      <w:r>
        <w:rPr/>
        <w:t>我们审计了后附的茂硕电源科技股份有限公司（以下简称</w:t>
      </w:r>
      <w:r>
        <w:rPr>
          <w:rFonts w:ascii="Arial" w:hAnsi="Arial" w:cs="Arial" w:eastAsia="Arial" w:hint="default"/>
        </w:rPr>
        <w:t>“</w:t>
      </w:r>
      <w:r>
        <w:rPr/>
        <w:t>茂硕电源公司</w:t>
      </w:r>
      <w:r>
        <w:rPr>
          <w:rFonts w:ascii="Arial" w:hAnsi="Arial" w:cs="Arial" w:eastAsia="Arial" w:hint="default"/>
        </w:rPr>
        <w:t>”“</w:t>
      </w:r>
      <w:r>
        <w:rPr/>
        <w:t>）财务报表，包括</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日的合并</w:t>
      </w:r>
      <w:r>
        <w:rPr>
          <w:spacing w:val="2"/>
        </w:rPr>
        <w:t> </w:t>
      </w:r>
      <w:r>
        <w:rPr/>
        <w:t>及母公司资产负债表，</w:t>
      </w:r>
      <w:r>
        <w:rPr>
          <w:rFonts w:ascii="Arial" w:hAnsi="Arial" w:cs="Arial" w:eastAsia="Arial" w:hint="default"/>
        </w:rPr>
        <w:t>2012</w:t>
      </w:r>
      <w:r>
        <w:rPr/>
        <w:t>年度的合并及母公司利润表、合并及母公司现金流量表、合并及母公司股东权益变动表以及财</w:t>
      </w:r>
      <w:r>
        <w:rPr>
          <w:spacing w:val="-39"/>
        </w:rPr>
        <w:t> </w:t>
      </w:r>
      <w:r>
        <w:rPr>
          <w:spacing w:val="-39"/>
        </w:rPr>
      </w:r>
      <w:r>
        <w:rPr/>
        <w:t>务报表附注。</w:t>
      </w:r>
    </w:p>
    <w:p>
      <w:pPr>
        <w:pStyle w:val="Heading5"/>
        <w:spacing w:line="240" w:lineRule="auto" w:before="29"/>
        <w:ind w:left="635" w:right="1121"/>
        <w:jc w:val="left"/>
        <w:rPr>
          <w:b w:val="0"/>
          <w:bCs w:val="0"/>
        </w:rPr>
      </w:pPr>
      <w:r>
        <w:rPr/>
        <w:t>一、管理层对财务报表的责任</w:t>
      </w:r>
      <w:r>
        <w:rPr>
          <w:b w:val="0"/>
          <w:bCs w:val="0"/>
        </w:rPr>
      </w:r>
    </w:p>
    <w:p>
      <w:pPr>
        <w:pStyle w:val="BodyText"/>
        <w:spacing w:line="302" w:lineRule="auto" w:before="76"/>
        <w:ind w:right="1044" w:firstLine="480"/>
        <w:jc w:val="both"/>
      </w:pPr>
      <w:r>
        <w:rPr/>
        <w:t>编制和公允列报财务报表是茂硕电源公司管理层的责任，这种责任包括：</w:t>
      </w:r>
      <w:r>
        <w:rPr>
          <w:spacing w:val="-61"/>
        </w:rPr>
        <w:t> </w:t>
      </w:r>
      <w:r>
        <w:rPr>
          <w:rFonts w:ascii="Arial" w:hAnsi="Arial" w:cs="Arial" w:eastAsia="Arial" w:hint="default"/>
        </w:rPr>
        <w:t>(1)</w:t>
      </w:r>
      <w:r>
        <w:rPr/>
        <w:t>按照企业会计准则的规定编制财务报表，</w:t>
      </w:r>
      <w:r>
        <w:rPr>
          <w:w w:val="99"/>
        </w:rPr>
        <w:t> </w:t>
      </w:r>
      <w:r>
        <w:rPr/>
        <w:t>并使其实现公允反映；</w:t>
      </w:r>
      <w:r>
        <w:rPr>
          <w:rFonts w:ascii="Arial" w:hAnsi="Arial" w:cs="Arial" w:eastAsia="Arial" w:hint="default"/>
        </w:rPr>
        <w:t>(2)</w:t>
      </w:r>
      <w:r>
        <w:rPr/>
        <w:t>设计、执行和维护必要的内部控制，以使财务报表不存在由于舞弊或错误导致的重大错报。</w:t>
      </w:r>
    </w:p>
    <w:p>
      <w:pPr>
        <w:pStyle w:val="BodyText"/>
        <w:spacing w:line="316" w:lineRule="auto" w:before="11"/>
        <w:ind w:left="633" w:right="1121"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我们的责任是在执行审计工作的基础上对财务报表发表审计意见。我们按照中国注册会计师审计准则的规定执行了审</w:t>
      </w:r>
    </w:p>
    <w:p>
      <w:pPr>
        <w:pStyle w:val="BodyText"/>
        <w:spacing w:line="316" w:lineRule="auto" w:before="19"/>
        <w:ind w:right="1121"/>
        <w:jc w:val="left"/>
      </w:pP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6" w:lineRule="auto" w:before="19"/>
        <w:ind w:right="1041" w:firstLine="480"/>
        <w:jc w:val="both"/>
      </w:pPr>
      <w:r>
        <w:rPr>
          <w:spacing w:val="-3"/>
        </w:rPr>
        <w:t>审计工作涉及实施审计程序，以获取有关财务报表金额和披露的审计证据。选择的审计程序取决于注册会计师的判断，</w:t>
      </w:r>
      <w:r>
        <w:rPr/>
        <w:t> 包括对由于舞弊或错误导致的财务报表重大错报风险的评估。在进行风险评估时，注册会计师考虑与财务报表编制和</w:t>
      </w:r>
    </w:p>
    <w:p>
      <w:pPr>
        <w:pStyle w:val="BodyText"/>
        <w:spacing w:line="316" w:lineRule="auto" w:before="19"/>
        <w:ind w:right="1132" w:firstLine="480"/>
        <w:jc w:val="both"/>
      </w:pPr>
      <w:r>
        <w:rPr>
          <w:spacing w:val="-1"/>
        </w:rPr>
        <w:t>公允列报相关的内部控制，以设计恰当的审计程序，但目的并非对内部控制的有效性发表意见。审计工作还包括评价</w:t>
      </w:r>
      <w:r>
        <w:rPr/>
        <w:t> 管理层选用会计政策的恰当性和作出会计估计的合理性，以及评价财务报表的总体列报。</w:t>
      </w:r>
    </w:p>
    <w:p>
      <w:pPr>
        <w:pStyle w:val="BodyText"/>
        <w:spacing w:line="316" w:lineRule="auto" w:before="19"/>
        <w:ind w:left="635" w:right="3974"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2" w:lineRule="auto" w:before="19"/>
        <w:ind w:right="1131" w:firstLine="480"/>
        <w:jc w:val="both"/>
      </w:pPr>
      <w:r>
        <w:rPr/>
        <w:t>我们认为，茂硕电源公司的财务报表在所有重大方面按照企业会计准则的规定编制，公允反映了茂硕电源公司</w:t>
      </w:r>
      <w:r>
        <w:rPr>
          <w:rFonts w:ascii="Arial" w:hAnsi="Arial" w:cs="Arial" w:eastAsia="Arial" w:hint="default"/>
        </w:rPr>
        <w:t>2012</w:t>
      </w:r>
      <w:r>
        <w:rPr>
          <w:rFonts w:ascii="Arial" w:hAnsi="Arial" w:cs="Arial" w:eastAsia="Arial" w:hint="default"/>
          <w:w w:val="99"/>
        </w:rPr>
        <w:t> </w:t>
      </w:r>
      <w:r>
        <w:rPr/>
        <w:t>年</w:t>
      </w:r>
      <w:r>
        <w:rPr>
          <w:rFonts w:ascii="Arial" w:hAnsi="Arial" w:cs="Arial" w:eastAsia="Arial" w:hint="default"/>
        </w:rPr>
        <w:t>12</w:t>
      </w:r>
      <w:r>
        <w:rPr/>
        <w:t>月</w:t>
      </w:r>
      <w:r>
        <w:rPr>
          <w:rFonts w:ascii="Arial" w:hAnsi="Arial" w:cs="Arial" w:eastAsia="Arial" w:hint="default"/>
        </w:rPr>
        <w:t>31</w:t>
      </w:r>
      <w:r>
        <w:rPr/>
        <w:t>日的合并及母公司财务状况以及</w:t>
      </w:r>
      <w:r>
        <w:rPr>
          <w:rFonts w:ascii="Arial" w:hAnsi="Arial" w:cs="Arial" w:eastAsia="Arial" w:hint="default"/>
        </w:rPr>
        <w:t>2012</w:t>
      </w:r>
      <w:r>
        <w:rPr/>
        <w:t>年度的合并及母公司经营成果和现金流量。</w:t>
      </w:r>
    </w:p>
    <w:tbl>
      <w:tblPr>
        <w:tblW w:w="0" w:type="auto"/>
        <w:jc w:val="left"/>
        <w:tblInd w:w="145" w:type="dxa"/>
        <w:tblLayout w:type="fixed"/>
        <w:tblCellMar>
          <w:top w:w="0" w:type="dxa"/>
          <w:left w:w="0" w:type="dxa"/>
          <w:bottom w:w="0" w:type="dxa"/>
          <w:right w:w="0" w:type="dxa"/>
        </w:tblCellMar>
        <w:tblLook w:val="01E0"/>
      </w:tblPr>
      <w:tblGrid>
        <w:gridCol w:w="4981"/>
        <w:gridCol w:w="1568"/>
        <w:gridCol w:w="2821"/>
      </w:tblGrid>
      <w:tr>
        <w:trPr>
          <w:trHeight w:val="355"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c>
          <w:tcPr>
            <w:tcW w:w="1568" w:type="dxa"/>
            <w:tcBorders>
              <w:top w:val="single" w:sz="6" w:space="0" w:color="000000"/>
              <w:left w:val="single" w:sz="6" w:space="0" w:color="000000"/>
              <w:bottom w:val="single" w:sz="6" w:space="0" w:color="000000"/>
              <w:right w:val="single" w:sz="6" w:space="0" w:color="000000"/>
            </w:tcBorders>
          </w:tcPr>
          <w:p>
            <w:pPr/>
          </w:p>
        </w:tc>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356" w:hRule="exact"/>
        </w:trPr>
        <w:tc>
          <w:tcPr>
            <w:tcW w:w="498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2821" w:type="dxa"/>
            <w:tcBorders>
              <w:top w:val="single" w:sz="6" w:space="0" w:color="000000"/>
              <w:left w:val="single" w:sz="6" w:space="0" w:color="000000"/>
              <w:bottom w:val="single" w:sz="6" w:space="0" w:color="000000"/>
              <w:right w:val="single" w:sz="6" w:space="0" w:color="000000"/>
            </w:tcBorders>
          </w:tcPr>
          <w:p>
            <w:pPr/>
          </w:p>
        </w:tc>
      </w:tr>
      <w:tr>
        <w:trPr>
          <w:trHeight w:val="358"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Arial" w:hAnsi="Arial" w:cs="Arial" w:eastAsia="Arial" w:hint="default"/>
                <w:sz w:val="18"/>
                <w:szCs w:val="18"/>
              </w:rPr>
              <w:t>·</w:t>
            </w:r>
            <w:r>
              <w:rPr>
                <w:rFonts w:ascii="宋体" w:hAnsi="宋体" w:cs="宋体" w:eastAsia="宋体" w:hint="default"/>
                <w:sz w:val="18"/>
                <w:szCs w:val="18"/>
              </w:rPr>
              <w:t>北京</w:t>
            </w:r>
          </w:p>
        </w:tc>
        <w:tc>
          <w:tcPr>
            <w:tcW w:w="1568" w:type="dxa"/>
            <w:tcBorders>
              <w:top w:val="single" w:sz="6" w:space="0" w:color="000000"/>
              <w:left w:val="single" w:sz="6" w:space="0" w:color="000000"/>
              <w:bottom w:val="single" w:sz="6" w:space="0" w:color="000000"/>
              <w:right w:val="single" w:sz="6" w:space="0" w:color="000000"/>
            </w:tcBorders>
          </w:tcPr>
          <w:p>
            <w:pPr/>
          </w:p>
        </w:tc>
        <w:tc>
          <w:tcPr>
            <w:tcW w:w="282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98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282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二〇一三年四月二十日</w:t>
            </w:r>
          </w:p>
        </w:tc>
        <w:tc>
          <w:tcPr>
            <w:tcW w:w="1568" w:type="dxa"/>
            <w:tcBorders>
              <w:top w:val="single" w:sz="6" w:space="0" w:color="000000"/>
              <w:left w:val="single" w:sz="6" w:space="0" w:color="000000"/>
              <w:bottom w:val="single" w:sz="6" w:space="0" w:color="000000"/>
              <w:right w:val="single" w:sz="6" w:space="0" w:color="000000"/>
            </w:tcBorders>
          </w:tcPr>
          <w:p>
            <w:pPr/>
          </w:p>
        </w:tc>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侯立勋</w:t>
            </w:r>
          </w:p>
        </w:tc>
      </w:tr>
      <w:tr>
        <w:trPr>
          <w:trHeight w:val="372" w:hRule="exact"/>
        </w:trPr>
        <w:tc>
          <w:tcPr>
            <w:tcW w:w="498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358" w:hRule="exact"/>
        </w:trPr>
        <w:tc>
          <w:tcPr>
            <w:tcW w:w="498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282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98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2821" w:type="dxa"/>
            <w:tcBorders>
              <w:top w:val="single" w:sz="6" w:space="0" w:color="000000"/>
              <w:left w:val="single" w:sz="6" w:space="0" w:color="000000"/>
              <w:bottom w:val="single" w:sz="6" w:space="0" w:color="000000"/>
              <w:right w:val="single" w:sz="6" w:space="0" w:color="000000"/>
            </w:tcBorders>
          </w:tcPr>
          <w:p>
            <w:pPr/>
          </w:p>
        </w:tc>
      </w:tr>
      <w:tr>
        <w:trPr>
          <w:trHeight w:val="358" w:hRule="exact"/>
        </w:trPr>
        <w:tc>
          <w:tcPr>
            <w:tcW w:w="498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郑龙兴</w:t>
            </w:r>
          </w:p>
        </w:tc>
      </w:tr>
    </w:tbl>
    <w:p>
      <w:pPr>
        <w:spacing w:after="0" w:line="240" w:lineRule="auto"/>
        <w:jc w:val="center"/>
        <w:rPr>
          <w:rFonts w:ascii="宋体" w:hAnsi="宋体" w:cs="宋体" w:eastAsia="宋体" w:hint="default"/>
          <w:sz w:val="18"/>
          <w:szCs w:val="18"/>
        </w:rPr>
        <w:sectPr>
          <w:type w:val="continuous"/>
          <w:pgSz w:w="11910" w:h="16840"/>
          <w:pgMar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right="1121"/>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1"/>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rFonts w:ascii="Arial" w:hAnsi="Arial" w:cs="Arial" w:eastAsia="Arial" w:hint="default"/>
        </w:rPr>
        <w:t>1</w:t>
      </w:r>
      <w:r>
        <w:rPr/>
        <w:t>、合并资产负债表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21"/>
        <w:jc w:val="left"/>
      </w:pPr>
      <w:r>
        <w:rPr/>
        <w:t>编制单位：茂硕电源科技股份有限公司</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405,875,608.40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3"/>
                <w:sz w:val="18"/>
              </w:rPr>
              <w:t>111,826,875.32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92,180.09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38,447,711.08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28,885,285.38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242,840,828.98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152,426,060.41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13,073,317.61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4,088,126.86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5,639,988.09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9,849,689.45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11,937,552.86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82,751,631.12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85,059,569.39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980,120.00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1,083,282.34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799,458,894.73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395,398,932.65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3,000,000.00</w:t>
            </w:r>
          </w:p>
        </w:tc>
      </w:tr>
    </w:tbl>
    <w:p>
      <w:pPr>
        <w:spacing w:after="0" w:line="240" w:lineRule="auto"/>
        <w:jc w:val="right"/>
        <w:rPr>
          <w:rFonts w:ascii="Arial" w:hAnsi="Arial" w:cs="Arial" w:eastAsia="Arial"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24,605,852.70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24,993,465.11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72,430,176.47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389,736.00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13,318,721.69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11,090,380.84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195,610.67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195,610.67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775,731.87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779,469.28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3,330,617.35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2,114,981.34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117,656,710.75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42,563,643.24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917,115,605.48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437,962,575.89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5,740,000.00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16,405,038.12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56,582,864.62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79,008,190.04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133,664,721.35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70,250,756.22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6,931,993.56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5,926,834.28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9,646,371.16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7,130,477.34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2"/>
                <w:sz w:val="18"/>
              </w:rPr>
              <w:t>11,689,051.99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-3,740,003.38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3,673,222.45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918,968.46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227,928,225.13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175,900,261.08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13,827.01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5,730,266.59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7,700,533.31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5,730,266.59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37,714,360.32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233,658,491.72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213,614,621.40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98,788,800.00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72,800,000.00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437,528,499.37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33,167,482.80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16,864,264.24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14,076,785.46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129,162,132.06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103,849,514.96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682,343,695.67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223,893,783.22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1,113,418.09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454,171.27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683,457,113.76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224,347,954.49</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2"/>
                <w:sz w:val="18"/>
              </w:rPr>
              <w:t>917,115,605.48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437,962,575.89</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1121"/>
        <w:jc w:val="left"/>
      </w:pPr>
      <w:r>
        <w:rPr/>
        <w:t>法定代表人：顾永德</w:t>
        <w:tab/>
      </w:r>
      <w:r>
        <w:rPr>
          <w:spacing w:val="-1"/>
        </w:rPr>
        <w:t>主管会计工作负责人：秦传君</w:t>
        <w:tab/>
      </w:r>
      <w:r>
        <w:rPr/>
        <w:t>会计机构负责人：秦传君</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rFonts w:ascii="Arial" w:hAnsi="Arial" w:cs="Arial" w:eastAsia="Arial" w:hint="default"/>
        </w:rPr>
        <w:t>2</w:t>
      </w:r>
      <w:r>
        <w:rPr/>
        <w:t>、母公司资产负债表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21"/>
        <w:jc w:val="left"/>
      </w:pPr>
      <w:r>
        <w:rPr/>
        <w:t>编制单位：茂硕电源科技股份有限公司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291"/>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174,718,232.37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93,974,466.05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92,180.09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23,721,102.42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28,885,285.38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203,217,170.24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150,853,658.61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1"/>
                <w:sz w:val="18"/>
              </w:rPr>
              <w:t>2,824,260.48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3,855,730.28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2,018,633.33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9,648,844.02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12,376,304.42</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63,800,781.72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38,492,242.03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980,120.00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1,083,282.34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480,929,144.58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329,613,149.20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317,049,126.65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35,611,126.65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14,798,821.48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15,883,620.61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1"/>
                <w:sz w:val="18"/>
              </w:rPr>
              <w:t>2,136,868.13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1,515,662.16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775,731.87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779,469.28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1"/>
                <w:sz w:val="18"/>
              </w:rPr>
              <w:t>1,031,179.12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390,682.26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335,791,727.25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54,180,560.96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816,720,871.83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383,793,710.16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16,405,038.12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15,159,020.63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72,762,947.15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2"/>
                <w:sz w:val="18"/>
              </w:rPr>
              <w:t>115,098,218.99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38,763,695.26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6,957,446.34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5,356,381.52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1"/>
                <w:sz w:val="18"/>
              </w:rPr>
              <w:t>3,813,188.59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3,169,708.56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-339,818.16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-6,945,202.18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13,978,834.86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755,626.26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154,666,891.25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130,268,194.69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13,827.01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4,730,266.59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4,700,533.31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1"/>
                <w:sz w:val="18"/>
              </w:rPr>
              <w:t>4,730,266.59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34,714,360.32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159,397,157.84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164,982,555.01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98,788,800.00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72,800,000.00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437,427,271.76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33,362,300.67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16,864,264.24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14,076,785.46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104,243,377.99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98,572,069.02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657,323,713.99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218,811,155.15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816,720,871.83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383,793,710.16</w:t>
            </w:r>
          </w:p>
        </w:tc>
      </w:tr>
    </w:tbl>
    <w:p>
      <w:pPr>
        <w:spacing w:after="0" w:line="240" w:lineRule="auto"/>
        <w:jc w:val="right"/>
        <w:rPr>
          <w:rFonts w:ascii="Arial" w:hAnsi="Arial" w:cs="Arial" w:eastAsia="Arial"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3367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78</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303"/>
      </w:tblGrid>
      <w:tr>
        <w:trPr>
          <w:trHeight w:val="36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1121"/>
        <w:jc w:val="left"/>
      </w:pPr>
      <w:r>
        <w:rPr/>
        <w:t>法定代表人：顾永德</w:t>
        <w:tab/>
      </w:r>
      <w:r>
        <w:rPr>
          <w:spacing w:val="-1"/>
        </w:rPr>
        <w:t>主管会计工作负责人：秦传君</w:t>
        <w:tab/>
      </w:r>
      <w:r>
        <w:rPr/>
        <w:t>会计机构负责人：秦传君</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rFonts w:ascii="Arial" w:hAnsi="Arial" w:cs="Arial" w:eastAsia="Arial" w:hint="default"/>
        </w:rPr>
        <w:t>3</w:t>
      </w:r>
      <w:r>
        <w:rPr/>
        <w:t>、合并利润表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21"/>
        <w:jc w:val="left"/>
      </w:pPr>
      <w:r>
        <w:rPr/>
        <w:t>编制单位：茂硕电源科技股份有限公司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550,030,672.59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554,571,711.43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550,030,672.59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554,571,711.43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502,205,408.03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492,923,022.73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428,643,049.00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402,480,411.72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4,183,453.27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2,449,245.20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26,086,145.41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30,078,162.59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46,908,907.23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50,961,970.29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-8,455,607.12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6,389,524.47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4,839,460.24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563,708.46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-92,180.09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92,180.09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w:t>
            </w:r>
            <w:r>
              <w:rPr>
                <w:rFonts w:ascii="宋体" w:hAnsi="宋体" w:cs="宋体" w:eastAsia="宋体" w:hint="default"/>
                <w:spacing w:val="-89"/>
                <w:sz w:val="18"/>
                <w:szCs w:val="18"/>
              </w:rPr>
              <w:t>益</w:t>
            </w:r>
            <w:r>
              <w:rPr>
                <w:rFonts w:ascii="宋体" w:hAnsi="宋体" w:cs="宋体" w:eastAsia="宋体" w:hint="default"/>
                <w:sz w:val="18"/>
                <w:szCs w:val="18"/>
              </w:rPr>
              <w:t>（损失</w:t>
            </w:r>
            <w:r>
              <w:rPr>
                <w:rFonts w:ascii="宋体" w:hAnsi="宋体" w:cs="宋体" w:eastAsia="宋体" w:hint="default"/>
                <w:spacing w:val="-1"/>
                <w:sz w:val="18"/>
                <w:szCs w:val="18"/>
              </w:rPr>
              <w:t>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-92,544.61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47,640,539.86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61,740,868.79</w:t>
            </w:r>
          </w:p>
        </w:tc>
      </w:tr>
    </w:tbl>
    <w:p>
      <w:pPr>
        <w:spacing w:after="0" w:line="240" w:lineRule="auto"/>
        <w:jc w:val="right"/>
        <w:rPr>
          <w:rFonts w:ascii="Arial" w:hAnsi="Arial" w:cs="Arial" w:eastAsia="Arial" w:hint="default"/>
          <w:sz w:val="18"/>
          <w:szCs w:val="18"/>
        </w:rPr>
        <w:sectPr>
          <w:headerReference w:type="default" r:id="rId43"/>
          <w:footerReference w:type="default" r:id="rId44"/>
          <w:pgSz w:w="11910" w:h="16840"/>
          <w:pgMar w:header="877" w:footer="0" w:top="1060" w:bottom="0" w:left="980" w:right="0"/>
        </w:sectPr>
      </w:pPr>
    </w:p>
    <w:p>
      <w:pPr>
        <w:spacing w:line="240" w:lineRule="auto" w:before="6"/>
        <w:rPr>
          <w:rFonts w:ascii="宋体" w:hAnsi="宋体" w:cs="宋体" w:eastAsia="宋体" w:hint="default"/>
          <w:sz w:val="28"/>
          <w:szCs w:val="28"/>
        </w:rPr>
      </w:pPr>
      <w:r>
        <w:rPr/>
        <w:pict>
          <v:shape style="position:absolute;margin-left:172.100006pt;margin-top:148.459976pt;width:196.65pt;height:19.6pt;mso-position-horizontal-relative:page;mso-position-vertical-relative:page;z-index:-1033648"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369995pt;margin-top:147.919983pt;width:163.35pt;height:20.65pt;mso-position-horizontal-relative:page;mso-position-vertical-relative:page;z-index:-1033624" coordorigin="4107,2958" coordsize="3267,413">
            <v:group style="position:absolute;left:4118;top:2969;width:2;height:392" coordorigin="4118,2969" coordsize="2,392">
              <v:shape style="position:absolute;left:4118;top:2969;width:2;height:392" coordorigin="4118,2969" coordsize="0,392" path="m4118,2969l4118,3360e" filled="false" stroked="true" strokeweight="1.08pt" strokecolor="#ffffff">
                <v:path arrowok="t"/>
              </v:shape>
            </v:group>
            <v:group style="position:absolute;left:4129;top:2969;width:3246;height:392" coordorigin="4129,2969" coordsize="3246,392">
              <v:shape style="position:absolute;left:4129;top:2969;width:3246;height:392" coordorigin="4129,2969" coordsize="3246,392" path="m4129,3360l7374,3360,7374,2969,4129,2969,4129,3360xe" filled="true" fillcolor="#ffffff" stroked="false">
                <v:path arrowok="t"/>
                <v:fill type="solid"/>
              </v:shape>
            </v:group>
            <w10:wrap type="none"/>
          </v:group>
        </w:pict>
      </w:r>
      <w:r>
        <w:rPr/>
        <w:pict>
          <v:group style="position:absolute;margin-left:460.320007pt;margin-top:764.919983pt;width:135pt;height:77pt;mso-position-horizontal-relative:page;mso-position-vertical-relative:page;z-index:-103357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79</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7,238,619.09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2,923,447.92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679,184.39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45,960.03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60,159.66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2,237.65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Arial" w:hAnsi="Arial" w:cs="Arial" w:eastAsia="Arial" w:hint="default"/>
                <w:sz w:val="18"/>
                <w:szCs w:val="18"/>
              </w:rPr>
            </w:pPr>
            <w:r>
              <w:rPr>
                <w:rFonts w:ascii="宋体" w:hAnsi="宋体" w:cs="宋体" w:eastAsia="宋体" w:hint="default"/>
                <w:sz w:val="18"/>
                <w:szCs w:val="18"/>
              </w:rPr>
              <w:t>四</w:t>
            </w:r>
            <w:r>
              <w:rPr>
                <w:rFonts w:ascii="宋体" w:hAnsi="宋体" w:cs="宋体" w:eastAsia="宋体" w:hint="default"/>
                <w:spacing w:val="-89"/>
                <w:sz w:val="18"/>
                <w:szCs w:val="18"/>
              </w:rPr>
              <w:t>、</w:t>
            </w:r>
            <w:r>
              <w:rPr>
                <w:rFonts w:ascii="宋体" w:hAnsi="宋体" w:cs="宋体" w:eastAsia="宋体" w:hint="default"/>
                <w:sz w:val="18"/>
                <w:szCs w:val="18"/>
              </w:rPr>
              <w:t>利润总</w:t>
            </w:r>
            <w:r>
              <w:rPr>
                <w:rFonts w:ascii="宋体" w:hAnsi="宋体" w:cs="宋体" w:eastAsia="宋体" w:hint="default"/>
                <w:spacing w:val="-89"/>
                <w:sz w:val="18"/>
                <w:szCs w:val="18"/>
              </w:rPr>
              <w:t>额</w:t>
            </w:r>
            <w:r>
              <w:rPr>
                <w:rFonts w:ascii="宋体" w:hAnsi="宋体" w:cs="宋体" w:eastAsia="宋体" w:hint="default"/>
                <w:sz w:val="18"/>
                <w:szCs w:val="18"/>
              </w:rPr>
              <w:t>（亏损总额以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54,199,974.56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64,618,356.68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6,980,586.38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10,828,198.09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47,219,388.18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53,790,158.59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47,516,095.88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53,725,493.21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-296,707.70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64,665.38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Arial" w:hAnsi="Arial" w:cs="Arial" w:eastAsia="Arial" w:hint="default"/>
                <w:sz w:val="18"/>
                <w:szCs w:val="18"/>
              </w:rPr>
            </w:pPr>
            <w:r>
              <w:rPr>
                <w:rFonts w:ascii="Arial"/>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0.52</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0.74</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0.52</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0.74</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47,219,388.18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53,790,158.59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47,812,141.36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53,835,988.32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-592,753.18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-45,829.73</w:t>
            </w:r>
          </w:p>
        </w:tc>
      </w:tr>
    </w:tbl>
    <w:p>
      <w:pPr>
        <w:pStyle w:val="BodyText"/>
        <w:spacing w:line="240" w:lineRule="auto" w:before="49"/>
        <w:ind w:right="1121"/>
        <w:jc w:val="left"/>
      </w:pPr>
      <w:r>
        <w:rPr/>
        <w:t>本期发生同一控制下企业合并的，被合并方在合并前实现的净利润为：</w:t>
      </w:r>
      <w:r>
        <w:rPr>
          <w:rFonts w:ascii="Arial" w:hAnsi="Arial" w:cs="Arial" w:eastAsia="Arial" w:hint="default"/>
        </w:rPr>
        <w:t>0.00</w:t>
      </w:r>
      <w:r>
        <w:rPr>
          <w:rFonts w:ascii="Arial" w:hAnsi="Arial" w:cs="Arial" w:eastAsia="Arial" w:hint="default"/>
          <w:spacing w:val="-4"/>
        </w:rPr>
        <w:t> </w:t>
      </w:r>
      <w:r>
        <w:rPr/>
        <w:t>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240" w:lineRule="auto" w:before="125"/>
        <w:ind w:right="1121"/>
        <w:jc w:val="left"/>
      </w:pPr>
      <w:r>
        <w:rPr/>
        <w:t>法定代表人：顾永德</w:t>
        <w:tab/>
      </w:r>
      <w:r>
        <w:rPr>
          <w:spacing w:val="-1"/>
        </w:rPr>
        <w:t>主管会计工作负责人：秦传君</w:t>
        <w:tab/>
      </w:r>
      <w:r>
        <w:rPr/>
        <w:t>会计机构负责人：秦传君</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rFonts w:ascii="Arial" w:hAnsi="Arial" w:cs="Arial" w:eastAsia="Arial" w:hint="default"/>
        </w:rPr>
        <w:t>4</w:t>
      </w:r>
      <w:r>
        <w:rPr/>
        <w:t>、母公司利润表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21"/>
        <w:jc w:val="left"/>
      </w:pPr>
      <w:r>
        <w:rPr/>
        <w:t>编制单位：茂硕电源科技股份有限公司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444,260,167.47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617,046,093.54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360,084,302.12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497,291,371.82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3,357,809.63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1,978,102.80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20,390,307.45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17,370,268.18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31,198,594.23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40,859,626.91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-2,427,534.53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7,149,870.81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4,269,979.05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518,033.12</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spacing w:val="-1"/>
                <w:sz w:val="18"/>
              </w:rPr>
              <w:t>-92,180.09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92,180.09</w:t>
            </w:r>
          </w:p>
        </w:tc>
      </w:tr>
    </w:tbl>
    <w:p>
      <w:pPr>
        <w:spacing w:after="0" w:line="240" w:lineRule="auto"/>
        <w:jc w:val="right"/>
        <w:rPr>
          <w:rFonts w:ascii="Arial" w:hAnsi="Arial" w:cs="Arial" w:eastAsia="Arial" w:hint="default"/>
          <w:sz w:val="18"/>
          <w:szCs w:val="18"/>
        </w:rPr>
        <w:sectPr>
          <w:headerReference w:type="default" r:id="rId45"/>
          <w:footerReference w:type="default" r:id="rId46"/>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033528"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80</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spacing w:val="-1"/>
                <w:sz w:val="18"/>
              </w:rPr>
              <w:t>-92,544.61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-259,999.00</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27,201,984.82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51,711,000.99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1"/>
                <w:sz w:val="18"/>
              </w:rPr>
              <w:t>4,963,742.51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2,724,132.66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617,145.81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40,741.05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1"/>
                <w:sz w:val="18"/>
              </w:rPr>
              <w:t>10,860.62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2,237.65</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12" w:right="98"/>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spacing w:val="-1"/>
                <w:sz w:val="18"/>
              </w:rPr>
              <w:t>31,548,581.52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54,394,392.60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Arial" w:hAnsi="Arial" w:cs="Arial" w:eastAsia="Arial" w:hint="default"/>
                <w:sz w:val="18"/>
                <w:szCs w:val="18"/>
              </w:rPr>
            </w:pPr>
            <w:r>
              <w:rPr>
                <w:rFonts w:ascii="Arial"/>
                <w:spacing w:val="-1"/>
                <w:sz w:val="18"/>
              </w:rPr>
              <w:t>3,673,793.77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8,123,198.84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27,874,787.75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46,271,193.76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 w:right="0"/>
              <w:jc w:val="center"/>
              <w:rPr>
                <w:rFonts w:ascii="Arial" w:hAnsi="Arial" w:cs="Arial" w:eastAsia="Arial" w:hint="default"/>
                <w:sz w:val="18"/>
                <w:szCs w:val="18"/>
              </w:rPr>
            </w:pPr>
            <w:r>
              <w:rPr>
                <w:rFonts w:ascii="Arial"/>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0.31</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0.64</w:t>
            </w:r>
            <w:r>
              <w:rPr>
                <w:rFonts w:ascii="Arial"/>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0.31</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0.64</w:t>
            </w:r>
            <w:r>
              <w:rPr>
                <w:rFonts w:ascii="Arial"/>
                <w:sz w:val="18"/>
              </w:rPr>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27,874,787.75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46,271,193.76</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1121"/>
        <w:jc w:val="left"/>
      </w:pPr>
      <w:r>
        <w:rPr/>
        <w:t>法定代表人：顾永德</w:t>
        <w:tab/>
      </w:r>
      <w:r>
        <w:rPr>
          <w:spacing w:val="-1"/>
        </w:rPr>
        <w:t>主管会计工作负责人：秦传君</w:t>
        <w:tab/>
      </w:r>
      <w:r>
        <w:rPr/>
        <w:t>会计机构负责人：秦传君</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rFonts w:ascii="Arial" w:hAnsi="Arial" w:cs="Arial" w:eastAsia="Arial" w:hint="default"/>
        </w:rPr>
        <w:t>5</w:t>
      </w:r>
      <w:r>
        <w:rPr/>
        <w:t>、合并现金流量表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21"/>
        <w:jc w:val="left"/>
      </w:pPr>
      <w:r>
        <w:rPr/>
        <w:t>编制单位：茂硕电源科技股份有限公司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459,872,718.36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589,836,948.79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bl>
    <w:p>
      <w:pPr>
        <w:spacing w:after="0" w:line="240" w:lineRule="auto"/>
        <w:jc w:val="right"/>
        <w:rPr>
          <w:rFonts w:ascii="Arial" w:hAnsi="Arial" w:cs="Arial" w:eastAsia="Arial" w:hint="default"/>
          <w:sz w:val="18"/>
          <w:szCs w:val="18"/>
        </w:rPr>
        <w:sectPr>
          <w:headerReference w:type="default" r:id="rId47"/>
          <w:footerReference w:type="default" r:id="rId48"/>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33480"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81</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41,973,200.54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8,231,755.16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11,815,899.36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13,714,121.59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513,661,818.26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611,782,825.54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317,929,737.07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422,863,636.34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94,025,040.61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82,565,994.58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36,181,168.98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22,596,005.04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60,850,090.15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48,343,064.41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508,986,036.81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576,368,700.37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4,675,781.45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35,414,125.17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w w:val="95"/>
                <w:sz w:val="18"/>
              </w:rPr>
              <w:t>1.00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134,640.00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105,000.00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134,640.00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105,001.00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82,575,757.38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2"/>
                <w:sz w:val="18"/>
              </w:rPr>
              <w:t>11,015,080.10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82,575,757.38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14,015,080.10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-82,441,117.38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-13,910,079.10</w:t>
            </w:r>
          </w:p>
        </w:tc>
      </w:tr>
    </w:tbl>
    <w:p>
      <w:pPr>
        <w:spacing w:after="0" w:line="240" w:lineRule="auto"/>
        <w:jc w:val="right"/>
        <w:rPr>
          <w:rFonts w:ascii="Arial" w:hAnsi="Arial" w:cs="Arial" w:eastAsia="Arial" w:hint="default"/>
          <w:sz w:val="18"/>
          <w:szCs w:val="18"/>
        </w:rPr>
        <w:sectPr>
          <w:headerReference w:type="default" r:id="rId49"/>
          <w:footerReference w:type="default" r:id="rId50"/>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3343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82</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444,185,760.00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1,252,000.00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25,740,000.00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84,445,761.48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43,032,716.88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67,172,369.65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512,958,476.88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152,118,131.13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66,408,340.69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77,959,498.60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20,641,304.69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3,355,970.96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48,904,711.41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74,180,001.60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135,954,356.79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155,495,471.16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377,004,120.09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-3,377,340.03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-140,533.04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-408,507.69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299,098,251.12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17,718,198.35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88,737,357.28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71,019,158.93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387,835,608.40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88,737,357.28</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1121"/>
        <w:jc w:val="left"/>
      </w:pPr>
      <w:r>
        <w:rPr/>
        <w:t>法定代表人：顾永德</w:t>
        <w:tab/>
      </w:r>
      <w:r>
        <w:rPr>
          <w:spacing w:val="-1"/>
        </w:rPr>
        <w:t>主管会计工作负责人：秦传君</w:t>
        <w:tab/>
      </w:r>
      <w:r>
        <w:rPr/>
        <w:t>会计机构负责人：秦传君</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rFonts w:ascii="Arial" w:hAnsi="Arial" w:cs="Arial" w:eastAsia="Arial" w:hint="default"/>
        </w:rPr>
        <w:t>6</w:t>
      </w:r>
      <w:r>
        <w:rPr/>
        <w:t>、母公司现金流量表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21"/>
        <w:jc w:val="left"/>
      </w:pPr>
      <w:r>
        <w:rPr/>
        <w:t>编制单位：茂硕电源科技股份有限公司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378,696,677.36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652,470,249.88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41,835,826.05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8,231,755.16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28,913,865.22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67,291,500.08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449,446,368.63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727,993,505.12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331,249,959.24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571,061,706.31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39,252,229.27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36,970,814.09</w:t>
            </w:r>
          </w:p>
        </w:tc>
      </w:tr>
    </w:tbl>
    <w:p>
      <w:pPr>
        <w:spacing w:after="0" w:line="240" w:lineRule="auto"/>
        <w:jc w:val="right"/>
        <w:rPr>
          <w:rFonts w:ascii="Arial" w:hAnsi="Arial" w:cs="Arial" w:eastAsia="Arial" w:hint="default"/>
          <w:sz w:val="18"/>
          <w:szCs w:val="18"/>
        </w:rPr>
        <w:sectPr>
          <w:headerReference w:type="default" r:id="rId51"/>
          <w:footerReference w:type="default" r:id="rId52"/>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33384"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83</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24,060,199.97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15,292,201.34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52,635,612.82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75,687,867.95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447,198,001.30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699,012,589.69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2,248,367.33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28,980,915.43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1.00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120,000.00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7,667,895.32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7,667,896.32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5,017,367.97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8,586,504.54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281,438,000.00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18,300,000.00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286,455,367.97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26,886,504.54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-286,335,367.97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-19,218,608.22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442,933,760.00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84,445,761.48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22,336,483.99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57,159,204.48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485,270,243.99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141,604,965.96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66,408,340.69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77,959,498.60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20,641,304.69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3,355,970.96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21,160,711.41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57,764,603.54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108,210,356.79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139,080,073.10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377,059,887.20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2,524,892.86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-131,835.09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-285,245.78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92,841,051.47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12,001,954.29</w:t>
            </w:r>
          </w:p>
        </w:tc>
      </w:tr>
    </w:tbl>
    <w:p>
      <w:pPr>
        <w:spacing w:after="0" w:line="240" w:lineRule="auto"/>
        <w:jc w:val="right"/>
        <w:rPr>
          <w:rFonts w:ascii="Arial" w:hAnsi="Arial" w:cs="Arial" w:eastAsia="Arial" w:hint="default"/>
          <w:sz w:val="18"/>
          <w:szCs w:val="18"/>
        </w:rPr>
        <w:sectPr>
          <w:headerReference w:type="default" r:id="rId53"/>
          <w:footerReference w:type="default" r:id="rId54"/>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77,287,180.90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65,285,226.61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170,128,232.37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77,287,180.90</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1121"/>
        <w:jc w:val="left"/>
      </w:pPr>
      <w:r>
        <w:rPr/>
        <w:t>法定代表人：顾永德</w:t>
        <w:tab/>
      </w:r>
      <w:r>
        <w:rPr>
          <w:spacing w:val="-1"/>
        </w:rPr>
        <w:t>主管会计工作负责人：秦传君</w:t>
        <w:tab/>
      </w:r>
      <w:r>
        <w:rPr/>
        <w:t>会计机构负责人：秦传君</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rFonts w:ascii="Arial" w:hAnsi="Arial" w:cs="Arial" w:eastAsia="Arial" w:hint="default"/>
        </w:rPr>
        <w:t>7</w:t>
      </w:r>
      <w:r>
        <w:rPr/>
        <w:t>、合并所有者权益变动表</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55"/>
          <w:pgSz w:w="11910" w:h="16840"/>
          <w:pgMar w:footer="1275" w:header="877" w:top="1060" w:bottom="1460" w:left="980" w:right="0"/>
          <w:pgNumType w:start="84"/>
        </w:sectPr>
      </w:pPr>
    </w:p>
    <w:p>
      <w:pPr>
        <w:pStyle w:val="BodyText"/>
        <w:spacing w:line="357" w:lineRule="auto" w:before="44"/>
        <w:ind w:right="-20"/>
        <w:jc w:val="left"/>
      </w:pPr>
      <w:r>
        <w:rPr/>
        <w:t>编制单位：茂硕电源科技股份有限公司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213" w:space="570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6" w:right="0"/>
              <w:jc w:val="left"/>
              <w:rPr>
                <w:rFonts w:ascii="Arial" w:hAnsi="Arial" w:cs="Arial" w:eastAsia="Arial" w:hint="default"/>
                <w:sz w:val="18"/>
                <w:szCs w:val="18"/>
              </w:rPr>
            </w:pPr>
            <w:r>
              <w:rPr>
                <w:rFonts w:ascii="Arial"/>
                <w:sz w:val="18"/>
              </w:rPr>
              <w:t>72,800,</w:t>
            </w:r>
          </w:p>
          <w:p>
            <w:pPr>
              <w:pStyle w:val="TableParagraph"/>
              <w:spacing w:line="240" w:lineRule="auto" w:before="105"/>
              <w:ind w:left="106" w:right="0"/>
              <w:jc w:val="left"/>
              <w:rPr>
                <w:rFonts w:ascii="Arial" w:hAnsi="Arial" w:cs="Arial" w:eastAsia="Arial" w:hint="default"/>
                <w:sz w:val="18"/>
                <w:szCs w:val="18"/>
              </w:rPr>
            </w:pPr>
            <w:r>
              <w:rPr>
                <w:rFonts w:ascii="Arial"/>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5" w:right="0"/>
              <w:jc w:val="left"/>
              <w:rPr>
                <w:rFonts w:ascii="Arial" w:hAnsi="Arial" w:cs="Arial" w:eastAsia="Arial" w:hint="default"/>
                <w:sz w:val="18"/>
                <w:szCs w:val="18"/>
              </w:rPr>
            </w:pPr>
            <w:r>
              <w:rPr>
                <w:rFonts w:ascii="Arial"/>
                <w:sz w:val="18"/>
              </w:rPr>
              <w:t>33,167,</w:t>
            </w:r>
          </w:p>
          <w:p>
            <w:pPr>
              <w:pStyle w:val="TableParagraph"/>
              <w:spacing w:line="240" w:lineRule="auto" w:before="105"/>
              <w:ind w:left="105" w:right="0"/>
              <w:jc w:val="left"/>
              <w:rPr>
                <w:rFonts w:ascii="Arial" w:hAnsi="Arial" w:cs="Arial" w:eastAsia="Arial" w:hint="default"/>
                <w:sz w:val="18"/>
                <w:szCs w:val="18"/>
              </w:rPr>
            </w:pPr>
            <w:r>
              <w:rPr>
                <w:rFonts w:ascii="Arial"/>
                <w:sz w:val="18"/>
              </w:rPr>
              <w:t>482.80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3" w:right="0"/>
              <w:jc w:val="left"/>
              <w:rPr>
                <w:rFonts w:ascii="Arial" w:hAnsi="Arial" w:cs="Arial" w:eastAsia="Arial" w:hint="default"/>
                <w:sz w:val="18"/>
                <w:szCs w:val="18"/>
              </w:rPr>
            </w:pPr>
            <w:r>
              <w:rPr>
                <w:rFonts w:ascii="Arial"/>
                <w:sz w:val="18"/>
              </w:rPr>
              <w:t>14,076,</w:t>
            </w:r>
          </w:p>
          <w:p>
            <w:pPr>
              <w:pStyle w:val="TableParagraph"/>
              <w:spacing w:line="240" w:lineRule="auto" w:before="105"/>
              <w:ind w:left="103" w:right="0"/>
              <w:jc w:val="left"/>
              <w:rPr>
                <w:rFonts w:ascii="Arial" w:hAnsi="Arial" w:cs="Arial" w:eastAsia="Arial" w:hint="default"/>
                <w:sz w:val="18"/>
                <w:szCs w:val="18"/>
              </w:rPr>
            </w:pPr>
            <w:r>
              <w:rPr>
                <w:rFonts w:ascii="Arial"/>
                <w:sz w:val="18"/>
              </w:rPr>
              <w:t>785.46</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103,84</w:t>
            </w:r>
          </w:p>
          <w:p>
            <w:pPr>
              <w:pStyle w:val="TableParagraph"/>
              <w:spacing w:line="240" w:lineRule="auto" w:before="105"/>
              <w:ind w:right="16"/>
              <w:jc w:val="right"/>
              <w:rPr>
                <w:rFonts w:ascii="Arial" w:hAnsi="Arial" w:cs="Arial" w:eastAsia="Arial" w:hint="default"/>
                <w:sz w:val="18"/>
                <w:szCs w:val="18"/>
              </w:rPr>
            </w:pPr>
            <w:r>
              <w:rPr>
                <w:rFonts w:ascii="Arial"/>
                <w:spacing w:val="-1"/>
                <w:sz w:val="18"/>
              </w:rPr>
              <w:t>9,514.9</w:t>
            </w:r>
          </w:p>
          <w:p>
            <w:pPr>
              <w:pStyle w:val="TableParagraph"/>
              <w:spacing w:line="240" w:lineRule="auto" w:before="105"/>
              <w:ind w:right="17"/>
              <w:jc w:val="right"/>
              <w:rPr>
                <w:rFonts w:ascii="Arial" w:hAnsi="Arial" w:cs="Arial" w:eastAsia="Arial" w:hint="default"/>
                <w:sz w:val="18"/>
                <w:szCs w:val="18"/>
              </w:rPr>
            </w:pPr>
            <w:r>
              <w:rPr>
                <w:rFonts w:ascii="Arial"/>
                <w:w w:val="99"/>
                <w:sz w:val="18"/>
              </w:rPr>
              <w:t>6</w:t>
            </w:r>
            <w:r>
              <w:rPr>
                <w:rFonts w:ascii="Arial"/>
                <w:sz w:val="18"/>
              </w:rPr>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454,171.</w:t>
            </w:r>
          </w:p>
          <w:p>
            <w:pPr>
              <w:pStyle w:val="TableParagraph"/>
              <w:spacing w:line="240" w:lineRule="auto" w:before="105"/>
              <w:ind w:right="19"/>
              <w:jc w:val="right"/>
              <w:rPr>
                <w:rFonts w:ascii="Arial" w:hAnsi="Arial" w:cs="Arial" w:eastAsia="Arial" w:hint="default"/>
                <w:sz w:val="18"/>
                <w:szCs w:val="18"/>
              </w:rPr>
            </w:pPr>
            <w:r>
              <w:rPr>
                <w:rFonts w:ascii="Arial"/>
                <w:w w:val="95"/>
                <w:sz w:val="18"/>
              </w:rPr>
              <w:t>27</w:t>
            </w:r>
            <w:r>
              <w:rPr>
                <w:rFonts w:ascii="Arial"/>
                <w:sz w:val="18"/>
              </w:rPr>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left"/>
              <w:rPr>
                <w:rFonts w:ascii="Arial" w:hAnsi="Arial" w:cs="Arial" w:eastAsia="Arial" w:hint="default"/>
                <w:sz w:val="18"/>
                <w:szCs w:val="18"/>
              </w:rPr>
            </w:pPr>
            <w:r>
              <w:rPr>
                <w:rFonts w:ascii="Arial"/>
                <w:sz w:val="18"/>
              </w:rPr>
              <w:t>224,347,9</w:t>
            </w:r>
          </w:p>
          <w:p>
            <w:pPr>
              <w:pStyle w:val="TableParagraph"/>
              <w:spacing w:line="240" w:lineRule="auto" w:before="105"/>
              <w:ind w:left="410" w:right="0"/>
              <w:jc w:val="left"/>
              <w:rPr>
                <w:rFonts w:ascii="Arial" w:hAnsi="Arial" w:cs="Arial" w:eastAsia="Arial" w:hint="default"/>
                <w:sz w:val="18"/>
                <w:szCs w:val="18"/>
              </w:rPr>
            </w:pPr>
            <w:r>
              <w:rPr>
                <w:rFonts w:ascii="Arial"/>
                <w:sz w:val="18"/>
              </w:rPr>
              <w:t>54.49</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6" w:right="0"/>
              <w:jc w:val="left"/>
              <w:rPr>
                <w:rFonts w:ascii="Arial" w:hAnsi="Arial" w:cs="Arial" w:eastAsia="Arial" w:hint="default"/>
                <w:sz w:val="18"/>
                <w:szCs w:val="18"/>
              </w:rPr>
            </w:pPr>
            <w:r>
              <w:rPr>
                <w:rFonts w:ascii="Arial"/>
                <w:sz w:val="18"/>
              </w:rPr>
              <w:t>72,800,</w:t>
            </w:r>
          </w:p>
          <w:p>
            <w:pPr>
              <w:pStyle w:val="TableParagraph"/>
              <w:spacing w:line="240" w:lineRule="auto" w:before="105"/>
              <w:ind w:left="106" w:right="0"/>
              <w:jc w:val="left"/>
              <w:rPr>
                <w:rFonts w:ascii="Arial" w:hAnsi="Arial" w:cs="Arial" w:eastAsia="Arial" w:hint="default"/>
                <w:sz w:val="18"/>
                <w:szCs w:val="18"/>
              </w:rPr>
            </w:pPr>
            <w:r>
              <w:rPr>
                <w:rFonts w:ascii="Arial"/>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5" w:right="0"/>
              <w:jc w:val="left"/>
              <w:rPr>
                <w:rFonts w:ascii="Arial" w:hAnsi="Arial" w:cs="Arial" w:eastAsia="Arial" w:hint="default"/>
                <w:sz w:val="18"/>
                <w:szCs w:val="18"/>
              </w:rPr>
            </w:pPr>
            <w:r>
              <w:rPr>
                <w:rFonts w:ascii="Arial"/>
                <w:sz w:val="18"/>
              </w:rPr>
              <w:t>33,167,</w:t>
            </w:r>
          </w:p>
          <w:p>
            <w:pPr>
              <w:pStyle w:val="TableParagraph"/>
              <w:spacing w:line="240" w:lineRule="auto" w:before="105"/>
              <w:ind w:left="105" w:right="0"/>
              <w:jc w:val="left"/>
              <w:rPr>
                <w:rFonts w:ascii="Arial" w:hAnsi="Arial" w:cs="Arial" w:eastAsia="Arial" w:hint="default"/>
                <w:sz w:val="18"/>
                <w:szCs w:val="18"/>
              </w:rPr>
            </w:pPr>
            <w:r>
              <w:rPr>
                <w:rFonts w:ascii="Arial"/>
                <w:sz w:val="18"/>
              </w:rPr>
              <w:t>482.80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3" w:right="0"/>
              <w:jc w:val="left"/>
              <w:rPr>
                <w:rFonts w:ascii="Arial" w:hAnsi="Arial" w:cs="Arial" w:eastAsia="Arial" w:hint="default"/>
                <w:sz w:val="18"/>
                <w:szCs w:val="18"/>
              </w:rPr>
            </w:pPr>
            <w:r>
              <w:rPr>
                <w:rFonts w:ascii="Arial"/>
                <w:sz w:val="18"/>
              </w:rPr>
              <w:t>14,076,</w:t>
            </w:r>
          </w:p>
          <w:p>
            <w:pPr>
              <w:pStyle w:val="TableParagraph"/>
              <w:spacing w:line="240" w:lineRule="auto" w:before="105"/>
              <w:ind w:left="103" w:right="0"/>
              <w:jc w:val="left"/>
              <w:rPr>
                <w:rFonts w:ascii="Arial" w:hAnsi="Arial" w:cs="Arial" w:eastAsia="Arial" w:hint="default"/>
                <w:sz w:val="18"/>
                <w:szCs w:val="18"/>
              </w:rPr>
            </w:pPr>
            <w:r>
              <w:rPr>
                <w:rFonts w:ascii="Arial"/>
                <w:sz w:val="18"/>
              </w:rPr>
              <w:t>785.46</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103,84</w:t>
            </w:r>
          </w:p>
          <w:p>
            <w:pPr>
              <w:pStyle w:val="TableParagraph"/>
              <w:spacing w:line="240" w:lineRule="auto" w:before="105"/>
              <w:ind w:right="16"/>
              <w:jc w:val="right"/>
              <w:rPr>
                <w:rFonts w:ascii="Arial" w:hAnsi="Arial" w:cs="Arial" w:eastAsia="Arial" w:hint="default"/>
                <w:sz w:val="18"/>
                <w:szCs w:val="18"/>
              </w:rPr>
            </w:pPr>
            <w:r>
              <w:rPr>
                <w:rFonts w:ascii="Arial"/>
                <w:spacing w:val="-1"/>
                <w:sz w:val="18"/>
              </w:rPr>
              <w:t>9,514.9</w:t>
            </w:r>
          </w:p>
          <w:p>
            <w:pPr>
              <w:pStyle w:val="TableParagraph"/>
              <w:spacing w:line="240" w:lineRule="auto" w:before="105"/>
              <w:ind w:right="17"/>
              <w:jc w:val="right"/>
              <w:rPr>
                <w:rFonts w:ascii="Arial" w:hAnsi="Arial" w:cs="Arial" w:eastAsia="Arial" w:hint="default"/>
                <w:sz w:val="18"/>
                <w:szCs w:val="18"/>
              </w:rPr>
            </w:pPr>
            <w:r>
              <w:rPr>
                <w:rFonts w:ascii="Arial"/>
                <w:w w:val="99"/>
                <w:sz w:val="18"/>
              </w:rPr>
              <w:t>6</w:t>
            </w:r>
            <w:r>
              <w:rPr>
                <w:rFonts w:ascii="Arial"/>
                <w:sz w:val="18"/>
              </w:rPr>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454,171.</w:t>
            </w:r>
          </w:p>
          <w:p>
            <w:pPr>
              <w:pStyle w:val="TableParagraph"/>
              <w:spacing w:line="240" w:lineRule="auto" w:before="105"/>
              <w:ind w:right="19"/>
              <w:jc w:val="right"/>
              <w:rPr>
                <w:rFonts w:ascii="Arial" w:hAnsi="Arial" w:cs="Arial" w:eastAsia="Arial" w:hint="default"/>
                <w:sz w:val="18"/>
                <w:szCs w:val="18"/>
              </w:rPr>
            </w:pPr>
            <w:r>
              <w:rPr>
                <w:rFonts w:ascii="Arial"/>
                <w:w w:val="95"/>
                <w:sz w:val="18"/>
              </w:rPr>
              <w:t>27</w:t>
            </w:r>
            <w:r>
              <w:rPr>
                <w:rFonts w:ascii="Arial"/>
                <w:sz w:val="18"/>
              </w:rPr>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left"/>
              <w:rPr>
                <w:rFonts w:ascii="Arial" w:hAnsi="Arial" w:cs="Arial" w:eastAsia="Arial" w:hint="default"/>
                <w:sz w:val="18"/>
                <w:szCs w:val="18"/>
              </w:rPr>
            </w:pPr>
            <w:r>
              <w:rPr>
                <w:rFonts w:ascii="Arial"/>
                <w:sz w:val="18"/>
              </w:rPr>
              <w:t>224,347,9</w:t>
            </w:r>
          </w:p>
          <w:p>
            <w:pPr>
              <w:pStyle w:val="TableParagraph"/>
              <w:spacing w:line="240" w:lineRule="auto" w:before="105"/>
              <w:ind w:left="410" w:right="0"/>
              <w:jc w:val="left"/>
              <w:rPr>
                <w:rFonts w:ascii="Arial" w:hAnsi="Arial" w:cs="Arial" w:eastAsia="Arial" w:hint="default"/>
                <w:sz w:val="18"/>
                <w:szCs w:val="18"/>
              </w:rPr>
            </w:pPr>
            <w:r>
              <w:rPr>
                <w:rFonts w:ascii="Arial"/>
                <w:sz w:val="18"/>
              </w:rPr>
              <w:t>54.49</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6" w:right="0"/>
              <w:jc w:val="left"/>
              <w:rPr>
                <w:rFonts w:ascii="Arial" w:hAnsi="Arial" w:cs="Arial" w:eastAsia="Arial" w:hint="default"/>
                <w:sz w:val="18"/>
                <w:szCs w:val="18"/>
              </w:rPr>
            </w:pPr>
            <w:r>
              <w:rPr>
                <w:rFonts w:ascii="Arial"/>
                <w:sz w:val="18"/>
              </w:rPr>
              <w:t>25,988,</w:t>
            </w:r>
          </w:p>
          <w:p>
            <w:pPr>
              <w:pStyle w:val="TableParagraph"/>
              <w:spacing w:line="240" w:lineRule="auto" w:before="105"/>
              <w:ind w:left="106" w:right="0"/>
              <w:jc w:val="left"/>
              <w:rPr>
                <w:rFonts w:ascii="Arial" w:hAnsi="Arial" w:cs="Arial" w:eastAsia="Arial" w:hint="default"/>
                <w:sz w:val="18"/>
                <w:szCs w:val="18"/>
              </w:rPr>
            </w:pPr>
            <w:r>
              <w:rPr>
                <w:rFonts w:ascii="Arial"/>
                <w:sz w:val="18"/>
              </w:rPr>
              <w:t>800.00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404,36</w:t>
            </w:r>
          </w:p>
          <w:p>
            <w:pPr>
              <w:pStyle w:val="TableParagraph"/>
              <w:spacing w:line="240" w:lineRule="auto" w:before="105"/>
              <w:ind w:right="18"/>
              <w:jc w:val="right"/>
              <w:rPr>
                <w:rFonts w:ascii="Arial" w:hAnsi="Arial" w:cs="Arial" w:eastAsia="Arial" w:hint="default"/>
                <w:sz w:val="18"/>
                <w:szCs w:val="18"/>
              </w:rPr>
            </w:pPr>
            <w:r>
              <w:rPr>
                <w:rFonts w:ascii="Arial"/>
                <w:spacing w:val="-1"/>
                <w:sz w:val="18"/>
              </w:rPr>
              <w:t>1,016.5</w:t>
            </w:r>
          </w:p>
          <w:p>
            <w:pPr>
              <w:pStyle w:val="TableParagraph"/>
              <w:spacing w:line="240" w:lineRule="auto" w:before="105"/>
              <w:ind w:right="20"/>
              <w:jc w:val="right"/>
              <w:rPr>
                <w:rFonts w:ascii="Arial" w:hAnsi="Arial" w:cs="Arial" w:eastAsia="Arial" w:hint="default"/>
                <w:sz w:val="18"/>
                <w:szCs w:val="18"/>
              </w:rPr>
            </w:pPr>
            <w:r>
              <w:rPr>
                <w:rFonts w:ascii="Arial"/>
                <w:w w:val="99"/>
                <w:sz w:val="18"/>
              </w:rPr>
              <w:t>7</w:t>
            </w:r>
            <w:r>
              <w:rPr>
                <w:rFonts w:ascii="Arial"/>
                <w:sz w:val="18"/>
              </w:rPr>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2" w:right="0"/>
              <w:jc w:val="center"/>
              <w:rPr>
                <w:rFonts w:ascii="Arial" w:hAnsi="Arial" w:cs="Arial" w:eastAsia="Arial" w:hint="default"/>
                <w:sz w:val="18"/>
                <w:szCs w:val="18"/>
              </w:rPr>
            </w:pPr>
            <w:r>
              <w:rPr>
                <w:rFonts w:ascii="Arial"/>
                <w:sz w:val="18"/>
              </w:rPr>
              <w:t>2,787,4</w:t>
            </w:r>
          </w:p>
          <w:p>
            <w:pPr>
              <w:pStyle w:val="TableParagraph"/>
              <w:spacing w:line="240" w:lineRule="auto" w:before="105"/>
              <w:ind w:left="181" w:right="0"/>
              <w:jc w:val="center"/>
              <w:rPr>
                <w:rFonts w:ascii="Arial" w:hAnsi="Arial" w:cs="Arial" w:eastAsia="Arial" w:hint="default"/>
                <w:sz w:val="18"/>
                <w:szCs w:val="18"/>
              </w:rPr>
            </w:pPr>
            <w:r>
              <w:rPr>
                <w:rFonts w:ascii="Arial"/>
                <w:sz w:val="18"/>
              </w:rPr>
              <w:t>78.78</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7" w:right="0"/>
              <w:jc w:val="left"/>
              <w:rPr>
                <w:rFonts w:ascii="Arial" w:hAnsi="Arial" w:cs="Arial" w:eastAsia="Arial" w:hint="default"/>
                <w:sz w:val="18"/>
                <w:szCs w:val="18"/>
              </w:rPr>
            </w:pPr>
            <w:r>
              <w:rPr>
                <w:rFonts w:ascii="Arial"/>
                <w:sz w:val="18"/>
              </w:rPr>
              <w:t>25,312,</w:t>
            </w:r>
          </w:p>
          <w:p>
            <w:pPr>
              <w:pStyle w:val="TableParagraph"/>
              <w:spacing w:line="240" w:lineRule="auto" w:before="105"/>
              <w:ind w:left="107" w:right="0"/>
              <w:jc w:val="left"/>
              <w:rPr>
                <w:rFonts w:ascii="Arial" w:hAnsi="Arial" w:cs="Arial" w:eastAsia="Arial" w:hint="default"/>
                <w:sz w:val="18"/>
                <w:szCs w:val="18"/>
              </w:rPr>
            </w:pPr>
            <w:r>
              <w:rPr>
                <w:rFonts w:ascii="Arial"/>
                <w:sz w:val="18"/>
              </w:rPr>
              <w:t>617.10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659,246.</w:t>
            </w:r>
          </w:p>
          <w:p>
            <w:pPr>
              <w:pStyle w:val="TableParagraph"/>
              <w:spacing w:line="240" w:lineRule="auto" w:before="105"/>
              <w:ind w:right="19"/>
              <w:jc w:val="right"/>
              <w:rPr>
                <w:rFonts w:ascii="Arial" w:hAnsi="Arial" w:cs="Arial" w:eastAsia="Arial" w:hint="default"/>
                <w:sz w:val="18"/>
                <w:szCs w:val="18"/>
              </w:rPr>
            </w:pPr>
            <w:r>
              <w:rPr>
                <w:rFonts w:ascii="Arial"/>
                <w:w w:val="95"/>
                <w:sz w:val="18"/>
              </w:rPr>
              <w:t>82</w:t>
            </w:r>
            <w:r>
              <w:rPr>
                <w:rFonts w:ascii="Arial"/>
                <w:sz w:val="18"/>
              </w:rPr>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left"/>
              <w:rPr>
                <w:rFonts w:ascii="Arial" w:hAnsi="Arial" w:cs="Arial" w:eastAsia="Arial" w:hint="default"/>
                <w:sz w:val="18"/>
                <w:szCs w:val="18"/>
              </w:rPr>
            </w:pPr>
            <w:r>
              <w:rPr>
                <w:rFonts w:ascii="Arial"/>
                <w:sz w:val="18"/>
              </w:rPr>
              <w:t>459,109,1</w:t>
            </w:r>
          </w:p>
          <w:p>
            <w:pPr>
              <w:pStyle w:val="TableParagraph"/>
              <w:spacing w:line="240" w:lineRule="auto" w:before="105"/>
              <w:ind w:left="410" w:right="0"/>
              <w:jc w:val="left"/>
              <w:rPr>
                <w:rFonts w:ascii="Arial" w:hAnsi="Arial" w:cs="Arial" w:eastAsia="Arial" w:hint="default"/>
                <w:sz w:val="18"/>
                <w:szCs w:val="18"/>
              </w:rPr>
            </w:pPr>
            <w:r>
              <w:rPr>
                <w:rFonts w:ascii="Arial"/>
                <w:sz w:val="18"/>
              </w:rPr>
              <w:t>59.27</w:t>
            </w:r>
          </w:p>
        </w:tc>
      </w:tr>
      <w:tr>
        <w:trPr>
          <w:trHeight w:val="703"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6"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2" w:right="0"/>
              <w:jc w:val="left"/>
              <w:rPr>
                <w:rFonts w:ascii="Arial" w:hAnsi="Arial" w:cs="Arial" w:eastAsia="Arial" w:hint="default"/>
                <w:sz w:val="18"/>
                <w:szCs w:val="18"/>
              </w:rPr>
            </w:pPr>
            <w:r>
              <w:rPr>
                <w:rFonts w:ascii="Arial"/>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0"/>
              <w:ind w:left="57" w:right="0"/>
              <w:jc w:val="left"/>
              <w:rPr>
                <w:rFonts w:ascii="Arial" w:hAnsi="Arial" w:cs="Arial" w:eastAsia="Arial" w:hint="default"/>
                <w:sz w:val="18"/>
                <w:szCs w:val="18"/>
              </w:rPr>
            </w:pPr>
            <w:r>
              <w:rPr>
                <w:rFonts w:ascii="Arial"/>
                <w:sz w:val="18"/>
              </w:rPr>
              <w:t>47,516,</w:t>
            </w:r>
          </w:p>
          <w:p>
            <w:pPr>
              <w:pStyle w:val="TableParagraph"/>
              <w:spacing w:line="240" w:lineRule="auto" w:before="105"/>
              <w:ind w:left="107" w:right="0"/>
              <w:jc w:val="left"/>
              <w:rPr>
                <w:rFonts w:ascii="Arial" w:hAnsi="Arial" w:cs="Arial" w:eastAsia="Arial" w:hint="default"/>
                <w:sz w:val="18"/>
                <w:szCs w:val="18"/>
              </w:rPr>
            </w:pPr>
            <w:r>
              <w:rPr>
                <w:rFonts w:ascii="Arial"/>
                <w:sz w:val="18"/>
              </w:rPr>
              <w:t>095.88</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-296,707.</w:t>
            </w:r>
          </w:p>
          <w:p>
            <w:pPr>
              <w:pStyle w:val="TableParagraph"/>
              <w:spacing w:line="240" w:lineRule="auto" w:before="105"/>
              <w:ind w:right="19"/>
              <w:jc w:val="right"/>
              <w:rPr>
                <w:rFonts w:ascii="Arial" w:hAnsi="Arial" w:cs="Arial" w:eastAsia="Arial" w:hint="default"/>
                <w:sz w:val="18"/>
                <w:szCs w:val="18"/>
              </w:rPr>
            </w:pPr>
            <w:r>
              <w:rPr>
                <w:rFonts w:ascii="Arial"/>
                <w:w w:val="95"/>
                <w:sz w:val="18"/>
              </w:rPr>
              <w:t>70</w:t>
            </w:r>
            <w:r>
              <w:rPr>
                <w:rFonts w:ascii="Arial"/>
                <w:sz w:val="18"/>
              </w:rPr>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0"/>
              <w:ind w:left="60" w:right="0"/>
              <w:jc w:val="left"/>
              <w:rPr>
                <w:rFonts w:ascii="Arial" w:hAnsi="Arial" w:cs="Arial" w:eastAsia="Arial" w:hint="default"/>
                <w:sz w:val="18"/>
                <w:szCs w:val="18"/>
              </w:rPr>
            </w:pPr>
            <w:r>
              <w:rPr>
                <w:rFonts w:ascii="Arial"/>
                <w:sz w:val="18"/>
              </w:rPr>
              <w:t>47,219,38</w:t>
            </w:r>
          </w:p>
          <w:p>
            <w:pPr>
              <w:pStyle w:val="TableParagraph"/>
              <w:spacing w:line="240" w:lineRule="auto" w:before="105"/>
              <w:ind w:left="511" w:right="0"/>
              <w:jc w:val="left"/>
              <w:rPr>
                <w:rFonts w:ascii="Arial" w:hAnsi="Arial" w:cs="Arial" w:eastAsia="Arial" w:hint="default"/>
                <w:sz w:val="18"/>
                <w:szCs w:val="18"/>
              </w:rPr>
            </w:pPr>
            <w:r>
              <w:rPr>
                <w:rFonts w:ascii="Arial"/>
                <w:sz w:val="18"/>
              </w:rPr>
              <w:t>8.18</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6"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0"/>
              <w:ind w:left="85" w:right="0"/>
              <w:jc w:val="center"/>
              <w:rPr>
                <w:rFonts w:ascii="Arial" w:hAnsi="Arial" w:cs="Arial" w:eastAsia="Arial" w:hint="default"/>
                <w:sz w:val="18"/>
                <w:szCs w:val="18"/>
              </w:rPr>
            </w:pPr>
            <w:r>
              <w:rPr>
                <w:rFonts w:ascii="Arial"/>
                <w:sz w:val="18"/>
              </w:rPr>
              <w:t>296,04</w:t>
            </w:r>
          </w:p>
          <w:p>
            <w:pPr>
              <w:pStyle w:val="TableParagraph"/>
              <w:spacing w:line="240" w:lineRule="auto" w:before="105"/>
              <w:ind w:left="284" w:right="0"/>
              <w:jc w:val="center"/>
              <w:rPr>
                <w:rFonts w:ascii="Arial" w:hAnsi="Arial" w:cs="Arial" w:eastAsia="Arial" w:hint="default"/>
                <w:sz w:val="18"/>
                <w:szCs w:val="18"/>
              </w:rPr>
            </w:pPr>
            <w:r>
              <w:rPr>
                <w:rFonts w:ascii="Arial"/>
                <w:sz w:val="18"/>
              </w:rPr>
              <w:t>5.48</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2" w:right="0"/>
              <w:jc w:val="left"/>
              <w:rPr>
                <w:rFonts w:ascii="Arial" w:hAnsi="Arial" w:cs="Arial" w:eastAsia="Arial" w:hint="default"/>
                <w:sz w:val="18"/>
                <w:szCs w:val="18"/>
              </w:rPr>
            </w:pPr>
            <w:r>
              <w:rPr>
                <w:rFonts w:ascii="Arial"/>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-296,045.</w:t>
            </w:r>
          </w:p>
          <w:p>
            <w:pPr>
              <w:pStyle w:val="TableParagraph"/>
              <w:spacing w:line="240" w:lineRule="auto" w:before="105"/>
              <w:ind w:right="19"/>
              <w:jc w:val="right"/>
              <w:rPr>
                <w:rFonts w:ascii="Arial" w:hAnsi="Arial" w:cs="Arial" w:eastAsia="Arial" w:hint="default"/>
                <w:sz w:val="18"/>
                <w:szCs w:val="18"/>
              </w:rPr>
            </w:pPr>
            <w:r>
              <w:rPr>
                <w:rFonts w:ascii="Arial"/>
                <w:w w:val="95"/>
                <w:sz w:val="18"/>
              </w:rPr>
              <w:t>48</w:t>
            </w:r>
            <w:r>
              <w:rPr>
                <w:rFonts w:ascii="Arial"/>
                <w:sz w:val="18"/>
              </w:rPr>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11" w:right="0"/>
              <w:jc w:val="left"/>
              <w:rPr>
                <w:rFonts w:ascii="Arial" w:hAnsi="Arial" w:cs="Arial" w:eastAsia="Arial" w:hint="default"/>
                <w:sz w:val="18"/>
                <w:szCs w:val="18"/>
              </w:rPr>
            </w:pPr>
            <w:r>
              <w:rPr>
                <w:rFonts w:ascii="Arial"/>
                <w:sz w:val="18"/>
              </w:rPr>
              <w:t>0.00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6"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center"/>
              <w:rPr>
                <w:rFonts w:ascii="Arial" w:hAnsi="Arial" w:cs="Arial" w:eastAsia="Arial" w:hint="default"/>
                <w:sz w:val="18"/>
                <w:szCs w:val="18"/>
              </w:rPr>
            </w:pPr>
            <w:r>
              <w:rPr>
                <w:rFonts w:ascii="Arial"/>
                <w:sz w:val="18"/>
              </w:rPr>
              <w:t>296,04</w:t>
            </w:r>
          </w:p>
          <w:p>
            <w:pPr>
              <w:pStyle w:val="TableParagraph"/>
              <w:spacing w:line="240" w:lineRule="auto" w:before="105"/>
              <w:ind w:left="284" w:right="0"/>
              <w:jc w:val="center"/>
              <w:rPr>
                <w:rFonts w:ascii="Arial" w:hAnsi="Arial" w:cs="Arial" w:eastAsia="Arial" w:hint="default"/>
                <w:sz w:val="18"/>
                <w:szCs w:val="18"/>
              </w:rPr>
            </w:pPr>
            <w:r>
              <w:rPr>
                <w:rFonts w:ascii="Arial"/>
                <w:sz w:val="18"/>
              </w:rPr>
              <w:t>5.48</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2" w:right="0"/>
              <w:jc w:val="left"/>
              <w:rPr>
                <w:rFonts w:ascii="Arial" w:hAnsi="Arial" w:cs="Arial" w:eastAsia="Arial" w:hint="default"/>
                <w:sz w:val="18"/>
                <w:szCs w:val="18"/>
              </w:rPr>
            </w:pPr>
            <w:r>
              <w:rPr>
                <w:rFonts w:ascii="Arial"/>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Arial" w:hAnsi="Arial" w:cs="Arial" w:eastAsia="Arial" w:hint="default"/>
                <w:sz w:val="18"/>
                <w:szCs w:val="18"/>
              </w:rPr>
            </w:pPr>
            <w:r>
              <w:rPr>
                <w:rFonts w:ascii="Arial"/>
                <w:sz w:val="18"/>
              </w:rPr>
              <w:t>47,516,</w:t>
            </w:r>
          </w:p>
          <w:p>
            <w:pPr>
              <w:pStyle w:val="TableParagraph"/>
              <w:spacing w:line="240" w:lineRule="auto" w:before="105"/>
              <w:ind w:left="107" w:right="0"/>
              <w:jc w:val="left"/>
              <w:rPr>
                <w:rFonts w:ascii="Arial" w:hAnsi="Arial" w:cs="Arial" w:eastAsia="Arial" w:hint="default"/>
                <w:sz w:val="18"/>
                <w:szCs w:val="18"/>
              </w:rPr>
            </w:pPr>
            <w:r>
              <w:rPr>
                <w:rFonts w:ascii="Arial"/>
                <w:sz w:val="18"/>
              </w:rPr>
              <w:t>095.88</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-592,753.</w:t>
            </w:r>
          </w:p>
          <w:p>
            <w:pPr>
              <w:pStyle w:val="TableParagraph"/>
              <w:spacing w:line="240" w:lineRule="auto" w:before="105"/>
              <w:ind w:right="19"/>
              <w:jc w:val="right"/>
              <w:rPr>
                <w:rFonts w:ascii="Arial" w:hAnsi="Arial" w:cs="Arial" w:eastAsia="Arial" w:hint="default"/>
                <w:sz w:val="18"/>
                <w:szCs w:val="18"/>
              </w:rPr>
            </w:pPr>
            <w:r>
              <w:rPr>
                <w:rFonts w:ascii="Arial"/>
                <w:w w:val="95"/>
                <w:sz w:val="18"/>
              </w:rPr>
              <w:t>18</w:t>
            </w:r>
            <w:r>
              <w:rPr>
                <w:rFonts w:ascii="Arial"/>
                <w:sz w:val="18"/>
              </w:rPr>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Arial" w:hAnsi="Arial" w:cs="Arial" w:eastAsia="Arial" w:hint="default"/>
                <w:sz w:val="18"/>
                <w:szCs w:val="18"/>
              </w:rPr>
            </w:pPr>
            <w:r>
              <w:rPr>
                <w:rFonts w:ascii="Arial"/>
                <w:sz w:val="18"/>
              </w:rPr>
              <w:t>47,219,38</w:t>
            </w:r>
          </w:p>
          <w:p>
            <w:pPr>
              <w:pStyle w:val="TableParagraph"/>
              <w:spacing w:line="240" w:lineRule="auto" w:before="105"/>
              <w:ind w:left="511" w:right="0"/>
              <w:jc w:val="left"/>
              <w:rPr>
                <w:rFonts w:ascii="Arial" w:hAnsi="Arial" w:cs="Arial" w:eastAsia="Arial" w:hint="default"/>
                <w:sz w:val="18"/>
                <w:szCs w:val="18"/>
              </w:rPr>
            </w:pPr>
            <w:r>
              <w:rPr>
                <w:rFonts w:ascii="Arial"/>
                <w:sz w:val="18"/>
              </w:rPr>
              <w:t>8.18</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6" w:right="0"/>
              <w:jc w:val="left"/>
              <w:rPr>
                <w:rFonts w:ascii="Arial" w:hAnsi="Arial" w:cs="Arial" w:eastAsia="Arial" w:hint="default"/>
                <w:sz w:val="18"/>
                <w:szCs w:val="18"/>
              </w:rPr>
            </w:pPr>
            <w:r>
              <w:rPr>
                <w:rFonts w:ascii="Arial"/>
                <w:sz w:val="18"/>
              </w:rPr>
              <w:t>25,988,</w:t>
            </w:r>
          </w:p>
          <w:p>
            <w:pPr>
              <w:pStyle w:val="TableParagraph"/>
              <w:spacing w:line="240" w:lineRule="auto" w:before="105"/>
              <w:ind w:left="106" w:right="0"/>
              <w:jc w:val="left"/>
              <w:rPr>
                <w:rFonts w:ascii="Arial" w:hAnsi="Arial" w:cs="Arial" w:eastAsia="Arial" w:hint="default"/>
                <w:sz w:val="18"/>
                <w:szCs w:val="18"/>
              </w:rPr>
            </w:pPr>
            <w:r>
              <w:rPr>
                <w:rFonts w:ascii="Arial"/>
                <w:sz w:val="18"/>
              </w:rPr>
              <w:t>800.00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404,06</w:t>
            </w:r>
          </w:p>
          <w:p>
            <w:pPr>
              <w:pStyle w:val="TableParagraph"/>
              <w:spacing w:line="240" w:lineRule="auto" w:before="105"/>
              <w:ind w:right="18"/>
              <w:jc w:val="right"/>
              <w:rPr>
                <w:rFonts w:ascii="Arial" w:hAnsi="Arial" w:cs="Arial" w:eastAsia="Arial" w:hint="default"/>
                <w:sz w:val="18"/>
                <w:szCs w:val="18"/>
              </w:rPr>
            </w:pPr>
            <w:r>
              <w:rPr>
                <w:rFonts w:ascii="Arial"/>
                <w:spacing w:val="-1"/>
                <w:sz w:val="18"/>
              </w:rPr>
              <w:t>4,971.0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9</w:t>
            </w:r>
            <w:r>
              <w:rPr>
                <w:rFonts w:ascii="Arial"/>
                <w:sz w:val="18"/>
              </w:rPr>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Arial" w:hAnsi="Arial" w:cs="Arial" w:eastAsia="Arial" w:hint="default"/>
                <w:sz w:val="18"/>
                <w:szCs w:val="18"/>
              </w:rPr>
            </w:pPr>
            <w:r>
              <w:rPr>
                <w:rFonts w:ascii="Arial"/>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7" w:right="0"/>
              <w:jc w:val="left"/>
              <w:rPr>
                <w:rFonts w:ascii="Arial" w:hAnsi="Arial" w:cs="Arial" w:eastAsia="Arial" w:hint="default"/>
                <w:sz w:val="18"/>
                <w:szCs w:val="18"/>
              </w:rPr>
            </w:pPr>
            <w:r>
              <w:rPr>
                <w:rFonts w:ascii="Arial"/>
                <w:sz w:val="18"/>
              </w:rPr>
              <w:t>0.00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3" w:right="0"/>
              <w:jc w:val="left"/>
              <w:rPr>
                <w:rFonts w:ascii="Arial" w:hAnsi="Arial" w:cs="Arial" w:eastAsia="Arial" w:hint="default"/>
                <w:sz w:val="18"/>
                <w:szCs w:val="18"/>
              </w:rPr>
            </w:pPr>
            <w:r>
              <w:rPr>
                <w:rFonts w:ascii="Arial"/>
                <w:sz w:val="18"/>
              </w:rPr>
              <w:t>1,252,00</w:t>
            </w:r>
          </w:p>
          <w:p>
            <w:pPr>
              <w:pStyle w:val="TableParagraph"/>
              <w:spacing w:line="240" w:lineRule="auto" w:before="105"/>
              <w:ind w:left="434" w:right="0"/>
              <w:jc w:val="left"/>
              <w:rPr>
                <w:rFonts w:ascii="Arial" w:hAnsi="Arial" w:cs="Arial" w:eastAsia="Arial" w:hint="default"/>
                <w:sz w:val="18"/>
                <w:szCs w:val="18"/>
              </w:rPr>
            </w:pPr>
            <w:r>
              <w:rPr>
                <w:rFonts w:ascii="Arial"/>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left"/>
              <w:rPr>
                <w:rFonts w:ascii="Arial" w:hAnsi="Arial" w:cs="Arial" w:eastAsia="Arial" w:hint="default"/>
                <w:sz w:val="18"/>
                <w:szCs w:val="18"/>
              </w:rPr>
            </w:pPr>
            <w:r>
              <w:rPr>
                <w:rFonts w:ascii="Arial"/>
                <w:sz w:val="18"/>
              </w:rPr>
              <w:t>431,305,7</w:t>
            </w:r>
          </w:p>
          <w:p>
            <w:pPr>
              <w:pStyle w:val="TableParagraph"/>
              <w:spacing w:line="240" w:lineRule="auto" w:before="105"/>
              <w:ind w:left="410" w:right="0"/>
              <w:jc w:val="left"/>
              <w:rPr>
                <w:rFonts w:ascii="Arial" w:hAnsi="Arial" w:cs="Arial" w:eastAsia="Arial" w:hint="default"/>
                <w:sz w:val="18"/>
                <w:szCs w:val="18"/>
              </w:rPr>
            </w:pPr>
            <w:r>
              <w:rPr>
                <w:rFonts w:ascii="Arial"/>
                <w:sz w:val="18"/>
              </w:rPr>
              <w:t>71.09</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6" w:right="0"/>
              <w:jc w:val="left"/>
              <w:rPr>
                <w:rFonts w:ascii="Arial" w:hAnsi="Arial" w:cs="Arial" w:eastAsia="Arial" w:hint="default"/>
                <w:sz w:val="18"/>
                <w:szCs w:val="18"/>
              </w:rPr>
            </w:pPr>
            <w:r>
              <w:rPr>
                <w:rFonts w:ascii="Arial"/>
                <w:sz w:val="18"/>
              </w:rPr>
              <w:t>25,988,</w:t>
            </w:r>
          </w:p>
          <w:p>
            <w:pPr>
              <w:pStyle w:val="TableParagraph"/>
              <w:spacing w:line="240" w:lineRule="auto" w:before="105"/>
              <w:ind w:left="106" w:right="0"/>
              <w:jc w:val="left"/>
              <w:rPr>
                <w:rFonts w:ascii="Arial" w:hAnsi="Arial" w:cs="Arial" w:eastAsia="Arial" w:hint="default"/>
                <w:sz w:val="18"/>
                <w:szCs w:val="18"/>
              </w:rPr>
            </w:pPr>
            <w:r>
              <w:rPr>
                <w:rFonts w:ascii="Arial"/>
                <w:sz w:val="18"/>
              </w:rPr>
              <w:t>800.00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403,91</w:t>
            </w:r>
          </w:p>
          <w:p>
            <w:pPr>
              <w:pStyle w:val="TableParagraph"/>
              <w:spacing w:line="240" w:lineRule="auto" w:before="105"/>
              <w:ind w:right="18"/>
              <w:jc w:val="right"/>
              <w:rPr>
                <w:rFonts w:ascii="Arial" w:hAnsi="Arial" w:cs="Arial" w:eastAsia="Arial" w:hint="default"/>
                <w:sz w:val="18"/>
                <w:szCs w:val="18"/>
              </w:rPr>
            </w:pPr>
            <w:r>
              <w:rPr>
                <w:rFonts w:ascii="Arial"/>
                <w:spacing w:val="-1"/>
                <w:sz w:val="18"/>
              </w:rPr>
              <w:t>7,630.0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Arial" w:hAnsi="Arial" w:cs="Arial" w:eastAsia="Arial" w:hint="default"/>
                <w:sz w:val="18"/>
                <w:szCs w:val="18"/>
              </w:rPr>
            </w:pPr>
            <w:r>
              <w:rPr>
                <w:rFonts w:ascii="Arial"/>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7" w:right="0"/>
              <w:jc w:val="left"/>
              <w:rPr>
                <w:rFonts w:ascii="Arial" w:hAnsi="Arial" w:cs="Arial" w:eastAsia="Arial" w:hint="default"/>
                <w:sz w:val="18"/>
                <w:szCs w:val="18"/>
              </w:rPr>
            </w:pPr>
            <w:r>
              <w:rPr>
                <w:rFonts w:ascii="Arial"/>
                <w:sz w:val="18"/>
              </w:rPr>
              <w:t>0.00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3" w:right="0"/>
              <w:jc w:val="left"/>
              <w:rPr>
                <w:rFonts w:ascii="Arial" w:hAnsi="Arial" w:cs="Arial" w:eastAsia="Arial" w:hint="default"/>
                <w:sz w:val="18"/>
                <w:szCs w:val="18"/>
              </w:rPr>
            </w:pPr>
            <w:r>
              <w:rPr>
                <w:rFonts w:ascii="Arial"/>
                <w:sz w:val="18"/>
              </w:rPr>
              <w:t>1,252,00</w:t>
            </w:r>
          </w:p>
          <w:p>
            <w:pPr>
              <w:pStyle w:val="TableParagraph"/>
              <w:spacing w:line="240" w:lineRule="auto" w:before="105"/>
              <w:ind w:left="434" w:right="0"/>
              <w:jc w:val="left"/>
              <w:rPr>
                <w:rFonts w:ascii="Arial" w:hAnsi="Arial" w:cs="Arial" w:eastAsia="Arial" w:hint="default"/>
                <w:sz w:val="18"/>
                <w:szCs w:val="18"/>
              </w:rPr>
            </w:pPr>
            <w:r>
              <w:rPr>
                <w:rFonts w:ascii="Arial"/>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left"/>
              <w:rPr>
                <w:rFonts w:ascii="Arial" w:hAnsi="Arial" w:cs="Arial" w:eastAsia="Arial" w:hint="default"/>
                <w:sz w:val="18"/>
                <w:szCs w:val="18"/>
              </w:rPr>
            </w:pPr>
            <w:r>
              <w:rPr>
                <w:rFonts w:ascii="Arial"/>
                <w:sz w:val="18"/>
              </w:rPr>
              <w:t>431,158,4</w:t>
            </w:r>
          </w:p>
          <w:p>
            <w:pPr>
              <w:pStyle w:val="TableParagraph"/>
              <w:spacing w:line="240" w:lineRule="auto" w:before="105"/>
              <w:ind w:left="410" w:right="0"/>
              <w:jc w:val="left"/>
              <w:rPr>
                <w:rFonts w:ascii="Arial" w:hAnsi="Arial" w:cs="Arial" w:eastAsia="Arial" w:hint="default"/>
                <w:sz w:val="18"/>
                <w:szCs w:val="18"/>
              </w:rPr>
            </w:pPr>
            <w:r>
              <w:rPr>
                <w:rFonts w:ascii="Arial"/>
                <w:sz w:val="18"/>
              </w:rPr>
              <w:t>30.00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22" w:right="69"/>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5" w:right="0"/>
              <w:jc w:val="center"/>
              <w:rPr>
                <w:rFonts w:ascii="Arial" w:hAnsi="Arial" w:cs="Arial" w:eastAsia="Arial" w:hint="default"/>
                <w:sz w:val="18"/>
                <w:szCs w:val="18"/>
              </w:rPr>
            </w:pPr>
            <w:r>
              <w:rPr>
                <w:rFonts w:ascii="Arial"/>
                <w:sz w:val="18"/>
              </w:rPr>
              <w:t>147,34</w:t>
            </w:r>
          </w:p>
          <w:p>
            <w:pPr>
              <w:pStyle w:val="TableParagraph"/>
              <w:spacing w:line="240" w:lineRule="auto" w:before="105"/>
              <w:ind w:left="284" w:right="0"/>
              <w:jc w:val="center"/>
              <w:rPr>
                <w:rFonts w:ascii="Arial" w:hAnsi="Arial" w:cs="Arial" w:eastAsia="Arial" w:hint="default"/>
                <w:sz w:val="18"/>
                <w:szCs w:val="18"/>
              </w:rPr>
            </w:pPr>
            <w:r>
              <w:rPr>
                <w:rFonts w:ascii="Arial"/>
                <w:sz w:val="18"/>
              </w:rPr>
              <w:t>1.09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147,341.0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9</w:t>
            </w:r>
            <w:r>
              <w:rPr>
                <w:rFonts w:ascii="Arial"/>
                <w:sz w:val="18"/>
              </w:rPr>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2" w:right="0"/>
              <w:jc w:val="center"/>
              <w:rPr>
                <w:rFonts w:ascii="Arial" w:hAnsi="Arial" w:cs="Arial" w:eastAsia="Arial" w:hint="default"/>
                <w:sz w:val="18"/>
                <w:szCs w:val="18"/>
              </w:rPr>
            </w:pPr>
            <w:r>
              <w:rPr>
                <w:rFonts w:ascii="Arial"/>
                <w:sz w:val="18"/>
              </w:rPr>
              <w:t>2,787,4</w:t>
            </w:r>
          </w:p>
          <w:p>
            <w:pPr>
              <w:pStyle w:val="TableParagraph"/>
              <w:spacing w:line="240" w:lineRule="auto" w:before="105"/>
              <w:ind w:left="181" w:right="0"/>
              <w:jc w:val="center"/>
              <w:rPr>
                <w:rFonts w:ascii="Arial" w:hAnsi="Arial" w:cs="Arial" w:eastAsia="Arial" w:hint="default"/>
                <w:sz w:val="18"/>
                <w:szCs w:val="18"/>
              </w:rPr>
            </w:pPr>
            <w:r>
              <w:rPr>
                <w:rFonts w:ascii="Arial"/>
                <w:sz w:val="18"/>
              </w:rPr>
              <w:t>78.78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7" w:right="0"/>
              <w:jc w:val="left"/>
              <w:rPr>
                <w:rFonts w:ascii="Arial" w:hAnsi="Arial" w:cs="Arial" w:eastAsia="Arial" w:hint="default"/>
                <w:sz w:val="18"/>
                <w:szCs w:val="18"/>
              </w:rPr>
            </w:pPr>
            <w:r>
              <w:rPr>
                <w:rFonts w:ascii="Arial"/>
                <w:sz w:val="18"/>
              </w:rPr>
              <w:t>-22,203</w:t>
            </w:r>
          </w:p>
          <w:p>
            <w:pPr>
              <w:pStyle w:val="TableParagraph"/>
              <w:spacing w:line="240" w:lineRule="auto" w:before="105"/>
              <w:ind w:left="57" w:right="0"/>
              <w:jc w:val="left"/>
              <w:rPr>
                <w:rFonts w:ascii="Arial" w:hAnsi="Arial" w:cs="Arial" w:eastAsia="Arial" w:hint="default"/>
                <w:sz w:val="18"/>
                <w:szCs w:val="18"/>
              </w:rPr>
            </w:pPr>
            <w:r>
              <w:rPr>
                <w:rFonts w:ascii="Arial"/>
                <w:sz w:val="18"/>
              </w:rPr>
              <w:t>,478.78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Arial" w:hAnsi="Arial" w:cs="Arial" w:eastAsia="Arial" w:hint="default"/>
                <w:sz w:val="18"/>
                <w:szCs w:val="18"/>
              </w:rPr>
            </w:pPr>
            <w:r>
              <w:rPr>
                <w:rFonts w:ascii="Arial"/>
                <w:sz w:val="18"/>
              </w:rPr>
              <w:t>-19,416,0</w:t>
            </w:r>
          </w:p>
          <w:p>
            <w:pPr>
              <w:pStyle w:val="TableParagraph"/>
              <w:spacing w:line="240" w:lineRule="auto" w:before="105"/>
              <w:ind w:left="410" w:right="0"/>
              <w:jc w:val="left"/>
              <w:rPr>
                <w:rFonts w:ascii="Arial" w:hAnsi="Arial" w:cs="Arial" w:eastAsia="Arial" w:hint="default"/>
                <w:sz w:val="18"/>
                <w:szCs w:val="18"/>
              </w:rPr>
            </w:pPr>
            <w:r>
              <w:rPr>
                <w:rFonts w:ascii="Arial"/>
                <w:sz w:val="18"/>
              </w:rPr>
              <w:t>00.00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center"/>
              <w:rPr>
                <w:rFonts w:ascii="Arial" w:hAnsi="Arial" w:cs="Arial" w:eastAsia="Arial" w:hint="default"/>
                <w:sz w:val="18"/>
                <w:szCs w:val="18"/>
              </w:rPr>
            </w:pPr>
            <w:r>
              <w:rPr>
                <w:rFonts w:ascii="Arial"/>
                <w:sz w:val="18"/>
              </w:rPr>
              <w:t>2,787,4</w:t>
            </w:r>
          </w:p>
          <w:p>
            <w:pPr>
              <w:pStyle w:val="TableParagraph"/>
              <w:spacing w:line="240" w:lineRule="auto" w:before="102"/>
              <w:ind w:left="181" w:right="0"/>
              <w:jc w:val="center"/>
              <w:rPr>
                <w:rFonts w:ascii="Arial" w:hAnsi="Arial" w:cs="Arial" w:eastAsia="Arial" w:hint="default"/>
                <w:sz w:val="18"/>
                <w:szCs w:val="18"/>
              </w:rPr>
            </w:pPr>
            <w:r>
              <w:rPr>
                <w:rFonts w:ascii="Arial"/>
                <w:sz w:val="18"/>
              </w:rPr>
              <w:t>78.78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5" w:right="0"/>
              <w:jc w:val="left"/>
              <w:rPr>
                <w:rFonts w:ascii="Arial" w:hAnsi="Arial" w:cs="Arial" w:eastAsia="Arial" w:hint="default"/>
                <w:sz w:val="18"/>
                <w:szCs w:val="18"/>
              </w:rPr>
            </w:pPr>
            <w:r>
              <w:rPr>
                <w:rFonts w:ascii="Arial"/>
                <w:sz w:val="18"/>
              </w:rPr>
              <w:t>-2,787,</w:t>
            </w:r>
          </w:p>
          <w:p>
            <w:pPr>
              <w:pStyle w:val="TableParagraph"/>
              <w:spacing w:line="240" w:lineRule="auto" w:before="102"/>
              <w:ind w:left="107" w:right="0"/>
              <w:jc w:val="left"/>
              <w:rPr>
                <w:rFonts w:ascii="Arial" w:hAnsi="Arial" w:cs="Arial" w:eastAsia="Arial" w:hint="default"/>
                <w:sz w:val="18"/>
                <w:szCs w:val="18"/>
              </w:rPr>
            </w:pPr>
            <w:r>
              <w:rPr>
                <w:rFonts w:ascii="Arial"/>
                <w:sz w:val="18"/>
              </w:rPr>
              <w:t>478.78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9"/>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 w:right="0"/>
              <w:jc w:val="left"/>
              <w:rPr>
                <w:rFonts w:ascii="Arial" w:hAnsi="Arial" w:cs="Arial" w:eastAsia="Arial" w:hint="default"/>
                <w:sz w:val="18"/>
                <w:szCs w:val="18"/>
              </w:rPr>
            </w:pPr>
            <w:r>
              <w:rPr>
                <w:rFonts w:ascii="Arial"/>
                <w:sz w:val="18"/>
              </w:rPr>
              <w:t>-19,416</w:t>
            </w:r>
          </w:p>
          <w:p>
            <w:pPr>
              <w:pStyle w:val="TableParagraph"/>
              <w:spacing w:line="240" w:lineRule="auto" w:before="102"/>
              <w:ind w:left="57" w:right="0"/>
              <w:jc w:val="left"/>
              <w:rPr>
                <w:rFonts w:ascii="Arial" w:hAnsi="Arial" w:cs="Arial" w:eastAsia="Arial" w:hint="default"/>
                <w:sz w:val="18"/>
                <w:szCs w:val="18"/>
              </w:rPr>
            </w:pPr>
            <w:r>
              <w:rPr>
                <w:rFonts w:ascii="Arial"/>
                <w:sz w:val="18"/>
              </w:rPr>
              <w:t>,000.00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Arial" w:hAnsi="Arial" w:cs="Arial" w:eastAsia="Arial" w:hint="default"/>
                <w:sz w:val="18"/>
                <w:szCs w:val="18"/>
              </w:rPr>
            </w:pPr>
            <w:r>
              <w:rPr>
                <w:rFonts w:ascii="Arial"/>
                <w:sz w:val="18"/>
              </w:rPr>
              <w:t>-19,416,0</w:t>
            </w:r>
          </w:p>
          <w:p>
            <w:pPr>
              <w:pStyle w:val="TableParagraph"/>
              <w:spacing w:line="240" w:lineRule="auto" w:before="102"/>
              <w:ind w:left="410" w:right="0"/>
              <w:jc w:val="left"/>
              <w:rPr>
                <w:rFonts w:ascii="Arial" w:hAnsi="Arial" w:cs="Arial" w:eastAsia="Arial" w:hint="default"/>
                <w:sz w:val="18"/>
                <w:szCs w:val="18"/>
              </w:rPr>
            </w:pPr>
            <w:r>
              <w:rPr>
                <w:rFonts w:ascii="Arial"/>
                <w:sz w:val="18"/>
              </w:rPr>
              <w:t>00.00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22" w:right="69"/>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9"/>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 w:right="0"/>
              <w:jc w:val="left"/>
              <w:rPr>
                <w:rFonts w:ascii="Arial" w:hAnsi="Arial" w:cs="Arial" w:eastAsia="Arial" w:hint="default"/>
                <w:sz w:val="18"/>
                <w:szCs w:val="18"/>
              </w:rPr>
            </w:pPr>
            <w:r>
              <w:rPr>
                <w:rFonts w:ascii="Arial"/>
                <w:sz w:val="18"/>
              </w:rPr>
              <w:t>98,788,</w:t>
            </w:r>
          </w:p>
          <w:p>
            <w:pPr>
              <w:pStyle w:val="TableParagraph"/>
              <w:spacing w:line="240" w:lineRule="auto" w:before="105"/>
              <w:ind w:left="103" w:right="0"/>
              <w:jc w:val="left"/>
              <w:rPr>
                <w:rFonts w:ascii="Arial" w:hAnsi="Arial" w:cs="Arial" w:eastAsia="Arial" w:hint="default"/>
                <w:sz w:val="18"/>
                <w:szCs w:val="18"/>
              </w:rPr>
            </w:pPr>
            <w:r>
              <w:rPr>
                <w:rFonts w:ascii="Arial"/>
                <w:sz w:val="18"/>
              </w:rPr>
              <w:t>800.00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437,52</w:t>
            </w:r>
          </w:p>
          <w:p>
            <w:pPr>
              <w:pStyle w:val="TableParagraph"/>
              <w:spacing w:line="240" w:lineRule="auto" w:before="105"/>
              <w:ind w:right="18"/>
              <w:jc w:val="right"/>
              <w:rPr>
                <w:rFonts w:ascii="Arial" w:hAnsi="Arial" w:cs="Arial" w:eastAsia="Arial" w:hint="default"/>
                <w:sz w:val="18"/>
                <w:szCs w:val="18"/>
              </w:rPr>
            </w:pPr>
            <w:r>
              <w:rPr>
                <w:rFonts w:ascii="Arial"/>
                <w:spacing w:val="-1"/>
                <w:sz w:val="18"/>
              </w:rPr>
              <w:t>8,499.3</w:t>
            </w:r>
          </w:p>
          <w:p>
            <w:pPr>
              <w:pStyle w:val="TableParagraph"/>
              <w:spacing w:line="240" w:lineRule="auto" w:before="105"/>
              <w:ind w:right="20"/>
              <w:jc w:val="right"/>
              <w:rPr>
                <w:rFonts w:ascii="Arial" w:hAnsi="Arial" w:cs="Arial" w:eastAsia="Arial" w:hint="default"/>
                <w:sz w:val="18"/>
                <w:szCs w:val="18"/>
              </w:rPr>
            </w:pPr>
            <w:r>
              <w:rPr>
                <w:rFonts w:ascii="Arial"/>
                <w:w w:val="99"/>
                <w:sz w:val="18"/>
              </w:rPr>
              <w:t>7</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3" w:right="0"/>
              <w:jc w:val="left"/>
              <w:rPr>
                <w:rFonts w:ascii="Arial" w:hAnsi="Arial" w:cs="Arial" w:eastAsia="Arial" w:hint="default"/>
                <w:sz w:val="18"/>
                <w:szCs w:val="18"/>
              </w:rPr>
            </w:pPr>
            <w:r>
              <w:rPr>
                <w:rFonts w:ascii="Arial"/>
                <w:sz w:val="18"/>
              </w:rPr>
              <w:t>16,864,</w:t>
            </w:r>
          </w:p>
          <w:p>
            <w:pPr>
              <w:pStyle w:val="TableParagraph"/>
              <w:spacing w:line="240" w:lineRule="auto" w:before="105"/>
              <w:ind w:left="103" w:right="0"/>
              <w:jc w:val="left"/>
              <w:rPr>
                <w:rFonts w:ascii="Arial" w:hAnsi="Arial" w:cs="Arial" w:eastAsia="Arial" w:hint="default"/>
                <w:sz w:val="18"/>
                <w:szCs w:val="18"/>
              </w:rPr>
            </w:pPr>
            <w:r>
              <w:rPr>
                <w:rFonts w:ascii="Arial"/>
                <w:sz w:val="18"/>
              </w:rPr>
              <w:t>264.24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129,16</w:t>
            </w:r>
          </w:p>
          <w:p>
            <w:pPr>
              <w:pStyle w:val="TableParagraph"/>
              <w:spacing w:line="240" w:lineRule="auto" w:before="105"/>
              <w:ind w:right="16"/>
              <w:jc w:val="right"/>
              <w:rPr>
                <w:rFonts w:ascii="Arial" w:hAnsi="Arial" w:cs="Arial" w:eastAsia="Arial" w:hint="default"/>
                <w:sz w:val="18"/>
                <w:szCs w:val="18"/>
              </w:rPr>
            </w:pPr>
            <w:r>
              <w:rPr>
                <w:rFonts w:ascii="Arial"/>
                <w:spacing w:val="-1"/>
                <w:sz w:val="18"/>
              </w:rPr>
              <w:t>2,132.0</w:t>
            </w:r>
          </w:p>
          <w:p>
            <w:pPr>
              <w:pStyle w:val="TableParagraph"/>
              <w:spacing w:line="240" w:lineRule="auto" w:before="105"/>
              <w:ind w:right="17"/>
              <w:jc w:val="right"/>
              <w:rPr>
                <w:rFonts w:ascii="Arial" w:hAnsi="Arial" w:cs="Arial" w:eastAsia="Arial" w:hint="default"/>
                <w:sz w:val="18"/>
                <w:szCs w:val="18"/>
              </w:rPr>
            </w:pPr>
            <w:r>
              <w:rPr>
                <w:rFonts w:ascii="Arial"/>
                <w:w w:val="99"/>
                <w:sz w:val="18"/>
              </w:rPr>
              <w:t>6</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1,113,41</w:t>
            </w:r>
          </w:p>
          <w:p>
            <w:pPr>
              <w:pStyle w:val="TableParagraph"/>
              <w:spacing w:line="240" w:lineRule="auto" w:before="105"/>
              <w:ind w:left="434" w:right="0"/>
              <w:jc w:val="left"/>
              <w:rPr>
                <w:rFonts w:ascii="Arial" w:hAnsi="Arial" w:cs="Arial" w:eastAsia="Arial" w:hint="default"/>
                <w:sz w:val="18"/>
                <w:szCs w:val="18"/>
              </w:rPr>
            </w:pPr>
            <w:r>
              <w:rPr>
                <w:rFonts w:ascii="Arial"/>
                <w:sz w:val="18"/>
              </w:rPr>
              <w:t>8.09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4" w:right="0"/>
              <w:jc w:val="left"/>
              <w:rPr>
                <w:rFonts w:ascii="Arial" w:hAnsi="Arial" w:cs="Arial" w:eastAsia="Arial" w:hint="default"/>
                <w:sz w:val="18"/>
                <w:szCs w:val="18"/>
              </w:rPr>
            </w:pPr>
            <w:r>
              <w:rPr>
                <w:rFonts w:ascii="Arial"/>
                <w:sz w:val="18"/>
              </w:rPr>
              <w:t>683,457,1</w:t>
            </w:r>
          </w:p>
          <w:p>
            <w:pPr>
              <w:pStyle w:val="TableParagraph"/>
              <w:spacing w:line="240" w:lineRule="auto" w:before="105"/>
              <w:ind w:left="410" w:right="0"/>
              <w:jc w:val="left"/>
              <w:rPr>
                <w:rFonts w:ascii="Arial" w:hAnsi="Arial" w:cs="Arial" w:eastAsia="Arial" w:hint="default"/>
                <w:sz w:val="18"/>
                <w:szCs w:val="18"/>
              </w:rPr>
            </w:pPr>
            <w:r>
              <w:rPr>
                <w:rFonts w:ascii="Arial"/>
                <w:sz w:val="18"/>
              </w:rPr>
              <w:t>13.76</w:t>
            </w:r>
          </w:p>
        </w:tc>
      </w:tr>
    </w:tbl>
    <w:p>
      <w:pPr>
        <w:pStyle w:val="BodyText"/>
        <w:spacing w:line="240" w:lineRule="auto" w:before="49"/>
        <w:ind w:right="1121"/>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56"/>
        <w:gridCol w:w="698"/>
        <w:gridCol w:w="686"/>
        <w:gridCol w:w="686"/>
        <w:gridCol w:w="686"/>
        <w:gridCol w:w="684"/>
        <w:gridCol w:w="684"/>
        <w:gridCol w:w="686"/>
        <w:gridCol w:w="687"/>
        <w:gridCol w:w="818"/>
        <w:gridCol w:w="893"/>
      </w:tblGrid>
      <w:tr>
        <w:trPr>
          <w:trHeight w:val="401" w:hRule="exact"/>
        </w:trPr>
        <w:tc>
          <w:tcPr>
            <w:tcW w:w="2356"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56"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5" w:hRule="exact"/>
        </w:trPr>
        <w:tc>
          <w:tcPr>
            <w:tcW w:w="2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6"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56"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56"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6"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0"/>
              <w:ind w:left="56" w:right="0"/>
              <w:jc w:val="left"/>
              <w:rPr>
                <w:rFonts w:ascii="Arial" w:hAnsi="Arial" w:cs="Arial" w:eastAsia="Arial" w:hint="default"/>
                <w:sz w:val="18"/>
                <w:szCs w:val="18"/>
              </w:rPr>
            </w:pPr>
            <w:r>
              <w:rPr>
                <w:rFonts w:ascii="Arial"/>
                <w:sz w:val="18"/>
              </w:rPr>
              <w:t>72,800,</w:t>
            </w:r>
          </w:p>
          <w:p>
            <w:pPr>
              <w:pStyle w:val="TableParagraph"/>
              <w:spacing w:line="240" w:lineRule="auto" w:before="105"/>
              <w:ind w:left="106" w:right="0"/>
              <w:jc w:val="left"/>
              <w:rPr>
                <w:rFonts w:ascii="Arial" w:hAnsi="Arial" w:cs="Arial" w:eastAsia="Arial" w:hint="default"/>
                <w:sz w:val="18"/>
                <w:szCs w:val="18"/>
              </w:rPr>
            </w:pPr>
            <w:r>
              <w:rPr>
                <w:rFonts w:ascii="Arial"/>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0"/>
              <w:ind w:left="55" w:right="0"/>
              <w:jc w:val="left"/>
              <w:rPr>
                <w:rFonts w:ascii="Arial" w:hAnsi="Arial" w:cs="Arial" w:eastAsia="Arial" w:hint="default"/>
                <w:sz w:val="18"/>
                <w:szCs w:val="18"/>
              </w:rPr>
            </w:pPr>
            <w:r>
              <w:rPr>
                <w:rFonts w:ascii="Arial"/>
                <w:sz w:val="18"/>
              </w:rPr>
              <w:t>33,056,</w:t>
            </w:r>
          </w:p>
          <w:p>
            <w:pPr>
              <w:pStyle w:val="TableParagraph"/>
              <w:spacing w:line="240" w:lineRule="auto" w:before="105"/>
              <w:ind w:left="105" w:right="0"/>
              <w:jc w:val="left"/>
              <w:rPr>
                <w:rFonts w:ascii="Arial" w:hAnsi="Arial" w:cs="Arial" w:eastAsia="Arial" w:hint="default"/>
                <w:sz w:val="18"/>
                <w:szCs w:val="18"/>
              </w:rPr>
            </w:pPr>
            <w:r>
              <w:rPr>
                <w:rFonts w:ascii="Arial"/>
                <w:sz w:val="18"/>
              </w:rPr>
              <w:t>987.69</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0"/>
              <w:ind w:left="32" w:right="0"/>
              <w:jc w:val="center"/>
              <w:rPr>
                <w:rFonts w:ascii="Arial" w:hAnsi="Arial" w:cs="Arial" w:eastAsia="Arial" w:hint="default"/>
                <w:sz w:val="18"/>
                <w:szCs w:val="18"/>
              </w:rPr>
            </w:pPr>
            <w:r>
              <w:rPr>
                <w:rFonts w:ascii="Arial"/>
                <w:sz w:val="18"/>
              </w:rPr>
              <w:t>9,449,6</w:t>
            </w:r>
          </w:p>
          <w:p>
            <w:pPr>
              <w:pStyle w:val="TableParagraph"/>
              <w:spacing w:line="240" w:lineRule="auto" w:before="105"/>
              <w:ind w:left="181" w:right="0"/>
              <w:jc w:val="center"/>
              <w:rPr>
                <w:rFonts w:ascii="Arial" w:hAnsi="Arial" w:cs="Arial" w:eastAsia="Arial" w:hint="default"/>
                <w:sz w:val="18"/>
                <w:szCs w:val="18"/>
              </w:rPr>
            </w:pPr>
            <w:r>
              <w:rPr>
                <w:rFonts w:ascii="Arial"/>
                <w:sz w:val="18"/>
              </w:rPr>
              <w:t>66.08</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0"/>
              <w:ind w:left="57" w:right="0"/>
              <w:jc w:val="left"/>
              <w:rPr>
                <w:rFonts w:ascii="Arial" w:hAnsi="Arial" w:cs="Arial" w:eastAsia="Arial" w:hint="default"/>
                <w:sz w:val="18"/>
                <w:szCs w:val="18"/>
              </w:rPr>
            </w:pPr>
            <w:r>
              <w:rPr>
                <w:rFonts w:ascii="Arial"/>
                <w:sz w:val="18"/>
              </w:rPr>
              <w:t>54,751,</w:t>
            </w:r>
          </w:p>
          <w:p>
            <w:pPr>
              <w:pStyle w:val="TableParagraph"/>
              <w:spacing w:line="240" w:lineRule="auto" w:before="105"/>
              <w:ind w:left="107" w:right="0"/>
              <w:jc w:val="left"/>
              <w:rPr>
                <w:rFonts w:ascii="Arial" w:hAnsi="Arial" w:cs="Arial" w:eastAsia="Arial" w:hint="default"/>
                <w:sz w:val="18"/>
                <w:szCs w:val="18"/>
              </w:rPr>
            </w:pPr>
            <w:r>
              <w:rPr>
                <w:rFonts w:ascii="Arial"/>
                <w:sz w:val="18"/>
              </w:rPr>
              <w:t>141.13</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8"/>
                <w:szCs w:val="18"/>
              </w:rPr>
            </w:pPr>
            <w:r>
              <w:rPr>
                <w:rFonts w:ascii="Arial"/>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4" w:right="0"/>
              <w:jc w:val="left"/>
              <w:rPr>
                <w:rFonts w:ascii="Arial" w:hAnsi="Arial" w:cs="Arial" w:eastAsia="Arial" w:hint="default"/>
                <w:sz w:val="18"/>
                <w:szCs w:val="18"/>
              </w:rPr>
            </w:pPr>
            <w:r>
              <w:rPr>
                <w:rFonts w:ascii="Arial"/>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0"/>
              <w:ind w:left="60" w:right="0"/>
              <w:jc w:val="left"/>
              <w:rPr>
                <w:rFonts w:ascii="Arial" w:hAnsi="Arial" w:cs="Arial" w:eastAsia="Arial" w:hint="default"/>
                <w:sz w:val="18"/>
                <w:szCs w:val="18"/>
              </w:rPr>
            </w:pPr>
            <w:r>
              <w:rPr>
                <w:rFonts w:ascii="Arial"/>
                <w:sz w:val="18"/>
              </w:rPr>
              <w:t>170,057,7</w:t>
            </w:r>
          </w:p>
          <w:p>
            <w:pPr>
              <w:pStyle w:val="TableParagraph"/>
              <w:spacing w:line="240" w:lineRule="auto" w:before="105"/>
              <w:ind w:left="410" w:right="0"/>
              <w:jc w:val="left"/>
              <w:rPr>
                <w:rFonts w:ascii="Arial" w:hAnsi="Arial" w:cs="Arial" w:eastAsia="Arial" w:hint="default"/>
                <w:sz w:val="18"/>
                <w:szCs w:val="18"/>
              </w:rPr>
            </w:pPr>
            <w:r>
              <w:rPr>
                <w:rFonts w:ascii="Arial"/>
                <w:sz w:val="18"/>
              </w:rPr>
              <w:t>94.90</w:t>
            </w:r>
          </w:p>
        </w:tc>
      </w:tr>
      <w:tr>
        <w:trPr>
          <w:trHeight w:val="394"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1275"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2" w:right="0"/>
              <w:jc w:val="left"/>
              <w:rPr>
                <w:rFonts w:ascii="Arial" w:hAnsi="Arial" w:cs="Arial" w:eastAsia="Arial" w:hint="default"/>
                <w:sz w:val="18"/>
                <w:szCs w:val="18"/>
              </w:rPr>
            </w:pPr>
            <w:r>
              <w:rPr>
                <w:rFonts w:ascii="Arial"/>
                <w:sz w:val="18"/>
              </w:rPr>
              <w:t>72,800,</w:t>
            </w:r>
          </w:p>
          <w:p>
            <w:pPr>
              <w:pStyle w:val="TableParagraph"/>
              <w:spacing w:line="240" w:lineRule="auto" w:before="105"/>
              <w:ind w:left="103" w:right="0"/>
              <w:jc w:val="left"/>
              <w:rPr>
                <w:rFonts w:ascii="Arial" w:hAnsi="Arial" w:cs="Arial" w:eastAsia="Arial" w:hint="default"/>
                <w:sz w:val="18"/>
                <w:szCs w:val="18"/>
              </w:rPr>
            </w:pPr>
            <w:r>
              <w:rPr>
                <w:rFonts w:ascii="Arial"/>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5" w:right="0"/>
              <w:jc w:val="left"/>
              <w:rPr>
                <w:rFonts w:ascii="Arial" w:hAnsi="Arial" w:cs="Arial" w:eastAsia="Arial" w:hint="default"/>
                <w:sz w:val="18"/>
                <w:szCs w:val="18"/>
              </w:rPr>
            </w:pPr>
            <w:r>
              <w:rPr>
                <w:rFonts w:ascii="Arial"/>
                <w:sz w:val="18"/>
              </w:rPr>
              <w:t>33,056,</w:t>
            </w:r>
          </w:p>
          <w:p>
            <w:pPr>
              <w:pStyle w:val="TableParagraph"/>
              <w:spacing w:line="240" w:lineRule="auto" w:before="105"/>
              <w:ind w:left="105" w:right="0"/>
              <w:jc w:val="left"/>
              <w:rPr>
                <w:rFonts w:ascii="Arial" w:hAnsi="Arial" w:cs="Arial" w:eastAsia="Arial" w:hint="default"/>
                <w:sz w:val="18"/>
                <w:szCs w:val="18"/>
              </w:rPr>
            </w:pPr>
            <w:r>
              <w:rPr>
                <w:rFonts w:ascii="Arial"/>
                <w:sz w:val="18"/>
              </w:rPr>
              <w:t>987.69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2" w:right="0"/>
              <w:jc w:val="center"/>
              <w:rPr>
                <w:rFonts w:ascii="Arial" w:hAnsi="Arial" w:cs="Arial" w:eastAsia="Arial" w:hint="default"/>
                <w:sz w:val="18"/>
                <w:szCs w:val="18"/>
              </w:rPr>
            </w:pPr>
            <w:r>
              <w:rPr>
                <w:rFonts w:ascii="Arial"/>
                <w:sz w:val="18"/>
              </w:rPr>
              <w:t>9,449,6</w:t>
            </w:r>
          </w:p>
          <w:p>
            <w:pPr>
              <w:pStyle w:val="TableParagraph"/>
              <w:spacing w:line="240" w:lineRule="auto" w:before="105"/>
              <w:ind w:left="181" w:right="0"/>
              <w:jc w:val="center"/>
              <w:rPr>
                <w:rFonts w:ascii="Arial" w:hAnsi="Arial" w:cs="Arial" w:eastAsia="Arial" w:hint="default"/>
                <w:sz w:val="18"/>
                <w:szCs w:val="18"/>
              </w:rPr>
            </w:pPr>
            <w:r>
              <w:rPr>
                <w:rFonts w:ascii="Arial"/>
                <w:sz w:val="18"/>
              </w:rPr>
              <w:t>66.08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7" w:right="0"/>
              <w:jc w:val="left"/>
              <w:rPr>
                <w:rFonts w:ascii="Arial" w:hAnsi="Arial" w:cs="Arial" w:eastAsia="Arial" w:hint="default"/>
                <w:sz w:val="18"/>
                <w:szCs w:val="18"/>
              </w:rPr>
            </w:pPr>
            <w:r>
              <w:rPr>
                <w:rFonts w:ascii="Arial"/>
                <w:sz w:val="18"/>
              </w:rPr>
              <w:t>54,751,</w:t>
            </w:r>
          </w:p>
          <w:p>
            <w:pPr>
              <w:pStyle w:val="TableParagraph"/>
              <w:spacing w:line="240" w:lineRule="auto" w:before="105"/>
              <w:ind w:left="107" w:right="0"/>
              <w:jc w:val="left"/>
              <w:rPr>
                <w:rFonts w:ascii="Arial" w:hAnsi="Arial" w:cs="Arial" w:eastAsia="Arial" w:hint="default"/>
                <w:sz w:val="18"/>
                <w:szCs w:val="18"/>
              </w:rPr>
            </w:pPr>
            <w:r>
              <w:rPr>
                <w:rFonts w:ascii="Arial"/>
                <w:sz w:val="18"/>
              </w:rPr>
              <w:t>141.13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0" w:right="0"/>
              <w:jc w:val="left"/>
              <w:rPr>
                <w:rFonts w:ascii="Arial" w:hAnsi="Arial" w:cs="Arial" w:eastAsia="Arial" w:hint="default"/>
                <w:sz w:val="18"/>
                <w:szCs w:val="18"/>
              </w:rPr>
            </w:pPr>
            <w:r>
              <w:rPr>
                <w:rFonts w:ascii="Arial"/>
                <w:sz w:val="18"/>
              </w:rPr>
              <w:t>170,057,7</w:t>
            </w:r>
          </w:p>
          <w:p>
            <w:pPr>
              <w:pStyle w:val="TableParagraph"/>
              <w:spacing w:line="240" w:lineRule="auto" w:before="105"/>
              <w:ind w:left="410" w:right="0"/>
              <w:jc w:val="left"/>
              <w:rPr>
                <w:rFonts w:ascii="Arial" w:hAnsi="Arial" w:cs="Arial" w:eastAsia="Arial" w:hint="default"/>
                <w:sz w:val="18"/>
                <w:szCs w:val="18"/>
              </w:rPr>
            </w:pPr>
            <w:r>
              <w:rPr>
                <w:rFonts w:ascii="Arial"/>
                <w:sz w:val="18"/>
              </w:rPr>
              <w:t>94.90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Arial" w:hAnsi="Arial" w:cs="Arial" w:eastAsia="Arial" w:hint="default"/>
                <w:sz w:val="18"/>
                <w:szCs w:val="18"/>
              </w:rPr>
            </w:pPr>
            <w:r>
              <w:rPr>
                <w:rFonts w:ascii="Arial"/>
                <w:spacing w:val="-3"/>
                <w:sz w:val="18"/>
              </w:rPr>
              <w:t>110,49</w:t>
            </w:r>
          </w:p>
          <w:p>
            <w:pPr>
              <w:pStyle w:val="TableParagraph"/>
              <w:spacing w:line="240" w:lineRule="auto" w:before="102"/>
              <w:ind w:left="319" w:right="0"/>
              <w:jc w:val="left"/>
              <w:rPr>
                <w:rFonts w:ascii="Arial" w:hAnsi="Arial" w:cs="Arial" w:eastAsia="Arial" w:hint="default"/>
                <w:sz w:val="18"/>
                <w:szCs w:val="18"/>
              </w:rPr>
            </w:pPr>
            <w:r>
              <w:rPr>
                <w:rFonts w:ascii="Arial"/>
                <w:spacing w:val="-4"/>
                <w:sz w:val="18"/>
              </w:rPr>
              <w:t>5.11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center"/>
              <w:rPr>
                <w:rFonts w:ascii="Arial" w:hAnsi="Arial" w:cs="Arial" w:eastAsia="Arial" w:hint="default"/>
                <w:sz w:val="18"/>
                <w:szCs w:val="18"/>
              </w:rPr>
            </w:pPr>
            <w:r>
              <w:rPr>
                <w:rFonts w:ascii="Arial"/>
                <w:sz w:val="18"/>
              </w:rPr>
              <w:t>4,627,1</w:t>
            </w:r>
          </w:p>
          <w:p>
            <w:pPr>
              <w:pStyle w:val="TableParagraph"/>
              <w:spacing w:line="240" w:lineRule="auto" w:before="102"/>
              <w:ind w:left="181" w:right="0"/>
              <w:jc w:val="center"/>
              <w:rPr>
                <w:rFonts w:ascii="Arial" w:hAnsi="Arial" w:cs="Arial" w:eastAsia="Arial" w:hint="default"/>
                <w:sz w:val="18"/>
                <w:szCs w:val="18"/>
              </w:rPr>
            </w:pPr>
            <w:r>
              <w:rPr>
                <w:rFonts w:ascii="Arial"/>
                <w:sz w:val="18"/>
              </w:rPr>
              <w:t>19.38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Arial" w:hAnsi="Arial" w:cs="Arial" w:eastAsia="Arial" w:hint="default"/>
                <w:sz w:val="18"/>
                <w:szCs w:val="18"/>
              </w:rPr>
            </w:pPr>
            <w:r>
              <w:rPr>
                <w:rFonts w:ascii="Arial"/>
                <w:sz w:val="18"/>
              </w:rPr>
              <w:t>49,098,</w:t>
            </w:r>
          </w:p>
          <w:p>
            <w:pPr>
              <w:pStyle w:val="TableParagraph"/>
              <w:spacing w:line="240" w:lineRule="auto" w:before="102"/>
              <w:ind w:left="107" w:right="0"/>
              <w:jc w:val="left"/>
              <w:rPr>
                <w:rFonts w:ascii="Arial" w:hAnsi="Arial" w:cs="Arial" w:eastAsia="Arial" w:hint="default"/>
                <w:sz w:val="18"/>
                <w:szCs w:val="18"/>
              </w:rPr>
            </w:pPr>
            <w:r>
              <w:rPr>
                <w:rFonts w:ascii="Arial"/>
                <w:sz w:val="18"/>
              </w:rPr>
              <w:t>373.83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454,171.</w:t>
            </w:r>
          </w:p>
          <w:p>
            <w:pPr>
              <w:pStyle w:val="TableParagraph"/>
              <w:spacing w:line="240" w:lineRule="auto" w:before="102"/>
              <w:ind w:right="19"/>
              <w:jc w:val="right"/>
              <w:rPr>
                <w:rFonts w:ascii="Arial" w:hAnsi="Arial" w:cs="Arial" w:eastAsia="Arial" w:hint="default"/>
                <w:sz w:val="18"/>
                <w:szCs w:val="18"/>
              </w:rPr>
            </w:pPr>
            <w:r>
              <w:rPr>
                <w:rFonts w:ascii="Arial"/>
                <w:w w:val="95"/>
                <w:sz w:val="18"/>
              </w:rPr>
              <w:t>27</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Arial" w:hAnsi="Arial" w:cs="Arial" w:eastAsia="Arial" w:hint="default"/>
                <w:sz w:val="18"/>
                <w:szCs w:val="18"/>
              </w:rPr>
            </w:pPr>
            <w:r>
              <w:rPr>
                <w:rFonts w:ascii="Arial"/>
                <w:sz w:val="18"/>
              </w:rPr>
              <w:t>54,290,15</w:t>
            </w:r>
          </w:p>
          <w:p>
            <w:pPr>
              <w:pStyle w:val="TableParagraph"/>
              <w:spacing w:line="240" w:lineRule="auto" w:before="102"/>
              <w:ind w:left="511" w:right="0"/>
              <w:jc w:val="left"/>
              <w:rPr>
                <w:rFonts w:ascii="Arial" w:hAnsi="Arial" w:cs="Arial" w:eastAsia="Arial" w:hint="default"/>
                <w:sz w:val="18"/>
                <w:szCs w:val="18"/>
              </w:rPr>
            </w:pPr>
            <w:r>
              <w:rPr>
                <w:rFonts w:ascii="Arial"/>
                <w:sz w:val="18"/>
              </w:rPr>
              <w:t>9.59</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7" w:right="0"/>
              <w:jc w:val="left"/>
              <w:rPr>
                <w:rFonts w:ascii="Arial" w:hAnsi="Arial" w:cs="Arial" w:eastAsia="Arial" w:hint="default"/>
                <w:sz w:val="18"/>
                <w:szCs w:val="18"/>
              </w:rPr>
            </w:pPr>
            <w:r>
              <w:rPr>
                <w:rFonts w:ascii="Arial"/>
                <w:sz w:val="18"/>
              </w:rPr>
              <w:t>53,725,</w:t>
            </w:r>
          </w:p>
          <w:p>
            <w:pPr>
              <w:pStyle w:val="TableParagraph"/>
              <w:spacing w:line="240" w:lineRule="auto" w:before="105"/>
              <w:ind w:left="107" w:right="0"/>
              <w:jc w:val="left"/>
              <w:rPr>
                <w:rFonts w:ascii="Arial" w:hAnsi="Arial" w:cs="Arial" w:eastAsia="Arial" w:hint="default"/>
                <w:sz w:val="18"/>
                <w:szCs w:val="18"/>
              </w:rPr>
            </w:pPr>
            <w:r>
              <w:rPr>
                <w:rFonts w:ascii="Arial"/>
                <w:sz w:val="18"/>
              </w:rPr>
              <w:t>493.21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64,665.3</w:t>
            </w:r>
          </w:p>
          <w:p>
            <w:pPr>
              <w:pStyle w:val="TableParagraph"/>
              <w:spacing w:line="240" w:lineRule="auto" w:before="105"/>
              <w:ind w:right="22"/>
              <w:jc w:val="right"/>
              <w:rPr>
                <w:rFonts w:ascii="Arial" w:hAnsi="Arial" w:cs="Arial" w:eastAsia="Arial" w:hint="default"/>
                <w:sz w:val="18"/>
                <w:szCs w:val="18"/>
              </w:rPr>
            </w:pPr>
            <w:r>
              <w:rPr>
                <w:rFonts w:ascii="Arial"/>
                <w:w w:val="99"/>
                <w:sz w:val="18"/>
              </w:rPr>
              <w:t>8</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0" w:right="0"/>
              <w:jc w:val="left"/>
              <w:rPr>
                <w:rFonts w:ascii="Arial" w:hAnsi="Arial" w:cs="Arial" w:eastAsia="Arial" w:hint="default"/>
                <w:sz w:val="18"/>
                <w:szCs w:val="18"/>
              </w:rPr>
            </w:pPr>
            <w:r>
              <w:rPr>
                <w:rFonts w:ascii="Arial"/>
                <w:sz w:val="18"/>
              </w:rPr>
              <w:t>53,790,15</w:t>
            </w:r>
          </w:p>
          <w:p>
            <w:pPr>
              <w:pStyle w:val="TableParagraph"/>
              <w:spacing w:line="240" w:lineRule="auto" w:before="105"/>
              <w:ind w:left="511" w:right="0"/>
              <w:jc w:val="left"/>
              <w:rPr>
                <w:rFonts w:ascii="Arial" w:hAnsi="Arial" w:cs="Arial" w:eastAsia="Arial" w:hint="default"/>
                <w:sz w:val="18"/>
                <w:szCs w:val="18"/>
              </w:rPr>
            </w:pPr>
            <w:r>
              <w:rPr>
                <w:rFonts w:ascii="Arial"/>
                <w:sz w:val="18"/>
              </w:rPr>
              <w:t>8.59</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Arial" w:hAnsi="Arial" w:cs="Arial" w:eastAsia="Arial" w:hint="default"/>
                <w:sz w:val="18"/>
                <w:szCs w:val="18"/>
              </w:rPr>
            </w:pPr>
            <w:r>
              <w:rPr>
                <w:rFonts w:ascii="Arial"/>
                <w:spacing w:val="-3"/>
                <w:sz w:val="18"/>
              </w:rPr>
              <w:t>110,49</w:t>
            </w:r>
          </w:p>
          <w:p>
            <w:pPr>
              <w:pStyle w:val="TableParagraph"/>
              <w:spacing w:line="240" w:lineRule="auto" w:before="102"/>
              <w:ind w:left="319" w:right="0"/>
              <w:jc w:val="left"/>
              <w:rPr>
                <w:rFonts w:ascii="Arial" w:hAnsi="Arial" w:cs="Arial" w:eastAsia="Arial" w:hint="default"/>
                <w:sz w:val="18"/>
                <w:szCs w:val="18"/>
              </w:rPr>
            </w:pPr>
            <w:r>
              <w:rPr>
                <w:rFonts w:ascii="Arial"/>
                <w:spacing w:val="-4"/>
                <w:sz w:val="18"/>
              </w:rPr>
              <w:t>5.11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2"/>
                <w:sz w:val="18"/>
              </w:rPr>
              <w:t>-110,495.</w:t>
            </w:r>
          </w:p>
          <w:p>
            <w:pPr>
              <w:pStyle w:val="TableParagraph"/>
              <w:spacing w:line="240" w:lineRule="auto" w:before="102"/>
              <w:ind w:right="36"/>
              <w:jc w:val="right"/>
              <w:rPr>
                <w:rFonts w:ascii="Arial" w:hAnsi="Arial" w:cs="Arial" w:eastAsia="Arial" w:hint="default"/>
                <w:sz w:val="18"/>
                <w:szCs w:val="18"/>
              </w:rPr>
            </w:pPr>
            <w:r>
              <w:rPr>
                <w:rFonts w:ascii="Arial"/>
                <w:spacing w:val="-14"/>
                <w:w w:val="95"/>
                <w:sz w:val="18"/>
              </w:rPr>
              <w:t>11</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Arial" w:hAnsi="Arial" w:cs="Arial" w:eastAsia="Arial" w:hint="default"/>
                <w:sz w:val="18"/>
                <w:szCs w:val="18"/>
              </w:rPr>
            </w:pPr>
            <w:r>
              <w:rPr>
                <w:rFonts w:ascii="Arial"/>
                <w:spacing w:val="-3"/>
                <w:sz w:val="18"/>
              </w:rPr>
              <w:t>110,49</w:t>
            </w:r>
          </w:p>
          <w:p>
            <w:pPr>
              <w:pStyle w:val="TableParagraph"/>
              <w:spacing w:line="240" w:lineRule="auto" w:before="105"/>
              <w:ind w:left="319" w:right="0"/>
              <w:jc w:val="left"/>
              <w:rPr>
                <w:rFonts w:ascii="Arial" w:hAnsi="Arial" w:cs="Arial" w:eastAsia="Arial" w:hint="default"/>
                <w:sz w:val="18"/>
                <w:szCs w:val="18"/>
              </w:rPr>
            </w:pPr>
            <w:r>
              <w:rPr>
                <w:rFonts w:ascii="Arial"/>
                <w:spacing w:val="-4"/>
                <w:sz w:val="18"/>
              </w:rPr>
              <w:t>5.11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Arial" w:hAnsi="Arial" w:cs="Arial" w:eastAsia="Arial" w:hint="default"/>
                <w:sz w:val="18"/>
                <w:szCs w:val="18"/>
              </w:rPr>
            </w:pPr>
            <w:r>
              <w:rPr>
                <w:rFonts w:ascii="Arial"/>
                <w:sz w:val="18"/>
              </w:rPr>
              <w:t>53,725,</w:t>
            </w:r>
          </w:p>
          <w:p>
            <w:pPr>
              <w:pStyle w:val="TableParagraph"/>
              <w:spacing w:line="240" w:lineRule="auto" w:before="105"/>
              <w:ind w:left="107" w:right="0"/>
              <w:jc w:val="left"/>
              <w:rPr>
                <w:rFonts w:ascii="Arial" w:hAnsi="Arial" w:cs="Arial" w:eastAsia="Arial" w:hint="default"/>
                <w:sz w:val="18"/>
                <w:szCs w:val="18"/>
              </w:rPr>
            </w:pPr>
            <w:r>
              <w:rPr>
                <w:rFonts w:ascii="Arial"/>
                <w:sz w:val="18"/>
              </w:rPr>
              <w:t>493.21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-45,829.7</w:t>
            </w:r>
          </w:p>
          <w:p>
            <w:pPr>
              <w:pStyle w:val="TableParagraph"/>
              <w:spacing w:line="240" w:lineRule="auto" w:before="105"/>
              <w:ind w:right="22"/>
              <w:jc w:val="right"/>
              <w:rPr>
                <w:rFonts w:ascii="Arial" w:hAnsi="Arial" w:cs="Arial" w:eastAsia="Arial" w:hint="default"/>
                <w:sz w:val="18"/>
                <w:szCs w:val="18"/>
              </w:rPr>
            </w:pPr>
            <w:r>
              <w:rPr>
                <w:rFonts w:ascii="Arial"/>
                <w:w w:val="99"/>
                <w:sz w:val="18"/>
              </w:rPr>
              <w:t>3</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Arial" w:hAnsi="Arial" w:cs="Arial" w:eastAsia="Arial" w:hint="default"/>
                <w:sz w:val="18"/>
                <w:szCs w:val="18"/>
              </w:rPr>
            </w:pPr>
            <w:r>
              <w:rPr>
                <w:rFonts w:ascii="Arial"/>
                <w:sz w:val="18"/>
              </w:rPr>
              <w:t>53,790,15</w:t>
            </w:r>
          </w:p>
          <w:p>
            <w:pPr>
              <w:pStyle w:val="TableParagraph"/>
              <w:spacing w:line="240" w:lineRule="auto" w:before="105"/>
              <w:ind w:left="511" w:right="0"/>
              <w:jc w:val="left"/>
              <w:rPr>
                <w:rFonts w:ascii="Arial" w:hAnsi="Arial" w:cs="Arial" w:eastAsia="Arial" w:hint="default"/>
                <w:sz w:val="18"/>
                <w:szCs w:val="18"/>
              </w:rPr>
            </w:pPr>
            <w:r>
              <w:rPr>
                <w:rFonts w:ascii="Arial"/>
                <w:sz w:val="18"/>
              </w:rPr>
              <w:t>8.59</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500,001.</w:t>
            </w:r>
          </w:p>
          <w:p>
            <w:pPr>
              <w:pStyle w:val="TableParagraph"/>
              <w:spacing w:line="240" w:lineRule="auto" w:before="102"/>
              <w:ind w:right="19"/>
              <w:jc w:val="right"/>
              <w:rPr>
                <w:rFonts w:ascii="Arial" w:hAnsi="Arial" w:cs="Arial" w:eastAsia="Arial" w:hint="default"/>
                <w:sz w:val="18"/>
                <w:szCs w:val="18"/>
              </w:rPr>
            </w:pPr>
            <w:r>
              <w:rPr>
                <w:rFonts w:ascii="Arial"/>
                <w:w w:val="95"/>
                <w:sz w:val="18"/>
              </w:rPr>
              <w:t>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500,001.0</w:t>
            </w:r>
          </w:p>
          <w:p>
            <w:pPr>
              <w:pStyle w:val="TableParagraph"/>
              <w:spacing w:line="240" w:lineRule="auto" w:before="102"/>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500,001.</w:t>
            </w:r>
          </w:p>
          <w:p>
            <w:pPr>
              <w:pStyle w:val="TableParagraph"/>
              <w:spacing w:line="240" w:lineRule="auto" w:before="105"/>
              <w:ind w:right="19"/>
              <w:jc w:val="right"/>
              <w:rPr>
                <w:rFonts w:ascii="Arial" w:hAnsi="Arial" w:cs="Arial" w:eastAsia="Arial" w:hint="default"/>
                <w:sz w:val="18"/>
                <w:szCs w:val="18"/>
              </w:rPr>
            </w:pPr>
            <w:r>
              <w:rPr>
                <w:rFonts w:ascii="Arial"/>
                <w:w w:val="95"/>
                <w:sz w:val="18"/>
              </w:rPr>
              <w:t>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500,001.0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9"/>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center"/>
              <w:rPr>
                <w:rFonts w:ascii="Arial" w:hAnsi="Arial" w:cs="Arial" w:eastAsia="Arial" w:hint="default"/>
                <w:sz w:val="18"/>
                <w:szCs w:val="18"/>
              </w:rPr>
            </w:pPr>
            <w:r>
              <w:rPr>
                <w:rFonts w:ascii="Arial"/>
                <w:sz w:val="18"/>
              </w:rPr>
              <w:t>4,627,1</w:t>
            </w:r>
          </w:p>
          <w:p>
            <w:pPr>
              <w:pStyle w:val="TableParagraph"/>
              <w:spacing w:line="240" w:lineRule="auto" w:before="103"/>
              <w:ind w:left="181" w:right="0"/>
              <w:jc w:val="center"/>
              <w:rPr>
                <w:rFonts w:ascii="Arial" w:hAnsi="Arial" w:cs="Arial" w:eastAsia="Arial" w:hint="default"/>
                <w:sz w:val="18"/>
                <w:szCs w:val="18"/>
              </w:rPr>
            </w:pPr>
            <w:r>
              <w:rPr>
                <w:rFonts w:ascii="Arial"/>
                <w:sz w:val="18"/>
              </w:rPr>
              <w:t>19.38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5" w:right="0"/>
              <w:jc w:val="left"/>
              <w:rPr>
                <w:rFonts w:ascii="Arial" w:hAnsi="Arial" w:cs="Arial" w:eastAsia="Arial" w:hint="default"/>
                <w:sz w:val="18"/>
                <w:szCs w:val="18"/>
              </w:rPr>
            </w:pPr>
            <w:r>
              <w:rPr>
                <w:rFonts w:ascii="Arial"/>
                <w:sz w:val="18"/>
              </w:rPr>
              <w:t>-4,627,</w:t>
            </w:r>
          </w:p>
          <w:p>
            <w:pPr>
              <w:pStyle w:val="TableParagraph"/>
              <w:spacing w:line="240" w:lineRule="auto" w:before="103"/>
              <w:ind w:left="119" w:right="0"/>
              <w:jc w:val="left"/>
              <w:rPr>
                <w:rFonts w:ascii="Arial" w:hAnsi="Arial" w:cs="Arial" w:eastAsia="Arial" w:hint="default"/>
                <w:sz w:val="18"/>
                <w:szCs w:val="18"/>
              </w:rPr>
            </w:pPr>
            <w:r>
              <w:rPr>
                <w:rFonts w:ascii="Arial"/>
                <w:spacing w:val="-3"/>
                <w:sz w:val="18"/>
              </w:rPr>
              <w:t>119.38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8" w:right="0"/>
              <w:jc w:val="center"/>
              <w:rPr>
                <w:rFonts w:ascii="Arial" w:hAnsi="Arial" w:cs="Arial" w:eastAsia="Arial" w:hint="default"/>
                <w:sz w:val="18"/>
                <w:szCs w:val="18"/>
              </w:rPr>
            </w:pPr>
            <w:r>
              <w:rPr>
                <w:rFonts w:ascii="Arial"/>
                <w:sz w:val="18"/>
              </w:rPr>
              <w:t>4,627,1</w:t>
            </w:r>
          </w:p>
          <w:p>
            <w:pPr>
              <w:pStyle w:val="TableParagraph"/>
              <w:spacing w:line="240" w:lineRule="auto" w:before="105"/>
              <w:ind w:left="181" w:right="0"/>
              <w:jc w:val="center"/>
              <w:rPr>
                <w:rFonts w:ascii="Arial" w:hAnsi="Arial" w:cs="Arial" w:eastAsia="Arial" w:hint="default"/>
                <w:sz w:val="18"/>
                <w:szCs w:val="18"/>
              </w:rPr>
            </w:pPr>
            <w:r>
              <w:rPr>
                <w:rFonts w:ascii="Arial"/>
                <w:sz w:val="18"/>
              </w:rPr>
              <w:t>19.38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5" w:right="0"/>
              <w:jc w:val="left"/>
              <w:rPr>
                <w:rFonts w:ascii="Arial" w:hAnsi="Arial" w:cs="Arial" w:eastAsia="Arial" w:hint="default"/>
                <w:sz w:val="18"/>
                <w:szCs w:val="18"/>
              </w:rPr>
            </w:pPr>
            <w:r>
              <w:rPr>
                <w:rFonts w:ascii="Arial"/>
                <w:sz w:val="18"/>
              </w:rPr>
              <w:t>-4,627,</w:t>
            </w:r>
          </w:p>
          <w:p>
            <w:pPr>
              <w:pStyle w:val="TableParagraph"/>
              <w:spacing w:line="240" w:lineRule="auto" w:before="105"/>
              <w:ind w:left="119" w:right="0"/>
              <w:jc w:val="left"/>
              <w:rPr>
                <w:rFonts w:ascii="Arial" w:hAnsi="Arial" w:cs="Arial" w:eastAsia="Arial" w:hint="default"/>
                <w:sz w:val="18"/>
                <w:szCs w:val="18"/>
              </w:rPr>
            </w:pPr>
            <w:r>
              <w:rPr>
                <w:rFonts w:ascii="Arial"/>
                <w:spacing w:val="-3"/>
                <w:sz w:val="18"/>
              </w:rPr>
              <w:t>119.38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22" w:right="69"/>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9"/>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22" w:right="69"/>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w w:val="95"/>
                <w:sz w:val="18"/>
              </w:rPr>
              <w:t>0.00</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1275"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02" w:right="0"/>
              <w:jc w:val="left"/>
              <w:rPr>
                <w:rFonts w:ascii="Arial" w:hAnsi="Arial" w:cs="Arial" w:eastAsia="Arial" w:hint="default"/>
                <w:sz w:val="18"/>
                <w:szCs w:val="18"/>
              </w:rPr>
            </w:pPr>
            <w:r>
              <w:rPr>
                <w:rFonts w:ascii="Arial"/>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04" w:right="0"/>
              <w:jc w:val="left"/>
              <w:rPr>
                <w:rFonts w:ascii="Arial" w:hAnsi="Arial" w:cs="Arial" w:eastAsia="Arial" w:hint="default"/>
                <w:sz w:val="18"/>
                <w:szCs w:val="18"/>
              </w:rPr>
            </w:pPr>
            <w:r>
              <w:rPr>
                <w:rFonts w:ascii="Arial"/>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02" w:right="0"/>
              <w:jc w:val="left"/>
              <w:rPr>
                <w:rFonts w:ascii="Arial" w:hAnsi="Arial" w:cs="Arial" w:eastAsia="Arial" w:hint="default"/>
                <w:sz w:val="18"/>
                <w:szCs w:val="18"/>
              </w:rPr>
            </w:pPr>
            <w:r>
              <w:rPr>
                <w:rFonts w:ascii="Arial"/>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07" w:right="0"/>
              <w:jc w:val="left"/>
              <w:rPr>
                <w:rFonts w:ascii="Arial" w:hAnsi="Arial" w:cs="Arial" w:eastAsia="Arial" w:hint="default"/>
                <w:sz w:val="18"/>
                <w:szCs w:val="18"/>
              </w:rPr>
            </w:pPr>
            <w:r>
              <w:rPr>
                <w:rFonts w:ascii="Arial"/>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34" w:right="0"/>
              <w:jc w:val="left"/>
              <w:rPr>
                <w:rFonts w:ascii="Arial" w:hAnsi="Arial" w:cs="Arial" w:eastAsia="Arial" w:hint="default"/>
                <w:sz w:val="18"/>
                <w:szCs w:val="18"/>
              </w:rPr>
            </w:pPr>
            <w:r>
              <w:rPr>
                <w:rFonts w:ascii="Arial"/>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11" w:right="0"/>
              <w:jc w:val="left"/>
              <w:rPr>
                <w:rFonts w:ascii="Arial" w:hAnsi="Arial" w:cs="Arial" w:eastAsia="Arial" w:hint="default"/>
                <w:sz w:val="18"/>
                <w:szCs w:val="18"/>
              </w:rPr>
            </w:pPr>
            <w:r>
              <w:rPr>
                <w:rFonts w:ascii="Arial"/>
                <w:sz w:val="18"/>
              </w:rPr>
              <w:t>0.00</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Arial" w:hAnsi="Arial" w:cs="Arial" w:eastAsia="Arial" w:hint="default"/>
                <w:sz w:val="18"/>
                <w:szCs w:val="18"/>
              </w:rPr>
            </w:pPr>
            <w:r>
              <w:rPr>
                <w:rFonts w:ascii="Arial"/>
                <w:sz w:val="18"/>
              </w:rPr>
              <w:t>72,800,</w:t>
            </w:r>
          </w:p>
          <w:p>
            <w:pPr>
              <w:pStyle w:val="TableParagraph"/>
              <w:spacing w:line="240" w:lineRule="auto" w:before="102"/>
              <w:ind w:left="103" w:right="0"/>
              <w:jc w:val="left"/>
              <w:rPr>
                <w:rFonts w:ascii="Arial" w:hAnsi="Arial" w:cs="Arial" w:eastAsia="Arial" w:hint="default"/>
                <w:sz w:val="18"/>
                <w:szCs w:val="18"/>
              </w:rPr>
            </w:pPr>
            <w:r>
              <w:rPr>
                <w:rFonts w:ascii="Arial"/>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Arial" w:hAnsi="Arial" w:cs="Arial" w:eastAsia="Arial" w:hint="default"/>
                <w:sz w:val="18"/>
                <w:szCs w:val="18"/>
              </w:rPr>
            </w:pPr>
            <w:r>
              <w:rPr>
                <w:rFonts w:ascii="Arial"/>
                <w:sz w:val="18"/>
              </w:rPr>
              <w:t>33,167,</w:t>
            </w:r>
          </w:p>
          <w:p>
            <w:pPr>
              <w:pStyle w:val="TableParagraph"/>
              <w:spacing w:line="240" w:lineRule="auto" w:before="102"/>
              <w:ind w:left="105" w:right="0"/>
              <w:jc w:val="left"/>
              <w:rPr>
                <w:rFonts w:ascii="Arial" w:hAnsi="Arial" w:cs="Arial" w:eastAsia="Arial" w:hint="default"/>
                <w:sz w:val="18"/>
                <w:szCs w:val="18"/>
              </w:rPr>
            </w:pPr>
            <w:r>
              <w:rPr>
                <w:rFonts w:ascii="Arial"/>
                <w:sz w:val="18"/>
              </w:rPr>
              <w:t>482.80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Arial" w:hAnsi="Arial" w:cs="Arial" w:eastAsia="Arial" w:hint="default"/>
                <w:sz w:val="18"/>
                <w:szCs w:val="18"/>
              </w:rPr>
            </w:pPr>
            <w:r>
              <w:rPr>
                <w:rFonts w:ascii="Arial"/>
                <w:sz w:val="18"/>
              </w:rPr>
              <w:t>14,076,</w:t>
            </w:r>
          </w:p>
          <w:p>
            <w:pPr>
              <w:pStyle w:val="TableParagraph"/>
              <w:spacing w:line="240" w:lineRule="auto" w:before="102"/>
              <w:ind w:left="103" w:right="0"/>
              <w:jc w:val="left"/>
              <w:rPr>
                <w:rFonts w:ascii="Arial" w:hAnsi="Arial" w:cs="Arial" w:eastAsia="Arial" w:hint="default"/>
                <w:sz w:val="18"/>
                <w:szCs w:val="18"/>
              </w:rPr>
            </w:pPr>
            <w:r>
              <w:rPr>
                <w:rFonts w:ascii="Arial"/>
                <w:sz w:val="18"/>
              </w:rPr>
              <w:t>785.46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103,84</w:t>
            </w:r>
          </w:p>
          <w:p>
            <w:pPr>
              <w:pStyle w:val="TableParagraph"/>
              <w:spacing w:line="240" w:lineRule="auto" w:before="102"/>
              <w:ind w:right="16"/>
              <w:jc w:val="right"/>
              <w:rPr>
                <w:rFonts w:ascii="Arial" w:hAnsi="Arial" w:cs="Arial" w:eastAsia="Arial" w:hint="default"/>
                <w:sz w:val="18"/>
                <w:szCs w:val="18"/>
              </w:rPr>
            </w:pPr>
            <w:r>
              <w:rPr>
                <w:rFonts w:ascii="Arial"/>
                <w:spacing w:val="-1"/>
                <w:sz w:val="18"/>
              </w:rPr>
              <w:t>9,514.9</w:t>
            </w:r>
          </w:p>
          <w:p>
            <w:pPr>
              <w:pStyle w:val="TableParagraph"/>
              <w:spacing w:line="240" w:lineRule="auto" w:before="105"/>
              <w:ind w:right="17"/>
              <w:jc w:val="right"/>
              <w:rPr>
                <w:rFonts w:ascii="Arial" w:hAnsi="Arial" w:cs="Arial" w:eastAsia="Arial" w:hint="default"/>
                <w:sz w:val="18"/>
                <w:szCs w:val="18"/>
              </w:rPr>
            </w:pPr>
            <w:r>
              <w:rPr>
                <w:rFonts w:ascii="Arial"/>
                <w:w w:val="99"/>
                <w:sz w:val="18"/>
              </w:rPr>
              <w:t>6</w:t>
            </w:r>
            <w:r>
              <w:rPr>
                <w:rFonts w:ascii="Arial"/>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454,171.</w:t>
            </w:r>
          </w:p>
          <w:p>
            <w:pPr>
              <w:pStyle w:val="TableParagraph"/>
              <w:spacing w:line="240" w:lineRule="auto" w:before="102"/>
              <w:ind w:right="19"/>
              <w:jc w:val="right"/>
              <w:rPr>
                <w:rFonts w:ascii="Arial" w:hAnsi="Arial" w:cs="Arial" w:eastAsia="Arial" w:hint="default"/>
                <w:sz w:val="18"/>
                <w:szCs w:val="18"/>
              </w:rPr>
            </w:pPr>
            <w:r>
              <w:rPr>
                <w:rFonts w:ascii="Arial"/>
                <w:w w:val="95"/>
                <w:sz w:val="18"/>
              </w:rPr>
              <w:t>27</w:t>
            </w:r>
            <w:r>
              <w:rPr>
                <w:rFonts w:ascii="Arial"/>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Arial" w:hAnsi="Arial" w:cs="Arial" w:eastAsia="Arial" w:hint="default"/>
                <w:sz w:val="18"/>
                <w:szCs w:val="18"/>
              </w:rPr>
            </w:pPr>
            <w:r>
              <w:rPr>
                <w:rFonts w:ascii="Arial"/>
                <w:sz w:val="18"/>
              </w:rPr>
              <w:t>224,347,9</w:t>
            </w:r>
          </w:p>
          <w:p>
            <w:pPr>
              <w:pStyle w:val="TableParagraph"/>
              <w:spacing w:line="240" w:lineRule="auto" w:before="102"/>
              <w:ind w:left="410" w:right="0"/>
              <w:jc w:val="left"/>
              <w:rPr>
                <w:rFonts w:ascii="Arial" w:hAnsi="Arial" w:cs="Arial" w:eastAsia="Arial" w:hint="default"/>
                <w:sz w:val="18"/>
                <w:szCs w:val="18"/>
              </w:rPr>
            </w:pPr>
            <w:r>
              <w:rPr>
                <w:rFonts w:ascii="Arial"/>
                <w:sz w:val="18"/>
              </w:rPr>
              <w:t>54.49</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1121"/>
        <w:jc w:val="left"/>
      </w:pPr>
      <w:r>
        <w:rPr/>
        <w:t>法定代表人：顾永德</w:t>
        <w:tab/>
      </w:r>
      <w:r>
        <w:rPr>
          <w:spacing w:val="-1"/>
        </w:rPr>
        <w:t>主管会计工作负责人：秦传君</w:t>
        <w:tab/>
      </w:r>
      <w:r>
        <w:rPr/>
        <w:t>会计机构负责人：秦传君</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rFonts w:ascii="Arial" w:hAnsi="Arial" w:cs="Arial" w:eastAsia="Arial" w:hint="default"/>
        </w:rPr>
        <w:t>8</w:t>
      </w:r>
      <w:r>
        <w:rPr/>
        <w:t>、母公司所有者权益变动表</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75" w:top="1060" w:bottom="1540" w:left="980" w:right="0"/>
        </w:sectPr>
      </w:pPr>
    </w:p>
    <w:p>
      <w:pPr>
        <w:pStyle w:val="BodyText"/>
        <w:spacing w:line="357" w:lineRule="auto" w:before="44"/>
        <w:ind w:right="-20"/>
        <w:jc w:val="left"/>
      </w:pPr>
      <w:r>
        <w:rPr/>
        <w:t>编制单位：茂硕电源科技股份有限公司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213" w:space="5707"/>
            <w:col w:w="2010"/>
          </w:cols>
        </w:sectPr>
      </w:pP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6"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0"/>
              <w:ind w:left="55" w:right="0"/>
              <w:jc w:val="left"/>
              <w:rPr>
                <w:rFonts w:ascii="Arial" w:hAnsi="Arial" w:cs="Arial" w:eastAsia="Arial" w:hint="default"/>
                <w:sz w:val="18"/>
                <w:szCs w:val="18"/>
              </w:rPr>
            </w:pPr>
            <w:r>
              <w:rPr>
                <w:rFonts w:ascii="Arial"/>
                <w:sz w:val="18"/>
              </w:rPr>
              <w:t>72,800,00</w:t>
            </w:r>
          </w:p>
          <w:p>
            <w:pPr>
              <w:pStyle w:val="TableParagraph"/>
              <w:spacing w:line="240" w:lineRule="auto" w:before="105"/>
              <w:ind w:left="506"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0"/>
              <w:ind w:left="52" w:right="0"/>
              <w:jc w:val="left"/>
              <w:rPr>
                <w:rFonts w:ascii="Arial" w:hAnsi="Arial" w:cs="Arial" w:eastAsia="Arial" w:hint="default"/>
                <w:sz w:val="18"/>
                <w:szCs w:val="18"/>
              </w:rPr>
            </w:pPr>
            <w:r>
              <w:rPr>
                <w:rFonts w:ascii="Arial"/>
                <w:sz w:val="18"/>
              </w:rPr>
              <w:t>33,362,30</w:t>
            </w:r>
          </w:p>
          <w:p>
            <w:pPr>
              <w:pStyle w:val="TableParagraph"/>
              <w:spacing w:line="240" w:lineRule="auto" w:before="105"/>
              <w:ind w:left="503" w:right="0"/>
              <w:jc w:val="left"/>
              <w:rPr>
                <w:rFonts w:ascii="Arial" w:hAnsi="Arial" w:cs="Arial" w:eastAsia="Arial" w:hint="default"/>
                <w:sz w:val="18"/>
                <w:szCs w:val="18"/>
              </w:rPr>
            </w:pPr>
            <w:r>
              <w:rPr>
                <w:rFonts w:ascii="Arial"/>
                <w:sz w:val="18"/>
              </w:rPr>
              <w:t>0.67</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4"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0"/>
              <w:ind w:left="52" w:right="0"/>
              <w:jc w:val="left"/>
              <w:rPr>
                <w:rFonts w:ascii="Arial" w:hAnsi="Arial" w:cs="Arial" w:eastAsia="Arial" w:hint="default"/>
                <w:sz w:val="18"/>
                <w:szCs w:val="18"/>
              </w:rPr>
            </w:pPr>
            <w:r>
              <w:rPr>
                <w:rFonts w:ascii="Arial"/>
                <w:sz w:val="18"/>
              </w:rPr>
              <w:t>14,076,78</w:t>
            </w:r>
          </w:p>
          <w:p>
            <w:pPr>
              <w:pStyle w:val="TableParagraph"/>
              <w:spacing w:line="240" w:lineRule="auto" w:before="105"/>
              <w:ind w:left="503" w:right="0"/>
              <w:jc w:val="left"/>
              <w:rPr>
                <w:rFonts w:ascii="Arial" w:hAnsi="Arial" w:cs="Arial" w:eastAsia="Arial" w:hint="default"/>
                <w:sz w:val="18"/>
                <w:szCs w:val="18"/>
              </w:rPr>
            </w:pPr>
            <w:r>
              <w:rPr>
                <w:rFonts w:ascii="Arial"/>
                <w:sz w:val="18"/>
              </w:rPr>
              <w:t>5.46</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Arial" w:hAnsi="Arial" w:cs="Arial" w:eastAsia="Arial" w:hint="default"/>
                <w:sz w:val="18"/>
                <w:szCs w:val="18"/>
              </w:rPr>
            </w:pPr>
            <w:r>
              <w:rPr>
                <w:rFonts w:ascii="Arial"/>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0"/>
              <w:ind w:left="55" w:right="0"/>
              <w:jc w:val="left"/>
              <w:rPr>
                <w:rFonts w:ascii="Arial" w:hAnsi="Arial" w:cs="Arial" w:eastAsia="Arial" w:hint="default"/>
                <w:sz w:val="18"/>
                <w:szCs w:val="18"/>
              </w:rPr>
            </w:pPr>
            <w:r>
              <w:rPr>
                <w:rFonts w:ascii="Arial"/>
                <w:sz w:val="18"/>
              </w:rPr>
              <w:t>98,572,06</w:t>
            </w:r>
          </w:p>
          <w:p>
            <w:pPr>
              <w:pStyle w:val="TableParagraph"/>
              <w:spacing w:line="240" w:lineRule="auto" w:before="105"/>
              <w:ind w:left="506" w:right="0"/>
              <w:jc w:val="left"/>
              <w:rPr>
                <w:rFonts w:ascii="Arial" w:hAnsi="Arial" w:cs="Arial" w:eastAsia="Arial" w:hint="default"/>
                <w:sz w:val="18"/>
                <w:szCs w:val="18"/>
              </w:rPr>
            </w:pPr>
            <w:r>
              <w:rPr>
                <w:rFonts w:ascii="Arial"/>
                <w:sz w:val="18"/>
              </w:rPr>
              <w:t>9.02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0"/>
              <w:ind w:left="71" w:right="0"/>
              <w:jc w:val="left"/>
              <w:rPr>
                <w:rFonts w:ascii="Arial" w:hAnsi="Arial" w:cs="Arial" w:eastAsia="Arial" w:hint="default"/>
                <w:sz w:val="18"/>
                <w:szCs w:val="18"/>
              </w:rPr>
            </w:pPr>
            <w:r>
              <w:rPr>
                <w:rFonts w:ascii="Arial"/>
                <w:sz w:val="18"/>
              </w:rPr>
              <w:t>218,811,1</w:t>
            </w:r>
          </w:p>
          <w:p>
            <w:pPr>
              <w:pStyle w:val="TableParagraph"/>
              <w:spacing w:line="240" w:lineRule="auto" w:before="105"/>
              <w:ind w:left="407" w:right="0"/>
              <w:jc w:val="left"/>
              <w:rPr>
                <w:rFonts w:ascii="Arial" w:hAnsi="Arial" w:cs="Arial" w:eastAsia="Arial" w:hint="default"/>
                <w:sz w:val="18"/>
                <w:szCs w:val="18"/>
              </w:rPr>
            </w:pPr>
            <w:r>
              <w:rPr>
                <w:rFonts w:ascii="Arial"/>
                <w:sz w:val="18"/>
              </w:rPr>
              <w:t>55.15</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0"/>
              <w:ind w:left="55" w:right="0"/>
              <w:jc w:val="left"/>
              <w:rPr>
                <w:rFonts w:ascii="Arial" w:hAnsi="Arial" w:cs="Arial" w:eastAsia="Arial" w:hint="default"/>
                <w:sz w:val="18"/>
                <w:szCs w:val="18"/>
              </w:rPr>
            </w:pPr>
            <w:r>
              <w:rPr>
                <w:rFonts w:ascii="Arial"/>
                <w:sz w:val="18"/>
              </w:rPr>
              <w:t>72,800,00</w:t>
            </w:r>
          </w:p>
          <w:p>
            <w:pPr>
              <w:pStyle w:val="TableParagraph"/>
              <w:spacing w:line="240" w:lineRule="auto" w:before="105"/>
              <w:ind w:left="506"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0"/>
              <w:ind w:left="52" w:right="0"/>
              <w:jc w:val="left"/>
              <w:rPr>
                <w:rFonts w:ascii="Arial" w:hAnsi="Arial" w:cs="Arial" w:eastAsia="Arial" w:hint="default"/>
                <w:sz w:val="18"/>
                <w:szCs w:val="18"/>
              </w:rPr>
            </w:pPr>
            <w:r>
              <w:rPr>
                <w:rFonts w:ascii="Arial"/>
                <w:sz w:val="18"/>
              </w:rPr>
              <w:t>33,362,30</w:t>
            </w:r>
          </w:p>
          <w:p>
            <w:pPr>
              <w:pStyle w:val="TableParagraph"/>
              <w:spacing w:line="240" w:lineRule="auto" w:before="105"/>
              <w:ind w:left="503" w:right="0"/>
              <w:jc w:val="left"/>
              <w:rPr>
                <w:rFonts w:ascii="Arial" w:hAnsi="Arial" w:cs="Arial" w:eastAsia="Arial" w:hint="default"/>
                <w:sz w:val="18"/>
                <w:szCs w:val="18"/>
              </w:rPr>
            </w:pPr>
            <w:r>
              <w:rPr>
                <w:rFonts w:ascii="Arial"/>
                <w:sz w:val="18"/>
              </w:rPr>
              <w:t>0.67</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4"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0"/>
              <w:ind w:left="52" w:right="0"/>
              <w:jc w:val="left"/>
              <w:rPr>
                <w:rFonts w:ascii="Arial" w:hAnsi="Arial" w:cs="Arial" w:eastAsia="Arial" w:hint="default"/>
                <w:sz w:val="18"/>
                <w:szCs w:val="18"/>
              </w:rPr>
            </w:pPr>
            <w:r>
              <w:rPr>
                <w:rFonts w:ascii="Arial"/>
                <w:sz w:val="18"/>
              </w:rPr>
              <w:t>14,076,78</w:t>
            </w:r>
          </w:p>
          <w:p>
            <w:pPr>
              <w:pStyle w:val="TableParagraph"/>
              <w:spacing w:line="240" w:lineRule="auto" w:before="105"/>
              <w:ind w:left="503" w:right="0"/>
              <w:jc w:val="left"/>
              <w:rPr>
                <w:rFonts w:ascii="Arial" w:hAnsi="Arial" w:cs="Arial" w:eastAsia="Arial" w:hint="default"/>
                <w:sz w:val="18"/>
                <w:szCs w:val="18"/>
              </w:rPr>
            </w:pPr>
            <w:r>
              <w:rPr>
                <w:rFonts w:ascii="Arial"/>
                <w:sz w:val="18"/>
              </w:rPr>
              <w:t>5.46</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Arial" w:hAnsi="Arial" w:cs="Arial" w:eastAsia="Arial" w:hint="default"/>
                <w:sz w:val="18"/>
                <w:szCs w:val="18"/>
              </w:rPr>
            </w:pPr>
            <w:r>
              <w:rPr>
                <w:rFonts w:ascii="Arial"/>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0"/>
              <w:ind w:left="55" w:right="0"/>
              <w:jc w:val="left"/>
              <w:rPr>
                <w:rFonts w:ascii="Arial" w:hAnsi="Arial" w:cs="Arial" w:eastAsia="Arial" w:hint="default"/>
                <w:sz w:val="18"/>
                <w:szCs w:val="18"/>
              </w:rPr>
            </w:pPr>
            <w:r>
              <w:rPr>
                <w:rFonts w:ascii="Arial"/>
                <w:sz w:val="18"/>
              </w:rPr>
              <w:t>98,572,06</w:t>
            </w:r>
          </w:p>
          <w:p>
            <w:pPr>
              <w:pStyle w:val="TableParagraph"/>
              <w:spacing w:line="240" w:lineRule="auto" w:before="105"/>
              <w:ind w:left="506" w:right="0"/>
              <w:jc w:val="left"/>
              <w:rPr>
                <w:rFonts w:ascii="Arial" w:hAnsi="Arial" w:cs="Arial" w:eastAsia="Arial" w:hint="default"/>
                <w:sz w:val="18"/>
                <w:szCs w:val="18"/>
              </w:rPr>
            </w:pPr>
            <w:r>
              <w:rPr>
                <w:rFonts w:ascii="Arial"/>
                <w:sz w:val="18"/>
              </w:rPr>
              <w:t>9.02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0"/>
              <w:ind w:left="71" w:right="0"/>
              <w:jc w:val="left"/>
              <w:rPr>
                <w:rFonts w:ascii="Arial" w:hAnsi="Arial" w:cs="Arial" w:eastAsia="Arial" w:hint="default"/>
                <w:sz w:val="18"/>
                <w:szCs w:val="18"/>
              </w:rPr>
            </w:pPr>
            <w:r>
              <w:rPr>
                <w:rFonts w:ascii="Arial"/>
                <w:sz w:val="18"/>
              </w:rPr>
              <w:t>218,811,1</w:t>
            </w:r>
          </w:p>
          <w:p>
            <w:pPr>
              <w:pStyle w:val="TableParagraph"/>
              <w:spacing w:line="240" w:lineRule="auto" w:before="105"/>
              <w:ind w:left="407" w:right="0"/>
              <w:jc w:val="left"/>
              <w:rPr>
                <w:rFonts w:ascii="Arial" w:hAnsi="Arial" w:cs="Arial" w:eastAsia="Arial" w:hint="default"/>
                <w:sz w:val="18"/>
                <w:szCs w:val="18"/>
              </w:rPr>
            </w:pPr>
            <w:r>
              <w:rPr>
                <w:rFonts w:ascii="Arial"/>
                <w:sz w:val="18"/>
              </w:rPr>
              <w:t>55.15</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left="50" w:right="0"/>
              <w:jc w:val="left"/>
              <w:rPr>
                <w:rFonts w:ascii="Arial" w:hAnsi="Arial" w:cs="Arial" w:eastAsia="Arial" w:hint="default"/>
                <w:sz w:val="18"/>
                <w:szCs w:val="18"/>
              </w:rPr>
            </w:pPr>
            <w:r>
              <w:rPr>
                <w:rFonts w:ascii="Arial"/>
                <w:sz w:val="18"/>
              </w:rPr>
              <w:t>25,988,80</w:t>
            </w:r>
          </w:p>
          <w:p>
            <w:pPr>
              <w:pStyle w:val="TableParagraph"/>
              <w:spacing w:line="240" w:lineRule="auto" w:before="105"/>
              <w:ind w:left="502" w:right="0"/>
              <w:jc w:val="left"/>
              <w:rPr>
                <w:rFonts w:ascii="Arial" w:hAnsi="Arial" w:cs="Arial" w:eastAsia="Arial" w:hint="default"/>
                <w:sz w:val="18"/>
                <w:szCs w:val="18"/>
              </w:rPr>
            </w:pPr>
            <w:r>
              <w:rPr>
                <w:rFonts w:ascii="Arial"/>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2" w:right="0"/>
              <w:jc w:val="left"/>
              <w:rPr>
                <w:rFonts w:ascii="Arial" w:hAnsi="Arial" w:cs="Arial" w:eastAsia="Arial" w:hint="default"/>
                <w:sz w:val="18"/>
                <w:szCs w:val="18"/>
              </w:rPr>
            </w:pPr>
            <w:r>
              <w:rPr>
                <w:rFonts w:ascii="Arial"/>
                <w:sz w:val="18"/>
              </w:rPr>
              <w:t>404,064,9</w:t>
            </w:r>
          </w:p>
          <w:p>
            <w:pPr>
              <w:pStyle w:val="TableParagraph"/>
              <w:spacing w:line="240" w:lineRule="auto" w:before="105"/>
              <w:ind w:left="403" w:right="0"/>
              <w:jc w:val="left"/>
              <w:rPr>
                <w:rFonts w:ascii="Arial" w:hAnsi="Arial" w:cs="Arial" w:eastAsia="Arial" w:hint="default"/>
                <w:sz w:val="18"/>
                <w:szCs w:val="18"/>
              </w:rPr>
            </w:pPr>
            <w:r>
              <w:rPr>
                <w:rFonts w:ascii="Arial"/>
                <w:sz w:val="18"/>
              </w:rPr>
              <w:t>71.09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2,787,478</w:t>
            </w:r>
          </w:p>
          <w:p>
            <w:pPr>
              <w:pStyle w:val="TableParagraph"/>
              <w:spacing w:line="240" w:lineRule="auto" w:before="105"/>
              <w:ind w:right="18"/>
              <w:jc w:val="right"/>
              <w:rPr>
                <w:rFonts w:ascii="Arial" w:hAnsi="Arial" w:cs="Arial" w:eastAsia="Arial" w:hint="default"/>
                <w:sz w:val="18"/>
                <w:szCs w:val="18"/>
              </w:rPr>
            </w:pPr>
            <w:r>
              <w:rPr>
                <w:rFonts w:ascii="Arial"/>
                <w:w w:val="95"/>
                <w:sz w:val="18"/>
              </w:rPr>
              <w:t>.78</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5,671,308</w:t>
            </w:r>
          </w:p>
          <w:p>
            <w:pPr>
              <w:pStyle w:val="TableParagraph"/>
              <w:spacing w:line="240" w:lineRule="auto" w:before="105"/>
              <w:ind w:right="18"/>
              <w:jc w:val="right"/>
              <w:rPr>
                <w:rFonts w:ascii="Arial" w:hAnsi="Arial" w:cs="Arial" w:eastAsia="Arial" w:hint="default"/>
                <w:sz w:val="18"/>
                <w:szCs w:val="18"/>
              </w:rPr>
            </w:pPr>
            <w:r>
              <w:rPr>
                <w:rFonts w:ascii="Arial"/>
                <w:w w:val="95"/>
                <w:sz w:val="18"/>
              </w:rPr>
              <w:t>.97</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7" w:right="0"/>
              <w:jc w:val="left"/>
              <w:rPr>
                <w:rFonts w:ascii="Arial" w:hAnsi="Arial" w:cs="Arial" w:eastAsia="Arial" w:hint="default"/>
                <w:sz w:val="18"/>
                <w:szCs w:val="18"/>
              </w:rPr>
            </w:pPr>
            <w:r>
              <w:rPr>
                <w:rFonts w:ascii="Arial"/>
                <w:sz w:val="18"/>
              </w:rPr>
              <w:t>438,512,5</w:t>
            </w:r>
          </w:p>
          <w:p>
            <w:pPr>
              <w:pStyle w:val="TableParagraph"/>
              <w:spacing w:line="240" w:lineRule="auto" w:before="105"/>
              <w:ind w:left="407" w:right="0"/>
              <w:jc w:val="left"/>
              <w:rPr>
                <w:rFonts w:ascii="Arial" w:hAnsi="Arial" w:cs="Arial" w:eastAsia="Arial" w:hint="default"/>
                <w:sz w:val="18"/>
                <w:szCs w:val="18"/>
              </w:rPr>
            </w:pPr>
            <w:r>
              <w:rPr>
                <w:rFonts w:ascii="Arial"/>
                <w:sz w:val="18"/>
              </w:rPr>
              <w:t>58.84</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6"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4"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Arial" w:hAnsi="Arial" w:cs="Arial" w:eastAsia="Arial" w:hint="default"/>
                <w:sz w:val="18"/>
                <w:szCs w:val="18"/>
              </w:rPr>
            </w:pPr>
            <w:r>
              <w:rPr>
                <w:rFonts w:ascii="Arial"/>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0"/>
              <w:ind w:left="55" w:right="0"/>
              <w:jc w:val="left"/>
              <w:rPr>
                <w:rFonts w:ascii="Arial" w:hAnsi="Arial" w:cs="Arial" w:eastAsia="Arial" w:hint="default"/>
                <w:sz w:val="18"/>
                <w:szCs w:val="18"/>
              </w:rPr>
            </w:pPr>
            <w:r>
              <w:rPr>
                <w:rFonts w:ascii="Arial"/>
                <w:sz w:val="18"/>
              </w:rPr>
              <w:t>27,874,78</w:t>
            </w:r>
          </w:p>
          <w:p>
            <w:pPr>
              <w:pStyle w:val="TableParagraph"/>
              <w:spacing w:line="240" w:lineRule="auto" w:before="105"/>
              <w:ind w:left="506" w:right="0"/>
              <w:jc w:val="left"/>
              <w:rPr>
                <w:rFonts w:ascii="Arial" w:hAnsi="Arial" w:cs="Arial" w:eastAsia="Arial" w:hint="default"/>
                <w:sz w:val="18"/>
                <w:szCs w:val="18"/>
              </w:rPr>
            </w:pPr>
            <w:r>
              <w:rPr>
                <w:rFonts w:ascii="Arial"/>
                <w:sz w:val="18"/>
              </w:rPr>
              <w:t>7.75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0"/>
              <w:ind w:left="57" w:right="0"/>
              <w:jc w:val="left"/>
              <w:rPr>
                <w:rFonts w:ascii="Arial" w:hAnsi="Arial" w:cs="Arial" w:eastAsia="Arial" w:hint="default"/>
                <w:sz w:val="18"/>
                <w:szCs w:val="18"/>
              </w:rPr>
            </w:pPr>
            <w:r>
              <w:rPr>
                <w:rFonts w:ascii="Arial"/>
                <w:sz w:val="18"/>
              </w:rPr>
              <w:t>27,874,78</w:t>
            </w:r>
          </w:p>
          <w:p>
            <w:pPr>
              <w:pStyle w:val="TableParagraph"/>
              <w:spacing w:line="240" w:lineRule="auto" w:before="105"/>
              <w:ind w:left="508" w:right="0"/>
              <w:jc w:val="left"/>
              <w:rPr>
                <w:rFonts w:ascii="Arial" w:hAnsi="Arial" w:cs="Arial" w:eastAsia="Arial" w:hint="default"/>
                <w:sz w:val="18"/>
                <w:szCs w:val="18"/>
              </w:rPr>
            </w:pPr>
            <w:r>
              <w:rPr>
                <w:rFonts w:ascii="Arial"/>
                <w:sz w:val="18"/>
              </w:rPr>
              <w:t>7.75</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6"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4"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Arial" w:hAnsi="Arial" w:cs="Arial" w:eastAsia="Arial" w:hint="default"/>
                <w:sz w:val="18"/>
                <w:szCs w:val="18"/>
              </w:rPr>
            </w:pPr>
            <w:r>
              <w:rPr>
                <w:rFonts w:ascii="Arial"/>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0"/>
              <w:ind w:left="55" w:right="0"/>
              <w:jc w:val="left"/>
              <w:rPr>
                <w:rFonts w:ascii="Arial" w:hAnsi="Arial" w:cs="Arial" w:eastAsia="Arial" w:hint="default"/>
                <w:sz w:val="18"/>
                <w:szCs w:val="18"/>
              </w:rPr>
            </w:pPr>
            <w:r>
              <w:rPr>
                <w:rFonts w:ascii="Arial"/>
                <w:sz w:val="18"/>
              </w:rPr>
              <w:t>27,874,78</w:t>
            </w:r>
          </w:p>
          <w:p>
            <w:pPr>
              <w:pStyle w:val="TableParagraph"/>
              <w:spacing w:line="240" w:lineRule="auto" w:before="105"/>
              <w:ind w:left="506" w:right="0"/>
              <w:jc w:val="left"/>
              <w:rPr>
                <w:rFonts w:ascii="Arial" w:hAnsi="Arial" w:cs="Arial" w:eastAsia="Arial" w:hint="default"/>
                <w:sz w:val="18"/>
                <w:szCs w:val="18"/>
              </w:rPr>
            </w:pPr>
            <w:r>
              <w:rPr>
                <w:rFonts w:ascii="Arial"/>
                <w:sz w:val="18"/>
              </w:rPr>
              <w:t>7.75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0"/>
              <w:ind w:left="57" w:right="0"/>
              <w:jc w:val="left"/>
              <w:rPr>
                <w:rFonts w:ascii="Arial" w:hAnsi="Arial" w:cs="Arial" w:eastAsia="Arial" w:hint="default"/>
                <w:sz w:val="18"/>
                <w:szCs w:val="18"/>
              </w:rPr>
            </w:pPr>
            <w:r>
              <w:rPr>
                <w:rFonts w:ascii="Arial"/>
                <w:sz w:val="18"/>
              </w:rPr>
              <w:t>27,874,78</w:t>
            </w:r>
          </w:p>
          <w:p>
            <w:pPr>
              <w:pStyle w:val="TableParagraph"/>
              <w:spacing w:line="240" w:lineRule="auto" w:before="105"/>
              <w:ind w:left="508" w:right="0"/>
              <w:jc w:val="left"/>
              <w:rPr>
                <w:rFonts w:ascii="Arial" w:hAnsi="Arial" w:cs="Arial" w:eastAsia="Arial" w:hint="default"/>
                <w:sz w:val="18"/>
                <w:szCs w:val="18"/>
              </w:rPr>
            </w:pPr>
            <w:r>
              <w:rPr>
                <w:rFonts w:ascii="Arial"/>
                <w:sz w:val="18"/>
              </w:rPr>
              <w:t>7.75</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0"/>
              <w:ind w:left="55" w:right="0"/>
              <w:jc w:val="left"/>
              <w:rPr>
                <w:rFonts w:ascii="Arial" w:hAnsi="Arial" w:cs="Arial" w:eastAsia="Arial" w:hint="default"/>
                <w:sz w:val="18"/>
                <w:szCs w:val="18"/>
              </w:rPr>
            </w:pPr>
            <w:r>
              <w:rPr>
                <w:rFonts w:ascii="Arial"/>
                <w:sz w:val="18"/>
              </w:rPr>
              <w:t>25,988,80</w:t>
            </w:r>
          </w:p>
          <w:p>
            <w:pPr>
              <w:pStyle w:val="TableParagraph"/>
              <w:spacing w:line="240" w:lineRule="auto" w:before="105"/>
              <w:ind w:left="506"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0"/>
              <w:ind w:left="52" w:right="0"/>
              <w:jc w:val="left"/>
              <w:rPr>
                <w:rFonts w:ascii="Arial" w:hAnsi="Arial" w:cs="Arial" w:eastAsia="Arial" w:hint="default"/>
                <w:sz w:val="18"/>
                <w:szCs w:val="18"/>
              </w:rPr>
            </w:pPr>
            <w:r>
              <w:rPr>
                <w:rFonts w:ascii="Arial"/>
                <w:sz w:val="18"/>
              </w:rPr>
              <w:t>404,064,9</w:t>
            </w:r>
          </w:p>
          <w:p>
            <w:pPr>
              <w:pStyle w:val="TableParagraph"/>
              <w:spacing w:line="240" w:lineRule="auto" w:before="105"/>
              <w:ind w:left="403" w:right="0"/>
              <w:jc w:val="left"/>
              <w:rPr>
                <w:rFonts w:ascii="Arial" w:hAnsi="Arial" w:cs="Arial" w:eastAsia="Arial" w:hint="default"/>
                <w:sz w:val="18"/>
                <w:szCs w:val="18"/>
              </w:rPr>
            </w:pPr>
            <w:r>
              <w:rPr>
                <w:rFonts w:ascii="Arial"/>
                <w:sz w:val="18"/>
              </w:rPr>
              <w:t>71.09</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4"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Arial" w:hAnsi="Arial" w:cs="Arial" w:eastAsia="Arial" w:hint="default"/>
                <w:sz w:val="18"/>
                <w:szCs w:val="18"/>
              </w:rPr>
            </w:pPr>
            <w:r>
              <w:rPr>
                <w:rFonts w:ascii="Arial"/>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6" w:right="0"/>
              <w:jc w:val="left"/>
              <w:rPr>
                <w:rFonts w:ascii="Arial" w:hAnsi="Arial" w:cs="Arial" w:eastAsia="Arial" w:hint="default"/>
                <w:sz w:val="18"/>
                <w:szCs w:val="18"/>
              </w:rPr>
            </w:pPr>
            <w:r>
              <w:rPr>
                <w:rFonts w:ascii="Arial"/>
                <w:sz w:val="18"/>
              </w:rPr>
              <w:t>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0"/>
              <w:ind w:left="57" w:right="0"/>
              <w:jc w:val="left"/>
              <w:rPr>
                <w:rFonts w:ascii="Arial" w:hAnsi="Arial" w:cs="Arial" w:eastAsia="Arial" w:hint="default"/>
                <w:sz w:val="18"/>
                <w:szCs w:val="18"/>
              </w:rPr>
            </w:pPr>
            <w:r>
              <w:rPr>
                <w:rFonts w:ascii="Arial"/>
                <w:sz w:val="18"/>
              </w:rPr>
              <w:t>430,053,7</w:t>
            </w:r>
          </w:p>
          <w:p>
            <w:pPr>
              <w:pStyle w:val="TableParagraph"/>
              <w:spacing w:line="240" w:lineRule="auto" w:before="105"/>
              <w:ind w:left="407" w:right="0"/>
              <w:jc w:val="left"/>
              <w:rPr>
                <w:rFonts w:ascii="Arial" w:hAnsi="Arial" w:cs="Arial" w:eastAsia="Arial" w:hint="default"/>
                <w:sz w:val="18"/>
                <w:szCs w:val="18"/>
              </w:rPr>
            </w:pPr>
            <w:r>
              <w:rPr>
                <w:rFonts w:ascii="Arial"/>
                <w:sz w:val="18"/>
              </w:rPr>
              <w:t>71.09</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0"/>
              <w:ind w:left="55" w:right="0"/>
              <w:jc w:val="left"/>
              <w:rPr>
                <w:rFonts w:ascii="Arial" w:hAnsi="Arial" w:cs="Arial" w:eastAsia="Arial" w:hint="default"/>
                <w:sz w:val="18"/>
                <w:szCs w:val="18"/>
              </w:rPr>
            </w:pPr>
            <w:r>
              <w:rPr>
                <w:rFonts w:ascii="Arial"/>
                <w:sz w:val="18"/>
              </w:rPr>
              <w:t>25,988,80</w:t>
            </w:r>
          </w:p>
          <w:p>
            <w:pPr>
              <w:pStyle w:val="TableParagraph"/>
              <w:spacing w:line="240" w:lineRule="auto" w:before="105"/>
              <w:ind w:left="506"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0"/>
              <w:ind w:left="52" w:right="0"/>
              <w:jc w:val="left"/>
              <w:rPr>
                <w:rFonts w:ascii="Arial" w:hAnsi="Arial" w:cs="Arial" w:eastAsia="Arial" w:hint="default"/>
                <w:sz w:val="18"/>
                <w:szCs w:val="18"/>
              </w:rPr>
            </w:pPr>
            <w:r>
              <w:rPr>
                <w:rFonts w:ascii="Arial"/>
                <w:sz w:val="18"/>
              </w:rPr>
              <w:t>403,917,6</w:t>
            </w:r>
          </w:p>
          <w:p>
            <w:pPr>
              <w:pStyle w:val="TableParagraph"/>
              <w:spacing w:line="240" w:lineRule="auto" w:before="105"/>
              <w:ind w:left="403" w:right="0"/>
              <w:jc w:val="left"/>
              <w:rPr>
                <w:rFonts w:ascii="Arial" w:hAnsi="Arial" w:cs="Arial" w:eastAsia="Arial" w:hint="default"/>
                <w:sz w:val="18"/>
                <w:szCs w:val="18"/>
              </w:rPr>
            </w:pPr>
            <w:r>
              <w:rPr>
                <w:rFonts w:ascii="Arial"/>
                <w:sz w:val="18"/>
              </w:rPr>
              <w:t>30.00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4"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Arial" w:hAnsi="Arial" w:cs="Arial" w:eastAsia="Arial" w:hint="default"/>
                <w:sz w:val="18"/>
                <w:szCs w:val="18"/>
              </w:rPr>
            </w:pPr>
            <w:r>
              <w:rPr>
                <w:rFonts w:ascii="Arial"/>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6" w:right="0"/>
              <w:jc w:val="left"/>
              <w:rPr>
                <w:rFonts w:ascii="Arial" w:hAnsi="Arial" w:cs="Arial" w:eastAsia="Arial" w:hint="default"/>
                <w:sz w:val="18"/>
                <w:szCs w:val="18"/>
              </w:rPr>
            </w:pPr>
            <w:r>
              <w:rPr>
                <w:rFonts w:ascii="Arial"/>
                <w:sz w:val="18"/>
              </w:rPr>
              <w:t>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0"/>
              <w:ind w:left="57" w:right="0"/>
              <w:jc w:val="left"/>
              <w:rPr>
                <w:rFonts w:ascii="Arial" w:hAnsi="Arial" w:cs="Arial" w:eastAsia="Arial" w:hint="default"/>
                <w:sz w:val="18"/>
                <w:szCs w:val="18"/>
              </w:rPr>
            </w:pPr>
            <w:r>
              <w:rPr>
                <w:rFonts w:ascii="Arial"/>
                <w:sz w:val="18"/>
              </w:rPr>
              <w:t>429,906,4</w:t>
            </w:r>
          </w:p>
          <w:p>
            <w:pPr>
              <w:pStyle w:val="TableParagraph"/>
              <w:spacing w:line="240" w:lineRule="auto" w:before="105"/>
              <w:ind w:left="407" w:right="0"/>
              <w:jc w:val="left"/>
              <w:rPr>
                <w:rFonts w:ascii="Arial" w:hAnsi="Arial" w:cs="Arial" w:eastAsia="Arial" w:hint="default"/>
                <w:sz w:val="18"/>
                <w:szCs w:val="18"/>
              </w:rPr>
            </w:pPr>
            <w:r>
              <w:rPr>
                <w:rFonts w:ascii="Arial"/>
                <w:sz w:val="18"/>
              </w:rPr>
              <w:t>30.00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12" w:right="7"/>
              <w:jc w:val="left"/>
              <w:rPr>
                <w:rFonts w:ascii="宋体" w:hAnsi="宋体" w:cs="宋体" w:eastAsia="宋体" w:hint="default"/>
                <w:sz w:val="18"/>
                <w:szCs w:val="18"/>
              </w:rPr>
            </w:pPr>
            <w:r>
              <w:rPr>
                <w:rFonts w:ascii="Arial" w:hAnsi="Arial" w:cs="Arial" w:eastAsia="Arial" w:hint="default"/>
                <w:spacing w:val="-2"/>
                <w:sz w:val="18"/>
                <w:szCs w:val="18"/>
              </w:rPr>
              <w:t>2</w:t>
            </w:r>
            <w:r>
              <w:rPr>
                <w:rFonts w:ascii="宋体" w:hAnsi="宋体" w:cs="宋体" w:eastAsia="宋体" w:hint="default"/>
                <w:spacing w:val="-2"/>
                <w:sz w:val="18"/>
                <w:szCs w:val="18"/>
              </w:rPr>
              <w:t>．股份支付计入所有者权益的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147,341.0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9</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147,341.0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9</w:t>
            </w:r>
            <w:r>
              <w:rPr>
                <w:rFonts w:ascii="Arial"/>
                <w:sz w:val="18"/>
              </w:rPr>
            </w: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6"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4"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2,787,478</w:t>
            </w:r>
          </w:p>
          <w:p>
            <w:pPr>
              <w:pStyle w:val="TableParagraph"/>
              <w:spacing w:line="240" w:lineRule="auto" w:before="105"/>
              <w:ind w:right="18"/>
              <w:jc w:val="right"/>
              <w:rPr>
                <w:rFonts w:ascii="Arial" w:hAnsi="Arial" w:cs="Arial" w:eastAsia="Arial" w:hint="default"/>
                <w:sz w:val="18"/>
                <w:szCs w:val="18"/>
              </w:rPr>
            </w:pPr>
            <w:r>
              <w:rPr>
                <w:rFonts w:ascii="Arial"/>
                <w:w w:val="95"/>
                <w:sz w:val="18"/>
              </w:rPr>
              <w:t>.78</w:t>
            </w:r>
            <w:r>
              <w:rPr>
                <w:rFonts w:ascii="Arial"/>
                <w:sz w:val="18"/>
              </w:rPr>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Arial" w:hAnsi="Arial" w:cs="Arial" w:eastAsia="Arial" w:hint="default"/>
                <w:sz w:val="18"/>
                <w:szCs w:val="18"/>
              </w:rPr>
            </w:pPr>
            <w:r>
              <w:rPr>
                <w:rFonts w:ascii="Arial"/>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0"/>
              <w:ind w:left="96" w:right="0"/>
              <w:jc w:val="left"/>
              <w:rPr>
                <w:rFonts w:ascii="Arial" w:hAnsi="Arial" w:cs="Arial" w:eastAsia="Arial" w:hint="default"/>
                <w:sz w:val="18"/>
                <w:szCs w:val="18"/>
              </w:rPr>
            </w:pPr>
            <w:r>
              <w:rPr>
                <w:rFonts w:ascii="Arial"/>
                <w:sz w:val="18"/>
              </w:rPr>
              <w:t>-22,203,4</w:t>
            </w:r>
          </w:p>
          <w:p>
            <w:pPr>
              <w:pStyle w:val="TableParagraph"/>
              <w:spacing w:line="240" w:lineRule="auto" w:before="105"/>
              <w:ind w:left="405" w:right="0"/>
              <w:jc w:val="left"/>
              <w:rPr>
                <w:rFonts w:ascii="Arial" w:hAnsi="Arial" w:cs="Arial" w:eastAsia="Arial" w:hint="default"/>
                <w:sz w:val="18"/>
                <w:szCs w:val="18"/>
              </w:rPr>
            </w:pPr>
            <w:r>
              <w:rPr>
                <w:rFonts w:ascii="Arial"/>
                <w:sz w:val="18"/>
              </w:rPr>
              <w:t>78.78</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0"/>
              <w:ind w:left="98" w:right="0"/>
              <w:jc w:val="left"/>
              <w:rPr>
                <w:rFonts w:ascii="Arial" w:hAnsi="Arial" w:cs="Arial" w:eastAsia="Arial" w:hint="default"/>
                <w:sz w:val="18"/>
                <w:szCs w:val="18"/>
              </w:rPr>
            </w:pPr>
            <w:r>
              <w:rPr>
                <w:rFonts w:ascii="Arial"/>
                <w:sz w:val="18"/>
              </w:rPr>
              <w:t>-19,416,0</w:t>
            </w:r>
          </w:p>
          <w:p>
            <w:pPr>
              <w:pStyle w:val="TableParagraph"/>
              <w:spacing w:line="240" w:lineRule="auto" w:before="105"/>
              <w:ind w:left="407" w:right="0"/>
              <w:jc w:val="left"/>
              <w:rPr>
                <w:rFonts w:ascii="Arial" w:hAnsi="Arial" w:cs="Arial" w:eastAsia="Arial" w:hint="default"/>
                <w:sz w:val="18"/>
                <w:szCs w:val="18"/>
              </w:rPr>
            </w:pPr>
            <w:r>
              <w:rPr>
                <w:rFonts w:ascii="Arial"/>
                <w:sz w:val="18"/>
              </w:rPr>
              <w:t>00.00</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shape style="position:absolute;margin-left:138.618011pt;margin-top:204.259979pt;width:84.75pt;height:19.6pt;mso-position-horizontal-relative:page;mso-position-vertical-relative:page;z-index:-1033360"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8.618011pt;margin-top:224.299988pt;width:84.75pt;height:19.6pt;mso-position-horizontal-relative:page;mso-position-vertical-relative:page;z-index:-1033336"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0.740005pt;margin-top:203.659988pt;width:42.65pt;height:40.8pt;mso-position-horizontal-relative:page;mso-position-vertical-relative:page;z-index:-1033312" coordorigin="3615,4073" coordsize="853,816">
            <v:group style="position:absolute;left:3627;top:4085;width:2;height:392" coordorigin="3627,4085" coordsize="2,392">
              <v:shape style="position:absolute;left:3627;top:4085;width:2;height:392" coordorigin="3627,4085" coordsize="0,392" path="m3627,4085l3627,4476e" filled="false" stroked="true" strokeweight="1.2pt" strokecolor="#ffffff">
                <v:path arrowok="t"/>
              </v:shape>
            </v:group>
            <v:group style="position:absolute;left:3639;top:4085;width:829;height:392" coordorigin="3639,4085" coordsize="829,392">
              <v:shape style="position:absolute;left:3639;top:4085;width:829;height:392" coordorigin="3639,4085" coordsize="829,392" path="m3639,4476l4467,4476,4467,4085,3639,4085,3639,4476xe" filled="true" fillcolor="#ffffff" stroked="false">
                <v:path arrowok="t"/>
                <v:fill type="solid"/>
              </v:shape>
            </v:group>
            <v:group style="position:absolute;left:3627;top:4486;width:2;height:392" coordorigin="3627,4486" coordsize="2,392">
              <v:shape style="position:absolute;left:3627;top:4486;width:2;height:392" coordorigin="3627,4486" coordsize="0,392" path="m3627,4486l3627,4877e" filled="false" stroked="true" strokeweight="1.2pt" strokecolor="#ffffff">
                <v:path arrowok="t"/>
              </v:shape>
            </v:group>
            <v:group style="position:absolute;left:3639;top:4486;width:829;height:392" coordorigin="3639,4486" coordsize="829,392">
              <v:shape style="position:absolute;left:3639;top:4486;width:829;height:392" coordorigin="3639,4486" coordsize="829,392" path="m3639,4877l4467,4877,4467,4486,3639,4486,3639,487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2,787,478</w:t>
            </w:r>
          </w:p>
          <w:p>
            <w:pPr>
              <w:pStyle w:val="TableParagraph"/>
              <w:spacing w:line="240" w:lineRule="auto" w:before="105"/>
              <w:ind w:right="18"/>
              <w:jc w:val="right"/>
              <w:rPr>
                <w:rFonts w:ascii="Arial" w:hAnsi="Arial" w:cs="Arial" w:eastAsia="Arial" w:hint="default"/>
                <w:sz w:val="18"/>
                <w:szCs w:val="18"/>
              </w:rPr>
            </w:pPr>
            <w:r>
              <w:rPr>
                <w:rFonts w:ascii="Arial"/>
                <w:w w:val="95"/>
                <w:sz w:val="18"/>
              </w:rPr>
              <w:t>.78</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6" w:right="0"/>
              <w:jc w:val="left"/>
              <w:rPr>
                <w:rFonts w:ascii="Arial" w:hAnsi="Arial" w:cs="Arial" w:eastAsia="Arial" w:hint="default"/>
                <w:sz w:val="18"/>
                <w:szCs w:val="18"/>
              </w:rPr>
            </w:pPr>
            <w:r>
              <w:rPr>
                <w:rFonts w:ascii="Arial"/>
                <w:sz w:val="18"/>
              </w:rPr>
              <w:t>-2,787,47</w:t>
            </w:r>
          </w:p>
          <w:p>
            <w:pPr>
              <w:pStyle w:val="TableParagraph"/>
              <w:spacing w:line="240" w:lineRule="auto" w:before="105"/>
              <w:ind w:left="506" w:right="0"/>
              <w:jc w:val="left"/>
              <w:rPr>
                <w:rFonts w:ascii="Arial" w:hAnsi="Arial" w:cs="Arial" w:eastAsia="Arial" w:hint="default"/>
                <w:sz w:val="18"/>
                <w:szCs w:val="18"/>
              </w:rPr>
            </w:pPr>
            <w:r>
              <w:rPr>
                <w:rFonts w:ascii="Arial"/>
                <w:sz w:val="18"/>
              </w:rPr>
              <w:t>8.78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6" w:right="0"/>
              <w:jc w:val="left"/>
              <w:rPr>
                <w:rFonts w:ascii="Arial" w:hAnsi="Arial" w:cs="Arial" w:eastAsia="Arial" w:hint="default"/>
                <w:sz w:val="18"/>
                <w:szCs w:val="18"/>
              </w:rPr>
            </w:pPr>
            <w:r>
              <w:rPr>
                <w:rFonts w:ascii="Arial"/>
                <w:sz w:val="18"/>
              </w:rPr>
              <w:t>-19,416,0</w:t>
            </w:r>
          </w:p>
          <w:p>
            <w:pPr>
              <w:pStyle w:val="TableParagraph"/>
              <w:spacing w:line="240" w:lineRule="auto" w:before="105"/>
              <w:ind w:left="405" w:right="0"/>
              <w:jc w:val="left"/>
              <w:rPr>
                <w:rFonts w:ascii="Arial" w:hAnsi="Arial" w:cs="Arial" w:eastAsia="Arial" w:hint="default"/>
                <w:sz w:val="18"/>
                <w:szCs w:val="18"/>
              </w:rPr>
            </w:pPr>
            <w:r>
              <w:rPr>
                <w:rFonts w:ascii="Arial"/>
                <w:sz w:val="18"/>
              </w:rPr>
              <w:t>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8" w:right="0"/>
              <w:jc w:val="left"/>
              <w:rPr>
                <w:rFonts w:ascii="Arial" w:hAnsi="Arial" w:cs="Arial" w:eastAsia="Arial" w:hint="default"/>
                <w:sz w:val="18"/>
                <w:szCs w:val="18"/>
              </w:rPr>
            </w:pPr>
            <w:r>
              <w:rPr>
                <w:rFonts w:ascii="Arial"/>
                <w:sz w:val="18"/>
              </w:rPr>
              <w:t>-19,416,0</w:t>
            </w:r>
          </w:p>
          <w:p>
            <w:pPr>
              <w:pStyle w:val="TableParagraph"/>
              <w:spacing w:line="240" w:lineRule="auto" w:before="105"/>
              <w:ind w:left="407" w:right="0"/>
              <w:jc w:val="left"/>
              <w:rPr>
                <w:rFonts w:ascii="Arial" w:hAnsi="Arial" w:cs="Arial" w:eastAsia="Arial" w:hint="default"/>
                <w:sz w:val="18"/>
                <w:szCs w:val="18"/>
              </w:rPr>
            </w:pPr>
            <w:r>
              <w:rPr>
                <w:rFonts w:ascii="Arial"/>
                <w:sz w:val="18"/>
              </w:rPr>
              <w:t>00.00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pacing w:val="-6"/>
                <w:sz w:val="18"/>
                <w:szCs w:val="18"/>
              </w:rPr>
              <w:t>1</w:t>
            </w:r>
            <w:r>
              <w:rPr>
                <w:rFonts w:ascii="宋体" w:hAnsi="宋体" w:cs="宋体" w:eastAsia="宋体" w:hint="default"/>
                <w:spacing w:val="-6"/>
                <w:sz w:val="18"/>
                <w:szCs w:val="18"/>
              </w:rPr>
              <w:t>．资本公积转增资本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pacing w:val="-6"/>
                <w:sz w:val="18"/>
                <w:szCs w:val="18"/>
              </w:rPr>
              <w:t>2</w:t>
            </w:r>
            <w:r>
              <w:rPr>
                <w:rFonts w:ascii="宋体" w:hAnsi="宋体" w:cs="宋体" w:eastAsia="宋体" w:hint="default"/>
                <w:spacing w:val="-6"/>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Arial" w:hAnsi="Arial" w:cs="Arial" w:eastAsia="Arial" w:hint="default"/>
                <w:sz w:val="18"/>
                <w:szCs w:val="18"/>
              </w:rPr>
            </w:pPr>
            <w:r>
              <w:rPr>
                <w:rFonts w:ascii="Arial"/>
                <w:sz w:val="18"/>
              </w:rPr>
              <w:t>98,788,80</w:t>
            </w:r>
          </w:p>
          <w:p>
            <w:pPr>
              <w:pStyle w:val="TableParagraph"/>
              <w:spacing w:line="240" w:lineRule="auto" w:before="102"/>
              <w:ind w:left="502" w:right="0"/>
              <w:jc w:val="left"/>
              <w:rPr>
                <w:rFonts w:ascii="Arial" w:hAnsi="Arial" w:cs="Arial" w:eastAsia="Arial" w:hint="default"/>
                <w:sz w:val="18"/>
                <w:szCs w:val="18"/>
              </w:rPr>
            </w:pPr>
            <w:r>
              <w:rPr>
                <w:rFonts w:ascii="Arial"/>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Arial" w:hAnsi="Arial" w:cs="Arial" w:eastAsia="Arial" w:hint="default"/>
                <w:sz w:val="18"/>
                <w:szCs w:val="18"/>
              </w:rPr>
            </w:pPr>
            <w:r>
              <w:rPr>
                <w:rFonts w:ascii="Arial"/>
                <w:sz w:val="18"/>
              </w:rPr>
              <w:t>437,427,2</w:t>
            </w:r>
          </w:p>
          <w:p>
            <w:pPr>
              <w:pStyle w:val="TableParagraph"/>
              <w:spacing w:line="240" w:lineRule="auto" w:before="102"/>
              <w:ind w:left="403" w:right="0"/>
              <w:jc w:val="left"/>
              <w:rPr>
                <w:rFonts w:ascii="Arial" w:hAnsi="Arial" w:cs="Arial" w:eastAsia="Arial" w:hint="default"/>
                <w:sz w:val="18"/>
                <w:szCs w:val="18"/>
              </w:rPr>
            </w:pPr>
            <w:r>
              <w:rPr>
                <w:rFonts w:ascii="Arial"/>
                <w:sz w:val="18"/>
              </w:rPr>
              <w:t>71.76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Arial" w:hAnsi="Arial" w:cs="Arial" w:eastAsia="Arial" w:hint="default"/>
                <w:sz w:val="18"/>
                <w:szCs w:val="18"/>
              </w:rPr>
            </w:pPr>
            <w:r>
              <w:rPr>
                <w:rFonts w:ascii="Arial"/>
                <w:sz w:val="18"/>
              </w:rPr>
              <w:t>16,864,26</w:t>
            </w:r>
          </w:p>
          <w:p>
            <w:pPr>
              <w:pStyle w:val="TableParagraph"/>
              <w:spacing w:line="240" w:lineRule="auto" w:before="102"/>
              <w:ind w:left="503" w:right="0"/>
              <w:jc w:val="left"/>
              <w:rPr>
                <w:rFonts w:ascii="Arial" w:hAnsi="Arial" w:cs="Arial" w:eastAsia="Arial" w:hint="default"/>
                <w:sz w:val="18"/>
                <w:szCs w:val="18"/>
              </w:rPr>
            </w:pPr>
            <w:r>
              <w:rPr>
                <w:rFonts w:ascii="Arial"/>
                <w:sz w:val="18"/>
              </w:rPr>
              <w:t>4.24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 w:right="0"/>
              <w:jc w:val="left"/>
              <w:rPr>
                <w:rFonts w:ascii="Arial" w:hAnsi="Arial" w:cs="Arial" w:eastAsia="Arial" w:hint="default"/>
                <w:sz w:val="18"/>
                <w:szCs w:val="18"/>
              </w:rPr>
            </w:pPr>
            <w:r>
              <w:rPr>
                <w:rFonts w:ascii="Arial"/>
                <w:sz w:val="18"/>
              </w:rPr>
              <w:t>104,243,3</w:t>
            </w:r>
          </w:p>
          <w:p>
            <w:pPr>
              <w:pStyle w:val="TableParagraph"/>
              <w:spacing w:line="240" w:lineRule="auto" w:before="102"/>
              <w:ind w:left="405" w:right="0"/>
              <w:jc w:val="left"/>
              <w:rPr>
                <w:rFonts w:ascii="Arial" w:hAnsi="Arial" w:cs="Arial" w:eastAsia="Arial" w:hint="default"/>
                <w:sz w:val="18"/>
                <w:szCs w:val="18"/>
              </w:rPr>
            </w:pPr>
            <w:r>
              <w:rPr>
                <w:rFonts w:ascii="Arial"/>
                <w:sz w:val="18"/>
              </w:rPr>
              <w:t>77.99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Arial" w:hAnsi="Arial" w:cs="Arial" w:eastAsia="Arial" w:hint="default"/>
                <w:sz w:val="18"/>
                <w:szCs w:val="18"/>
              </w:rPr>
            </w:pPr>
            <w:r>
              <w:rPr>
                <w:rFonts w:ascii="Arial"/>
                <w:sz w:val="18"/>
              </w:rPr>
              <w:t>657,323,7</w:t>
            </w:r>
          </w:p>
          <w:p>
            <w:pPr>
              <w:pStyle w:val="TableParagraph"/>
              <w:spacing w:line="240" w:lineRule="auto" w:before="102"/>
              <w:ind w:left="407" w:right="0"/>
              <w:jc w:val="left"/>
              <w:rPr>
                <w:rFonts w:ascii="Arial" w:hAnsi="Arial" w:cs="Arial" w:eastAsia="Arial" w:hint="default"/>
                <w:sz w:val="18"/>
                <w:szCs w:val="18"/>
              </w:rPr>
            </w:pPr>
            <w:r>
              <w:rPr>
                <w:rFonts w:ascii="Arial"/>
                <w:sz w:val="18"/>
              </w:rPr>
              <w:t>13.99</w:t>
            </w:r>
          </w:p>
        </w:tc>
      </w:tr>
    </w:tbl>
    <w:p>
      <w:pPr>
        <w:pStyle w:val="BodyText"/>
        <w:spacing w:line="240" w:lineRule="auto" w:before="49"/>
        <w:ind w:right="1121"/>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9"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0"/>
              <w:ind w:left="55" w:right="0"/>
              <w:jc w:val="left"/>
              <w:rPr>
                <w:rFonts w:ascii="Arial" w:hAnsi="Arial" w:cs="Arial" w:eastAsia="Arial" w:hint="default"/>
                <w:sz w:val="18"/>
                <w:szCs w:val="18"/>
              </w:rPr>
            </w:pPr>
            <w:r>
              <w:rPr>
                <w:rFonts w:ascii="Arial"/>
                <w:sz w:val="18"/>
              </w:rPr>
              <w:t>72,800,00</w:t>
            </w:r>
          </w:p>
          <w:p>
            <w:pPr>
              <w:pStyle w:val="TableParagraph"/>
              <w:spacing w:line="240" w:lineRule="auto" w:before="105"/>
              <w:ind w:left="506"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0"/>
              <w:ind w:left="50" w:right="0"/>
              <w:jc w:val="left"/>
              <w:rPr>
                <w:rFonts w:ascii="Arial" w:hAnsi="Arial" w:cs="Arial" w:eastAsia="Arial" w:hint="default"/>
                <w:sz w:val="18"/>
                <w:szCs w:val="18"/>
              </w:rPr>
            </w:pPr>
            <w:r>
              <w:rPr>
                <w:rFonts w:ascii="Arial"/>
                <w:sz w:val="18"/>
              </w:rPr>
              <w:t>33,362,30</w:t>
            </w:r>
          </w:p>
          <w:p>
            <w:pPr>
              <w:pStyle w:val="TableParagraph"/>
              <w:spacing w:line="240" w:lineRule="auto" w:before="105"/>
              <w:ind w:left="501" w:right="0"/>
              <w:jc w:val="left"/>
              <w:rPr>
                <w:rFonts w:ascii="Arial" w:hAnsi="Arial" w:cs="Arial" w:eastAsia="Arial" w:hint="default"/>
                <w:sz w:val="18"/>
                <w:szCs w:val="18"/>
              </w:rPr>
            </w:pPr>
            <w:r>
              <w:rPr>
                <w:rFonts w:ascii="Arial"/>
                <w:sz w:val="18"/>
              </w:rPr>
              <w:t>0.67</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9,449,666</w:t>
            </w:r>
          </w:p>
          <w:p>
            <w:pPr>
              <w:pStyle w:val="TableParagraph"/>
              <w:spacing w:line="240" w:lineRule="auto" w:before="105"/>
              <w:ind w:right="20"/>
              <w:jc w:val="right"/>
              <w:rPr>
                <w:rFonts w:ascii="Arial" w:hAnsi="Arial" w:cs="Arial" w:eastAsia="Arial" w:hint="default"/>
                <w:sz w:val="18"/>
                <w:szCs w:val="18"/>
              </w:rPr>
            </w:pPr>
            <w:r>
              <w:rPr>
                <w:rFonts w:ascii="Arial"/>
                <w:w w:val="95"/>
                <w:sz w:val="18"/>
              </w:rPr>
              <w:t>.08</w:t>
            </w:r>
            <w:r>
              <w:rPr>
                <w:rFonts w:ascii="Arial"/>
                <w:sz w:val="18"/>
              </w:rPr>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0"/>
              <w:ind w:left="50" w:right="0"/>
              <w:jc w:val="left"/>
              <w:rPr>
                <w:rFonts w:ascii="Arial" w:hAnsi="Arial" w:cs="Arial" w:eastAsia="Arial" w:hint="default"/>
                <w:sz w:val="18"/>
                <w:szCs w:val="18"/>
              </w:rPr>
            </w:pPr>
            <w:r>
              <w:rPr>
                <w:rFonts w:ascii="Arial"/>
                <w:sz w:val="18"/>
              </w:rPr>
              <w:t>56,927,99</w:t>
            </w:r>
          </w:p>
          <w:p>
            <w:pPr>
              <w:pStyle w:val="TableParagraph"/>
              <w:spacing w:line="240" w:lineRule="auto" w:before="105"/>
              <w:ind w:left="501" w:right="0"/>
              <w:jc w:val="left"/>
              <w:rPr>
                <w:rFonts w:ascii="Arial" w:hAnsi="Arial" w:cs="Arial" w:eastAsia="Arial" w:hint="default"/>
                <w:sz w:val="18"/>
                <w:szCs w:val="18"/>
              </w:rPr>
            </w:pPr>
            <w:r>
              <w:rPr>
                <w:rFonts w:ascii="Arial"/>
                <w:sz w:val="18"/>
              </w:rPr>
              <w:t>4.64</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0"/>
              <w:ind w:left="48" w:right="0"/>
              <w:jc w:val="left"/>
              <w:rPr>
                <w:rFonts w:ascii="Arial" w:hAnsi="Arial" w:cs="Arial" w:eastAsia="Arial" w:hint="default"/>
                <w:sz w:val="18"/>
                <w:szCs w:val="18"/>
              </w:rPr>
            </w:pPr>
            <w:r>
              <w:rPr>
                <w:rFonts w:ascii="Arial"/>
                <w:sz w:val="18"/>
              </w:rPr>
              <w:t>172,539,9</w:t>
            </w:r>
          </w:p>
          <w:p>
            <w:pPr>
              <w:pStyle w:val="TableParagraph"/>
              <w:spacing w:line="240" w:lineRule="auto" w:before="105"/>
              <w:ind w:left="398" w:right="0"/>
              <w:jc w:val="left"/>
              <w:rPr>
                <w:rFonts w:ascii="Arial" w:hAnsi="Arial" w:cs="Arial" w:eastAsia="Arial" w:hint="default"/>
                <w:sz w:val="18"/>
                <w:szCs w:val="18"/>
              </w:rPr>
            </w:pPr>
            <w:r>
              <w:rPr>
                <w:rFonts w:ascii="Arial"/>
                <w:sz w:val="18"/>
              </w:rPr>
              <w:t>61.39</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0"/>
              <w:ind w:left="55" w:right="0"/>
              <w:jc w:val="left"/>
              <w:rPr>
                <w:rFonts w:ascii="Arial" w:hAnsi="Arial" w:cs="Arial" w:eastAsia="Arial" w:hint="default"/>
                <w:sz w:val="18"/>
                <w:szCs w:val="18"/>
              </w:rPr>
            </w:pPr>
            <w:r>
              <w:rPr>
                <w:rFonts w:ascii="Arial"/>
                <w:sz w:val="18"/>
              </w:rPr>
              <w:t>72,800,00</w:t>
            </w:r>
          </w:p>
          <w:p>
            <w:pPr>
              <w:pStyle w:val="TableParagraph"/>
              <w:spacing w:line="240" w:lineRule="auto" w:before="105"/>
              <w:ind w:left="506"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0"/>
              <w:ind w:left="50" w:right="0"/>
              <w:jc w:val="left"/>
              <w:rPr>
                <w:rFonts w:ascii="Arial" w:hAnsi="Arial" w:cs="Arial" w:eastAsia="Arial" w:hint="default"/>
                <w:sz w:val="18"/>
                <w:szCs w:val="18"/>
              </w:rPr>
            </w:pPr>
            <w:r>
              <w:rPr>
                <w:rFonts w:ascii="Arial"/>
                <w:sz w:val="18"/>
              </w:rPr>
              <w:t>33,362,30</w:t>
            </w:r>
          </w:p>
          <w:p>
            <w:pPr>
              <w:pStyle w:val="TableParagraph"/>
              <w:spacing w:line="240" w:lineRule="auto" w:before="105"/>
              <w:ind w:left="501" w:right="0"/>
              <w:jc w:val="left"/>
              <w:rPr>
                <w:rFonts w:ascii="Arial" w:hAnsi="Arial" w:cs="Arial" w:eastAsia="Arial" w:hint="default"/>
                <w:sz w:val="18"/>
                <w:szCs w:val="18"/>
              </w:rPr>
            </w:pPr>
            <w:r>
              <w:rPr>
                <w:rFonts w:ascii="Arial"/>
                <w:sz w:val="18"/>
              </w:rPr>
              <w:t>0.67</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9,449,666</w:t>
            </w:r>
          </w:p>
          <w:p>
            <w:pPr>
              <w:pStyle w:val="TableParagraph"/>
              <w:spacing w:line="240" w:lineRule="auto" w:before="105"/>
              <w:ind w:right="20"/>
              <w:jc w:val="right"/>
              <w:rPr>
                <w:rFonts w:ascii="Arial" w:hAnsi="Arial" w:cs="Arial" w:eastAsia="Arial" w:hint="default"/>
                <w:sz w:val="18"/>
                <w:szCs w:val="18"/>
              </w:rPr>
            </w:pPr>
            <w:r>
              <w:rPr>
                <w:rFonts w:ascii="Arial"/>
                <w:w w:val="95"/>
                <w:sz w:val="18"/>
              </w:rPr>
              <w:t>.08</w:t>
            </w:r>
            <w:r>
              <w:rPr>
                <w:rFonts w:ascii="Arial"/>
                <w:sz w:val="18"/>
              </w:rPr>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0"/>
              <w:ind w:left="50" w:right="0"/>
              <w:jc w:val="left"/>
              <w:rPr>
                <w:rFonts w:ascii="Arial" w:hAnsi="Arial" w:cs="Arial" w:eastAsia="Arial" w:hint="default"/>
                <w:sz w:val="18"/>
                <w:szCs w:val="18"/>
              </w:rPr>
            </w:pPr>
            <w:r>
              <w:rPr>
                <w:rFonts w:ascii="Arial"/>
                <w:sz w:val="18"/>
              </w:rPr>
              <w:t>56,927,99</w:t>
            </w:r>
          </w:p>
          <w:p>
            <w:pPr>
              <w:pStyle w:val="TableParagraph"/>
              <w:spacing w:line="240" w:lineRule="auto" w:before="105"/>
              <w:ind w:left="501" w:right="0"/>
              <w:jc w:val="left"/>
              <w:rPr>
                <w:rFonts w:ascii="Arial" w:hAnsi="Arial" w:cs="Arial" w:eastAsia="Arial" w:hint="default"/>
                <w:sz w:val="18"/>
                <w:szCs w:val="18"/>
              </w:rPr>
            </w:pPr>
            <w:r>
              <w:rPr>
                <w:rFonts w:ascii="Arial"/>
                <w:sz w:val="18"/>
              </w:rPr>
              <w:t>4.64</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0"/>
              <w:ind w:left="48" w:right="0"/>
              <w:jc w:val="left"/>
              <w:rPr>
                <w:rFonts w:ascii="Arial" w:hAnsi="Arial" w:cs="Arial" w:eastAsia="Arial" w:hint="default"/>
                <w:sz w:val="18"/>
                <w:szCs w:val="18"/>
              </w:rPr>
            </w:pPr>
            <w:r>
              <w:rPr>
                <w:rFonts w:ascii="Arial"/>
                <w:sz w:val="18"/>
              </w:rPr>
              <w:t>172,539,9</w:t>
            </w:r>
          </w:p>
          <w:p>
            <w:pPr>
              <w:pStyle w:val="TableParagraph"/>
              <w:spacing w:line="240" w:lineRule="auto" w:before="105"/>
              <w:ind w:left="398" w:right="0"/>
              <w:jc w:val="left"/>
              <w:rPr>
                <w:rFonts w:ascii="Arial" w:hAnsi="Arial" w:cs="Arial" w:eastAsia="Arial" w:hint="default"/>
                <w:sz w:val="18"/>
                <w:szCs w:val="18"/>
              </w:rPr>
            </w:pPr>
            <w:r>
              <w:rPr>
                <w:rFonts w:ascii="Arial"/>
                <w:sz w:val="18"/>
              </w:rPr>
              <w:t>61.39</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4"/>
              <w:ind w:left="1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4,627,119</w:t>
            </w:r>
          </w:p>
          <w:p>
            <w:pPr>
              <w:pStyle w:val="TableParagraph"/>
              <w:spacing w:line="240" w:lineRule="auto" w:before="102"/>
              <w:ind w:right="20"/>
              <w:jc w:val="right"/>
              <w:rPr>
                <w:rFonts w:ascii="Arial" w:hAnsi="Arial" w:cs="Arial" w:eastAsia="Arial" w:hint="default"/>
                <w:sz w:val="18"/>
                <w:szCs w:val="18"/>
              </w:rPr>
            </w:pPr>
            <w:r>
              <w:rPr>
                <w:rFonts w:ascii="Arial"/>
                <w:w w:val="95"/>
                <w:sz w:val="18"/>
              </w:rPr>
              <w:t>.38</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 w:right="0"/>
              <w:jc w:val="left"/>
              <w:rPr>
                <w:rFonts w:ascii="Arial" w:hAnsi="Arial" w:cs="Arial" w:eastAsia="Arial" w:hint="default"/>
                <w:sz w:val="18"/>
                <w:szCs w:val="18"/>
              </w:rPr>
            </w:pPr>
            <w:r>
              <w:rPr>
                <w:rFonts w:ascii="Arial"/>
                <w:sz w:val="18"/>
              </w:rPr>
              <w:t>41,644,07</w:t>
            </w:r>
          </w:p>
          <w:p>
            <w:pPr>
              <w:pStyle w:val="TableParagraph"/>
              <w:spacing w:line="240" w:lineRule="auto" w:before="102"/>
              <w:ind w:left="501" w:right="0"/>
              <w:jc w:val="left"/>
              <w:rPr>
                <w:rFonts w:ascii="Arial" w:hAnsi="Arial" w:cs="Arial" w:eastAsia="Arial" w:hint="default"/>
                <w:sz w:val="18"/>
                <w:szCs w:val="18"/>
              </w:rPr>
            </w:pPr>
            <w:r>
              <w:rPr>
                <w:rFonts w:ascii="Arial"/>
                <w:sz w:val="18"/>
              </w:rPr>
              <w:t>4.38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8" w:right="0"/>
              <w:jc w:val="left"/>
              <w:rPr>
                <w:rFonts w:ascii="Arial" w:hAnsi="Arial" w:cs="Arial" w:eastAsia="Arial" w:hint="default"/>
                <w:sz w:val="18"/>
                <w:szCs w:val="18"/>
              </w:rPr>
            </w:pPr>
            <w:r>
              <w:rPr>
                <w:rFonts w:ascii="Arial"/>
                <w:sz w:val="18"/>
              </w:rPr>
              <w:t>46,271,19</w:t>
            </w:r>
          </w:p>
          <w:p>
            <w:pPr>
              <w:pStyle w:val="TableParagraph"/>
              <w:spacing w:line="240" w:lineRule="auto" w:before="102"/>
              <w:ind w:left="499" w:right="0"/>
              <w:jc w:val="left"/>
              <w:rPr>
                <w:rFonts w:ascii="Arial" w:hAnsi="Arial" w:cs="Arial" w:eastAsia="Arial" w:hint="default"/>
                <w:sz w:val="18"/>
                <w:szCs w:val="18"/>
              </w:rPr>
            </w:pPr>
            <w:r>
              <w:rPr>
                <w:rFonts w:ascii="Arial"/>
                <w:sz w:val="18"/>
              </w:rPr>
              <w:t>3.76</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6"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0"/>
              <w:ind w:left="50" w:right="0"/>
              <w:jc w:val="left"/>
              <w:rPr>
                <w:rFonts w:ascii="Arial" w:hAnsi="Arial" w:cs="Arial" w:eastAsia="Arial" w:hint="default"/>
                <w:sz w:val="18"/>
                <w:szCs w:val="18"/>
              </w:rPr>
            </w:pPr>
            <w:r>
              <w:rPr>
                <w:rFonts w:ascii="Arial"/>
                <w:sz w:val="18"/>
              </w:rPr>
              <w:t>46,271,19</w:t>
            </w:r>
          </w:p>
          <w:p>
            <w:pPr>
              <w:pStyle w:val="TableParagraph"/>
              <w:spacing w:line="240" w:lineRule="auto" w:before="105"/>
              <w:ind w:left="501" w:right="0"/>
              <w:jc w:val="left"/>
              <w:rPr>
                <w:rFonts w:ascii="Arial" w:hAnsi="Arial" w:cs="Arial" w:eastAsia="Arial" w:hint="default"/>
                <w:sz w:val="18"/>
                <w:szCs w:val="18"/>
              </w:rPr>
            </w:pPr>
            <w:r>
              <w:rPr>
                <w:rFonts w:ascii="Arial"/>
                <w:sz w:val="18"/>
              </w:rPr>
              <w:t>3.76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0"/>
              <w:ind w:left="48" w:right="0"/>
              <w:jc w:val="left"/>
              <w:rPr>
                <w:rFonts w:ascii="Arial" w:hAnsi="Arial" w:cs="Arial" w:eastAsia="Arial" w:hint="default"/>
                <w:sz w:val="18"/>
                <w:szCs w:val="18"/>
              </w:rPr>
            </w:pPr>
            <w:r>
              <w:rPr>
                <w:rFonts w:ascii="Arial"/>
                <w:sz w:val="18"/>
              </w:rPr>
              <w:t>46,271,19</w:t>
            </w:r>
          </w:p>
          <w:p>
            <w:pPr>
              <w:pStyle w:val="TableParagraph"/>
              <w:spacing w:line="240" w:lineRule="auto" w:before="105"/>
              <w:ind w:left="499" w:right="0"/>
              <w:jc w:val="left"/>
              <w:rPr>
                <w:rFonts w:ascii="Arial" w:hAnsi="Arial" w:cs="Arial" w:eastAsia="Arial" w:hint="default"/>
                <w:sz w:val="18"/>
                <w:szCs w:val="18"/>
              </w:rPr>
            </w:pPr>
            <w:r>
              <w:rPr>
                <w:rFonts w:ascii="Arial"/>
                <w:sz w:val="18"/>
              </w:rPr>
              <w:t>3.76</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6"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1" w:right="0"/>
              <w:jc w:val="left"/>
              <w:rPr>
                <w:rFonts w:ascii="Arial" w:hAnsi="Arial" w:cs="Arial" w:eastAsia="Arial" w:hint="default"/>
                <w:sz w:val="18"/>
                <w:szCs w:val="18"/>
              </w:rPr>
            </w:pPr>
            <w:r>
              <w:rPr>
                <w:rFonts w:ascii="Arial"/>
                <w:sz w:val="18"/>
              </w:rPr>
              <w:t>0.00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0"/>
              <w:ind w:left="50" w:right="0"/>
              <w:jc w:val="left"/>
              <w:rPr>
                <w:rFonts w:ascii="Arial" w:hAnsi="Arial" w:cs="Arial" w:eastAsia="Arial" w:hint="default"/>
                <w:sz w:val="18"/>
                <w:szCs w:val="18"/>
              </w:rPr>
            </w:pPr>
            <w:r>
              <w:rPr>
                <w:rFonts w:ascii="Arial"/>
                <w:sz w:val="18"/>
              </w:rPr>
              <w:t>46,271,19</w:t>
            </w:r>
          </w:p>
          <w:p>
            <w:pPr>
              <w:pStyle w:val="TableParagraph"/>
              <w:spacing w:line="240" w:lineRule="auto" w:before="105"/>
              <w:ind w:left="501" w:right="0"/>
              <w:jc w:val="left"/>
              <w:rPr>
                <w:rFonts w:ascii="Arial" w:hAnsi="Arial" w:cs="Arial" w:eastAsia="Arial" w:hint="default"/>
                <w:sz w:val="18"/>
                <w:szCs w:val="18"/>
              </w:rPr>
            </w:pPr>
            <w:r>
              <w:rPr>
                <w:rFonts w:ascii="Arial"/>
                <w:sz w:val="18"/>
              </w:rPr>
              <w:t>3.76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0"/>
              <w:ind w:left="48" w:right="0"/>
              <w:jc w:val="left"/>
              <w:rPr>
                <w:rFonts w:ascii="Arial" w:hAnsi="Arial" w:cs="Arial" w:eastAsia="Arial" w:hint="default"/>
                <w:sz w:val="18"/>
                <w:szCs w:val="18"/>
              </w:rPr>
            </w:pPr>
            <w:r>
              <w:rPr>
                <w:rFonts w:ascii="Arial"/>
                <w:sz w:val="18"/>
              </w:rPr>
              <w:t>46,271,19</w:t>
            </w:r>
          </w:p>
          <w:p>
            <w:pPr>
              <w:pStyle w:val="TableParagraph"/>
              <w:spacing w:line="240" w:lineRule="auto" w:before="105"/>
              <w:ind w:left="499" w:right="0"/>
              <w:jc w:val="left"/>
              <w:rPr>
                <w:rFonts w:ascii="Arial" w:hAnsi="Arial" w:cs="Arial" w:eastAsia="Arial" w:hint="default"/>
                <w:sz w:val="18"/>
                <w:szCs w:val="18"/>
              </w:rPr>
            </w:pPr>
            <w:r>
              <w:rPr>
                <w:rFonts w:ascii="Arial"/>
                <w:sz w:val="18"/>
              </w:rPr>
              <w:t>3.76</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275" w:top="1060" w:bottom="1540" w:left="980" w:right="0"/>
        </w:sectPr>
      </w:pPr>
    </w:p>
    <w:p>
      <w:pPr>
        <w:spacing w:line="240" w:lineRule="auto" w:before="6"/>
        <w:rPr>
          <w:rFonts w:ascii="宋体" w:hAnsi="宋体" w:cs="宋体" w:eastAsia="宋体" w:hint="default"/>
          <w:sz w:val="28"/>
          <w:szCs w:val="28"/>
        </w:rPr>
      </w:pPr>
      <w:r>
        <w:rPr/>
        <w:pict>
          <v:shape style="position:absolute;margin-left:139.589996pt;margin-top:320.329987pt;width:84.75pt;height:19.6pt;mso-position-horizontal-relative:page;mso-position-vertical-relative:page;z-index:-1033288"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9.589996pt;margin-top:340.48999pt;width:84.75pt;height:19.6pt;mso-position-horizontal-relative:page;mso-position-vertical-relative:page;z-index:-1033264"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2.899994pt;margin-top:320.329987pt;width:41.45pt;height:39.75pt;mso-position-horizontal-relative:page;mso-position-vertical-relative:page;z-index:-1033240" coordorigin="3658,6407" coordsize="829,795">
            <v:group style="position:absolute;left:3658;top:6407;width:829;height:392" coordorigin="3658,6407" coordsize="829,392">
              <v:shape style="position:absolute;left:3658;top:6407;width:829;height:392" coordorigin="3658,6407" coordsize="829,392" path="m3658,6798l4486,6798,4486,6407,3658,6407,3658,6798xe" filled="true" fillcolor="#ffffff" stroked="false">
                <v:path arrowok="t"/>
                <v:fill type="solid"/>
              </v:shape>
            </v:group>
            <v:group style="position:absolute;left:3658;top:6810;width:829;height:392" coordorigin="3658,6810" coordsize="829,392">
              <v:shape style="position:absolute;left:3658;top:6810;width:829;height:392" coordorigin="3658,6810" coordsize="829,392" path="m3658,7201l4486,7201,4486,6810,3658,6810,3658,720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22" w:right="19"/>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4,627,119</w:t>
            </w:r>
          </w:p>
          <w:p>
            <w:pPr>
              <w:pStyle w:val="TableParagraph"/>
              <w:spacing w:line="240" w:lineRule="auto" w:before="105"/>
              <w:ind w:right="20"/>
              <w:jc w:val="right"/>
              <w:rPr>
                <w:rFonts w:ascii="Arial" w:hAnsi="Arial" w:cs="Arial" w:eastAsia="Arial" w:hint="default"/>
                <w:sz w:val="18"/>
                <w:szCs w:val="18"/>
              </w:rPr>
            </w:pPr>
            <w:r>
              <w:rPr>
                <w:rFonts w:ascii="Arial"/>
                <w:w w:val="95"/>
                <w:sz w:val="18"/>
              </w:rPr>
              <w:t>.38</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left"/>
              <w:rPr>
                <w:rFonts w:ascii="Arial" w:hAnsi="Arial" w:cs="Arial" w:eastAsia="Arial" w:hint="default"/>
                <w:sz w:val="18"/>
                <w:szCs w:val="18"/>
              </w:rPr>
            </w:pPr>
            <w:r>
              <w:rPr>
                <w:rFonts w:ascii="Arial"/>
                <w:sz w:val="18"/>
              </w:rPr>
              <w:t>-4,627,11</w:t>
            </w:r>
          </w:p>
          <w:p>
            <w:pPr>
              <w:pStyle w:val="TableParagraph"/>
              <w:spacing w:line="240" w:lineRule="auto" w:before="105"/>
              <w:ind w:left="501" w:right="0"/>
              <w:jc w:val="left"/>
              <w:rPr>
                <w:rFonts w:ascii="Arial" w:hAnsi="Arial" w:cs="Arial" w:eastAsia="Arial" w:hint="default"/>
                <w:sz w:val="18"/>
                <w:szCs w:val="18"/>
              </w:rPr>
            </w:pPr>
            <w:r>
              <w:rPr>
                <w:rFonts w:ascii="Arial"/>
                <w:sz w:val="18"/>
              </w:rPr>
              <w:t>9.38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4,627,119</w:t>
            </w:r>
          </w:p>
          <w:p>
            <w:pPr>
              <w:pStyle w:val="TableParagraph"/>
              <w:spacing w:line="240" w:lineRule="auto" w:before="102"/>
              <w:ind w:right="20"/>
              <w:jc w:val="right"/>
              <w:rPr>
                <w:rFonts w:ascii="Arial" w:hAnsi="Arial" w:cs="Arial" w:eastAsia="Arial" w:hint="default"/>
                <w:sz w:val="18"/>
                <w:szCs w:val="18"/>
              </w:rPr>
            </w:pPr>
            <w:r>
              <w:rPr>
                <w:rFonts w:ascii="Arial"/>
                <w:w w:val="95"/>
                <w:sz w:val="18"/>
              </w:rPr>
              <w:t>.38</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Arial" w:hAnsi="Arial" w:cs="Arial" w:eastAsia="Arial" w:hint="default"/>
                <w:sz w:val="18"/>
                <w:szCs w:val="18"/>
              </w:rPr>
            </w:pPr>
            <w:r>
              <w:rPr>
                <w:rFonts w:ascii="Arial"/>
                <w:sz w:val="18"/>
              </w:rPr>
              <w:t>-4,627,11</w:t>
            </w:r>
          </w:p>
          <w:p>
            <w:pPr>
              <w:pStyle w:val="TableParagraph"/>
              <w:spacing w:line="240" w:lineRule="auto" w:before="102"/>
              <w:ind w:left="501" w:right="0"/>
              <w:jc w:val="left"/>
              <w:rPr>
                <w:rFonts w:ascii="Arial" w:hAnsi="Arial" w:cs="Arial" w:eastAsia="Arial" w:hint="default"/>
                <w:sz w:val="18"/>
                <w:szCs w:val="18"/>
              </w:rPr>
            </w:pPr>
            <w:r>
              <w:rPr>
                <w:rFonts w:ascii="Arial"/>
                <w:sz w:val="18"/>
              </w:rPr>
              <w:t>9.38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 w:right="0"/>
              <w:jc w:val="left"/>
              <w:rPr>
                <w:rFonts w:ascii="Arial" w:hAnsi="Arial" w:cs="Arial" w:eastAsia="Arial" w:hint="default"/>
                <w:sz w:val="18"/>
                <w:szCs w:val="18"/>
              </w:rPr>
            </w:pPr>
            <w:r>
              <w:rPr>
                <w:rFonts w:ascii="Arial"/>
                <w:sz w:val="18"/>
              </w:rPr>
              <w:t>72,800,00</w:t>
            </w:r>
          </w:p>
          <w:p>
            <w:pPr>
              <w:pStyle w:val="TableParagraph"/>
              <w:spacing w:line="240" w:lineRule="auto" w:before="105"/>
              <w:ind w:left="502" w:right="0"/>
              <w:jc w:val="left"/>
              <w:rPr>
                <w:rFonts w:ascii="Arial" w:hAnsi="Arial" w:cs="Arial" w:eastAsia="Arial" w:hint="default"/>
                <w:sz w:val="18"/>
                <w:szCs w:val="18"/>
              </w:rPr>
            </w:pPr>
            <w:r>
              <w:rPr>
                <w:rFonts w:ascii="Arial"/>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 w:right="0"/>
              <w:jc w:val="left"/>
              <w:rPr>
                <w:rFonts w:ascii="Arial" w:hAnsi="Arial" w:cs="Arial" w:eastAsia="Arial" w:hint="default"/>
                <w:sz w:val="18"/>
                <w:szCs w:val="18"/>
              </w:rPr>
            </w:pPr>
            <w:r>
              <w:rPr>
                <w:rFonts w:ascii="Arial"/>
                <w:sz w:val="18"/>
              </w:rPr>
              <w:t>33,362,30</w:t>
            </w:r>
          </w:p>
          <w:p>
            <w:pPr>
              <w:pStyle w:val="TableParagraph"/>
              <w:spacing w:line="240" w:lineRule="auto" w:before="105"/>
              <w:ind w:left="501" w:right="0"/>
              <w:jc w:val="left"/>
              <w:rPr>
                <w:rFonts w:ascii="Arial" w:hAnsi="Arial" w:cs="Arial" w:eastAsia="Arial" w:hint="default"/>
                <w:sz w:val="18"/>
                <w:szCs w:val="18"/>
              </w:rPr>
            </w:pPr>
            <w:r>
              <w:rPr>
                <w:rFonts w:ascii="Arial"/>
                <w:sz w:val="18"/>
              </w:rPr>
              <w:t>0.67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 w:right="0"/>
              <w:jc w:val="left"/>
              <w:rPr>
                <w:rFonts w:ascii="Arial" w:hAnsi="Arial" w:cs="Arial" w:eastAsia="Arial" w:hint="default"/>
                <w:sz w:val="18"/>
                <w:szCs w:val="18"/>
              </w:rPr>
            </w:pPr>
            <w:r>
              <w:rPr>
                <w:rFonts w:ascii="Arial"/>
                <w:sz w:val="18"/>
              </w:rPr>
              <w:t>14,076,78</w:t>
            </w:r>
          </w:p>
          <w:p>
            <w:pPr>
              <w:pStyle w:val="TableParagraph"/>
              <w:spacing w:line="240" w:lineRule="auto" w:before="105"/>
              <w:ind w:left="501" w:right="0"/>
              <w:jc w:val="left"/>
              <w:rPr>
                <w:rFonts w:ascii="Arial" w:hAnsi="Arial" w:cs="Arial" w:eastAsia="Arial" w:hint="default"/>
                <w:sz w:val="18"/>
                <w:szCs w:val="18"/>
              </w:rPr>
            </w:pPr>
            <w:r>
              <w:rPr>
                <w:rFonts w:ascii="Arial"/>
                <w:sz w:val="18"/>
              </w:rPr>
              <w:t>5.46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 w:right="0"/>
              <w:jc w:val="left"/>
              <w:rPr>
                <w:rFonts w:ascii="Arial" w:hAnsi="Arial" w:cs="Arial" w:eastAsia="Arial" w:hint="default"/>
                <w:sz w:val="18"/>
                <w:szCs w:val="18"/>
              </w:rPr>
            </w:pPr>
            <w:r>
              <w:rPr>
                <w:rFonts w:ascii="Arial"/>
                <w:sz w:val="18"/>
              </w:rPr>
              <w:t>98,572,06</w:t>
            </w:r>
          </w:p>
          <w:p>
            <w:pPr>
              <w:pStyle w:val="TableParagraph"/>
              <w:spacing w:line="240" w:lineRule="auto" w:before="105"/>
              <w:ind w:left="501" w:right="0"/>
              <w:jc w:val="left"/>
              <w:rPr>
                <w:rFonts w:ascii="Arial" w:hAnsi="Arial" w:cs="Arial" w:eastAsia="Arial" w:hint="default"/>
                <w:sz w:val="18"/>
                <w:szCs w:val="18"/>
              </w:rPr>
            </w:pPr>
            <w:r>
              <w:rPr>
                <w:rFonts w:ascii="Arial"/>
                <w:sz w:val="18"/>
              </w:rPr>
              <w:t>9.02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2" w:right="0"/>
              <w:jc w:val="left"/>
              <w:rPr>
                <w:rFonts w:ascii="Arial" w:hAnsi="Arial" w:cs="Arial" w:eastAsia="Arial" w:hint="default"/>
                <w:sz w:val="18"/>
                <w:szCs w:val="18"/>
              </w:rPr>
            </w:pPr>
            <w:r>
              <w:rPr>
                <w:rFonts w:ascii="Arial"/>
                <w:sz w:val="18"/>
              </w:rPr>
              <w:t>218,811,1</w:t>
            </w:r>
          </w:p>
          <w:p>
            <w:pPr>
              <w:pStyle w:val="TableParagraph"/>
              <w:spacing w:line="240" w:lineRule="auto" w:before="105"/>
              <w:ind w:left="398" w:right="0"/>
              <w:jc w:val="left"/>
              <w:rPr>
                <w:rFonts w:ascii="Arial" w:hAnsi="Arial" w:cs="Arial" w:eastAsia="Arial" w:hint="default"/>
                <w:sz w:val="18"/>
                <w:szCs w:val="18"/>
              </w:rPr>
            </w:pPr>
            <w:r>
              <w:rPr>
                <w:rFonts w:ascii="Arial"/>
                <w:sz w:val="18"/>
              </w:rPr>
              <w:t>55.15</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1121"/>
        <w:jc w:val="left"/>
      </w:pPr>
      <w:r>
        <w:rPr/>
        <w:t>法定代表人：顾永德</w:t>
        <w:tab/>
      </w:r>
      <w:r>
        <w:rPr>
          <w:spacing w:val="-1"/>
        </w:rPr>
        <w:t>主管会计工作负责人：秦传君</w:t>
        <w:tab/>
      </w:r>
      <w:r>
        <w:rPr/>
        <w:t>会计机构负责人：秦传君</w:t>
      </w:r>
    </w:p>
    <w:p>
      <w:pPr>
        <w:spacing w:line="240" w:lineRule="auto" w:before="1"/>
        <w:rPr>
          <w:rFonts w:ascii="宋体" w:hAnsi="宋体" w:cs="宋体" w:eastAsia="宋体" w:hint="default"/>
          <w:sz w:val="25"/>
          <w:szCs w:val="25"/>
        </w:rPr>
      </w:pPr>
    </w:p>
    <w:p>
      <w:pPr>
        <w:pStyle w:val="Heading2"/>
        <w:spacing w:line="240" w:lineRule="auto"/>
        <w:ind w:right="1121"/>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73" w:right="7273"/>
        <w:jc w:val="left"/>
      </w:pPr>
      <w:r>
        <w:rPr/>
        <w:t>（一）、公司概况 公司名称：茂硕电源科技股份有限公司</w:t>
      </w:r>
    </w:p>
    <w:p>
      <w:pPr>
        <w:pStyle w:val="BodyText"/>
        <w:spacing w:line="302" w:lineRule="auto" w:before="19"/>
        <w:ind w:left="573" w:right="2333"/>
        <w:jc w:val="left"/>
      </w:pPr>
      <w:r>
        <w:rPr/>
        <w:t>注册地址：深圳市南山区松白路关外小白芒桑泰工业园</w:t>
      </w:r>
      <w:r>
        <w:rPr>
          <w:rFonts w:ascii="Arial" w:hAnsi="Arial" w:cs="Arial" w:eastAsia="Arial" w:hint="default"/>
        </w:rPr>
        <w:t>6</w:t>
      </w:r>
      <w:r>
        <w:rPr/>
        <w:t>层 办公地址：广东省深圳市南山区科技园中区科发路</w:t>
      </w:r>
      <w:r>
        <w:rPr>
          <w:rFonts w:ascii="Arial" w:hAnsi="Arial" w:cs="Arial" w:eastAsia="Arial" w:hint="default"/>
        </w:rPr>
        <w:t>8</w:t>
      </w:r>
      <w:r>
        <w:rPr/>
        <w:t>号金融服务技术创新基地</w:t>
      </w:r>
      <w:r>
        <w:rPr>
          <w:rFonts w:ascii="Arial" w:hAnsi="Arial" w:cs="Arial" w:eastAsia="Arial" w:hint="default"/>
        </w:rPr>
        <w:t>2</w:t>
      </w:r>
      <w:r>
        <w:rPr/>
        <w:t>栋</w:t>
      </w:r>
      <w:r>
        <w:rPr>
          <w:rFonts w:ascii="Arial" w:hAnsi="Arial" w:cs="Arial" w:eastAsia="Arial" w:hint="default"/>
        </w:rPr>
        <w:t>9</w:t>
      </w:r>
      <w:r>
        <w:rPr/>
        <w:t>楼</w:t>
      </w:r>
      <w:r>
        <w:rPr>
          <w:rFonts w:ascii="Arial" w:hAnsi="Arial" w:cs="Arial" w:eastAsia="Arial" w:hint="default"/>
        </w:rPr>
        <w:t>A</w:t>
      </w:r>
      <w:r>
        <w:rPr/>
        <w:t>、</w:t>
      </w:r>
      <w:r>
        <w:rPr>
          <w:rFonts w:ascii="Arial" w:hAnsi="Arial" w:cs="Arial" w:eastAsia="Arial" w:hint="default"/>
        </w:rPr>
        <w:t>B</w:t>
      </w:r>
      <w:r>
        <w:rPr/>
        <w:t>、</w:t>
      </w:r>
      <w:r>
        <w:rPr>
          <w:rFonts w:ascii="Arial" w:hAnsi="Arial" w:cs="Arial" w:eastAsia="Arial" w:hint="default"/>
        </w:rPr>
        <w:t>C</w:t>
      </w:r>
      <w:r>
        <w:rPr/>
        <w:t>、</w:t>
      </w:r>
      <w:r>
        <w:rPr>
          <w:rFonts w:ascii="Arial" w:hAnsi="Arial" w:cs="Arial" w:eastAsia="Arial" w:hint="default"/>
        </w:rPr>
        <w:t>D</w:t>
      </w:r>
      <w:r>
        <w:rPr/>
        <w:t>单元 注册资本：</w:t>
      </w:r>
      <w:r>
        <w:rPr>
          <w:rFonts w:ascii="Arial" w:hAnsi="Arial" w:cs="Arial" w:eastAsia="Arial" w:hint="default"/>
        </w:rPr>
        <w:t>9,878.88</w:t>
      </w:r>
      <w:r>
        <w:rPr/>
        <w:t>万元</w:t>
      </w:r>
    </w:p>
    <w:p>
      <w:pPr>
        <w:pStyle w:val="BodyText"/>
        <w:spacing w:line="302" w:lineRule="auto" w:before="11"/>
        <w:ind w:left="573" w:right="7211"/>
        <w:jc w:val="left"/>
      </w:pPr>
      <w:r>
        <w:rPr/>
        <w:t>法人营业执照号码：</w:t>
      </w:r>
      <w:r>
        <w:rPr>
          <w:rFonts w:ascii="Arial" w:hAnsi="Arial" w:cs="Arial" w:eastAsia="Arial" w:hint="default"/>
        </w:rPr>
        <w:t>440301102798218</w:t>
      </w:r>
      <w:r>
        <w:rPr>
          <w:rFonts w:ascii="Arial" w:hAnsi="Arial" w:cs="Arial" w:eastAsia="Arial" w:hint="default"/>
          <w:w w:val="99"/>
        </w:rPr>
        <w:t> </w:t>
      </w:r>
      <w:r>
        <w:rPr/>
        <w:t>法定代表人：顾永德</w:t>
      </w:r>
    </w:p>
    <w:p>
      <w:pPr>
        <w:spacing w:line="240" w:lineRule="auto" w:before="1"/>
        <w:rPr>
          <w:rFonts w:ascii="宋体" w:hAnsi="宋体" w:cs="宋体" w:eastAsia="宋体" w:hint="default"/>
          <w:sz w:val="26"/>
          <w:szCs w:val="26"/>
        </w:rPr>
      </w:pPr>
    </w:p>
    <w:p>
      <w:pPr>
        <w:pStyle w:val="BodyText"/>
        <w:spacing w:line="240" w:lineRule="auto"/>
        <w:ind w:left="573" w:right="1121"/>
        <w:jc w:val="left"/>
      </w:pPr>
      <w:r>
        <w:rPr/>
        <w:t>（二）、公司历史沿革</w:t>
      </w:r>
    </w:p>
    <w:p>
      <w:pPr>
        <w:pStyle w:val="BodyText"/>
        <w:spacing w:line="240" w:lineRule="auto" w:before="117"/>
        <w:ind w:left="513" w:right="0"/>
        <w:jc w:val="left"/>
      </w:pPr>
      <w:r>
        <w:rPr>
          <w:rFonts w:ascii="Times New Roman" w:hAnsi="Times New Roman" w:cs="Times New Roman" w:eastAsia="Times New Roman" w:hint="default"/>
          <w:spacing w:val="1"/>
        </w:rPr>
        <w:t>1</w:t>
      </w:r>
      <w:r>
        <w:rPr>
          <w:spacing w:val="-8"/>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r>
        <w:rPr>
          <w:spacing w:val="-8"/>
        </w:rPr>
        <w:t>，</w:t>
      </w:r>
      <w:r>
        <w:rPr/>
        <w:t>茂</w:t>
      </w:r>
      <w:r>
        <w:rPr>
          <w:spacing w:val="-3"/>
        </w:rPr>
        <w:t>硕</w:t>
      </w:r>
      <w:r>
        <w:rPr/>
        <w:t>电源科技股份有限公</w:t>
      </w:r>
      <w:r>
        <w:rPr>
          <w:spacing w:val="-8"/>
        </w:rPr>
        <w:t>司</w:t>
      </w:r>
      <w:r>
        <w:rPr/>
        <w:t>（原</w:t>
      </w:r>
      <w:r>
        <w:rPr>
          <w:spacing w:val="2"/>
        </w:rPr>
        <w:t>名</w:t>
      </w:r>
      <w:r>
        <w:rPr>
          <w:spacing w:val="-8"/>
        </w:rPr>
        <w:t>为</w:t>
      </w:r>
      <w:r>
        <w:rPr/>
        <w:t>“深圳茂硕电源科技股份</w:t>
      </w:r>
      <w:r>
        <w:rPr>
          <w:spacing w:val="2"/>
        </w:rPr>
        <w:t>有</w:t>
      </w:r>
      <w:r>
        <w:rPr/>
        <w:t>限公司</w:t>
      </w:r>
      <w:r>
        <w:rPr>
          <w:spacing w:val="-92"/>
        </w:rPr>
        <w:t>”</w:t>
      </w:r>
      <w:r>
        <w:rPr>
          <w:spacing w:val="-8"/>
        </w:rPr>
        <w:t>，</w:t>
      </w:r>
      <w:r>
        <w:rPr/>
        <w:t>以下简</w:t>
      </w:r>
      <w:r>
        <w:rPr>
          <w:spacing w:val="-8"/>
        </w:rPr>
        <w:t>称</w:t>
      </w:r>
      <w:r>
        <w:rPr/>
        <w:t>“本公</w:t>
      </w:r>
      <w:r>
        <w:rPr>
          <w:spacing w:val="2"/>
        </w:rPr>
        <w:t>司</w:t>
      </w:r>
      <w:r>
        <w:rPr/>
        <w:t>”</w:t>
      </w:r>
    </w:p>
    <w:p>
      <w:pPr>
        <w:pStyle w:val="BodyText"/>
        <w:spacing w:line="240" w:lineRule="auto" w:before="63"/>
        <w:ind w:right="0"/>
        <w:jc w:val="left"/>
        <w:rPr>
          <w:rFonts w:ascii="Times New Roman" w:hAnsi="Times New Roman" w:cs="Times New Roman" w:eastAsia="Times New Roman" w:hint="default"/>
        </w:rPr>
      </w:pPr>
      <w:r>
        <w:rPr>
          <w:spacing w:val="-65"/>
        </w:rPr>
        <w:t>或</w:t>
      </w:r>
      <w:r>
        <w:rPr/>
        <w:t>“茂硕电源</w:t>
      </w:r>
      <w:r>
        <w:rPr>
          <w:spacing w:val="-92"/>
        </w:rPr>
        <w:t>”</w:t>
      </w:r>
      <w:r>
        <w:rPr>
          <w:spacing w:val="-65"/>
        </w:rPr>
        <w:t>）</w:t>
      </w:r>
      <w:r>
        <w:rPr/>
        <w:t>经深圳市工商行政管理局核准</w:t>
      </w:r>
      <w:r>
        <w:rPr>
          <w:spacing w:val="-65"/>
        </w:rPr>
        <w:t>，</w:t>
      </w:r>
      <w:r>
        <w:rPr/>
        <w:t>由深圳茂硕电源科技有限公司整体变更为股份公司</w:t>
      </w:r>
      <w:r>
        <w:rPr>
          <w:spacing w:val="-65"/>
        </w:rPr>
        <w:t>，</w:t>
      </w:r>
      <w:r>
        <w:rPr/>
        <w:t>成立时公司股本为</w:t>
      </w:r>
      <w:r>
        <w:rPr>
          <w:spacing w:val="-43"/>
        </w:rPr>
        <w:t> </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5</w:t>
      </w:r>
      <w:r>
        <w:rPr>
          <w:rFonts w:ascii="Times New Roman" w:hAnsi="Times New Roman" w:cs="Times New Roman" w:eastAsia="Times New Roman" w:hint="default"/>
        </w:rPr>
        <w:t>0</w:t>
      </w:r>
    </w:p>
    <w:p>
      <w:pPr>
        <w:spacing w:after="0" w:line="240" w:lineRule="auto"/>
        <w:jc w:val="left"/>
        <w:rPr>
          <w:rFonts w:ascii="Times New Roman" w:hAnsi="Times New Roman" w:cs="Times New Roman" w:eastAsia="Times New Roman" w:hint="default"/>
        </w:rPr>
        <w:sectPr>
          <w:pgSz w:w="11910" w:h="16840"/>
          <w:pgMar w:header="877" w:footer="1275" w:top="1060" w:bottom="154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1121"/>
        <w:jc w:val="left"/>
      </w:pPr>
      <w:r>
        <w:rPr/>
        <w:t>万元。</w:t>
      </w:r>
    </w:p>
    <w:p>
      <w:pPr>
        <w:pStyle w:val="BodyText"/>
        <w:spacing w:line="300" w:lineRule="auto" w:before="117"/>
        <w:ind w:right="1126"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13 </w:t>
      </w:r>
      <w:r>
        <w:rPr/>
        <w:t>日，茂硕电源临时股东大会决议同意新增注册资本</w:t>
      </w:r>
      <w:r>
        <w:rPr>
          <w:spacing w:val="-45"/>
        </w:rPr>
        <w:t> </w:t>
      </w:r>
      <w:r>
        <w:rPr>
          <w:rFonts w:ascii="Times New Roman" w:hAnsi="Times New Roman" w:cs="Times New Roman" w:eastAsia="Times New Roman" w:hint="default"/>
        </w:rPr>
        <w:t>650.00</w:t>
      </w:r>
      <w:r>
        <w:rPr>
          <w:rFonts w:ascii="Times New Roman" w:hAnsi="Times New Roman" w:cs="Times New Roman" w:eastAsia="Times New Roman" w:hint="default"/>
          <w:spacing w:val="1"/>
        </w:rPr>
        <w:t> </w:t>
      </w:r>
      <w:r>
        <w:rPr/>
        <w:t>万元，增资后注册资本为</w:t>
      </w:r>
      <w:r>
        <w:rPr>
          <w:spacing w:val="-45"/>
        </w:rPr>
        <w:t> </w:t>
      </w:r>
      <w:r>
        <w:rPr>
          <w:rFonts w:ascii="Times New Roman" w:hAnsi="Times New Roman" w:cs="Times New Roman" w:eastAsia="Times New Roman" w:hint="default"/>
        </w:rPr>
        <w:t>5,200.00</w:t>
      </w:r>
      <w:r>
        <w:rPr>
          <w:rFonts w:ascii="Times New Roman" w:hAnsi="Times New Roman" w:cs="Times New Roman" w:eastAsia="Times New Roman" w:hint="default"/>
          <w:spacing w:val="1"/>
        </w:rPr>
        <w:t> </w:t>
      </w:r>
      <w:r>
        <w:rPr/>
        <w:t>万元。 本次新增股本由新股东浙江蓝石创业投资有限公司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蓝石创投</w:t>
      </w:r>
      <w:r>
        <w:rPr>
          <w:rFonts w:ascii="Times New Roman" w:hAnsi="Times New Roman" w:cs="Times New Roman" w:eastAsia="Times New Roman" w:hint="default"/>
        </w:rPr>
        <w:t>”)</w:t>
      </w:r>
      <w:r>
        <w:rPr/>
        <w:t>和浙江泰银创业投资有限公司（以下简称</w:t>
      </w:r>
      <w:r>
        <w:rPr>
          <w:rFonts w:ascii="Times New Roman" w:hAnsi="Times New Roman" w:cs="Times New Roman" w:eastAsia="Times New Roman" w:hint="default"/>
        </w:rPr>
        <w:t>“</w:t>
      </w:r>
      <w:r>
        <w:rPr/>
        <w:t>泰银创</w:t>
      </w:r>
      <w:r>
        <w:rPr>
          <w:spacing w:val="3"/>
        </w:rPr>
        <w:t> </w:t>
      </w:r>
      <w:r>
        <w:rPr/>
        <w:t>投</w:t>
      </w:r>
      <w:r>
        <w:rPr>
          <w:rFonts w:ascii="Times New Roman" w:hAnsi="Times New Roman" w:cs="Times New Roman" w:eastAsia="Times New Roman" w:hint="default"/>
        </w:rPr>
        <w:t>”</w:t>
      </w:r>
      <w:r>
        <w:rPr/>
        <w:t>）以货币资金分别认购</w:t>
      </w:r>
      <w:r>
        <w:rPr>
          <w:spacing w:val="-44"/>
        </w:rPr>
        <w:t> </w:t>
      </w:r>
      <w:r>
        <w:rPr>
          <w:rFonts w:ascii="Times New Roman" w:hAnsi="Times New Roman" w:cs="Times New Roman" w:eastAsia="Times New Roman" w:hint="default"/>
        </w:rPr>
        <w:t>400 </w:t>
      </w:r>
      <w:r>
        <w:rPr/>
        <w:t>万股、</w:t>
      </w:r>
      <w:r>
        <w:rPr>
          <w:rFonts w:ascii="Times New Roman" w:hAnsi="Times New Roman" w:cs="Times New Roman" w:eastAsia="Times New Roman" w:hint="default"/>
        </w:rPr>
        <w:t>250</w:t>
      </w:r>
      <w:r>
        <w:rPr>
          <w:rFonts w:ascii="Times New Roman" w:hAnsi="Times New Roman" w:cs="Times New Roman" w:eastAsia="Times New Roman" w:hint="default"/>
          <w:spacing w:val="3"/>
        </w:rPr>
        <w:t> </w:t>
      </w:r>
      <w:r>
        <w:rPr/>
        <w:t>万股，认购价格均为每股</w:t>
      </w:r>
      <w:r>
        <w:rPr>
          <w:spacing w:val="-43"/>
        </w:rPr>
        <w:t> </w:t>
      </w:r>
      <w:r>
        <w:rPr>
          <w:rFonts w:ascii="Times New Roman" w:hAnsi="Times New Roman" w:cs="Times New Roman" w:eastAsia="Times New Roman" w:hint="default"/>
        </w:rPr>
        <w:t>3.50</w:t>
      </w:r>
      <w:r>
        <w:rPr>
          <w:rFonts w:ascii="Times New Roman" w:hAnsi="Times New Roman" w:cs="Times New Roman" w:eastAsia="Times New Roman" w:hint="default"/>
          <w:spacing w:val="3"/>
        </w:rPr>
        <w:t> </w:t>
      </w:r>
      <w:r>
        <w:rPr/>
        <w:t>元。同日，茂硕电源与蓝石创投、泰银创投签署了</w:t>
      </w:r>
    </w:p>
    <w:p>
      <w:pPr>
        <w:pStyle w:val="BodyText"/>
        <w:spacing w:line="240" w:lineRule="auto" w:before="13"/>
        <w:ind w:right="0"/>
        <w:jc w:val="left"/>
        <w:rPr>
          <w:rFonts w:ascii="Times New Roman" w:hAnsi="Times New Roman" w:cs="Times New Roman" w:eastAsia="Times New Roman" w:hint="default"/>
        </w:rPr>
      </w:pPr>
      <w:r>
        <w:rPr/>
        <w:t>《投资协议</w:t>
      </w:r>
      <w:r>
        <w:rPr>
          <w:spacing w:val="-92"/>
        </w:rPr>
        <w:t>》</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0</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42"/>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日，深圳市鹏城会计师事务所有限公司（以下简称“深圳鹏城</w:t>
      </w:r>
      <w:r>
        <w:rPr>
          <w:spacing w:val="-92"/>
        </w:rPr>
        <w:t>”</w:t>
      </w:r>
      <w:r>
        <w:rPr/>
        <w:t>）出具了深鹏所验</w:t>
      </w:r>
      <w:r>
        <w:rPr>
          <w:spacing w:val="1"/>
        </w:rPr>
        <w:t>字</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1"/>
        </w:rPr>
        <w:t>9</w:t>
      </w:r>
      <w:r>
        <w:rPr>
          <w:rFonts w:ascii="Times New Roman" w:hAnsi="Times New Roman" w:cs="Times New Roman" w:eastAsia="Times New Roman" w:hint="default"/>
        </w:rPr>
        <w:t>6</w:t>
      </w:r>
    </w:p>
    <w:p>
      <w:pPr>
        <w:pStyle w:val="BodyText"/>
        <w:spacing w:line="240" w:lineRule="auto" w:before="63"/>
        <w:ind w:right="1121"/>
        <w:jc w:val="left"/>
      </w:pPr>
      <w:r>
        <w:rPr/>
        <w:t>号《验资报告》对上述新增股本进行了验证。</w:t>
      </w:r>
      <w:r>
        <w:rPr>
          <w:rFonts w:ascii="Times New Roman" w:hAnsi="Times New Roman" w:cs="Times New Roman" w:eastAsia="Times New Roman" w:hint="default"/>
        </w:rPr>
        <w:t>2008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日，深圳市工商行政管理局核准了上述工商变更登记。</w:t>
      </w:r>
    </w:p>
    <w:p>
      <w:pPr>
        <w:pStyle w:val="BodyText"/>
        <w:spacing w:line="240" w:lineRule="auto" w:before="101"/>
        <w:ind w:left="513" w:right="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日，茂硕电源临时股东大会决议同意增加股本</w:t>
      </w:r>
      <w:r>
        <w:rPr>
          <w:spacing w:val="-49"/>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3"/>
        </w:rPr>
        <w:t> </w:t>
      </w:r>
      <w:r>
        <w:rPr/>
        <w:t>万元，增资后注册资本为</w:t>
      </w:r>
      <w:r>
        <w:rPr>
          <w:spacing w:val="-49"/>
        </w:rPr>
        <w:t> </w:t>
      </w:r>
      <w:r>
        <w:rPr>
          <w:rFonts w:ascii="Times New Roman" w:hAnsi="Times New Roman" w:cs="Times New Roman" w:eastAsia="Times New Roman" w:hint="default"/>
        </w:rPr>
        <w:t>5,600</w:t>
      </w:r>
      <w:r>
        <w:rPr>
          <w:rFonts w:ascii="Times New Roman" w:hAnsi="Times New Roman" w:cs="Times New Roman" w:eastAsia="Times New Roman" w:hint="default"/>
          <w:spacing w:val="-3"/>
        </w:rPr>
        <w:t> </w:t>
      </w:r>
      <w:r>
        <w:rPr/>
        <w:t>万元。本次新</w:t>
      </w:r>
    </w:p>
    <w:p>
      <w:pPr>
        <w:pStyle w:val="BodyText"/>
        <w:spacing w:line="240" w:lineRule="auto" w:before="63"/>
        <w:ind w:right="0"/>
        <w:jc w:val="left"/>
      </w:pPr>
      <w:r>
        <w:rPr/>
        <w:t>增股本由新股东深圳市同创伟业创业投资有限公司认购</w:t>
      </w:r>
      <w:r>
        <w:rPr>
          <w:spacing w:val="-43"/>
        </w:rPr>
        <w:t> </w:t>
      </w:r>
      <w:r>
        <w:rPr>
          <w:rFonts w:ascii="Times New Roman" w:hAnsi="Times New Roman" w:cs="Times New Roman" w:eastAsia="Times New Roman" w:hint="default"/>
        </w:rPr>
        <w:t>260</w:t>
      </w:r>
      <w:r>
        <w:rPr>
          <w:rFonts w:ascii="Times New Roman" w:hAnsi="Times New Roman" w:cs="Times New Roman" w:eastAsia="Times New Roman" w:hint="default"/>
          <w:spacing w:val="-1"/>
        </w:rPr>
        <w:t> </w:t>
      </w:r>
      <w:r>
        <w:rPr/>
        <w:t>万股、深圳市协力通发展有限公司认购</w:t>
      </w:r>
      <w:r>
        <w:rPr>
          <w:spacing w:val="-44"/>
        </w:rPr>
        <w:t> </w:t>
      </w:r>
      <w:r>
        <w:rPr>
          <w:rFonts w:ascii="Times New Roman" w:hAnsi="Times New Roman" w:cs="Times New Roman" w:eastAsia="Times New Roman" w:hint="default"/>
        </w:rPr>
        <w:t>80</w:t>
      </w:r>
      <w:r>
        <w:rPr>
          <w:rFonts w:ascii="Times New Roman" w:hAnsi="Times New Roman" w:cs="Times New Roman" w:eastAsia="Times New Roman" w:hint="default"/>
          <w:spacing w:val="2"/>
        </w:rPr>
        <w:t> </w:t>
      </w:r>
      <w:r>
        <w:rPr/>
        <w:t>万股、深圳市融创创</w:t>
      </w:r>
    </w:p>
    <w:p>
      <w:pPr>
        <w:pStyle w:val="BodyText"/>
        <w:spacing w:line="240" w:lineRule="auto" w:before="63"/>
        <w:ind w:right="0"/>
        <w:jc w:val="left"/>
      </w:pPr>
      <w:r>
        <w:rPr/>
        <w:t>业投资有限公司认购 </w:t>
      </w:r>
      <w:r>
        <w:rPr>
          <w:rFonts w:ascii="Times New Roman" w:hAnsi="Times New Roman" w:cs="Times New Roman" w:eastAsia="Times New Roman" w:hint="default"/>
        </w:rPr>
        <w:t>60  </w:t>
      </w:r>
      <w:r>
        <w:rPr/>
        <w:t>万股，认购价格均为每股 </w:t>
      </w:r>
      <w:r>
        <w:rPr>
          <w:rFonts w:ascii="Times New Roman" w:hAnsi="Times New Roman" w:cs="Times New Roman" w:eastAsia="Times New Roman" w:hint="default"/>
        </w:rPr>
        <w:t>6.50</w:t>
      </w:r>
      <w:r>
        <w:rPr>
          <w:rFonts w:ascii="Times New Roman" w:hAnsi="Times New Roman" w:cs="Times New Roman" w:eastAsia="Times New Roman" w:hint="default"/>
          <w:spacing w:val="6"/>
        </w:rPr>
        <w:t> </w:t>
      </w:r>
      <w:r>
        <w:rPr/>
        <w:t>元，均以货币资金认购。本次增资业经深圳鹏城出具的深鹏所验字</w:t>
      </w:r>
    </w:p>
    <w:p>
      <w:pPr>
        <w:pStyle w:val="BodyText"/>
        <w:spacing w:line="240" w:lineRule="auto" w:before="63"/>
        <w:ind w:right="1121"/>
        <w:jc w:val="left"/>
      </w:pPr>
      <w:r>
        <w:rPr>
          <w:rFonts w:ascii="Times New Roman" w:hAnsi="Times New Roman" w:cs="Times New Roman" w:eastAsia="Times New Roman" w:hint="default"/>
        </w:rPr>
        <w:t>[2009]153 </w:t>
      </w:r>
      <w:r>
        <w:rPr/>
        <w:t>号验资报告审验在案。</w:t>
      </w:r>
      <w:r>
        <w:rPr>
          <w:rFonts w:ascii="Times New Roman" w:hAnsi="Times New Roman" w:cs="Times New Roman" w:eastAsia="Times New Roman" w:hint="default"/>
        </w:rPr>
        <w:t>2009 </w:t>
      </w:r>
      <w:r>
        <w:rPr/>
        <w:t>年</w:t>
      </w:r>
      <w:r>
        <w:rPr>
          <w:spacing w:val="-49"/>
        </w:rPr>
        <w:t> </w:t>
      </w:r>
      <w:r>
        <w:rPr>
          <w:rFonts w:ascii="Times New Roman" w:hAnsi="Times New Roman" w:cs="Times New Roman" w:eastAsia="Times New Roman" w:hint="default"/>
          <w:spacing w:val="-3"/>
        </w:rPr>
        <w:t>11 </w:t>
      </w:r>
      <w:r>
        <w:rPr/>
        <w:t>月</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日，深圳市市场监督管理局核准了茂硕电源上述工商变更登记。</w:t>
      </w:r>
    </w:p>
    <w:p>
      <w:pPr>
        <w:pStyle w:val="BodyText"/>
        <w:spacing w:line="240" w:lineRule="auto" w:before="103"/>
        <w:ind w:left="513"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30 </w:t>
      </w:r>
      <w:r>
        <w:rPr/>
        <w:t>日，公司</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年年度股东大会决议，公司注册资本增加至人民币</w:t>
      </w:r>
      <w:r>
        <w:rPr>
          <w:spacing w:val="-46"/>
        </w:rPr>
        <w:t> </w:t>
      </w:r>
      <w:r>
        <w:rPr>
          <w:rFonts w:ascii="Times New Roman" w:hAnsi="Times New Roman" w:cs="Times New Roman" w:eastAsia="Times New Roman" w:hint="default"/>
        </w:rPr>
        <w:t>7,280</w:t>
      </w:r>
      <w:r>
        <w:rPr>
          <w:rFonts w:ascii="Times New Roman" w:hAnsi="Times New Roman" w:cs="Times New Roman" w:eastAsia="Times New Roman" w:hint="default"/>
          <w:spacing w:val="-2"/>
        </w:rPr>
        <w:t> </w:t>
      </w:r>
      <w:r>
        <w:rPr/>
        <w:t>万元，增资以资本公积金向</w:t>
      </w:r>
    </w:p>
    <w:p>
      <w:pPr>
        <w:pStyle w:val="BodyText"/>
        <w:spacing w:line="240" w:lineRule="auto" w:before="63"/>
        <w:ind w:right="0"/>
        <w:jc w:val="left"/>
      </w:pPr>
      <w:r>
        <w:rPr/>
        <w:t>全体股东每</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股转增</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股，共增加注册资本</w:t>
      </w:r>
      <w:r>
        <w:rPr>
          <w:spacing w:val="-50"/>
        </w:rPr>
        <w:t> </w:t>
      </w:r>
      <w:r>
        <w:rPr>
          <w:rFonts w:ascii="Times New Roman" w:hAnsi="Times New Roman" w:cs="Times New Roman" w:eastAsia="Times New Roman" w:hint="default"/>
        </w:rPr>
        <w:t>1,680</w:t>
      </w:r>
      <w:r>
        <w:rPr>
          <w:rFonts w:ascii="Times New Roman" w:hAnsi="Times New Roman" w:cs="Times New Roman" w:eastAsia="Times New Roman" w:hint="default"/>
          <w:spacing w:val="-4"/>
        </w:rPr>
        <w:t> </w:t>
      </w:r>
      <w:r>
        <w:rPr/>
        <w:t>万元。本次增资业经深圳鹏城出具的深鹏所验字</w:t>
      </w:r>
      <w:r>
        <w:rPr>
          <w:rFonts w:ascii="Times New Roman" w:hAnsi="Times New Roman" w:cs="Times New Roman" w:eastAsia="Times New Roman" w:hint="default"/>
        </w:rPr>
        <w:t>[2010]162</w:t>
      </w:r>
      <w:r>
        <w:rPr>
          <w:rFonts w:ascii="Times New Roman" w:hAnsi="Times New Roman" w:cs="Times New Roman" w:eastAsia="Times New Roman" w:hint="default"/>
          <w:spacing w:val="-4"/>
        </w:rPr>
        <w:t> </w:t>
      </w:r>
      <w:r>
        <w:rPr/>
        <w:t>号验资报告审</w:t>
      </w:r>
    </w:p>
    <w:p>
      <w:pPr>
        <w:pStyle w:val="BodyText"/>
        <w:spacing w:line="240" w:lineRule="auto" w:before="63"/>
        <w:ind w:right="1121"/>
        <w:jc w:val="left"/>
      </w:pPr>
      <w:r>
        <w:rPr/>
        <w:t>验在案。</w:t>
      </w:r>
      <w:r>
        <w:rPr>
          <w:rFonts w:ascii="Times New Roman" w:hAnsi="Times New Roman" w:cs="Times New Roman" w:eastAsia="Times New Roman" w:hint="default"/>
        </w:rPr>
        <w:t>2010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日，深圳市市场监督管理局核准了增资变更登记。</w:t>
      </w:r>
    </w:p>
    <w:p>
      <w:pPr>
        <w:pStyle w:val="BodyText"/>
        <w:spacing w:line="300" w:lineRule="auto" w:before="103"/>
        <w:ind w:right="1041" w:firstLine="360"/>
        <w:jc w:val="left"/>
      </w:pPr>
      <w:r>
        <w:rPr>
          <w:rFonts w:ascii="Times New Roman" w:hAnsi="Times New Roman" w:cs="Times New Roman" w:eastAsia="Times New Roman" w:hint="default"/>
        </w:rPr>
        <w:t>5</w:t>
      </w:r>
      <w:r>
        <w:rPr/>
        <w:t>、根据中国证券监督管理委员会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[2012]186</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文《关于核准深圳茂硕电源科技股份有限公司首次公开发行股 </w:t>
      </w:r>
      <w:r>
        <w:rPr>
          <w:spacing w:val="-6"/>
        </w:rPr>
        <w:t>票的批复》，茂硕电源向社会公开发行人民币普通股</w:t>
      </w:r>
      <w:r>
        <w:rPr>
          <w:spacing w:val="-40"/>
        </w:rPr>
        <w:t> </w:t>
      </w:r>
      <w:r>
        <w:rPr>
          <w:rFonts w:ascii="Times New Roman" w:hAnsi="Times New Roman" w:cs="Times New Roman" w:eastAsia="Times New Roman" w:hint="default"/>
          <w:spacing w:val="-1"/>
        </w:rPr>
        <w:t>2,428</w:t>
      </w:r>
      <w:r>
        <w:rPr>
          <w:rFonts w:ascii="Times New Roman" w:hAnsi="Times New Roman" w:cs="Times New Roman" w:eastAsia="Times New Roman" w:hint="default"/>
          <w:spacing w:val="6"/>
        </w:rPr>
        <w:t> </w:t>
      </w:r>
      <w:r>
        <w:rPr>
          <w:spacing w:val="-7"/>
        </w:rPr>
        <w:t>万股（每股面值</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10"/>
        </w:rPr>
        <w:t>元），变更后的注册资本为人民币</w:t>
      </w:r>
      <w:r>
        <w:rPr>
          <w:spacing w:val="-40"/>
        </w:rPr>
        <w:t> </w:t>
      </w:r>
      <w:r>
        <w:rPr>
          <w:rFonts w:ascii="Times New Roman" w:hAnsi="Times New Roman" w:cs="Times New Roman" w:eastAsia="Times New Roman" w:hint="default"/>
          <w:spacing w:val="-1"/>
        </w:rPr>
        <w:t>9,708.00</w:t>
      </w:r>
      <w:r>
        <w:rPr>
          <w:rFonts w:ascii="Times New Roman" w:hAnsi="Times New Roman" w:cs="Times New Roman" w:eastAsia="Times New Roman" w:hint="default"/>
          <w:spacing w:val="6"/>
        </w:rPr>
        <w:t> </w:t>
      </w:r>
      <w:r>
        <w:rPr>
          <w:spacing w:val="-1"/>
        </w:rPr>
        <w:t>万元。</w:t>
      </w:r>
    </w:p>
    <w:p>
      <w:pPr>
        <w:pStyle w:val="BodyText"/>
        <w:spacing w:line="300" w:lineRule="auto" w:before="13"/>
        <w:ind w:right="11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日，公司股票在深圳证券交易所挂牌交易。股票简称：茂硕电源，股票代码：</w:t>
      </w:r>
      <w:r>
        <w:rPr>
          <w:rFonts w:ascii="Times New Roman" w:hAnsi="Times New Roman" w:cs="Times New Roman" w:eastAsia="Times New Roman" w:hint="default"/>
        </w:rPr>
        <w:t>002660</w:t>
      </w:r>
      <w:r>
        <w:rPr/>
        <w:t>。本次增资业经深圳鹏 城出具的深鹏所验字</w:t>
      </w:r>
      <w:r>
        <w:rPr>
          <w:rFonts w:ascii="Times New Roman" w:hAnsi="Times New Roman" w:cs="Times New Roman" w:eastAsia="Times New Roman" w:hint="default"/>
        </w:rPr>
        <w:t>[2012]0051 </w:t>
      </w:r>
      <w:r>
        <w:rPr/>
        <w:t>号验资报告审验在案。</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日，深圳市市场监督管理局核准了增资变更登记。</w:t>
      </w:r>
    </w:p>
    <w:p>
      <w:pPr>
        <w:pStyle w:val="BodyText"/>
        <w:spacing w:line="300" w:lineRule="auto" w:before="51"/>
        <w:ind w:right="1125" w:firstLine="36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日，经深圳市市场监督管理局核准，公司名称由“深圳茂硕电源科技股份有限公司”变更为“茂硕电 </w:t>
      </w:r>
      <w:r>
        <w:rPr>
          <w:spacing w:val="-9"/>
        </w:rPr>
        <w:t>源科技股份有限公司”。</w:t>
      </w:r>
    </w:p>
    <w:p>
      <w:pPr>
        <w:pStyle w:val="BodyText"/>
        <w:spacing w:line="240" w:lineRule="auto" w:before="72"/>
        <w:ind w:left="513" w:right="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t>月</w:t>
      </w:r>
      <w:r>
        <w:rPr>
          <w:spacing w:val="-41"/>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日，公司</w:t>
      </w:r>
      <w:r>
        <w:rPr>
          <w:spacing w:val="-4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年第</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次临时股东大会审议通过了《关于茂硕电源科技股份有限公司限制性股票激</w:t>
      </w:r>
    </w:p>
    <w:p>
      <w:pPr>
        <w:pStyle w:val="BodyText"/>
        <w:spacing w:line="240" w:lineRule="auto" w:before="63"/>
        <w:ind w:right="0"/>
        <w:jc w:val="left"/>
      </w:pPr>
      <w:r>
        <w:rPr/>
        <w:t>励计划（修订案）及其摘要的议案</w:t>
      </w:r>
      <w:r>
        <w:rPr>
          <w:spacing w:val="-92"/>
        </w:rPr>
        <w:t>》</w:t>
      </w:r>
      <w:r>
        <w:rPr/>
        <w:t>，公司以</w:t>
      </w:r>
      <w:r>
        <w:rPr>
          <w:spacing w:val="-44"/>
        </w:rPr>
        <w:t> </w:t>
      </w:r>
      <w:r>
        <w:rPr>
          <w:rFonts w:ascii="Times New Roman" w:hAnsi="Times New Roman" w:cs="Times New Roman" w:eastAsia="Times New Roman" w:hint="default"/>
          <w:spacing w:val="1"/>
        </w:rPr>
        <w:t>9</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股的价</w:t>
      </w:r>
      <w:r>
        <w:rPr>
          <w:spacing w:val="-3"/>
        </w:rPr>
        <w:t>格</w:t>
      </w:r>
      <w:r>
        <w:rPr/>
        <w:t>授予</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位激励对象</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股限制性股票，每股面值</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元。</w:t>
      </w:r>
      <w:r>
        <w:rPr/>
      </w:r>
    </w:p>
    <w:p>
      <w:pPr>
        <w:pStyle w:val="BodyText"/>
        <w:spacing w:line="240" w:lineRule="auto" w:before="63"/>
        <w:ind w:right="0"/>
        <w:jc w:val="left"/>
      </w:pPr>
      <w:r>
        <w:rPr/>
        <w:t>本次增加股本人民币</w:t>
      </w:r>
      <w:r>
        <w:rPr>
          <w:spacing w:val="-57"/>
        </w:rPr>
        <w:t> </w:t>
      </w:r>
      <w:r>
        <w:rPr>
          <w:rFonts w:ascii="Times New Roman" w:hAnsi="Times New Roman" w:cs="Times New Roman" w:eastAsia="Times New Roman" w:hint="default"/>
        </w:rPr>
        <w:t>1,708,800.00</w:t>
      </w:r>
      <w:r>
        <w:rPr>
          <w:rFonts w:ascii="Times New Roman" w:hAnsi="Times New Roman" w:cs="Times New Roman" w:eastAsia="Times New Roman" w:hint="default"/>
          <w:spacing w:val="-11"/>
        </w:rPr>
        <w:t> </w:t>
      </w:r>
      <w:r>
        <w:rPr/>
        <w:t>元，变更后的累计注册资本为人民币</w:t>
      </w:r>
      <w:r>
        <w:rPr>
          <w:spacing w:val="-57"/>
        </w:rPr>
        <w:t> </w:t>
      </w:r>
      <w:r>
        <w:rPr>
          <w:rFonts w:ascii="Times New Roman" w:hAnsi="Times New Roman" w:cs="Times New Roman" w:eastAsia="Times New Roman" w:hint="default"/>
        </w:rPr>
        <w:t>9,878.88</w:t>
      </w:r>
      <w:r>
        <w:rPr>
          <w:rFonts w:ascii="Times New Roman" w:hAnsi="Times New Roman" w:cs="Times New Roman" w:eastAsia="Times New Roman" w:hint="default"/>
          <w:spacing w:val="-12"/>
        </w:rPr>
        <w:t> </w:t>
      </w:r>
      <w:r>
        <w:rPr/>
        <w:t>万元。本次增资业经国富浩华会计师事务所</w:t>
      </w:r>
    </w:p>
    <w:p>
      <w:pPr>
        <w:pStyle w:val="BodyText"/>
        <w:spacing w:line="300" w:lineRule="auto" w:before="63"/>
        <w:ind w:right="1127"/>
        <w:jc w:val="left"/>
      </w:pPr>
      <w:r>
        <w:rPr/>
        <w:t>（特殊普通合伙）出具的国浩验字</w:t>
      </w:r>
      <w:r>
        <w:rPr>
          <w:rFonts w:ascii="Times New Roman" w:hAnsi="Times New Roman" w:cs="Times New Roman" w:eastAsia="Times New Roman" w:hint="default"/>
        </w:rPr>
        <w:t>[2012]817A263</w:t>
      </w:r>
      <w:r>
        <w:rPr>
          <w:rFonts w:ascii="Times New Roman" w:hAnsi="Times New Roman" w:cs="Times New Roman" w:eastAsia="Times New Roman" w:hint="default"/>
          <w:spacing w:val="5"/>
        </w:rPr>
        <w:t> </w:t>
      </w:r>
      <w:r>
        <w:rPr/>
        <w:t>号验资报告审验在案。</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2"/>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日，深圳市市场监督管理局核准了 增资变更登记。</w:t>
      </w:r>
    </w:p>
    <w:p>
      <w:pPr>
        <w:spacing w:line="240" w:lineRule="auto" w:before="0"/>
        <w:rPr>
          <w:rFonts w:ascii="宋体" w:hAnsi="宋体" w:cs="宋体" w:eastAsia="宋体" w:hint="default"/>
          <w:sz w:val="18"/>
          <w:szCs w:val="18"/>
        </w:rPr>
      </w:pPr>
    </w:p>
    <w:p>
      <w:pPr>
        <w:pStyle w:val="BodyText"/>
        <w:spacing w:line="316" w:lineRule="auto" w:before="148"/>
        <w:ind w:left="573" w:right="1121"/>
        <w:jc w:val="left"/>
      </w:pPr>
      <w:r>
        <w:rPr/>
        <w:t>（三）公司行业性质、经营范围 </w:t>
      </w:r>
      <w:r>
        <w:rPr>
          <w:spacing w:val="-1"/>
        </w:rPr>
        <w:t>行业性质：根据中国证监会发布的《上市公司行业分类指引》，本公司所从事的行业归属于</w:t>
      </w:r>
      <w:r>
        <w:rPr>
          <w:rFonts w:ascii="Arial" w:hAnsi="Arial" w:cs="Arial" w:eastAsia="Arial" w:hint="default"/>
          <w:spacing w:val="-1"/>
        </w:rPr>
        <w:t>“</w:t>
      </w:r>
      <w:r>
        <w:rPr>
          <w:spacing w:val="-1"/>
        </w:rPr>
        <w:t>计算机、通信及其他电子</w:t>
      </w:r>
    </w:p>
    <w:p>
      <w:pPr>
        <w:pStyle w:val="BodyText"/>
        <w:spacing w:line="248" w:lineRule="exact"/>
        <w:ind w:right="1121"/>
        <w:jc w:val="left"/>
      </w:pPr>
      <w:r>
        <w:rPr/>
        <w:t>设备制造业</w:t>
      </w:r>
      <w:r>
        <w:rPr>
          <w:rFonts w:ascii="Arial" w:hAnsi="Arial" w:cs="Arial" w:eastAsia="Arial" w:hint="default"/>
        </w:rPr>
        <w:t>”</w:t>
      </w:r>
      <w:r>
        <w:rPr/>
        <w:t>。</w:t>
      </w:r>
    </w:p>
    <w:p>
      <w:pPr>
        <w:pStyle w:val="BodyText"/>
        <w:spacing w:line="312" w:lineRule="auto" w:before="63"/>
        <w:ind w:right="1034" w:firstLine="420"/>
        <w:jc w:val="left"/>
      </w:pPr>
      <w:r>
        <w:rPr>
          <w:spacing w:val="-2"/>
        </w:rPr>
        <w:t>经营范围：</w:t>
      </w:r>
      <w:r>
        <w:rPr>
          <w:rFonts w:ascii="Arial" w:hAnsi="Arial" w:cs="Arial" w:eastAsia="Arial" w:hint="default"/>
          <w:spacing w:val="-2"/>
        </w:rPr>
        <w:t>LED</w:t>
      </w:r>
      <w:r>
        <w:rPr>
          <w:spacing w:val="-2"/>
        </w:rPr>
        <w:t>智能驱动电源，太阳能光伏逆变器，</w:t>
      </w:r>
      <w:r>
        <w:rPr>
          <w:rFonts w:ascii="Arial" w:hAnsi="Arial" w:cs="Arial" w:eastAsia="Arial" w:hint="default"/>
          <w:spacing w:val="-2"/>
        </w:rPr>
        <w:t>DC/DC</w:t>
      </w:r>
      <w:r>
        <w:rPr>
          <w:spacing w:val="-2"/>
        </w:rPr>
        <w:t>高效、高密度模块电源，医疗电源，通信电源，开关电源，</w:t>
      </w:r>
      <w:r>
        <w:rPr>
          <w:w w:val="99"/>
        </w:rPr>
        <w:t> </w:t>
      </w:r>
      <w:r>
        <w:rPr>
          <w:spacing w:val="-2"/>
        </w:rPr>
        <w:t>高频变压器的研发、生产和销售；电子元器件，五金塑胶配件的销售以及提供新能源和再生能源的储能系统解决方案（以上</w:t>
      </w:r>
      <w:r>
        <w:rPr>
          <w:spacing w:val="-65"/>
        </w:rPr>
        <w:t> </w:t>
      </w:r>
      <w:r>
        <w:rPr>
          <w:spacing w:val="-65"/>
        </w:rPr>
      </w:r>
      <w:r>
        <w:rPr/>
        <w:t>不含限制项目）；经营进出口业务（法律、行政法规、国务院决定禁止的项目除外，限制的项目须取得许可后方可经营）；</w:t>
      </w:r>
      <w:r>
        <w:rPr>
          <w:w w:val="99"/>
        </w:rPr>
        <w:t> </w:t>
      </w:r>
      <w:r>
        <w:rPr/>
        <w:t>普通货运。</w:t>
      </w:r>
    </w:p>
    <w:p>
      <w:pPr>
        <w:spacing w:line="240" w:lineRule="auto" w:before="7"/>
        <w:rPr>
          <w:rFonts w:ascii="宋体" w:hAnsi="宋体" w:cs="宋体" w:eastAsia="宋体" w:hint="default"/>
          <w:sz w:val="25"/>
          <w:szCs w:val="25"/>
        </w:rPr>
      </w:pPr>
    </w:p>
    <w:p>
      <w:pPr>
        <w:pStyle w:val="BodyText"/>
        <w:spacing w:line="319" w:lineRule="auto"/>
        <w:ind w:left="640" w:right="3796"/>
        <w:jc w:val="left"/>
      </w:pPr>
      <w:r>
        <w:rPr/>
        <w:t>（四）公司主要产品或提供的劳务 主要产品及提供的劳务：消费电子类电源、</w:t>
      </w:r>
      <w:r>
        <w:rPr>
          <w:rFonts w:ascii="Arial" w:hAnsi="Arial" w:cs="Arial" w:eastAsia="Arial" w:hint="default"/>
        </w:rPr>
        <w:t>LED</w:t>
      </w:r>
      <w:r>
        <w:rPr/>
        <w:t>驱动电源、变压器的生产和销售。</w:t>
      </w:r>
    </w:p>
    <w:p>
      <w:pPr>
        <w:spacing w:after="0" w:line="319" w:lineRule="auto"/>
        <w:jc w:val="left"/>
        <w:sectPr>
          <w:pgSz w:w="11910" w:h="16840"/>
          <w:pgMar w:header="877" w:footer="1275"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1"/>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、财务报表的编制基础</w:t>
      </w:r>
      <w:r>
        <w:rPr>
          <w:b w:val="0"/>
          <w:bCs w:val="0"/>
        </w:rPr>
      </w:r>
    </w:p>
    <w:p>
      <w:pPr>
        <w:spacing w:line="240" w:lineRule="auto" w:before="3"/>
        <w:rPr>
          <w:rFonts w:ascii="宋体" w:hAnsi="宋体" w:cs="宋体" w:eastAsia="宋体" w:hint="default"/>
          <w:b/>
          <w:bCs/>
          <w:sz w:val="26"/>
          <w:szCs w:val="26"/>
        </w:rPr>
      </w:pPr>
    </w:p>
    <w:p>
      <w:pPr>
        <w:pStyle w:val="BodyText"/>
        <w:spacing w:line="302" w:lineRule="auto"/>
        <w:ind w:right="1121" w:firstLine="300"/>
        <w:jc w:val="left"/>
      </w:pPr>
      <w:r>
        <w:rPr>
          <w:w w:val="97"/>
        </w:rPr>
        <w:t>本公司以持续经营为基础，根据实际发生的交易和事项，按照《企业会计准则</w:t>
      </w:r>
      <w:r>
        <w:rPr>
          <w:rFonts w:ascii="Arial" w:hAnsi="Arial" w:cs="Arial" w:eastAsia="Arial" w:hint="default"/>
          <w:w w:val="97"/>
        </w:rPr>
        <w:t>¯¯ </w:t>
      </w:r>
      <w:r>
        <w:rPr>
          <w:spacing w:val="-1"/>
        </w:rPr>
        <w:t>基本准则》和其他各项会计准则的规定</w:t>
      </w:r>
      <w:r>
        <w:rPr/>
        <w:t> 进行确认和计量，在此基础上编制财务报表。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0"/>
        <w:ind w:right="1121"/>
        <w:jc w:val="left"/>
        <w:rPr>
          <w:b w:val="0"/>
          <w:bCs w:val="0"/>
        </w:rPr>
      </w:pPr>
      <w:r>
        <w:rPr>
          <w:rFonts w:ascii="Arial" w:hAnsi="Arial" w:cs="Arial" w:eastAsia="Arial" w:hint="default"/>
        </w:rPr>
        <w:t>2</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17" w:firstLine="329"/>
        <w:jc w:val="left"/>
      </w:pPr>
      <w:r>
        <w:rPr>
          <w:spacing w:val="-1"/>
        </w:rPr>
        <w:t>本公司财务报表的编制符合企业会计准则的要求，真实、完整地反映了公司的财务状况、经营成果和现金流量等有关信</w:t>
      </w:r>
      <w:r>
        <w:rPr/>
        <w:t> 息。</w:t>
      </w:r>
    </w:p>
    <w:p>
      <w:pPr>
        <w:spacing w:line="240" w:lineRule="auto" w:before="11"/>
        <w:rPr>
          <w:rFonts w:ascii="宋体" w:hAnsi="宋体" w:cs="宋体" w:eastAsia="宋体" w:hint="default"/>
          <w:sz w:val="22"/>
          <w:szCs w:val="22"/>
        </w:rPr>
      </w:pPr>
    </w:p>
    <w:p>
      <w:pPr>
        <w:pStyle w:val="Heading3"/>
        <w:spacing w:line="240" w:lineRule="auto"/>
        <w:ind w:right="1121"/>
        <w:jc w:val="left"/>
        <w:rPr>
          <w:b w:val="0"/>
          <w:bCs w:val="0"/>
        </w:rPr>
      </w:pPr>
      <w:r>
        <w:rPr>
          <w:rFonts w:ascii="Arial" w:hAnsi="Arial" w:cs="Arial" w:eastAsia="Arial" w:hint="default"/>
        </w:rPr>
        <w:t>3</w:t>
      </w:r>
      <w:r>
        <w:rPr/>
        <w:t>、会计期间</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522" w:right="1121"/>
        <w:jc w:val="left"/>
      </w:pPr>
      <w:r>
        <w:rPr/>
        <w:t>采用公历年度，即从每年</w:t>
      </w:r>
      <w:r>
        <w:rPr>
          <w:rFonts w:ascii="Arial" w:hAnsi="Arial" w:cs="Arial" w:eastAsia="Arial" w:hint="default"/>
        </w:rPr>
        <w:t>1</w:t>
      </w:r>
      <w:r>
        <w:rPr/>
        <w:t>月</w:t>
      </w:r>
      <w:r>
        <w:rPr>
          <w:rFonts w:ascii="Arial" w:hAnsi="Arial" w:cs="Arial" w:eastAsia="Arial" w:hint="default"/>
        </w:rPr>
        <w:t>1</w:t>
      </w:r>
      <w:r>
        <w:rPr/>
        <w:t>日至</w:t>
      </w:r>
      <w:r>
        <w:rPr>
          <w:rFonts w:ascii="Arial" w:hAnsi="Arial" w:cs="Arial" w:eastAsia="Arial" w:hint="default"/>
        </w:rPr>
        <w:t>12</w:t>
      </w:r>
      <w:r>
        <w:rPr/>
        <w:t>月</w:t>
      </w:r>
      <w:r>
        <w:rPr>
          <w:rFonts w:ascii="Arial" w:hAnsi="Arial" w:cs="Arial" w:eastAsia="Arial" w:hint="default"/>
        </w:rPr>
        <w:t>31</w:t>
      </w:r>
      <w:r>
        <w:rPr/>
        <w:t>日为一个会计年度。</w:t>
      </w:r>
    </w:p>
    <w:p>
      <w:pPr>
        <w:spacing w:line="240" w:lineRule="auto" w:before="3"/>
        <w:rPr>
          <w:rFonts w:ascii="宋体" w:hAnsi="宋体" w:cs="宋体" w:eastAsia="宋体" w:hint="default"/>
          <w:sz w:val="26"/>
          <w:szCs w:val="26"/>
        </w:rPr>
      </w:pPr>
    </w:p>
    <w:p>
      <w:pPr>
        <w:pStyle w:val="Heading3"/>
        <w:spacing w:line="240" w:lineRule="auto"/>
        <w:ind w:right="1121"/>
        <w:jc w:val="left"/>
        <w:rPr>
          <w:b w:val="0"/>
          <w:bCs w:val="0"/>
        </w:rPr>
      </w:pPr>
      <w:r>
        <w:rPr>
          <w:rFonts w:ascii="Arial" w:hAnsi="Arial" w:cs="Arial" w:eastAsia="Arial"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70" w:right="1121"/>
        <w:jc w:val="left"/>
      </w:pPr>
      <w:r>
        <w:rPr/>
        <w:t>以人民币为记账本位币。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rFonts w:ascii="Arial" w:hAnsi="Arial" w:cs="Arial" w:eastAsia="Arial"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）同一控制下企业合并</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83" w:firstLine="370"/>
        <w:jc w:val="both"/>
      </w:pPr>
      <w:r>
        <w:rPr/>
        <w:t>在企业合并中取得的资产和负债，按照合并日在被合并方的账面价值计量。取得的净资产账面价值与支付的合并对价 账面价值（或发行股份面值总额）的差额，调整资本公积；资本公积不足冲减的，调整留存收益。为进行企业合并发生的</w:t>
      </w:r>
      <w:r>
        <w:rPr>
          <w:spacing w:val="-51"/>
        </w:rPr>
        <w:t> </w:t>
      </w:r>
      <w:r>
        <w:rPr>
          <w:spacing w:val="-51"/>
        </w:rPr>
      </w:r>
      <w:r>
        <w:rPr/>
        <w:t>各项直接相关费用，包括为进行企业合并而支付的审计费用、评估费用、法律服务费用等，于发生时计入当期损益。企业</w:t>
      </w:r>
      <w:r>
        <w:rPr>
          <w:spacing w:val="-51"/>
        </w:rPr>
        <w:t> </w:t>
      </w:r>
      <w:r>
        <w:rPr>
          <w:spacing w:val="-51"/>
        </w:rPr>
      </w:r>
      <w:r>
        <w:rPr/>
        <w:t>合并形成母子公司关系的，母公司编制合并日的合并资产负债表、合并利润表和合并现金流量表。合并资产负债表中被合</w:t>
      </w:r>
      <w:r>
        <w:rPr>
          <w:spacing w:val="-51"/>
        </w:rPr>
        <w:t> </w:t>
      </w:r>
      <w:r>
        <w:rPr>
          <w:spacing w:val="-51"/>
        </w:rPr>
      </w:r>
      <w:r>
        <w:rPr/>
        <w:t>并方的各项资产、负债，按其账面价值计量。因被合并方采用的会计政策与合并方不一致，按照本准则规定进行调整的，</w:t>
      </w:r>
      <w:r>
        <w:rPr>
          <w:spacing w:val="-46"/>
        </w:rPr>
        <w:t> </w:t>
      </w:r>
      <w:r>
        <w:rPr>
          <w:spacing w:val="-46"/>
        </w:rPr>
      </w:r>
      <w:r>
        <w:rPr/>
        <w:t>以调整后的账面价值计量。合并利润表包括参与合并各方自合并当期期初至合并日所发生的收入、费用和利润。被合并方</w:t>
      </w:r>
      <w:r>
        <w:rPr>
          <w:spacing w:val="-51"/>
        </w:rPr>
        <w:t> </w:t>
      </w:r>
      <w:r>
        <w:rPr>
          <w:spacing w:val="-51"/>
        </w:rPr>
      </w:r>
      <w:r>
        <w:rPr/>
        <w:t>在合并前实现的净利润，在合并利润表中单列项目反映。合并现金流量表包括参与合并各方自合并当期期初至合并日的现</w:t>
      </w:r>
      <w:r>
        <w:rPr>
          <w:spacing w:val="-51"/>
        </w:rPr>
        <w:t> </w:t>
      </w:r>
      <w:r>
        <w:rPr>
          <w:spacing w:val="-51"/>
        </w:rPr>
      </w:r>
      <w:r>
        <w:rPr/>
        <w:t>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21"/>
        <w:jc w:val="left"/>
        <w:rPr>
          <w:b w:val="0"/>
          <w:bCs w:val="0"/>
        </w:rPr>
      </w:pPr>
      <w:r>
        <w:rPr/>
        <w:t>（</w:t>
      </w:r>
      <w:r>
        <w:rPr>
          <w:rFonts w:ascii="Arial" w:hAnsi="Arial" w:cs="Arial" w:eastAsia="Arial" w:hint="default"/>
        </w:rPr>
        <w:t>2</w:t>
      </w:r>
      <w:r>
        <w:rPr/>
        <w:t>）非同一控制下的企业合并</w:t>
      </w:r>
      <w:r>
        <w:rPr>
          <w:b w:val="0"/>
          <w:bCs w:val="0"/>
        </w:rPr>
      </w:r>
    </w:p>
    <w:p>
      <w:pPr>
        <w:spacing w:line="240" w:lineRule="auto" w:before="3"/>
        <w:rPr>
          <w:rFonts w:ascii="宋体" w:hAnsi="宋体" w:cs="宋体" w:eastAsia="宋体" w:hint="default"/>
          <w:b/>
          <w:bCs/>
          <w:sz w:val="26"/>
          <w:szCs w:val="26"/>
        </w:rPr>
      </w:pPr>
    </w:p>
    <w:p>
      <w:pPr>
        <w:pStyle w:val="BodyText"/>
        <w:spacing w:line="316" w:lineRule="auto"/>
        <w:ind w:right="1121" w:firstLine="355"/>
        <w:jc w:val="left"/>
      </w:pPr>
      <w:r>
        <w:rPr>
          <w:spacing w:val="-2"/>
        </w:rPr>
        <w:t>在购买日为取得对被购买方的控制权而付出的资产、发生或承担的负债以及发行的权益性证券的公允价值加上各项直接</w:t>
      </w:r>
      <w:r>
        <w:rPr/>
        <w:t> </w:t>
      </w:r>
      <w:r>
        <w:rPr>
          <w:spacing w:val="-2"/>
        </w:rPr>
        <w:t>相关费用为合并成本。在购买日对作为企业合并对价付出的资产、发生或承担的负债按照公允价值计量，公允价值与其账面</w:t>
      </w:r>
      <w:r>
        <w:rPr>
          <w:spacing w:val="-63"/>
        </w:rPr>
        <w:t> </w:t>
      </w:r>
      <w:r>
        <w:rPr>
          <w:spacing w:val="-63"/>
        </w:rPr>
      </w:r>
      <w:r>
        <w:rPr>
          <w:spacing w:val="-2"/>
        </w:rPr>
        <w:t>价值的差额，计入当期损益。对合并成本大于合并中取得的被购买方可辨认净资产公允价值份额的差额，确认为商誉。对合</w:t>
      </w:r>
      <w:r>
        <w:rPr>
          <w:spacing w:val="-66"/>
        </w:rPr>
        <w:t> </w:t>
      </w:r>
      <w:r>
        <w:rPr>
          <w:spacing w:val="-66"/>
        </w:rPr>
      </w:r>
      <w:r>
        <w:rPr>
          <w:spacing w:val="-2"/>
        </w:rPr>
        <w:t>并成本小于合并中取得的被购买方可辨认净资产公允价值份额的差额时，对取得的被购买方各项可辨认资产、负债及或有负</w:t>
      </w:r>
      <w:r>
        <w:rPr>
          <w:spacing w:val="-64"/>
        </w:rPr>
        <w:t> </w:t>
      </w:r>
      <w:r>
        <w:rPr>
          <w:spacing w:val="-64"/>
        </w:rPr>
      </w:r>
      <w:r>
        <w:rPr/>
        <w:t>债的公允价值以及合并成本的计量进行复核；经复核后合并成本仍小于合并中取得的被购买方可辨认净资产公允价值份额 </w:t>
      </w:r>
      <w:r>
        <w:rPr>
          <w:spacing w:val="-2"/>
        </w:rPr>
        <w:t>的，其差额计入当期损益。企业合并形成母子公司关系的，母公司编制购买日的合并资产负债表，因企业合并取得的被购买</w:t>
      </w:r>
      <w:r>
        <w:rPr>
          <w:spacing w:val="-64"/>
        </w:rPr>
        <w:t> </w:t>
      </w:r>
      <w:r>
        <w:rPr>
          <w:spacing w:val="-64"/>
        </w:rPr>
      </w:r>
      <w:r>
        <w:rPr/>
        <w:t>方各项可辨认资产、负债及或有负债以公允价值列示。</w:t>
      </w:r>
    </w:p>
    <w:p>
      <w:pPr>
        <w:spacing w:after="0" w:line="316" w:lineRule="auto"/>
        <w:jc w:val="left"/>
        <w:sectPr>
          <w:pgSz w:w="11910" w:h="16840"/>
          <w:pgMar w:header="877" w:footer="1275"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1"/>
        <w:jc w:val="left"/>
        <w:rPr>
          <w:b w:val="0"/>
          <w:bCs w:val="0"/>
        </w:rPr>
      </w:pPr>
      <w:r>
        <w:rPr>
          <w:rFonts w:ascii="Arial" w:hAnsi="Arial" w:cs="Arial" w:eastAsia="Arial" w:hint="default"/>
        </w:rPr>
        <w:t>6</w:t>
      </w:r>
      <w:r>
        <w:rPr/>
        <w:t>、合并财务报表的编制方法</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）合并财务报表的编制方法</w:t>
      </w:r>
      <w:r>
        <w:rPr>
          <w:b w:val="0"/>
          <w:bCs w:val="0"/>
        </w:rPr>
      </w:r>
    </w:p>
    <w:p>
      <w:pPr>
        <w:spacing w:line="240" w:lineRule="auto" w:before="3"/>
        <w:rPr>
          <w:rFonts w:ascii="宋体" w:hAnsi="宋体" w:cs="宋体" w:eastAsia="宋体" w:hint="default"/>
          <w:b/>
          <w:bCs/>
          <w:sz w:val="26"/>
          <w:szCs w:val="26"/>
        </w:rPr>
      </w:pPr>
    </w:p>
    <w:p>
      <w:pPr>
        <w:pStyle w:val="BodyText"/>
        <w:spacing w:line="309" w:lineRule="auto"/>
        <w:ind w:right="1133" w:firstLine="434"/>
        <w:jc w:val="both"/>
      </w:pPr>
      <w:r>
        <w:rPr>
          <w:rFonts w:ascii="Arial" w:hAnsi="Arial" w:cs="Arial" w:eastAsia="Arial" w:hint="default"/>
        </w:rPr>
        <w:t>A</w:t>
      </w:r>
      <w:r>
        <w:rPr/>
        <w:t>、合并财务报表的合并范围以控制为基础予以确定。合并财务报表以本公司和纳入合并财务报表范围的各子公司的</w:t>
      </w:r>
      <w:r>
        <w:rPr>
          <w:w w:val="100"/>
        </w:rPr>
        <w:t> </w:t>
      </w:r>
      <w:r>
        <w:rPr>
          <w:spacing w:val="-2"/>
        </w:rPr>
        <w:t>财务报表及其他有关资料为合并依据，按照权益法调整对子公司的长期股权投资，将本公司和纳入合并财务报表范围的各子</w:t>
      </w:r>
      <w:r>
        <w:rPr>
          <w:spacing w:val="-64"/>
        </w:rPr>
        <w:t> </w:t>
      </w:r>
      <w:r>
        <w:rPr>
          <w:spacing w:val="-64"/>
        </w:rPr>
      </w:r>
      <w:r>
        <w:rPr/>
        <w:t>公司之间的投资、交易及往来等全部抵销，并计算少数股东损益及少数股东权益后合并编制而成。</w:t>
      </w:r>
    </w:p>
    <w:p>
      <w:pPr>
        <w:pStyle w:val="BodyText"/>
        <w:spacing w:line="302" w:lineRule="auto" w:before="24"/>
        <w:ind w:left="573" w:right="1121"/>
        <w:jc w:val="left"/>
      </w:pPr>
      <w:r>
        <w:rPr>
          <w:rFonts w:ascii="Arial" w:hAnsi="Arial" w:cs="Arial" w:eastAsia="Arial" w:hint="default"/>
        </w:rPr>
        <w:t>B</w:t>
      </w:r>
      <w:r>
        <w:rPr/>
        <w:t>、合并时，如纳入合并范围的子公司与本公司会计政策不一致，按本公司执行的会计政策对其进行调整后合并。</w:t>
      </w:r>
      <w:r>
        <w:rPr>
          <w:w w:val="100"/>
        </w:rPr>
        <w:t> </w:t>
      </w:r>
      <w:r>
        <w:rPr>
          <w:rFonts w:ascii="Arial" w:hAnsi="Arial" w:cs="Arial" w:eastAsia="Arial" w:hint="default"/>
        </w:rPr>
        <w:t>C</w:t>
      </w:r>
      <w:r>
        <w:rPr/>
        <w:t>、对于同一控制下企业合并取得的子公司，视同该企业合并于合并当期的期初已经发生，从合并当期的期初起将其</w:t>
      </w:r>
    </w:p>
    <w:p>
      <w:pPr>
        <w:pStyle w:val="BodyText"/>
        <w:spacing w:line="309" w:lineRule="auto" w:before="11"/>
        <w:ind w:left="561" w:right="1121" w:hanging="409"/>
        <w:jc w:val="left"/>
      </w:pPr>
      <w:r>
        <w:rPr/>
        <w:t>资产、负债、经营成果和现金流量纳入合并财务报表。 </w:t>
      </w:r>
      <w:r>
        <w:rPr>
          <w:rFonts w:ascii="Arial" w:hAnsi="Arial" w:cs="Arial" w:eastAsia="Arial" w:hint="default"/>
        </w:rPr>
        <w:t>D</w:t>
      </w:r>
      <w:r>
        <w:rPr/>
        <w:t>、同一控制下的企业合并事项的，被重组方合并前的净损益应计入非经常性损益，并在申报财务报表中单独列示。 </w:t>
      </w:r>
      <w:r>
        <w:rPr>
          <w:rFonts w:ascii="Arial" w:hAnsi="Arial" w:cs="Arial" w:eastAsia="Arial" w:hint="default"/>
          <w:spacing w:val="-2"/>
        </w:rPr>
        <w:t>E</w:t>
      </w:r>
      <w:r>
        <w:rPr>
          <w:spacing w:val="-2"/>
        </w:rPr>
        <w:t>、重组属于同一公司控制权人下的非企业合并事项，但被重组方重组前一个会计年度末的资产总额或前一个会计年度</w:t>
      </w:r>
    </w:p>
    <w:p>
      <w:pPr>
        <w:pStyle w:val="BodyText"/>
        <w:spacing w:line="240" w:lineRule="auto" w:before="6"/>
        <w:ind w:right="1121"/>
        <w:jc w:val="left"/>
      </w:pPr>
      <w:r>
        <w:rPr/>
        <w:t>的营业收入或利润总额达到或超过重组前重组方相应项目</w:t>
      </w:r>
      <w:r>
        <w:rPr>
          <w:rFonts w:ascii="Arial" w:hAnsi="Arial" w:cs="Arial" w:eastAsia="Arial" w:hint="default"/>
        </w:rPr>
        <w:t>20%</w:t>
      </w:r>
      <w:r>
        <w:rPr/>
        <w:t>的，从合并当期的期初起编制备考利润表。</w:t>
      </w:r>
    </w:p>
    <w:p>
      <w:pPr>
        <w:pStyle w:val="BodyText"/>
        <w:spacing w:line="302" w:lineRule="auto" w:before="63"/>
        <w:ind w:right="1132" w:firstLine="396"/>
        <w:jc w:val="both"/>
      </w:pPr>
      <w:r>
        <w:rPr>
          <w:rFonts w:ascii="Arial" w:hAnsi="Arial" w:cs="Arial" w:eastAsia="Arial" w:hint="default"/>
          <w:spacing w:val="-1"/>
        </w:rPr>
        <w:t>F</w:t>
      </w:r>
      <w:r>
        <w:rPr>
          <w:spacing w:val="-1"/>
        </w:rPr>
        <w:t>、对于因非同一控制下企业合并取得的子公司，在编制合并报表时，以购买日可辨认净资产公允价值为基础对个别财</w:t>
      </w:r>
      <w:r>
        <w:rPr/>
        <w:t> 务报表进行调整。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0"/>
        <w:ind w:right="1121"/>
        <w:jc w:val="left"/>
        <w:rPr>
          <w:b w:val="0"/>
          <w:bCs w:val="0"/>
        </w:rPr>
      </w:pPr>
      <w:r>
        <w:rPr/>
        <w:t>（</w:t>
      </w:r>
      <w:r>
        <w:rPr>
          <w:rFonts w:ascii="Arial" w:hAnsi="Arial" w:cs="Arial" w:eastAsia="Arial" w:hint="default"/>
        </w:rPr>
        <w:t>2</w:t>
      </w:r>
      <w:r>
        <w:rPr/>
        <w:t>）对同一子公司的股权在连续两个会计年度买入再卖出，或卖出再买入的应披露相关的会计处理方法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61" w:right="1121"/>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rFonts w:ascii="Arial" w:hAnsi="Arial" w:cs="Arial" w:eastAsia="Arial" w:hint="default"/>
        </w:rPr>
        <w:t>7</w:t>
      </w:r>
      <w:r>
        <w:rPr/>
        <w:t>、现金及现金等价物的确定标准</w:t>
      </w:r>
      <w:r>
        <w:rPr>
          <w:b w:val="0"/>
          <w:bCs w:val="0"/>
        </w:rPr>
      </w:r>
    </w:p>
    <w:p>
      <w:pPr>
        <w:spacing w:line="240" w:lineRule="auto" w:before="3"/>
        <w:rPr>
          <w:rFonts w:ascii="宋体" w:hAnsi="宋体" w:cs="宋体" w:eastAsia="宋体" w:hint="default"/>
          <w:b/>
          <w:bCs/>
          <w:sz w:val="26"/>
          <w:szCs w:val="26"/>
        </w:rPr>
      </w:pPr>
    </w:p>
    <w:p>
      <w:pPr>
        <w:pStyle w:val="BodyText"/>
        <w:spacing w:line="319" w:lineRule="auto"/>
        <w:ind w:left="470" w:right="1128" w:hanging="46"/>
        <w:jc w:val="left"/>
      </w:pPr>
      <w:r>
        <w:rPr/>
        <w:t>现金是指本公司的库存现金以及随时用于支付的存款。 </w:t>
      </w:r>
      <w:r>
        <w:rPr>
          <w:spacing w:val="-1"/>
        </w:rPr>
        <w:t>现金等价物为本公司持有的期限短（一般是指从购买日起三个月内到期）、流动性强、易于转换为已知金额现金且价值</w:t>
      </w:r>
    </w:p>
    <w:p>
      <w:pPr>
        <w:pStyle w:val="BodyText"/>
        <w:spacing w:line="240" w:lineRule="auto" w:before="17"/>
        <w:ind w:right="1121"/>
        <w:jc w:val="left"/>
      </w:pPr>
      <w:r>
        <w:rPr/>
        <w:t>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1121"/>
        <w:jc w:val="left"/>
        <w:rPr>
          <w:b w:val="0"/>
          <w:bCs w:val="0"/>
        </w:rPr>
      </w:pPr>
      <w:r>
        <w:rPr>
          <w:rFonts w:ascii="Arial" w:hAnsi="Arial" w:cs="Arial" w:eastAsia="Arial" w:hint="default"/>
        </w:rPr>
        <w:t>8</w:t>
      </w:r>
      <w:r>
        <w:rPr/>
        <w:t>、外币业务和外币报表折算</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）外币业务</w:t>
      </w:r>
      <w:r>
        <w:rPr>
          <w:b w:val="0"/>
          <w:bCs w:val="0"/>
        </w:rPr>
      </w:r>
    </w:p>
    <w:p>
      <w:pPr>
        <w:spacing w:line="240" w:lineRule="auto" w:before="3"/>
        <w:rPr>
          <w:rFonts w:ascii="宋体" w:hAnsi="宋体" w:cs="宋体" w:eastAsia="宋体" w:hint="default"/>
          <w:b/>
          <w:bCs/>
          <w:sz w:val="26"/>
          <w:szCs w:val="26"/>
        </w:rPr>
      </w:pPr>
    </w:p>
    <w:p>
      <w:pPr>
        <w:pStyle w:val="BodyText"/>
        <w:spacing w:line="316" w:lineRule="auto"/>
        <w:ind w:left="573" w:right="1121"/>
        <w:jc w:val="left"/>
      </w:pPr>
      <w:r>
        <w:rPr/>
        <w:t>本公司外币交易均按交易发生日的即期近似汇率折算为记账本位币。该即期近似汇率指交易发生日当月月初的汇率。 在资产负债表日，按照下列规定对外币货币性项目和外币非货币性项目进行处理： </w:t>
      </w:r>
      <w:r>
        <w:rPr>
          <w:rFonts w:ascii="Arial" w:hAnsi="Arial" w:cs="Arial" w:eastAsia="Arial" w:hint="default"/>
          <w:spacing w:val="-2"/>
        </w:rPr>
        <w:t>A</w:t>
      </w:r>
      <w:r>
        <w:rPr>
          <w:spacing w:val="-2"/>
        </w:rPr>
        <w:t>、外币货币性项目，采用资产负债表日即期汇率折算。因资产负债表日即期汇率与初始确认时或前一资产负债表日即</w:t>
      </w:r>
    </w:p>
    <w:p>
      <w:pPr>
        <w:pStyle w:val="BodyText"/>
        <w:spacing w:line="309" w:lineRule="auto"/>
        <w:ind w:left="573" w:right="1121" w:hanging="421"/>
        <w:jc w:val="left"/>
      </w:pPr>
      <w:r>
        <w:rPr/>
        <w:t>期汇率不同而产生的汇兑差额，计入当期损益。 </w:t>
      </w:r>
      <w:r>
        <w:rPr>
          <w:rFonts w:ascii="Arial" w:hAnsi="Arial" w:cs="Arial" w:eastAsia="Arial" w:hint="default"/>
        </w:rPr>
        <w:t>B</w:t>
      </w:r>
      <w:r>
        <w:rPr/>
        <w:t>、以历史成本计量的外币非货币性项目，仍采用交易发生日的即期汇率折算，不改变其记账本位币金额。 </w:t>
      </w:r>
      <w:r>
        <w:rPr>
          <w:rFonts w:ascii="Arial" w:hAnsi="Arial" w:cs="Arial" w:eastAsia="Arial" w:hint="default"/>
        </w:rPr>
        <w:t>C</w:t>
      </w:r>
      <w:r>
        <w:rPr/>
        <w:t>、以公允价值计量的外币非货币性项目，采用公允价值确定日的即期汇率折算，折算后的记账本位币金额与原记账</w:t>
      </w:r>
    </w:p>
    <w:p>
      <w:pPr>
        <w:pStyle w:val="BodyText"/>
        <w:spacing w:line="240" w:lineRule="auto" w:before="5"/>
        <w:ind w:right="1121"/>
        <w:jc w:val="left"/>
      </w:pPr>
      <w:r>
        <w:rPr/>
        <w:t>本位币金额的差额，作为公允价值变动处理，计入当期损益。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1121"/>
        <w:jc w:val="left"/>
        <w:rPr>
          <w:b w:val="0"/>
          <w:bCs w:val="0"/>
        </w:rPr>
      </w:pPr>
      <w:r>
        <w:rPr/>
        <w:t>（</w:t>
      </w:r>
      <w:r>
        <w:rPr>
          <w:rFonts w:ascii="Arial" w:hAnsi="Arial" w:cs="Arial" w:eastAsia="Arial" w:hint="default"/>
        </w:rPr>
        <w:t>2</w:t>
      </w:r>
      <w:r>
        <w:rPr/>
        <w:t>）外币财务报表的折算</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1121"/>
        <w:jc w:val="left"/>
      </w:pPr>
      <w:r>
        <w:rPr/>
        <w:t>公司对境外经营的财务报表进行折算时，遵循下列规定：</w:t>
      </w:r>
    </w:p>
    <w:p>
      <w:pPr>
        <w:pStyle w:val="BodyText"/>
        <w:spacing w:line="240" w:lineRule="auto" w:before="76"/>
        <w:ind w:left="573" w:right="0"/>
        <w:jc w:val="left"/>
      </w:pPr>
      <w:r>
        <w:rPr>
          <w:rFonts w:ascii="Arial" w:hAnsi="Arial" w:cs="Arial" w:eastAsia="Arial" w:hint="default"/>
        </w:rPr>
        <w:t>A</w:t>
      </w:r>
      <w:r>
        <w:rPr/>
        <w:t>、资产负债表中的资产和负债项目，采用资产负债表日的即期汇率折算，所有者权益项目除</w:t>
      </w:r>
      <w:r>
        <w:rPr>
          <w:rFonts w:ascii="Arial" w:hAnsi="Arial" w:cs="Arial" w:eastAsia="Arial" w:hint="default"/>
        </w:rPr>
        <w:t>“</w:t>
      </w:r>
      <w:r>
        <w:rPr/>
        <w:t>未分配利润</w:t>
      </w:r>
      <w:r>
        <w:rPr>
          <w:rFonts w:ascii="Arial" w:hAnsi="Arial" w:cs="Arial" w:eastAsia="Arial" w:hint="default"/>
        </w:rPr>
        <w:t>”</w:t>
      </w:r>
      <w:r>
        <w:rPr/>
        <w:t>项目外，其</w:t>
      </w:r>
    </w:p>
    <w:p>
      <w:pPr>
        <w:spacing w:after="0" w:line="240" w:lineRule="auto"/>
        <w:jc w:val="left"/>
        <w:sectPr>
          <w:pgSz w:w="11910" w:h="16840"/>
          <w:pgMar w:header="877" w:footer="1275" w:top="1060" w:bottom="150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1"/>
        <w:jc w:val="left"/>
      </w:pPr>
      <w:r>
        <w:rPr/>
        <w:t>他项目采用发生时的即期近似汇率折算。</w:t>
      </w:r>
    </w:p>
    <w:p>
      <w:pPr>
        <w:pStyle w:val="BodyText"/>
        <w:spacing w:line="302" w:lineRule="auto" w:before="77"/>
        <w:ind w:right="3194" w:firstLine="420"/>
        <w:jc w:val="left"/>
      </w:pPr>
      <w:r>
        <w:rPr>
          <w:rFonts w:ascii="Arial" w:hAnsi="Arial" w:cs="Arial" w:eastAsia="Arial" w:hint="default"/>
        </w:rPr>
        <w:t>B</w:t>
      </w:r>
      <w:r>
        <w:rPr/>
        <w:t>、利润表中的收入和费用项目，采用交易发生日的即期近似汇率折算。</w:t>
      </w:r>
      <w:r>
        <w:rPr>
          <w:w w:val="100"/>
        </w:rPr>
        <w:t> </w:t>
      </w:r>
      <w:r>
        <w:rPr/>
        <w:t>按照上述方法折算产生的外币财务报表折算差额，在资产负债表中所有者权益项目下单独列示。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0"/>
        <w:ind w:right="1121"/>
        <w:jc w:val="left"/>
        <w:rPr>
          <w:b w:val="0"/>
          <w:bCs w:val="0"/>
        </w:rPr>
      </w:pPr>
      <w:r>
        <w:rPr>
          <w:rFonts w:ascii="Arial" w:hAnsi="Arial" w:cs="Arial" w:eastAsia="Arial" w:hint="default"/>
        </w:rPr>
        <w:t>9</w:t>
      </w:r>
      <w:r>
        <w:rPr/>
        <w:t>、金融工具</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）金融工具的分类</w:t>
      </w:r>
      <w:r>
        <w:rPr>
          <w:b w:val="0"/>
          <w:bCs w:val="0"/>
        </w:rPr>
      </w:r>
    </w:p>
    <w:p>
      <w:pPr>
        <w:spacing w:line="240" w:lineRule="auto" w:before="3"/>
        <w:rPr>
          <w:rFonts w:ascii="宋体" w:hAnsi="宋体" w:cs="宋体" w:eastAsia="宋体" w:hint="default"/>
          <w:b/>
          <w:bCs/>
          <w:sz w:val="26"/>
          <w:szCs w:val="26"/>
        </w:rPr>
      </w:pPr>
    </w:p>
    <w:p>
      <w:pPr>
        <w:pStyle w:val="BodyText"/>
        <w:spacing w:line="316" w:lineRule="auto"/>
        <w:ind w:right="1136" w:firstLine="420"/>
        <w:jc w:val="both"/>
      </w:pPr>
      <w:r>
        <w:rPr/>
        <w:t>管理层按照取得持有金融资产和承担金融负债的目的，将其划分为：以公允价值计量且其变动计入当期损益的金融资 产或金融负债，包括交易性金融资产或金融负债和直接指定为以公允价值计量且其变动计入当期损益的金融资产或金融负</w:t>
      </w:r>
      <w:r>
        <w:rPr>
          <w:spacing w:val="-3"/>
        </w:rPr>
        <w:t> </w:t>
      </w:r>
      <w:r>
        <w:rPr>
          <w:spacing w:val="-3"/>
        </w:rPr>
      </w:r>
      <w:r>
        <w:rPr/>
        <w:t>债；持有至到期投资；应收款项；可供出售金融资产；其他金融负债等。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3"/>
        <w:spacing w:line="240" w:lineRule="auto"/>
        <w:ind w:right="1121"/>
        <w:jc w:val="left"/>
        <w:rPr>
          <w:b w:val="0"/>
          <w:bCs w:val="0"/>
        </w:rPr>
      </w:pPr>
      <w:r>
        <w:rPr/>
        <w:t>（</w:t>
      </w:r>
      <w:r>
        <w:rPr>
          <w:rFonts w:ascii="Arial" w:hAnsi="Arial" w:cs="Arial" w:eastAsia="Arial" w:hint="default"/>
        </w:rPr>
        <w:t>2</w:t>
      </w:r>
      <w:r>
        <w:rPr/>
        <w:t>）金融工具的确认依据和计量方法</w:t>
      </w:r>
      <w:r>
        <w:rPr>
          <w:b w:val="0"/>
          <w:bCs w:val="0"/>
        </w:rPr>
      </w:r>
    </w:p>
    <w:p>
      <w:pPr>
        <w:spacing w:line="240" w:lineRule="auto" w:before="5"/>
        <w:rPr>
          <w:rFonts w:ascii="宋体" w:hAnsi="宋体" w:cs="宋体" w:eastAsia="宋体" w:hint="default"/>
          <w:b/>
          <w:bCs/>
          <w:sz w:val="26"/>
          <w:szCs w:val="26"/>
        </w:rPr>
      </w:pPr>
    </w:p>
    <w:p>
      <w:pPr>
        <w:pStyle w:val="BodyText"/>
        <w:spacing w:line="302" w:lineRule="auto"/>
        <w:ind w:left="573" w:right="1121"/>
        <w:jc w:val="left"/>
      </w:pPr>
      <w:r>
        <w:rPr>
          <w:rFonts w:ascii="Arial" w:hAnsi="Arial" w:cs="Arial" w:eastAsia="Arial" w:hint="default"/>
        </w:rPr>
        <w:t>1</w:t>
      </w:r>
      <w:r>
        <w:rPr/>
        <w:t>、以公允价值计量且其变动计入当期损益的金融资产（金融负债） 取得时以公允价值（扣除已宣告但尚未发放的现金股利或已到付息期但尚未领取的债券利息）作为初始确认金额，相</w:t>
      </w:r>
    </w:p>
    <w:p>
      <w:pPr>
        <w:pStyle w:val="BodyText"/>
        <w:spacing w:line="314" w:lineRule="auto" w:before="29"/>
        <w:ind w:left="573" w:right="2233" w:hanging="421"/>
        <w:jc w:val="left"/>
      </w:pPr>
      <w:r>
        <w:rPr/>
        <w:t>关的交易费用计入当期损益。 持有期间将取得的利息或现金股利确认为投资收益，期末将公允价值变动计入当期损益。 处置时，其公允价值与初始入账金额之间的差额确认为投资收益，同时调整公允价值变动损益。 </w:t>
      </w:r>
      <w:r>
        <w:rPr>
          <w:rFonts w:ascii="Arial" w:hAnsi="Arial" w:cs="Arial" w:eastAsia="Arial" w:hint="default"/>
        </w:rPr>
        <w:t>2</w:t>
      </w:r>
      <w:r>
        <w:rPr/>
        <w:t>、持有至到期投资 取得时按公允价值（扣除已到付息期但尚未领取的债券利息）和相关交易费用之和作为初始确认金额。</w:t>
      </w:r>
    </w:p>
    <w:p>
      <w:pPr>
        <w:pStyle w:val="BodyText"/>
        <w:spacing w:line="316" w:lineRule="auto" w:before="21"/>
        <w:ind w:right="1138" w:firstLine="420"/>
        <w:jc w:val="both"/>
      </w:pPr>
      <w:r>
        <w:rPr/>
        <w:t>持有期间按照摊余成本和实际利率计算确认利息收入，计入投资收益。实际利率在取得时确定，在该预期存续期间或 适用的更短期间内保持不变。</w:t>
      </w:r>
    </w:p>
    <w:p>
      <w:pPr>
        <w:pStyle w:val="BodyText"/>
        <w:spacing w:line="240" w:lineRule="auto" w:before="19"/>
        <w:ind w:left="573" w:right="1121"/>
        <w:jc w:val="left"/>
      </w:pPr>
      <w:r>
        <w:rPr/>
        <w:t>处置时，将所取得价款与该投资账面价值之间的差额计入投资收益。</w:t>
      </w:r>
    </w:p>
    <w:p>
      <w:pPr>
        <w:pStyle w:val="BodyText"/>
        <w:spacing w:line="302" w:lineRule="auto" w:before="76"/>
        <w:ind w:left="573" w:right="1121"/>
        <w:jc w:val="left"/>
      </w:pPr>
      <w:r>
        <w:rPr>
          <w:rFonts w:ascii="Arial" w:hAnsi="Arial" w:cs="Arial" w:eastAsia="Arial" w:hint="default"/>
        </w:rPr>
        <w:t>3</w:t>
      </w:r>
      <w:r>
        <w:rPr/>
        <w:t>、应收款项 公司对外销售商品或提供劳务形成的应收债权，以及公司持有的其他企业的不包括在活跃市场上有报价的债务工具的</w:t>
      </w:r>
    </w:p>
    <w:p>
      <w:pPr>
        <w:pStyle w:val="BodyText"/>
        <w:spacing w:line="240" w:lineRule="auto" w:before="29"/>
        <w:ind w:right="1121"/>
        <w:jc w:val="left"/>
      </w:pPr>
      <w:r>
        <w:rPr/>
        <w:t>债</w:t>
      </w:r>
    </w:p>
    <w:p>
      <w:pPr>
        <w:pStyle w:val="BodyText"/>
        <w:spacing w:line="240" w:lineRule="auto" w:before="76"/>
        <w:ind w:left="573" w:right="1121"/>
        <w:jc w:val="left"/>
      </w:pPr>
      <w:r>
        <w:rPr/>
        <w:t>权，包括应收账款、其他应收款等，以向购货方应收的合同或协议价款作为初始确认金额；具有融资性质的，按其现</w:t>
      </w:r>
    </w:p>
    <w:p>
      <w:pPr>
        <w:pStyle w:val="BodyText"/>
        <w:spacing w:line="316" w:lineRule="auto" w:before="76"/>
        <w:ind w:left="573" w:right="4033" w:hanging="421"/>
        <w:jc w:val="left"/>
      </w:pPr>
      <w:r>
        <w:rPr/>
        <w:t>值进行初始确认。 收回或处置时，将取得的价款与该应收款项账面价值之间的差额计入当期损益。 </w:t>
      </w:r>
      <w:r>
        <w:rPr>
          <w:rFonts w:ascii="Arial" w:hAnsi="Arial" w:cs="Arial" w:eastAsia="Arial" w:hint="default"/>
        </w:rPr>
        <w:t>4</w:t>
      </w:r>
      <w:r>
        <w:rPr/>
        <w:t>、可供出售金融资产</w:t>
      </w:r>
    </w:p>
    <w:p>
      <w:pPr>
        <w:pStyle w:val="BodyText"/>
        <w:spacing w:line="319" w:lineRule="auto"/>
        <w:ind w:right="1121" w:firstLine="420"/>
        <w:jc w:val="left"/>
      </w:pPr>
      <w:r>
        <w:rPr/>
        <w:t>取得时按公允价值（扣除已宣告但尚未发放的现金股利或已到付息期但尚未领取的债券利息）和相关交易费用之和作 为初始确认金额。</w:t>
      </w:r>
    </w:p>
    <w:p>
      <w:pPr>
        <w:pStyle w:val="BodyText"/>
        <w:spacing w:line="316" w:lineRule="auto" w:before="17"/>
        <w:ind w:right="1121" w:firstLine="420"/>
        <w:jc w:val="left"/>
      </w:pPr>
      <w:r>
        <w:rPr/>
        <w:t>持有期间将取得的利息或现金股利确认为投资收益。期末以公允价值计量且将公允价值变动计入资本公积（其他资本 公积）。</w:t>
      </w:r>
    </w:p>
    <w:p>
      <w:pPr>
        <w:pStyle w:val="BodyText"/>
        <w:spacing w:line="316" w:lineRule="auto" w:before="19"/>
        <w:ind w:right="1121" w:firstLine="420"/>
        <w:jc w:val="left"/>
      </w:pPr>
      <w:r>
        <w:rPr/>
        <w:t>处置时，将取得的价款与该金融资产账面价值之间的差额，计入投资损益；同时，将原直接计入所有者权益的公允价 值变动累计额对应处置部分的金额转出，计入投资损益。</w:t>
      </w:r>
    </w:p>
    <w:p>
      <w:pPr>
        <w:pStyle w:val="BodyText"/>
        <w:spacing w:line="302" w:lineRule="auto" w:before="19"/>
        <w:ind w:left="573" w:right="3673"/>
        <w:jc w:val="left"/>
      </w:pPr>
      <w:r>
        <w:rPr>
          <w:rFonts w:ascii="Arial" w:hAnsi="Arial" w:cs="Arial" w:eastAsia="Arial" w:hint="default"/>
        </w:rPr>
        <w:t>5</w:t>
      </w:r>
      <w:r>
        <w:rPr/>
        <w:t>、其他金融负债 按其公允价值和相关交易费用之和作为初始确认金额。采用摊余成本进行后续计量。</w:t>
      </w:r>
    </w:p>
    <w:p>
      <w:pPr>
        <w:spacing w:after="0" w:line="302" w:lineRule="auto"/>
        <w:jc w:val="left"/>
        <w:sectPr>
          <w:pgSz w:w="11910" w:h="16840"/>
          <w:pgMar w:header="877" w:footer="1275" w:top="1060" w:bottom="150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1"/>
        <w:jc w:val="left"/>
        <w:rPr>
          <w:b w:val="0"/>
          <w:bCs w:val="0"/>
        </w:rPr>
      </w:pPr>
      <w:r>
        <w:rPr/>
        <w:t>（</w:t>
      </w:r>
      <w:r>
        <w:rPr>
          <w:rFonts w:ascii="Arial" w:hAnsi="Arial" w:cs="Arial" w:eastAsia="Arial" w:hint="default"/>
        </w:rPr>
        <w:t>3</w:t>
      </w:r>
      <w:r>
        <w:rPr/>
        <w:t>）金融资产转移的确认依据和计量方法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1" w:firstLine="420"/>
        <w:jc w:val="left"/>
      </w:pPr>
      <w:r>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BodyText"/>
        <w:spacing w:line="316" w:lineRule="auto" w:before="19"/>
        <w:ind w:right="1121" w:firstLine="420"/>
        <w:jc w:val="left"/>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BodyText"/>
        <w:spacing w:line="240" w:lineRule="auto" w:before="19"/>
        <w:ind w:left="573" w:right="1121"/>
        <w:jc w:val="left"/>
      </w:pPr>
      <w:r>
        <w:rPr/>
        <w:t>（</w:t>
      </w:r>
      <w:r>
        <w:rPr>
          <w:rFonts w:ascii="Arial" w:hAnsi="Arial" w:cs="Arial" w:eastAsia="Arial" w:hint="default"/>
        </w:rPr>
        <w:t>1</w:t>
      </w:r>
      <w:r>
        <w:rPr/>
        <w:t>）所转移金融资产的账面价值；</w:t>
      </w:r>
    </w:p>
    <w:p>
      <w:pPr>
        <w:pStyle w:val="BodyText"/>
        <w:spacing w:line="302" w:lineRule="auto" w:before="63"/>
        <w:ind w:right="1121" w:firstLine="420"/>
        <w:jc w:val="left"/>
      </w:pPr>
      <w:r>
        <w:rPr>
          <w:spacing w:val="-2"/>
        </w:rPr>
        <w:t>（</w:t>
      </w:r>
      <w:r>
        <w:rPr>
          <w:rFonts w:ascii="Arial" w:hAnsi="Arial" w:cs="Arial" w:eastAsia="Arial" w:hint="default"/>
          <w:spacing w:val="-2"/>
        </w:rPr>
        <w:t>2</w:t>
      </w:r>
      <w:r>
        <w:rPr>
          <w:spacing w:val="-2"/>
        </w:rPr>
        <w:t>）因转移而收到的对价，与原直接计入所有者权益的公允价值变动累计额（涉及转移的金融资产为可供出售金融资</w:t>
      </w:r>
      <w:r>
        <w:rPr/>
        <w:t> 产的情形）之和。</w:t>
      </w:r>
    </w:p>
    <w:p>
      <w:pPr>
        <w:pStyle w:val="BodyText"/>
        <w:spacing w:line="316" w:lineRule="auto" w:before="29"/>
        <w:ind w:right="0" w:firstLine="420"/>
        <w:jc w:val="left"/>
      </w:pPr>
      <w:r>
        <w:rPr>
          <w:spacing w:val="-2"/>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240" w:lineRule="auto" w:before="19"/>
        <w:ind w:left="573" w:right="1121"/>
        <w:jc w:val="left"/>
      </w:pPr>
      <w:r>
        <w:rPr/>
        <w:t>（</w:t>
      </w:r>
      <w:r>
        <w:rPr>
          <w:rFonts w:ascii="Arial" w:hAnsi="Arial" w:cs="Arial" w:eastAsia="Arial" w:hint="default"/>
        </w:rPr>
        <w:t>1</w:t>
      </w:r>
      <w:r>
        <w:rPr/>
        <w:t>）终止确认部分的账面价值；</w:t>
      </w:r>
    </w:p>
    <w:p>
      <w:pPr>
        <w:pStyle w:val="BodyText"/>
        <w:spacing w:line="302" w:lineRule="auto" w:before="64"/>
        <w:ind w:right="1121" w:firstLine="420"/>
        <w:jc w:val="left"/>
      </w:pPr>
      <w:r>
        <w:rPr>
          <w:spacing w:val="-2"/>
        </w:rPr>
        <w:t>（</w:t>
      </w:r>
      <w:r>
        <w:rPr>
          <w:rFonts w:ascii="Arial" w:hAnsi="Arial" w:cs="Arial" w:eastAsia="Arial" w:hint="default"/>
          <w:spacing w:val="-2"/>
        </w:rPr>
        <w:t>2</w:t>
      </w:r>
      <w:r>
        <w:rPr>
          <w:spacing w:val="-2"/>
        </w:rPr>
        <w:t>）终止确认部分的对价，与原直接计入所有者权益的公允价值变动累计额中对应终止确认部分的金额（涉及转移的</w:t>
      </w:r>
      <w:r>
        <w:rPr/>
        <w:t> 金融资产为可供出售金融资产的情形）之和。</w:t>
      </w:r>
    </w:p>
    <w:p>
      <w:pPr>
        <w:pStyle w:val="BodyText"/>
        <w:spacing w:line="240" w:lineRule="auto" w:before="29"/>
        <w:ind w:left="573" w:right="1121"/>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t>（</w:t>
      </w:r>
      <w:r>
        <w:rPr>
          <w:rFonts w:ascii="Arial" w:hAnsi="Arial" w:cs="Arial" w:eastAsia="Arial" w:hint="default"/>
        </w:rPr>
        <w:t>4</w:t>
      </w:r>
      <w:r>
        <w:rPr/>
        <w:t>）金融负债终止确认条件</w:t>
      </w:r>
      <w:r>
        <w:rPr>
          <w:b w:val="0"/>
          <w:bCs w:val="0"/>
        </w:rPr>
      </w:r>
    </w:p>
    <w:p>
      <w:pPr>
        <w:spacing w:line="240" w:lineRule="auto" w:before="3"/>
        <w:rPr>
          <w:rFonts w:ascii="宋体" w:hAnsi="宋体" w:cs="宋体" w:eastAsia="宋体" w:hint="default"/>
          <w:b/>
          <w:bCs/>
          <w:sz w:val="26"/>
          <w:szCs w:val="26"/>
        </w:rPr>
      </w:pPr>
    </w:p>
    <w:p>
      <w:pPr>
        <w:pStyle w:val="BodyText"/>
        <w:spacing w:line="316" w:lineRule="auto"/>
        <w:ind w:right="1034" w:firstLine="420"/>
        <w:jc w:val="left"/>
      </w:pPr>
      <w:r>
        <w:rPr/>
        <w:t>金融负债的现时义务全部或部分已经解除的，则终止确认该金融负债或其一部分；本公司若与债权人签定协议，以承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担新金融负债方式替换现存金融负债，且新金融负债与现存金融负债的合同条款实质上不同的，则终止确认现存金融负债， 并同时确认新金融负债。</w:t>
      </w:r>
    </w:p>
    <w:p>
      <w:pPr>
        <w:pStyle w:val="BodyText"/>
        <w:spacing w:line="316" w:lineRule="auto" w:before="19"/>
        <w:ind w:right="1121" w:firstLine="420"/>
        <w:jc w:val="left"/>
      </w:pPr>
      <w:r>
        <w:rPr/>
        <w:t>对现存金融负债全部或部分合同条款作出实质性修改的，则终止确认现存金融负债或其一部分，同时将修改条款后的 金融负债确认为一项新金融负债。</w:t>
      </w:r>
    </w:p>
    <w:p>
      <w:pPr>
        <w:pStyle w:val="BodyText"/>
        <w:spacing w:line="319" w:lineRule="auto" w:before="19"/>
        <w:ind w:right="1121" w:firstLine="420"/>
        <w:jc w:val="left"/>
      </w:pPr>
      <w:r>
        <w:rPr/>
        <w:t>金融负债全部或部分终止确认时，终止确认的金融负债账面价值与支付对价（包括转出的非现金资产或承担的新金融 负债）之间的差额，计入当期损益。</w:t>
      </w:r>
    </w:p>
    <w:p>
      <w:pPr>
        <w:pStyle w:val="BodyText"/>
        <w:spacing w:line="316" w:lineRule="auto" w:before="17"/>
        <w:ind w:right="0" w:firstLine="420"/>
        <w:jc w:val="left"/>
      </w:pPr>
      <w:r>
        <w:rPr/>
        <w:t>本公司若回购部分金融负债的，在回购日按照继续确认部分与终止确认部分的相对公允价值，将该金融负债整体的账 </w:t>
      </w:r>
      <w:r>
        <w:rPr>
          <w:spacing w:val="-4"/>
        </w:rPr>
        <w:t>面价值进行分配。分配给终止确认部分的账面价值与支付的对价（包括转出的非现金资产或承担的新金融负债）之间的差额，</w:t>
      </w:r>
      <w:r>
        <w:rPr>
          <w:spacing w:val="-44"/>
        </w:rPr>
        <w:t> </w:t>
      </w:r>
      <w:r>
        <w:rPr>
          <w:spacing w:val="-44"/>
        </w:rPr>
      </w:r>
      <w:r>
        <w:rPr/>
        <w:t>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21"/>
        <w:jc w:val="left"/>
        <w:rPr>
          <w:b w:val="0"/>
          <w:bCs w:val="0"/>
        </w:rPr>
      </w:pPr>
      <w:r>
        <w:rPr/>
        <w:t>（</w:t>
      </w:r>
      <w:r>
        <w:rPr>
          <w:rFonts w:ascii="Arial" w:hAnsi="Arial" w:cs="Arial" w:eastAsia="Arial" w:hint="default"/>
        </w:rPr>
        <w:t>5</w:t>
      </w:r>
      <w:r>
        <w:rPr/>
        <w:t>）金融资产和金融负债公允价值的确定方法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652" w:right="1121"/>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t>（</w:t>
      </w:r>
      <w:r>
        <w:rPr>
          <w:rFonts w:ascii="Arial" w:hAnsi="Arial" w:cs="Arial" w:eastAsia="Arial" w:hint="default"/>
        </w:rPr>
        <w:t>6</w:t>
      </w:r>
      <w:r>
        <w:rPr/>
        <w:t>）金融资产（不含应收款项）减值测试方法、减值准备计提方法</w:t>
      </w:r>
      <w:r>
        <w:rPr>
          <w:b w:val="0"/>
          <w:bCs w:val="0"/>
        </w:rPr>
      </w:r>
    </w:p>
    <w:p>
      <w:pPr>
        <w:spacing w:line="240" w:lineRule="auto" w:before="3"/>
        <w:rPr>
          <w:rFonts w:ascii="宋体" w:hAnsi="宋体" w:cs="宋体" w:eastAsia="宋体" w:hint="default"/>
          <w:b/>
          <w:bCs/>
          <w:sz w:val="26"/>
          <w:szCs w:val="26"/>
        </w:rPr>
      </w:pPr>
    </w:p>
    <w:p>
      <w:pPr>
        <w:pStyle w:val="BodyText"/>
        <w:spacing w:line="316" w:lineRule="auto"/>
        <w:ind w:left="573" w:right="1121"/>
        <w:jc w:val="left"/>
      </w:pPr>
      <w:r>
        <w:rPr/>
        <w:t>金融资产减值： 在资产负债表日对以公允价值计量且其变动计入当期损益的金融资产以外的金融资产的账面价值进行检查，有客观证</w:t>
      </w:r>
    </w:p>
    <w:p>
      <w:pPr>
        <w:pStyle w:val="BodyText"/>
        <w:spacing w:line="304" w:lineRule="auto" w:before="19"/>
        <w:ind w:left="573" w:right="3194" w:hanging="421"/>
        <w:jc w:val="left"/>
      </w:pPr>
      <w:r>
        <w:rPr/>
        <w:t>据表明该金融资产发生减值的，计提减值准备。金融资产发生减值的客观证据，包括下列各项： </w:t>
      </w:r>
      <w:r>
        <w:rPr>
          <w:rFonts w:ascii="Arial" w:hAnsi="Arial" w:cs="Arial" w:eastAsia="Arial" w:hint="default"/>
        </w:rPr>
        <w:t>A</w:t>
      </w:r>
      <w:r>
        <w:rPr/>
        <w:t>、发行方或债务人发生严重财务困难； </w:t>
      </w:r>
      <w:r>
        <w:rPr>
          <w:rFonts w:ascii="Arial" w:hAnsi="Arial" w:cs="Arial" w:eastAsia="Arial" w:hint="default"/>
        </w:rPr>
        <w:t>B</w:t>
      </w:r>
      <w:r>
        <w:rPr/>
        <w:t>、债务人违反了合同条款，如偿付利息或本金发生违约或逾期等； </w:t>
      </w:r>
      <w:r>
        <w:rPr>
          <w:rFonts w:ascii="Arial" w:hAnsi="Arial" w:cs="Arial" w:eastAsia="Arial" w:hint="default"/>
        </w:rPr>
        <w:t>C</w:t>
      </w:r>
      <w:r>
        <w:rPr/>
        <w:t>、本公司出于经济或法律等方面因素的考虑，对发生困难的债务人作出让步； </w:t>
      </w:r>
      <w:r>
        <w:rPr>
          <w:rFonts w:ascii="Arial" w:hAnsi="Arial" w:cs="Arial" w:eastAsia="Arial" w:hint="default"/>
        </w:rPr>
        <w:t>D</w:t>
      </w:r>
      <w:r>
        <w:rPr/>
        <w:t>、债务人很可能倒闭或进行其他财务重组； </w:t>
      </w:r>
      <w:r>
        <w:rPr>
          <w:rFonts w:ascii="Arial" w:hAnsi="Arial" w:cs="Arial" w:eastAsia="Arial" w:hint="default"/>
        </w:rPr>
        <w:t>E</w:t>
      </w:r>
      <w:r>
        <w:rPr/>
        <w:t>、因发行方发生重大财务困难，该金融资产无法在活跃市场继续交易；</w:t>
      </w:r>
    </w:p>
    <w:p>
      <w:pPr>
        <w:pStyle w:val="BodyText"/>
        <w:spacing w:line="240" w:lineRule="auto" w:before="9"/>
        <w:ind w:left="573" w:right="1121"/>
        <w:jc w:val="left"/>
      </w:pPr>
      <w:r>
        <w:rPr>
          <w:rFonts w:ascii="Arial" w:hAnsi="Arial" w:cs="Arial" w:eastAsia="Arial" w:hint="default"/>
        </w:rPr>
        <w:t>F</w:t>
      </w:r>
      <w:r>
        <w:rPr/>
        <w:t>、债务人经营所处的技术、市场、经济和法律环境等发生重大不利变化，使本公司可能无法收回投资成本；</w:t>
      </w:r>
    </w:p>
    <w:p>
      <w:pPr>
        <w:spacing w:after="0" w:line="240" w:lineRule="auto"/>
        <w:jc w:val="left"/>
        <w:sectPr>
          <w:pgSz w:w="11910" w:h="16840"/>
          <w:pgMar w:header="877" w:footer="1275" w:top="1060" w:bottom="1460" w:left="980" w:right="0"/>
        </w:sectPr>
      </w:pPr>
    </w:p>
    <w:p>
      <w:pPr>
        <w:spacing w:line="240" w:lineRule="auto" w:before="9"/>
        <w:rPr>
          <w:rFonts w:ascii="宋体" w:hAnsi="宋体" w:cs="宋体" w:eastAsia="宋体" w:hint="default"/>
          <w:sz w:val="25"/>
          <w:szCs w:val="25"/>
        </w:rPr>
      </w:pPr>
    </w:p>
    <w:p>
      <w:pPr>
        <w:pStyle w:val="BodyText"/>
        <w:spacing w:line="302" w:lineRule="auto" w:before="44"/>
        <w:ind w:right="1121" w:firstLine="420"/>
        <w:jc w:val="left"/>
      </w:pPr>
      <w:r>
        <w:rPr>
          <w:rFonts w:ascii="Arial" w:hAnsi="Arial" w:cs="Arial" w:eastAsia="Arial" w:hint="default"/>
        </w:rPr>
        <w:t>G</w:t>
      </w:r>
      <w:r>
        <w:rPr/>
        <w:t>、无法辨认一组金融资产中的某项资产的现金流量是否已经减少，但根据公开的数据对其进行总体评价后发现，该 组金融资产自初始确认以来的预计未来现金流量确已减少且可计量；</w:t>
      </w:r>
    </w:p>
    <w:p>
      <w:pPr>
        <w:pStyle w:val="BodyText"/>
        <w:spacing w:line="302" w:lineRule="auto" w:before="29"/>
        <w:ind w:left="573" w:right="5883"/>
        <w:jc w:val="left"/>
      </w:pPr>
      <w:r>
        <w:rPr>
          <w:rFonts w:ascii="Arial" w:hAnsi="Arial" w:cs="Arial" w:eastAsia="Arial" w:hint="default"/>
        </w:rPr>
        <w:t>H</w:t>
      </w:r>
      <w:r>
        <w:rPr/>
        <w:t>、权益工具投资的公允价值发生严重或非暂时性下跌； </w:t>
      </w:r>
      <w:r>
        <w:rPr>
          <w:rFonts w:ascii="Arial" w:hAnsi="Arial" w:cs="Arial" w:eastAsia="Arial" w:hint="default"/>
        </w:rPr>
        <w:t>I</w:t>
      </w:r>
      <w:r>
        <w:rPr/>
        <w:t>、其他表明金融资产发生减值的客观证据。 金融资产减值损失的计量：</w:t>
      </w:r>
    </w:p>
    <w:p>
      <w:pPr>
        <w:pStyle w:val="BodyText"/>
        <w:spacing w:line="302" w:lineRule="auto" w:before="29"/>
        <w:ind w:left="573" w:right="1121"/>
        <w:jc w:val="left"/>
      </w:pPr>
      <w:r>
        <w:rPr>
          <w:rFonts w:ascii="Arial" w:hAnsi="Arial" w:cs="Arial" w:eastAsia="Arial" w:hint="default"/>
        </w:rPr>
        <w:t>A</w:t>
      </w:r>
      <w:r>
        <w:rPr/>
        <w:t>、以公允价值计量且其变动计入当期损益的金融资产不需要进行减值测试；</w:t>
      </w:r>
      <w:r>
        <w:rPr>
          <w:w w:val="100"/>
        </w:rPr>
        <w:t> </w:t>
      </w:r>
      <w:r>
        <w:rPr>
          <w:rFonts w:ascii="Arial" w:hAnsi="Arial" w:cs="Arial" w:eastAsia="Arial" w:hint="default"/>
        </w:rPr>
        <w:t>B</w:t>
      </w:r>
      <w:r>
        <w:rPr/>
        <w:t>、持有至到期投资的减值损失的计量：按预计未来现金流现值低于期末账面价值的差额计提减值准备；</w:t>
      </w:r>
      <w:r>
        <w:rPr>
          <w:w w:val="100"/>
        </w:rPr>
        <w:t> </w:t>
      </w:r>
      <w:r>
        <w:rPr>
          <w:rFonts w:ascii="Arial" w:hAnsi="Arial" w:cs="Arial" w:eastAsia="Arial" w:hint="default"/>
        </w:rPr>
        <w:t>C</w:t>
      </w:r>
      <w:r>
        <w:rPr/>
        <w:t>、应收款项坏账准备的确认标准、计提方法：单项金额重大的，单独进行减值测试，根据其未来现金流量现值低于</w:t>
      </w:r>
    </w:p>
    <w:p>
      <w:pPr>
        <w:pStyle w:val="BodyText"/>
        <w:spacing w:line="316" w:lineRule="auto" w:before="11"/>
        <w:ind w:right="1133"/>
        <w:jc w:val="both"/>
      </w:pPr>
      <w:r>
        <w:rPr>
          <w:spacing w:val="-2"/>
        </w:rPr>
        <w:t>其账面价值的差额，确认减值损失，计提坏账准备；单项金额不重大，经测试未减值的应收款项，采用账龄分析法，按应收</w:t>
      </w:r>
      <w:r>
        <w:rPr>
          <w:spacing w:val="-68"/>
        </w:rPr>
        <w:t> </w:t>
      </w:r>
      <w:r>
        <w:rPr>
          <w:spacing w:val="-68"/>
        </w:rPr>
      </w:r>
      <w:r>
        <w:rPr>
          <w:spacing w:val="-2"/>
        </w:rPr>
        <w:t>款项的账龄和规定的提取比例确认减值损失，计提坏账准备；单项金额不重大但按信用风险特征组合法组合后风险较大的应</w:t>
      </w:r>
      <w:r>
        <w:rPr>
          <w:spacing w:val="-64"/>
        </w:rPr>
        <w:t> </w:t>
      </w:r>
      <w:r>
        <w:rPr>
          <w:spacing w:val="-64"/>
        </w:rPr>
      </w:r>
      <w:r>
        <w:rPr>
          <w:spacing w:val="-2"/>
        </w:rPr>
        <w:t>收款项，单独进行测试，并计提个别坏账准备。经单独测试未减值的应收款项，采用账龄分析法，按应收款项的账龄和规定</w:t>
      </w:r>
      <w:r>
        <w:rPr>
          <w:spacing w:val="-67"/>
        </w:rPr>
        <w:t> </w:t>
      </w:r>
      <w:r>
        <w:rPr>
          <w:spacing w:val="-67"/>
        </w:rPr>
      </w:r>
      <w:r>
        <w:rPr/>
        <w:t>的提取比例确认减值损失。</w:t>
      </w:r>
    </w:p>
    <w:p>
      <w:pPr>
        <w:pStyle w:val="BodyText"/>
        <w:spacing w:line="302" w:lineRule="auto" w:before="19"/>
        <w:ind w:right="1121" w:firstLine="420"/>
        <w:jc w:val="left"/>
      </w:pPr>
      <w:r>
        <w:rPr>
          <w:rFonts w:ascii="Arial" w:hAnsi="Arial" w:cs="Arial" w:eastAsia="Arial" w:hint="default"/>
        </w:rPr>
        <w:t>D</w:t>
      </w:r>
      <w:r>
        <w:rPr/>
        <w:t>、可供出售的金融资产减值的判断：若该项金融资产公允价值出现持续下降，且其下降属于非暂时性的，则可认定 该项金融资产发生了减值。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0"/>
        <w:ind w:right="0"/>
        <w:jc w:val="both"/>
        <w:rPr>
          <w:b w:val="0"/>
          <w:bCs w:val="0"/>
        </w:rPr>
      </w:pPr>
      <w:r>
        <w:rPr/>
        <w:t>（</w:t>
      </w:r>
      <w:r>
        <w:rPr>
          <w:rFonts w:ascii="Arial" w:hAnsi="Arial" w:cs="Arial" w:eastAsia="Arial" w:hint="default"/>
        </w:rPr>
        <w:t>7</w:t>
      </w:r>
      <w:r>
        <w:rPr/>
        <w:t>）将尚未到期的持有至到期投资重分类为可供出售金融资产的，说明持有意图或能力发生改变的依据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652" w:right="1121"/>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Arial" w:hAnsi="Arial" w:cs="Arial" w:eastAsia="Arial" w:hint="default"/>
        </w:rPr>
        <w:t>10</w:t>
      </w:r>
      <w:r>
        <w:rPr/>
        <w:t>、应收款项坏账准备的确认标准和计提方法</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9"/>
          <w:szCs w:val="29"/>
        </w:rPr>
      </w:pPr>
    </w:p>
    <w:p>
      <w:pPr>
        <w:pStyle w:val="Heading3"/>
        <w:spacing w:line="240" w:lineRule="auto"/>
        <w:ind w:right="0"/>
        <w:jc w:val="both"/>
        <w:rPr>
          <w:b w:val="0"/>
          <w:bCs w:val="0"/>
        </w:rPr>
      </w:pPr>
      <w:r>
        <w:rPr/>
        <w:t>（</w:t>
      </w:r>
      <w:r>
        <w:rPr>
          <w:rFonts w:ascii="Arial" w:hAnsi="Arial" w:cs="Arial" w:eastAsia="Arial" w:hint="default"/>
        </w:rPr>
        <w:t>1</w:t>
      </w:r>
      <w:r>
        <w:rPr/>
        <w:t>）单项金额重大的应收款项坏账准备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401"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Arial" w:hAnsi="Arial" w:cs="Arial" w:eastAsia="Arial" w:hint="default"/>
                <w:sz w:val="18"/>
                <w:szCs w:val="18"/>
              </w:rPr>
              <w:t>30</w:t>
            </w:r>
            <w:r>
              <w:rPr>
                <w:rFonts w:ascii="Arial" w:hAnsi="Arial" w:cs="Arial" w:eastAsia="Arial" w:hint="default"/>
                <w:spacing w:val="-4"/>
                <w:sz w:val="18"/>
                <w:szCs w:val="18"/>
              </w:rPr>
              <w:t> </w:t>
            </w:r>
            <w:r>
              <w:rPr>
                <w:rFonts w:ascii="宋体" w:hAnsi="宋体" w:cs="宋体" w:eastAsia="宋体" w:hint="default"/>
                <w:sz w:val="18"/>
                <w:szCs w:val="18"/>
              </w:rPr>
              <w:t>万</w:t>
            </w:r>
          </w:p>
        </w:tc>
      </w:tr>
      <w:tr>
        <w:trPr>
          <w:trHeight w:val="40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备抵法</w:t>
            </w:r>
          </w:p>
        </w:tc>
      </w:tr>
    </w:tbl>
    <w:p>
      <w:pPr>
        <w:spacing w:line="240" w:lineRule="auto" w:before="3"/>
        <w:rPr>
          <w:rFonts w:ascii="宋体" w:hAnsi="宋体" w:cs="宋体" w:eastAsia="宋体" w:hint="default"/>
          <w:b/>
          <w:bCs/>
          <w:sz w:val="19"/>
          <w:szCs w:val="19"/>
        </w:rPr>
      </w:pPr>
    </w:p>
    <w:p>
      <w:pPr>
        <w:pStyle w:val="Heading3"/>
        <w:spacing w:line="240" w:lineRule="auto" w:before="36"/>
        <w:ind w:right="1121"/>
        <w:jc w:val="left"/>
        <w:rPr>
          <w:b w:val="0"/>
          <w:bCs w:val="0"/>
        </w:rPr>
      </w:pPr>
      <w:r>
        <w:rPr/>
        <w:t>（</w:t>
      </w:r>
      <w:r>
        <w:rPr>
          <w:rFonts w:ascii="Arial" w:hAnsi="Arial" w:cs="Arial" w:eastAsia="Arial" w:hint="default"/>
        </w:rPr>
        <w:t>2</w:t>
      </w:r>
      <w:r>
        <w:rPr/>
        <w:t>）按组合计提坏账准备的应收款项</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8"/>
        <w:gridCol w:w="2187"/>
        <w:gridCol w:w="4784"/>
      </w:tblGrid>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Arial" w:hAnsi="Arial" w:cs="Arial" w:eastAsia="Arial"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Arial" w:hAnsi="Arial" w:cs="Arial" w:eastAsia="Arial" w:hint="default"/>
                <w:sz w:val="18"/>
                <w:szCs w:val="18"/>
              </w:rPr>
              <w:t>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w:t>
            </w:r>
          </w:p>
        </w:tc>
      </w:tr>
    </w:tbl>
    <w:p>
      <w:pPr>
        <w:pStyle w:val="BodyText"/>
        <w:spacing w:line="240" w:lineRule="auto" w:before="49"/>
        <w:ind w:right="1121"/>
        <w:jc w:val="left"/>
      </w:pPr>
      <w:r>
        <w:rPr/>
        <w:t>组合中，采用账龄分析法计提坏账准备的</w:t>
      </w:r>
    </w:p>
    <w:p>
      <w:pPr>
        <w:pStyle w:val="BodyText"/>
        <w:spacing w:line="240" w:lineRule="auto" w:before="117"/>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00"/>
        <w:gridCol w:w="2977"/>
        <w:gridCol w:w="3994"/>
      </w:tblGrid>
      <w:tr>
        <w:trPr>
          <w:trHeight w:val="402"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2" w:right="0"/>
              <w:jc w:val="left"/>
              <w:rPr>
                <w:rFonts w:ascii="Arial" w:hAnsi="Arial" w:cs="Arial" w:eastAsia="Arial" w:hint="default"/>
                <w:sz w:val="18"/>
                <w:szCs w:val="18"/>
              </w:rPr>
            </w:pPr>
            <w:r>
              <w:rPr>
                <w:rFonts w:ascii="宋体" w:hAnsi="宋体" w:cs="宋体" w:eastAsia="宋体" w:hint="default"/>
                <w:sz w:val="18"/>
                <w:szCs w:val="18"/>
              </w:rPr>
              <w:t>应收账款计提比例</w:t>
            </w:r>
            <w:r>
              <w:rPr>
                <w:rFonts w:ascii="Arial" w:hAnsi="Arial" w:cs="Arial" w:eastAsia="Arial"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1" w:right="0"/>
              <w:jc w:val="left"/>
              <w:rPr>
                <w:rFonts w:ascii="Arial" w:hAnsi="Arial" w:cs="Arial" w:eastAsia="Arial" w:hint="default"/>
                <w:sz w:val="18"/>
                <w:szCs w:val="18"/>
              </w:rPr>
            </w:pPr>
            <w:r>
              <w:rPr>
                <w:rFonts w:ascii="宋体" w:hAnsi="宋体" w:cs="宋体" w:eastAsia="宋体" w:hint="default"/>
                <w:sz w:val="18"/>
                <w:szCs w:val="18"/>
              </w:rPr>
              <w:t>其他应收款计提比例</w:t>
            </w:r>
            <w:r>
              <w:rPr>
                <w:rFonts w:ascii="Arial" w:hAnsi="Arial" w:cs="Arial" w:eastAsia="Arial" w:hint="default"/>
                <w:sz w:val="18"/>
                <w:szCs w:val="18"/>
              </w:rPr>
              <w:t>(%)</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个月以内（含</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个月）</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0%</w:t>
            </w:r>
            <w:r>
              <w:rPr>
                <w:rFonts w:ascii="Arial"/>
                <w:sz w:val="18"/>
              </w:rPr>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0%</w:t>
            </w:r>
            <w:r>
              <w:rPr>
                <w:rFonts w:ascii="Arial"/>
                <w:sz w:val="18"/>
              </w:rPr>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个月以上</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w w:val="95"/>
                <w:sz w:val="18"/>
              </w:rPr>
              <w:t>5%</w:t>
            </w:r>
            <w:r>
              <w:rPr>
                <w:rFonts w:ascii="Arial"/>
                <w:sz w:val="18"/>
              </w:rPr>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w w:val="95"/>
                <w:sz w:val="18"/>
              </w:rPr>
              <w:t>5%</w:t>
            </w:r>
            <w:r>
              <w:rPr>
                <w:rFonts w:ascii="Arial"/>
                <w:sz w:val="18"/>
              </w:rPr>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10%</w:t>
            </w:r>
            <w:r>
              <w:rPr>
                <w:rFonts w:ascii="Arial"/>
                <w:sz w:val="18"/>
              </w:rPr>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10%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1275" w:top="1060" w:bottom="14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98"/>
        <w:gridCol w:w="2977"/>
        <w:gridCol w:w="3994"/>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20%</w:t>
            </w:r>
            <w:r>
              <w:rPr>
                <w:rFonts w:ascii="Arial"/>
                <w:sz w:val="18"/>
              </w:rPr>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20%</w:t>
            </w:r>
            <w:r>
              <w:rPr>
                <w:rFonts w:ascii="Arial"/>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w w:val="95"/>
                <w:sz w:val="18"/>
              </w:rPr>
              <w:t>50%</w:t>
            </w:r>
            <w:r>
              <w:rPr>
                <w:rFonts w:ascii="Arial"/>
                <w:sz w:val="18"/>
              </w:rPr>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w w:val="95"/>
                <w:sz w:val="18"/>
              </w:rPr>
              <w:t>50%</w:t>
            </w:r>
            <w:r>
              <w:rPr>
                <w:rFonts w:ascii="Arial"/>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100%</w:t>
            </w:r>
            <w:r>
              <w:rPr>
                <w:rFonts w:ascii="Arial"/>
                <w:sz w:val="18"/>
              </w:rPr>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100%</w:t>
            </w:r>
            <w:r>
              <w:rPr>
                <w:rFonts w:ascii="Arial"/>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100%</w:t>
            </w:r>
            <w:r>
              <w:rPr>
                <w:rFonts w:ascii="Arial"/>
                <w:sz w:val="18"/>
              </w:rPr>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w w:val="95"/>
                <w:sz w:val="18"/>
              </w:rPr>
              <w:t>100%</w:t>
            </w:r>
            <w:r>
              <w:rPr>
                <w:rFonts w:ascii="Arial"/>
                <w:sz w:val="18"/>
              </w:rPr>
            </w:r>
          </w:p>
        </w:tc>
      </w:tr>
    </w:tbl>
    <w:p>
      <w:pPr>
        <w:pStyle w:val="BodyText"/>
        <w:spacing w:line="240" w:lineRule="auto" w:before="49"/>
        <w:ind w:right="1121"/>
        <w:jc w:val="left"/>
      </w:pPr>
      <w:r>
        <w:rPr/>
        <w:t>组合中，采用余额百分比法计提坏账准备的</w:t>
      </w:r>
    </w:p>
    <w:p>
      <w:pPr>
        <w:pStyle w:val="BodyText"/>
        <w:spacing w:line="340" w:lineRule="auto" w:before="115"/>
        <w:ind w:right="76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组合中，采用其他方法计提坏账准备的</w:t>
      </w:r>
    </w:p>
    <w:p>
      <w:pPr>
        <w:pStyle w:val="BodyText"/>
        <w:spacing w:line="240" w:lineRule="auto" w:before="41"/>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21"/>
        <w:jc w:val="left"/>
        <w:rPr>
          <w:b w:val="0"/>
          <w:bCs w:val="0"/>
        </w:rPr>
      </w:pPr>
      <w:r>
        <w:rPr/>
        <w:t>（</w:t>
      </w:r>
      <w:r>
        <w:rPr>
          <w:rFonts w:ascii="Arial" w:hAnsi="Arial" w:cs="Arial" w:eastAsia="Arial" w:hint="default"/>
        </w:rPr>
        <w:t>3</w:t>
      </w:r>
      <w:r>
        <w:rPr/>
        <w:t>）单项金额虽不重大但单项计提坏账准备的应收账款</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40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备抵法。</w:t>
            </w:r>
          </w:p>
        </w:tc>
      </w:tr>
    </w:tbl>
    <w:p>
      <w:pPr>
        <w:spacing w:line="240" w:lineRule="auto" w:before="3"/>
        <w:rPr>
          <w:rFonts w:ascii="宋体" w:hAnsi="宋体" w:cs="宋体" w:eastAsia="宋体" w:hint="default"/>
          <w:b/>
          <w:bCs/>
          <w:sz w:val="19"/>
          <w:szCs w:val="19"/>
        </w:rPr>
      </w:pPr>
    </w:p>
    <w:p>
      <w:pPr>
        <w:pStyle w:val="Heading3"/>
        <w:spacing w:line="240" w:lineRule="auto" w:before="36"/>
        <w:ind w:right="1121"/>
        <w:jc w:val="left"/>
        <w:rPr>
          <w:b w:val="0"/>
          <w:bCs w:val="0"/>
        </w:rPr>
      </w:pPr>
      <w:r>
        <w:rPr>
          <w:rFonts w:ascii="Arial" w:hAnsi="Arial" w:cs="Arial" w:eastAsia="Arial" w:hint="default"/>
        </w:rPr>
        <w:t>11</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）存货的分类</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51" w:right="5486"/>
        <w:jc w:val="center"/>
      </w:pPr>
      <w:r>
        <w:rPr/>
        <w:t>存货分为原材料、委托加工材料、在产品、产成品等四大类。</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t>（</w:t>
      </w:r>
      <w:r>
        <w:rPr>
          <w:rFonts w:ascii="Arial" w:hAnsi="Arial" w:cs="Arial" w:eastAsia="Arial" w:hint="default"/>
        </w:rPr>
        <w:t>2</w:t>
      </w:r>
      <w:r>
        <w:rPr/>
        <w:t>）发出存货的计价方法</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left="508" w:right="4998" w:hanging="356"/>
        <w:jc w:val="left"/>
      </w:pPr>
      <w:r>
        <w:rPr/>
        <w:t>计价方法：其他 各类存货的购入与入库按实际成本计价，发出采用加权平均法计价。</w:t>
      </w:r>
    </w:p>
    <w:p>
      <w:pPr>
        <w:spacing w:line="240" w:lineRule="auto" w:before="4"/>
        <w:rPr>
          <w:rFonts w:ascii="宋体" w:hAnsi="宋体" w:cs="宋体" w:eastAsia="宋体" w:hint="default"/>
          <w:sz w:val="20"/>
          <w:szCs w:val="20"/>
        </w:rPr>
      </w:pPr>
    </w:p>
    <w:p>
      <w:pPr>
        <w:pStyle w:val="Heading3"/>
        <w:spacing w:line="240" w:lineRule="auto"/>
        <w:ind w:right="1121"/>
        <w:jc w:val="left"/>
        <w:rPr>
          <w:b w:val="0"/>
          <w:bCs w:val="0"/>
        </w:rPr>
      </w:pPr>
      <w:r>
        <w:rPr/>
        <w:t>（</w:t>
      </w:r>
      <w:r>
        <w:rPr>
          <w:rFonts w:ascii="Arial" w:hAnsi="Arial" w:cs="Arial" w:eastAsia="Arial" w:hint="default"/>
        </w:rPr>
        <w:t>3</w:t>
      </w:r>
      <w:r>
        <w:rPr/>
        <w:t>）存货可变现净值的确定依据及存货跌价准备的计提方法</w:t>
      </w:r>
      <w:r>
        <w:rPr>
          <w:b w:val="0"/>
          <w:bCs w:val="0"/>
        </w:rPr>
      </w:r>
    </w:p>
    <w:p>
      <w:pPr>
        <w:spacing w:line="240" w:lineRule="auto" w:before="3"/>
        <w:rPr>
          <w:rFonts w:ascii="宋体" w:hAnsi="宋体" w:cs="宋体" w:eastAsia="宋体" w:hint="default"/>
          <w:b/>
          <w:bCs/>
          <w:sz w:val="26"/>
          <w:szCs w:val="26"/>
        </w:rPr>
      </w:pPr>
    </w:p>
    <w:p>
      <w:pPr>
        <w:pStyle w:val="BodyText"/>
        <w:spacing w:line="316" w:lineRule="auto"/>
        <w:ind w:right="1132" w:firstLine="420"/>
        <w:jc w:val="both"/>
      </w:pPr>
      <w:r>
        <w:rPr/>
        <w:t>存货可变现净值系根据本公司在正常经营过程中，以估计售价减去估计完工成本及销售所必须的估计费用后的价值。 </w:t>
      </w:r>
      <w:r>
        <w:rPr>
          <w:spacing w:val="-2"/>
        </w:rPr>
        <w:t>存货跌价准备的计提方法：本公司于每年中期期末及年度终了在对存货进行全面盘点的基础上，对遭受损失，全部或部分陈</w:t>
      </w:r>
      <w:r>
        <w:rPr>
          <w:spacing w:val="-66"/>
        </w:rPr>
        <w:t> </w:t>
      </w:r>
      <w:r>
        <w:rPr>
          <w:spacing w:val="-66"/>
        </w:rPr>
      </w:r>
      <w:r>
        <w:rPr>
          <w:spacing w:val="-2"/>
        </w:rPr>
        <w:t>旧过时或销售价格低于成本的存货，根据存货成本与可变现净值孰低计量，按单个存货项目对同类存货项目的可变现净值低</w:t>
      </w:r>
      <w:r>
        <w:rPr>
          <w:spacing w:val="-63"/>
        </w:rPr>
        <w:t> </w:t>
      </w:r>
      <w:r>
        <w:rPr>
          <w:spacing w:val="-63"/>
        </w:rPr>
      </w:r>
      <w:r>
        <w:rPr>
          <w:spacing w:val="-2"/>
        </w:rPr>
        <w:t>于存货成本的差额计提存货跌价准备，并计入当期损益。确定可变现净值时，除考虑持有目的和资产负债表日该存货的价格</w:t>
      </w:r>
      <w:r>
        <w:rPr>
          <w:spacing w:val="-66"/>
        </w:rPr>
        <w:t> </w:t>
      </w:r>
      <w:r>
        <w:rPr>
          <w:spacing w:val="-66"/>
        </w:rPr>
      </w:r>
      <w:r>
        <w:rPr/>
        <w:t>与成本波动外，还需要考虑未来事项的影响。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21"/>
        <w:jc w:val="left"/>
        <w:rPr>
          <w:b w:val="0"/>
          <w:bCs w:val="0"/>
        </w:rPr>
      </w:pPr>
      <w:r>
        <w:rPr/>
        <w:t>（</w:t>
      </w:r>
      <w:r>
        <w:rPr>
          <w:rFonts w:ascii="Arial" w:hAnsi="Arial" w:cs="Arial" w:eastAsia="Arial" w:hint="default"/>
        </w:rPr>
        <w:t>4</w:t>
      </w:r>
      <w:r>
        <w:rPr/>
        <w:t>）存货的盘存制度</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1"/>
        <w:jc w:val="left"/>
      </w:pPr>
      <w:r>
        <w:rPr/>
        <w:t>盘存制度：永续盘存制</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t>（</w:t>
      </w:r>
      <w:r>
        <w:rPr>
          <w:rFonts w:ascii="Arial" w:hAnsi="Arial" w:cs="Arial" w:eastAsia="Arial" w:hint="default"/>
        </w:rPr>
        <w:t>5</w:t>
      </w:r>
      <w:r>
        <w:rPr/>
        <w:t>）低值易耗品和包装物的摊销方法</w:t>
      </w:r>
      <w:r>
        <w:rPr>
          <w:b w:val="0"/>
          <w:bCs w:val="0"/>
        </w:rPr>
      </w:r>
    </w:p>
    <w:p>
      <w:pPr>
        <w:spacing w:line="240" w:lineRule="auto" w:before="3"/>
        <w:rPr>
          <w:rFonts w:ascii="宋体" w:hAnsi="宋体" w:cs="宋体" w:eastAsia="宋体" w:hint="default"/>
          <w:b/>
          <w:bCs/>
          <w:sz w:val="26"/>
          <w:szCs w:val="26"/>
        </w:rPr>
      </w:pPr>
    </w:p>
    <w:p>
      <w:pPr>
        <w:pStyle w:val="BodyText"/>
        <w:spacing w:line="360" w:lineRule="auto"/>
        <w:ind w:right="8954"/>
        <w:jc w:val="left"/>
      </w:pPr>
      <w:r>
        <w:rPr/>
        <w:t>低值易耗品 摊销方法：一次摊销法</w:t>
      </w:r>
    </w:p>
    <w:p>
      <w:pPr>
        <w:spacing w:after="0" w:line="360" w:lineRule="auto"/>
        <w:jc w:val="left"/>
        <w:sectPr>
          <w:pgSz w:w="11910" w:h="16840"/>
          <w:pgMar w:header="877" w:footer="1275" w:top="1060" w:bottom="1460" w:left="980" w:right="0"/>
        </w:sectPr>
      </w:pPr>
    </w:p>
    <w:p>
      <w:pPr>
        <w:spacing w:line="240" w:lineRule="auto" w:before="9"/>
        <w:rPr>
          <w:rFonts w:ascii="宋体" w:hAnsi="宋体" w:cs="宋体" w:eastAsia="宋体" w:hint="default"/>
          <w:sz w:val="25"/>
          <w:szCs w:val="25"/>
        </w:rPr>
      </w:pPr>
    </w:p>
    <w:p>
      <w:pPr>
        <w:pStyle w:val="BodyText"/>
        <w:spacing w:line="360" w:lineRule="auto" w:before="44"/>
        <w:ind w:right="8954"/>
        <w:jc w:val="left"/>
      </w:pPr>
      <w:r>
        <w:rPr/>
        <w:t>包装物 摊销方法：一次摊销法</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r>
        <w:rPr>
          <w:rFonts w:ascii="Arial" w:hAnsi="Arial" w:cs="Arial" w:eastAsia="Arial" w:hint="default"/>
        </w:rPr>
        <w:t>12</w:t>
      </w:r>
      <w:r>
        <w:rPr/>
        <w:t>、长期股权投资</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Arial" w:hAnsi="Arial" w:cs="Arial" w:eastAsia="Arial" w:hint="default"/>
        </w:rPr>
        <w:t>1</w:t>
      </w:r>
      <w:r>
        <w:rPr/>
        <w:t>）投资成本的确定</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513" w:right="1113"/>
        <w:jc w:val="left"/>
      </w:pPr>
      <w:r>
        <w:rPr>
          <w:rFonts w:ascii="Arial" w:hAnsi="Arial" w:cs="Arial" w:eastAsia="Arial" w:hint="default"/>
        </w:rPr>
        <w:t>A</w:t>
      </w:r>
      <w:r>
        <w:rPr/>
        <w:t>、企业合并形成的长期股权投资，按照下列规定确定其投资成本：</w:t>
      </w:r>
      <w:r>
        <w:rPr>
          <w:w w:val="100"/>
        </w:rPr>
        <w:t> </w:t>
      </w:r>
      <w:r>
        <w:rPr>
          <w:rFonts w:ascii="Arial" w:hAnsi="Arial" w:cs="Arial" w:eastAsia="Arial" w:hint="default"/>
        </w:rPr>
        <w:t>a</w:t>
      </w:r>
      <w:r>
        <w:rPr/>
        <w:t>、同一控制下的企业合并，合并方以支付现金、转让非现金资产或承担债务方式作为合并对价的，在合并日按照取得</w:t>
      </w:r>
    </w:p>
    <w:p>
      <w:pPr>
        <w:pStyle w:val="BodyText"/>
        <w:spacing w:line="217" w:lineRule="exact"/>
        <w:ind w:right="0"/>
        <w:jc w:val="both"/>
      </w:pPr>
      <w:r>
        <w:rPr/>
        <w:t>被合并方所有者权益账面价值的份额作为长期股权投资的投资成本。长期股权投资投资成本与支付的现金、转让的非现金资</w:t>
      </w:r>
    </w:p>
    <w:p>
      <w:pPr>
        <w:pStyle w:val="BodyText"/>
        <w:spacing w:line="319" w:lineRule="auto" w:before="76"/>
        <w:ind w:right="1128"/>
        <w:jc w:val="both"/>
      </w:pPr>
      <w:r>
        <w:rPr/>
        <w:t>产以及所承担债务账面价值之间的差额，调整资本公积；资本公积不足冲减的，调整留存收益。</w:t>
      </w:r>
      <w:r>
        <w:rPr>
          <w:spacing w:val="12"/>
        </w:rPr>
        <w:t> </w:t>
      </w:r>
      <w:r>
        <w:rPr/>
        <w:t>合并方以发行权益性证</w:t>
      </w:r>
      <w:r>
        <w:rPr/>
        <w:t> </w:t>
      </w:r>
      <w:r>
        <w:rPr>
          <w:spacing w:val="-2"/>
        </w:rPr>
        <w:t>券作为合并对价的，在合并日按照取得被合并方所有者权益账面价值的份额作为长期股权投资的投资成本。按照发行股份的</w:t>
      </w:r>
      <w:r>
        <w:rPr>
          <w:spacing w:val="-64"/>
        </w:rPr>
        <w:t> </w:t>
      </w:r>
      <w:r>
        <w:rPr>
          <w:spacing w:val="-64"/>
        </w:rPr>
      </w:r>
      <w:r>
        <w:rPr>
          <w:spacing w:val="-2"/>
        </w:rPr>
        <w:t>面值总额作为股本，长期股权投资投资成本与所发行股份面值总额之间的差额，调整资本公积；资本公积不足冲减的，调整</w:t>
      </w:r>
      <w:r>
        <w:rPr>
          <w:spacing w:val="-64"/>
        </w:rPr>
        <w:t> </w:t>
      </w:r>
      <w:r>
        <w:rPr>
          <w:spacing w:val="-64"/>
        </w:rPr>
      </w:r>
      <w:r>
        <w:rPr/>
        <w:t>留存收益。</w:t>
      </w:r>
    </w:p>
    <w:p>
      <w:pPr>
        <w:pStyle w:val="BodyText"/>
        <w:spacing w:line="240" w:lineRule="auto" w:before="58"/>
        <w:ind w:left="513" w:right="1121"/>
        <w:jc w:val="left"/>
      </w:pPr>
      <w:r>
        <w:rPr>
          <w:rFonts w:ascii="Arial" w:hAnsi="Arial" w:cs="Arial" w:eastAsia="Arial" w:hint="default"/>
        </w:rPr>
        <w:t>b</w:t>
      </w:r>
      <w:r>
        <w:rPr/>
        <w:t>、非同一控制下的企业合并，按照下列规定确定的合并成本作为长期股权投资的投资成本：</w:t>
      </w:r>
    </w:p>
    <w:p>
      <w:pPr>
        <w:pStyle w:val="BodyText"/>
        <w:spacing w:line="316" w:lineRule="auto" w:before="104"/>
        <w:ind w:right="1132" w:firstLine="360"/>
        <w:jc w:val="both"/>
      </w:pPr>
      <w:r>
        <w:rPr>
          <w:spacing w:val="-2"/>
        </w:rPr>
        <w:t>①一次交换交易实现的企业合并，合并成本为购买方在购买日为取得对被购买方的控制权而付出的资产、发生或承担的</w:t>
      </w:r>
      <w:r>
        <w:rPr/>
        <w:t> 负债以及发行的权益性证券的公允价值。</w:t>
      </w:r>
    </w:p>
    <w:p>
      <w:pPr>
        <w:pStyle w:val="BodyText"/>
        <w:spacing w:line="240" w:lineRule="auto" w:before="57"/>
        <w:ind w:left="513" w:right="1121"/>
        <w:jc w:val="left"/>
      </w:pPr>
      <w:r>
        <w:rPr/>
        <w:t>②通过多次交换交易分步实现的企业合并，合并成本为每一单项交易成本之和。</w:t>
      </w:r>
    </w:p>
    <w:p>
      <w:pPr>
        <w:pStyle w:val="BodyText"/>
        <w:spacing w:line="240" w:lineRule="auto" w:before="117"/>
        <w:ind w:left="513" w:right="1121"/>
        <w:jc w:val="left"/>
      </w:pPr>
      <w:r>
        <w:rPr/>
        <w:t>③购买方为进行企业合并发生的各项直接相关费用也计入企业合并成本。</w:t>
      </w:r>
    </w:p>
    <w:p>
      <w:pPr>
        <w:pStyle w:val="BodyText"/>
        <w:spacing w:line="316" w:lineRule="auto" w:before="117"/>
        <w:ind w:right="1131" w:firstLine="360"/>
        <w:jc w:val="both"/>
      </w:pPr>
      <w:r>
        <w:rPr>
          <w:spacing w:val="-2"/>
        </w:rPr>
        <w:t>④在合并合同或协议中对可能影响合并成本的未来事项作出约定的，购买日如果估计未来事项很可能发生并且对合并成</w:t>
      </w:r>
      <w:r>
        <w:rPr/>
        <w:t> 本的影响金额能够可靠计量的，购买方将其计入合并成本。</w:t>
      </w:r>
    </w:p>
    <w:p>
      <w:pPr>
        <w:pStyle w:val="BodyText"/>
        <w:spacing w:line="340" w:lineRule="auto" w:before="57"/>
        <w:ind w:left="513" w:right="1113"/>
        <w:jc w:val="left"/>
      </w:pPr>
      <w:r>
        <w:rPr>
          <w:rFonts w:ascii="Arial" w:hAnsi="Arial" w:cs="Arial" w:eastAsia="Arial" w:hint="default"/>
        </w:rPr>
        <w:t>B</w:t>
      </w:r>
      <w:r>
        <w:rPr/>
        <w:t>、除企业合并形成的长期股权投资以外，其它方式取得的长期股权投资，按照下列规定确定其投资成本：</w:t>
      </w:r>
      <w:r>
        <w:rPr>
          <w:w w:val="100"/>
        </w:rPr>
        <w:t> </w:t>
      </w:r>
      <w:r>
        <w:rPr>
          <w:rFonts w:ascii="Arial" w:hAnsi="Arial" w:cs="Arial" w:eastAsia="Arial" w:hint="default"/>
        </w:rPr>
        <w:t>a</w:t>
      </w:r>
      <w:r>
        <w:rPr/>
        <w:t>、以支付现金取得的长期股权投资，按照实际支付的购买价款作为投资成本。投资成本包括与取得长期股权投资直接</w:t>
      </w:r>
    </w:p>
    <w:p>
      <w:pPr>
        <w:pStyle w:val="BodyText"/>
        <w:spacing w:line="215" w:lineRule="exact"/>
        <w:ind w:right="0"/>
        <w:jc w:val="both"/>
      </w:pPr>
      <w:r>
        <w:rPr/>
        <w:t>相关的费用、税金及其它必要支出。</w:t>
      </w:r>
    </w:p>
    <w:p>
      <w:pPr>
        <w:pStyle w:val="BodyText"/>
        <w:spacing w:line="340" w:lineRule="auto" w:before="117"/>
        <w:ind w:left="513" w:right="0"/>
        <w:jc w:val="left"/>
      </w:pPr>
      <w:r>
        <w:rPr>
          <w:rFonts w:ascii="Arial" w:hAnsi="Arial" w:cs="Arial" w:eastAsia="Arial" w:hint="default"/>
        </w:rPr>
        <w:t>b</w:t>
      </w:r>
      <w:r>
        <w:rPr/>
        <w:t>、以发行权益性证券取得的长期股权投资，按照发行权益性证券的公允价值作为投资成本。 </w:t>
      </w:r>
      <w:r>
        <w:rPr>
          <w:rFonts w:ascii="Arial" w:hAnsi="Arial" w:cs="Arial" w:eastAsia="Arial" w:hint="default"/>
          <w:spacing w:val="-2"/>
        </w:rPr>
        <w:t>c</w:t>
      </w:r>
      <w:r>
        <w:rPr>
          <w:spacing w:val="-2"/>
        </w:rPr>
        <w:t>、投资者投入的长期股权投资，按照投资合同或协议约定的价值作为投资成本，但合同或协议约定价值不公允的除外。</w:t>
      </w:r>
      <w:r>
        <w:rPr>
          <w:spacing w:val="-66"/>
        </w:rPr>
        <w:t> </w:t>
      </w:r>
      <w:r>
        <w:rPr>
          <w:spacing w:val="-66"/>
        </w:rPr>
      </w:r>
      <w:r>
        <w:rPr>
          <w:rFonts w:ascii="Arial" w:hAnsi="Arial" w:cs="Arial" w:eastAsia="Arial" w:hint="default"/>
        </w:rPr>
        <w:t>d</w:t>
      </w:r>
      <w:r>
        <w:rPr/>
        <w:t>、通过非货币性资产交换取得的长期股权投资，如非货币性资产交换具有商业实质，换入的长期股权投资按照公允价</w:t>
      </w:r>
    </w:p>
    <w:p>
      <w:pPr>
        <w:pStyle w:val="BodyText"/>
        <w:spacing w:line="215" w:lineRule="exact"/>
        <w:ind w:right="0"/>
        <w:jc w:val="both"/>
      </w:pPr>
      <w:r>
        <w:rPr/>
        <w:t>值和应支付的相关税费作为投资成本；如非货币资产交易不具有商业实质，换入的长期股权投资以换出资产的账面价值和应</w:t>
      </w:r>
    </w:p>
    <w:p>
      <w:pPr>
        <w:pStyle w:val="BodyText"/>
        <w:spacing w:line="240" w:lineRule="auto" w:before="76"/>
        <w:ind w:right="0"/>
        <w:jc w:val="both"/>
      </w:pPr>
      <w:r>
        <w:rPr/>
        <w:t>支付的相关税费作为投资成本。</w:t>
      </w:r>
    </w:p>
    <w:p>
      <w:pPr>
        <w:pStyle w:val="BodyText"/>
        <w:spacing w:line="240" w:lineRule="auto" w:before="117"/>
        <w:ind w:left="513" w:right="1121"/>
        <w:jc w:val="left"/>
      </w:pPr>
      <w:r>
        <w:rPr>
          <w:rFonts w:ascii="Arial" w:hAnsi="Arial" w:cs="Arial" w:eastAsia="Arial" w:hint="default"/>
        </w:rPr>
        <w:t>e</w:t>
      </w:r>
      <w:r>
        <w:rPr/>
        <w:t>、通过债务重组取得的长期股权投资，其投资成本按照公允价值和应付的相关税费确定。</w:t>
      </w:r>
    </w:p>
    <w:p>
      <w:pPr>
        <w:spacing w:line="240" w:lineRule="auto" w:before="0"/>
        <w:rPr>
          <w:rFonts w:ascii="宋体" w:hAnsi="宋体" w:cs="宋体" w:eastAsia="宋体" w:hint="default"/>
          <w:sz w:val="26"/>
          <w:szCs w:val="26"/>
        </w:rPr>
      </w:pPr>
    </w:p>
    <w:p>
      <w:pPr>
        <w:pStyle w:val="Heading3"/>
        <w:spacing w:line="240" w:lineRule="auto"/>
        <w:ind w:right="0"/>
        <w:jc w:val="both"/>
        <w:rPr>
          <w:b w:val="0"/>
          <w:bCs w:val="0"/>
        </w:rPr>
      </w:pPr>
      <w:r>
        <w:rPr/>
        <w:t>（</w:t>
      </w:r>
      <w:r>
        <w:rPr>
          <w:rFonts w:ascii="Arial" w:hAnsi="Arial" w:cs="Arial" w:eastAsia="Arial" w:hint="default"/>
        </w:rPr>
        <w:t>2</w:t>
      </w:r>
      <w:r>
        <w:rPr/>
        <w:t>）后续计量及损益确认</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1130" w:firstLine="360"/>
        <w:jc w:val="both"/>
      </w:pPr>
      <w:r>
        <w:rPr>
          <w:rFonts w:ascii="Arial" w:hAnsi="Arial" w:cs="Arial" w:eastAsia="Arial" w:hint="default"/>
          <w:spacing w:val="-1"/>
        </w:rPr>
        <w:t>A</w:t>
      </w:r>
      <w:r>
        <w:rPr>
          <w:spacing w:val="-1"/>
        </w:rPr>
        <w:t>、本公司能够对被投资单位实施控制的长期股权投资或本公司对被投资单位不具有共同控制或重大影响，并且在活跃</w:t>
      </w:r>
      <w:r>
        <w:rPr>
          <w:w w:val="100"/>
        </w:rPr>
        <w:t> </w:t>
      </w:r>
      <w:r>
        <w:rPr/>
        <w:t>市场中没有报价、公允价值不能可靠计量的长期股权投资采用成本法核算。</w:t>
      </w:r>
      <w:r>
        <w:rPr>
          <w:spacing w:val="9"/>
        </w:rPr>
        <w:t> </w:t>
      </w:r>
      <w:r>
        <w:rPr/>
        <w:t>采用成本法核算的长期股权投资按照投资成</w:t>
      </w:r>
      <w:r>
        <w:rPr>
          <w:w w:val="100"/>
        </w:rPr>
        <w:t> </w:t>
      </w:r>
      <w:r>
        <w:rPr>
          <w:spacing w:val="-2"/>
        </w:rPr>
        <w:t>本计价。追加或收回投资时调整长期股权投资的成本。被投资单位宣告分派的现金股利或利润，除取得投资时实际支付的价</w:t>
      </w:r>
      <w:r>
        <w:rPr>
          <w:spacing w:val="-63"/>
        </w:rPr>
        <w:t> </w:t>
      </w:r>
      <w:r>
        <w:rPr>
          <w:spacing w:val="-63"/>
        </w:rPr>
      </w:r>
      <w:r>
        <w:rPr>
          <w:spacing w:val="-2"/>
          <w:w w:val="100"/>
        </w:rPr>
        <w:t>款或对价中包含的已宣告但尚未发放的现金股利或利润外，本公司按照享有被投资单位宣告发放的现金股利或利润确认当期</w:t>
      </w:r>
      <w:r>
        <w:rPr>
          <w:spacing w:val="-64"/>
          <w:w w:val="100"/>
        </w:rPr>
        <w:t> </w:t>
      </w:r>
      <w:r>
        <w:rPr>
          <w:spacing w:val="-64"/>
          <w:w w:val="100"/>
        </w:rPr>
      </w:r>
      <w:r>
        <w:rPr/>
        <w:t>投资收益。</w:t>
      </w:r>
    </w:p>
    <w:p>
      <w:pPr>
        <w:pStyle w:val="BodyText"/>
        <w:spacing w:line="314" w:lineRule="auto" w:before="61"/>
        <w:ind w:right="1126" w:firstLine="360"/>
        <w:jc w:val="both"/>
      </w:pPr>
      <w:r>
        <w:rPr>
          <w:rFonts w:ascii="Arial" w:hAnsi="Arial" w:cs="Arial" w:eastAsia="Arial" w:hint="default"/>
        </w:rPr>
        <w:t>B</w:t>
      </w:r>
      <w:r>
        <w:rPr/>
        <w:t>、本公司对被投资单位具有共同控制或重大影响的长期股权投资，采用权益法核算。</w:t>
      </w:r>
      <w:r>
        <w:rPr>
          <w:spacing w:val="67"/>
        </w:rPr>
        <w:t> </w:t>
      </w:r>
      <w:r>
        <w:rPr/>
        <w:t>长期股权投资的投资成本大</w:t>
      </w:r>
      <w:r>
        <w:rPr>
          <w:w w:val="100"/>
        </w:rPr>
        <w:t> </w:t>
      </w:r>
      <w:r>
        <w:rPr>
          <w:spacing w:val="-2"/>
        </w:rPr>
        <w:t>于投资时应享有被投资单位可辨认净资产公允价值份额的，不调整长期股权投资的投资成本；长期股权投资的投资成本本小</w:t>
      </w:r>
      <w:r>
        <w:rPr>
          <w:spacing w:val="-63"/>
        </w:rPr>
        <w:t> </w:t>
      </w:r>
      <w:r>
        <w:rPr>
          <w:spacing w:val="-63"/>
        </w:rPr>
      </w:r>
      <w:r>
        <w:rPr>
          <w:spacing w:val="-4"/>
          <w:w w:val="100"/>
        </w:rPr>
        <w:t>于投资时应享有被投资单位可辨认净资产公允价值份额的，其差额应当计入当期损益，同时调整长期股权投资的成本。</w:t>
      </w:r>
      <w:r>
        <w:rPr>
          <w:spacing w:val="41"/>
          <w:w w:val="100"/>
        </w:rPr>
        <w:t> </w:t>
      </w:r>
      <w:r>
        <w:rPr>
          <w:w w:val="100"/>
        </w:rPr>
        <w:t>公</w:t>
      </w:r>
      <w:r>
        <w:rPr>
          <w:w w:val="100"/>
        </w:rPr>
        <w:t> </w:t>
      </w:r>
      <w:r>
        <w:rPr>
          <w:spacing w:val="-2"/>
        </w:rPr>
        <w:t>司取得长期股权投资后，按照应享有或应分担的被投资单位实现的净损益的份额，确认投资损益并调整长期股权投资的账面</w:t>
      </w:r>
      <w:r>
        <w:rPr>
          <w:spacing w:val="-64"/>
        </w:rPr>
        <w:t> </w:t>
      </w:r>
      <w:r>
        <w:rPr>
          <w:spacing w:val="-64"/>
        </w:rPr>
      </w:r>
      <w:r>
        <w:rPr>
          <w:spacing w:val="-2"/>
        </w:rPr>
        <w:t>价值；按照被投资单位宣告分派的利润或现金股利计算应分得的部分，相应减少长期股权投资的账面价值。公司确认被投资</w:t>
      </w:r>
    </w:p>
    <w:p>
      <w:pPr>
        <w:spacing w:after="0" w:line="314" w:lineRule="auto"/>
        <w:jc w:val="both"/>
        <w:sectPr>
          <w:pgSz w:w="11910" w:h="16840"/>
          <w:pgMar w:header="877" w:footer="1275" w:top="1060" w:bottom="14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both"/>
      </w:pPr>
      <w:r>
        <w:rPr>
          <w:spacing w:val="-2"/>
        </w:rPr>
        <w:t>单位发生的净亏损，以长期股权投资的账面价值以及其他实质上构成对被投资单位净投资的长期权益减记至零为限，公司负</w:t>
      </w:r>
      <w:r>
        <w:rPr>
          <w:spacing w:val="-64"/>
        </w:rPr>
        <w:t> </w:t>
      </w:r>
      <w:r>
        <w:rPr>
          <w:spacing w:val="-64"/>
        </w:rPr>
      </w:r>
      <w:r>
        <w:rPr>
          <w:spacing w:val="-2"/>
        </w:rPr>
        <w:t>有承担额外损失义务的除外。被投资单位以后实现净利润的，投资企业在其收益分享额弥补未确认的亏损分担额后，恢复确</w:t>
      </w:r>
      <w:r>
        <w:rPr>
          <w:spacing w:val="-62"/>
        </w:rPr>
        <w:t> </w:t>
      </w:r>
      <w:r>
        <w:rPr>
          <w:spacing w:val="-62"/>
        </w:rPr>
      </w:r>
      <w:r>
        <w:rPr/>
        <w:t>认收益分享额。</w:t>
      </w:r>
      <w:r>
        <w:rPr>
          <w:spacing w:val="9"/>
        </w:rPr>
        <w:t> </w:t>
      </w:r>
      <w:r>
        <w:rPr/>
        <w:t>在确认应享有被投资单位净损益的份额时，以取得投资时被投资单位各项可辨认资产等的公允价值为基</w:t>
      </w:r>
      <w:r>
        <w:rPr/>
        <w:t> </w:t>
      </w:r>
      <w:r>
        <w:rPr>
          <w:spacing w:val="-2"/>
        </w:rPr>
        <w:t>础，对被投资单位的净利润进行调整后确认。被投资单位采用的会计政策及会计期间与投资企业不一致的，应当按照投资企</w:t>
      </w:r>
      <w:r>
        <w:rPr>
          <w:spacing w:val="-63"/>
        </w:rPr>
        <w:t> </w:t>
      </w:r>
      <w:r>
        <w:rPr>
          <w:spacing w:val="-63"/>
        </w:rPr>
      </w:r>
      <w:r>
        <w:rPr/>
        <w:t>业的会计政策及会计期间对被投资单位的财务报表进行调整，并据以确认投资损益。</w:t>
      </w:r>
    </w:p>
    <w:p>
      <w:pPr>
        <w:pStyle w:val="BodyText"/>
        <w:spacing w:line="240" w:lineRule="auto" w:before="58"/>
        <w:ind w:left="513" w:right="1121"/>
        <w:jc w:val="left"/>
      </w:pPr>
      <w:r>
        <w:rPr>
          <w:rFonts w:ascii="Arial" w:hAnsi="Arial" w:cs="Arial" w:eastAsia="Arial" w:hint="default"/>
        </w:rPr>
        <w:t>C</w:t>
      </w:r>
      <w:r>
        <w:rPr/>
        <w:t>、处置长期股权投资，其账面价值与实际取得价款的差额，应当计入当期损益。</w:t>
      </w:r>
    </w:p>
    <w:p>
      <w:pPr>
        <w:spacing w:line="240" w:lineRule="auto" w:before="0"/>
        <w:rPr>
          <w:rFonts w:ascii="宋体" w:hAnsi="宋体" w:cs="宋体" w:eastAsia="宋体" w:hint="default"/>
          <w:sz w:val="26"/>
          <w:szCs w:val="26"/>
        </w:rPr>
      </w:pPr>
    </w:p>
    <w:p>
      <w:pPr>
        <w:pStyle w:val="Heading3"/>
        <w:spacing w:line="240" w:lineRule="auto"/>
        <w:ind w:right="0"/>
        <w:jc w:val="both"/>
        <w:rPr>
          <w:b w:val="0"/>
          <w:bCs w:val="0"/>
        </w:rPr>
      </w:pPr>
      <w:r>
        <w:rPr/>
        <w:t>（</w:t>
      </w:r>
      <w:r>
        <w:rPr>
          <w:rFonts w:ascii="Arial" w:hAnsi="Arial" w:cs="Arial" w:eastAsia="Arial" w:hint="default"/>
        </w:rPr>
        <w:t>3</w:t>
      </w:r>
      <w:r>
        <w:rPr/>
        <w:t>）确定对被投资单位具有共同控制、重大影响的依据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2" w:firstLine="360"/>
        <w:jc w:val="both"/>
      </w:pPr>
      <w:r>
        <w:rPr>
          <w:spacing w:val="-2"/>
        </w:rPr>
        <w:t>共同控制，是指按照合同约定对某项经济活动所共有的控制，仅在与该项经济活动相关的重要财务和经营决策需要分享</w:t>
      </w:r>
      <w:r>
        <w:rPr/>
        <w:t> 控制权的投资方一致同意时存在。</w:t>
      </w:r>
    </w:p>
    <w:p>
      <w:pPr>
        <w:pStyle w:val="BodyText"/>
        <w:spacing w:line="319" w:lineRule="auto" w:before="59"/>
        <w:ind w:right="1132" w:firstLine="360"/>
        <w:jc w:val="both"/>
      </w:pPr>
      <w:r>
        <w:rPr>
          <w:spacing w:val="-2"/>
        </w:rPr>
        <w:t>重大影响，是指对一个企业的财务和经营政策有参与决策的权力，但并不能够控制或者与其他方一起共同控制这些政策</w:t>
      </w:r>
      <w:r>
        <w:rPr/>
        <w:t> 的制定。</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t>（</w:t>
      </w:r>
      <w:r>
        <w:rPr>
          <w:rFonts w:ascii="Arial" w:hAnsi="Arial" w:cs="Arial" w:eastAsia="Arial" w:hint="default"/>
        </w:rPr>
        <w:t>4</w:t>
      </w:r>
      <w:r>
        <w:rPr/>
        <w:t>）减值测试方法及减值准备计提方法</w:t>
      </w:r>
      <w:r>
        <w:rPr>
          <w:b w:val="0"/>
          <w:bCs w:val="0"/>
        </w:rPr>
      </w:r>
    </w:p>
    <w:p>
      <w:pPr>
        <w:spacing w:line="240" w:lineRule="auto" w:before="3"/>
        <w:rPr>
          <w:rFonts w:ascii="宋体" w:hAnsi="宋体" w:cs="宋体" w:eastAsia="宋体" w:hint="default"/>
          <w:b/>
          <w:bCs/>
          <w:sz w:val="26"/>
          <w:szCs w:val="26"/>
        </w:rPr>
      </w:pPr>
    </w:p>
    <w:p>
      <w:pPr>
        <w:pStyle w:val="BodyText"/>
        <w:spacing w:line="316" w:lineRule="auto"/>
        <w:ind w:right="1121" w:firstLine="370"/>
        <w:jc w:val="left"/>
      </w:pPr>
      <w:r>
        <w:rPr/>
        <w:t>资产负债表日对长期股权投资逐项进行检查，判断长期股权投资是否存在可能发生减值的迹象。如果存在被投资单位 </w:t>
      </w:r>
      <w:r>
        <w:rPr>
          <w:spacing w:val="-2"/>
        </w:rPr>
        <w:t>经营状况恶化等减值迹象的，则估计其可收回金额。可收回金额的计量结果表明，长期股权投资的可收回金额低于其账面价</w:t>
      </w:r>
      <w:r>
        <w:rPr>
          <w:spacing w:val="-63"/>
        </w:rPr>
        <w:t> </w:t>
      </w:r>
      <w:r>
        <w:rPr>
          <w:spacing w:val="-63"/>
        </w:rPr>
      </w:r>
      <w:r>
        <w:rPr>
          <w:spacing w:val="-2"/>
        </w:rPr>
        <w:t>值的，将长期股权投资的账面价值减记至可收回金额，减记的金额确认为资产减值损失，计入当期损益，同时计提相应的长</w:t>
      </w:r>
      <w:r>
        <w:rPr>
          <w:spacing w:val="-65"/>
        </w:rPr>
        <w:t> </w:t>
      </w:r>
      <w:r>
        <w:rPr>
          <w:spacing w:val="-65"/>
        </w:rPr>
      </w:r>
      <w:r>
        <w:rPr/>
        <w:t>期投资减值准备。长期投资减值损失一经确认，在以后会计期间不再转回。</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Arial" w:hAnsi="Arial" w:cs="Arial" w:eastAsia="Arial" w:hint="default"/>
        </w:rPr>
        <w:t>13</w:t>
      </w:r>
      <w:r>
        <w:rPr/>
        <w:t>、投资性房地产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70" w:right="1121"/>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Arial" w:hAnsi="Arial" w:cs="Arial" w:eastAsia="Arial"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Arial" w:hAnsi="Arial" w:cs="Arial" w:eastAsia="Arial" w:hint="default"/>
        </w:rPr>
        <w:t>1</w:t>
      </w:r>
      <w:r>
        <w:rPr/>
        <w:t>）固定资产确认条件</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firstLine="362"/>
        <w:jc w:val="both"/>
      </w:pPr>
      <w:r>
        <w:rPr>
          <w:spacing w:val="-2"/>
        </w:rPr>
        <w:t>固定资产指为生产商品、提供劳务、出租或经营管理而持有的，使用寿命超过一个会计年度的有形资产。固定资产以实</w:t>
      </w:r>
      <w:r>
        <w:rPr/>
        <w:t> </w:t>
      </w:r>
      <w:r>
        <w:rPr>
          <w:spacing w:val="-2"/>
        </w:rPr>
        <w:t>际成本进行初始计量。当与该固定资产有关的经济利益很可能流入企业，且该固定资产资产的成本能够可靠地计量时，确认</w:t>
      </w:r>
      <w:r>
        <w:rPr>
          <w:spacing w:val="-63"/>
        </w:rPr>
        <w:t> </w:t>
      </w:r>
      <w:r>
        <w:rPr>
          <w:spacing w:val="-63"/>
        </w:rPr>
      </w:r>
      <w:r>
        <w:rPr/>
        <w:t>固定资产。</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Arial" w:hAnsi="Arial" w:cs="Arial" w:eastAsia="Arial" w:hint="default"/>
        </w:rPr>
        <w:t>2</w:t>
      </w:r>
      <w:r>
        <w:rPr/>
        <w:t>）融资租入固定资产的认定依据、计价方法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2"/>
        <w:jc w:val="both"/>
      </w:pPr>
      <w:r>
        <w:rPr>
          <w:spacing w:val="-2"/>
        </w:rPr>
        <w:t>如果与某项租入固定资产有关的全部风险和报酬实质上已经转移，本公司认定为融资租赁。融资租入固定资产需按租赁</w:t>
      </w:r>
      <w:r>
        <w:rPr/>
        <w:t> </w:t>
      </w:r>
      <w:r>
        <w:rPr>
          <w:spacing w:val="-2"/>
        </w:rPr>
        <w:t>开始日租赁资产的公允价值与最低租赁付款额现值两者中的较低者，加上可直接归属于租赁项目的初始直接费用，作为租入</w:t>
      </w:r>
      <w:r>
        <w:rPr>
          <w:spacing w:val="-64"/>
        </w:rPr>
        <w:t> </w:t>
      </w:r>
      <w:r>
        <w:rPr>
          <w:spacing w:val="-64"/>
        </w:rPr>
      </w:r>
      <w:r>
        <w:rPr>
          <w:spacing w:val="-2"/>
        </w:rPr>
        <w:t>资产的入账价值，将最低租赁付款额作为长期应付款的入账价值，其差额作为未确认融资费用。未确认融资费用采用实际利</w:t>
      </w:r>
      <w:r>
        <w:rPr>
          <w:spacing w:val="-63"/>
        </w:rPr>
        <w:t> </w:t>
      </w:r>
      <w:r>
        <w:rPr>
          <w:spacing w:val="-63"/>
        </w:rPr>
      </w:r>
      <w:r>
        <w:rPr/>
        <w:t>率法在租赁期内分摊。融资租入固定资产采用与自有固定资产相一致的折旧政策计提租赁资产折旧。</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t>（</w:t>
      </w:r>
      <w:r>
        <w:rPr>
          <w:rFonts w:ascii="Arial" w:hAnsi="Arial" w:cs="Arial" w:eastAsia="Arial" w:hint="default"/>
        </w:rPr>
        <w:t>3</w:t>
      </w:r>
      <w:r>
        <w:rPr/>
        <w:t>）各类固定资产的折旧方法</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tbl>
      <w:tblPr>
        <w:tblW w:w="0" w:type="auto"/>
        <w:jc w:val="left"/>
        <w:tblInd w:w="149" w:type="dxa"/>
        <w:tblLayout w:type="fixed"/>
        <w:tblCellMar>
          <w:top w:w="0" w:type="dxa"/>
          <w:left w:w="0" w:type="dxa"/>
          <w:bottom w:w="0" w:type="dxa"/>
          <w:right w:w="0" w:type="dxa"/>
        </w:tblCellMar>
        <w:tblLook w:val="01E0"/>
      </w:tblPr>
      <w:tblGrid>
        <w:gridCol w:w="2517"/>
        <w:gridCol w:w="2105"/>
        <w:gridCol w:w="2220"/>
        <w:gridCol w:w="2715"/>
      </w:tblGrid>
      <w:tr>
        <w:trPr>
          <w:trHeight w:val="403" w:hRule="exact"/>
        </w:trPr>
        <w:tc>
          <w:tcPr>
            <w:tcW w:w="2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2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center"/>
        <w:rPr>
          <w:rFonts w:ascii="宋体" w:hAnsi="宋体" w:cs="宋体" w:eastAsia="宋体" w:hint="default"/>
          <w:sz w:val="18"/>
          <w:szCs w:val="18"/>
        </w:rPr>
        <w:sectPr>
          <w:pgSz w:w="11910" w:h="16840"/>
          <w:pgMar w:header="877" w:footer="1275" w:top="1060" w:bottom="14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517"/>
        <w:gridCol w:w="2105"/>
        <w:gridCol w:w="2220"/>
        <w:gridCol w:w="2727"/>
      </w:tblGrid>
      <w:tr>
        <w:trPr>
          <w:trHeight w:val="401" w:hRule="exact"/>
        </w:trPr>
        <w:tc>
          <w:tcPr>
            <w:tcW w:w="2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Arial" w:hAnsi="Arial" w:cs="Arial" w:eastAsia="Arial" w:hint="default"/>
                <w:sz w:val="18"/>
                <w:szCs w:val="18"/>
              </w:rPr>
              <w:t>20-30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77" w:right="0"/>
              <w:jc w:val="left"/>
              <w:rPr>
                <w:rFonts w:ascii="Arial" w:hAnsi="Arial" w:cs="Arial" w:eastAsia="Arial" w:hint="default"/>
                <w:sz w:val="18"/>
                <w:szCs w:val="18"/>
              </w:rPr>
            </w:pPr>
            <w:r>
              <w:rPr>
                <w:rFonts w:ascii="Arial"/>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Arial" w:hAnsi="Arial" w:cs="Arial" w:eastAsia="Arial" w:hint="default"/>
                <w:sz w:val="18"/>
                <w:szCs w:val="18"/>
              </w:rPr>
            </w:pPr>
            <w:r>
              <w:rPr>
                <w:rFonts w:ascii="Arial"/>
                <w:sz w:val="18"/>
              </w:rPr>
              <w:t>3.17-4.75%</w:t>
            </w:r>
          </w:p>
        </w:tc>
      </w:tr>
      <w:tr>
        <w:trPr>
          <w:trHeight w:val="403" w:hRule="exact"/>
        </w:trPr>
        <w:tc>
          <w:tcPr>
            <w:tcW w:w="2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7" w:right="0"/>
              <w:jc w:val="left"/>
              <w:rPr>
                <w:rFonts w:ascii="Arial" w:hAnsi="Arial" w:cs="Arial" w:eastAsia="Arial" w:hint="default"/>
                <w:sz w:val="18"/>
                <w:szCs w:val="18"/>
              </w:rPr>
            </w:pPr>
            <w:r>
              <w:rPr>
                <w:rFonts w:ascii="Arial"/>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Arial" w:hAnsi="Arial" w:cs="Arial" w:eastAsia="Arial" w:hint="default"/>
                <w:sz w:val="18"/>
                <w:szCs w:val="18"/>
              </w:rPr>
            </w:pPr>
            <w:r>
              <w:rPr>
                <w:rFonts w:ascii="Arial"/>
                <w:sz w:val="18"/>
              </w:rPr>
              <w:t>9.5%</w:t>
            </w:r>
          </w:p>
        </w:tc>
      </w:tr>
      <w:tr>
        <w:trPr>
          <w:trHeight w:val="401" w:hRule="exact"/>
        </w:trPr>
        <w:tc>
          <w:tcPr>
            <w:tcW w:w="2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77" w:right="0"/>
              <w:jc w:val="left"/>
              <w:rPr>
                <w:rFonts w:ascii="Arial" w:hAnsi="Arial" w:cs="Arial" w:eastAsia="Arial" w:hint="default"/>
                <w:sz w:val="18"/>
                <w:szCs w:val="18"/>
              </w:rPr>
            </w:pPr>
            <w:r>
              <w:rPr>
                <w:rFonts w:ascii="Arial"/>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Arial" w:hAnsi="Arial" w:cs="Arial" w:eastAsia="Arial" w:hint="default"/>
                <w:sz w:val="18"/>
                <w:szCs w:val="18"/>
              </w:rPr>
            </w:pPr>
            <w:r>
              <w:rPr>
                <w:rFonts w:ascii="Arial"/>
                <w:sz w:val="18"/>
              </w:rPr>
              <w:t>19%</w:t>
            </w:r>
          </w:p>
        </w:tc>
      </w:tr>
      <w:tr>
        <w:trPr>
          <w:trHeight w:val="403" w:hRule="exact"/>
        </w:trPr>
        <w:tc>
          <w:tcPr>
            <w:tcW w:w="2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7" w:right="0"/>
              <w:jc w:val="left"/>
              <w:rPr>
                <w:rFonts w:ascii="Arial" w:hAnsi="Arial" w:cs="Arial" w:eastAsia="Arial" w:hint="default"/>
                <w:sz w:val="18"/>
                <w:szCs w:val="18"/>
              </w:rPr>
            </w:pPr>
            <w:r>
              <w:rPr>
                <w:rFonts w:ascii="Arial"/>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Arial" w:hAnsi="Arial" w:cs="Arial" w:eastAsia="Arial" w:hint="default"/>
                <w:sz w:val="18"/>
                <w:szCs w:val="18"/>
              </w:rPr>
            </w:pPr>
            <w:r>
              <w:rPr>
                <w:rFonts w:ascii="Arial"/>
                <w:sz w:val="18"/>
              </w:rPr>
              <w:t>19%</w:t>
            </w:r>
          </w:p>
        </w:tc>
      </w:tr>
      <w:tr>
        <w:trPr>
          <w:trHeight w:val="403" w:hRule="exact"/>
        </w:trPr>
        <w:tc>
          <w:tcPr>
            <w:tcW w:w="2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Arial" w:hAnsi="Arial" w:cs="Arial" w:eastAsia="Arial" w:hint="default"/>
                <w:sz w:val="18"/>
                <w:szCs w:val="18"/>
              </w:rPr>
              <w:t>2-5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77" w:right="0"/>
              <w:jc w:val="left"/>
              <w:rPr>
                <w:rFonts w:ascii="Arial" w:hAnsi="Arial" w:cs="Arial" w:eastAsia="Arial" w:hint="default"/>
                <w:sz w:val="18"/>
                <w:szCs w:val="18"/>
              </w:rPr>
            </w:pPr>
            <w:r>
              <w:rPr>
                <w:rFonts w:ascii="Arial"/>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Arial" w:hAnsi="Arial" w:cs="Arial" w:eastAsia="Arial" w:hint="default"/>
                <w:sz w:val="18"/>
                <w:szCs w:val="18"/>
              </w:rPr>
            </w:pPr>
            <w:r>
              <w:rPr>
                <w:rFonts w:ascii="Arial"/>
                <w:sz w:val="18"/>
              </w:rPr>
              <w:t>19%-47.5%</w:t>
            </w:r>
          </w:p>
        </w:tc>
      </w:tr>
    </w:tbl>
    <w:p>
      <w:pPr>
        <w:spacing w:line="240" w:lineRule="auto" w:before="3"/>
        <w:rPr>
          <w:rFonts w:ascii="宋体" w:hAnsi="宋体" w:cs="宋体" w:eastAsia="宋体" w:hint="default"/>
          <w:b/>
          <w:bCs/>
          <w:sz w:val="19"/>
          <w:szCs w:val="19"/>
        </w:rPr>
      </w:pPr>
    </w:p>
    <w:p>
      <w:pPr>
        <w:pStyle w:val="Heading3"/>
        <w:spacing w:line="240" w:lineRule="auto" w:before="36"/>
        <w:ind w:right="1121"/>
        <w:jc w:val="left"/>
        <w:rPr>
          <w:b w:val="0"/>
          <w:bCs w:val="0"/>
        </w:rPr>
      </w:pPr>
      <w:r>
        <w:rPr/>
        <w:t>（</w:t>
      </w:r>
      <w:r>
        <w:rPr>
          <w:rFonts w:ascii="Arial" w:hAnsi="Arial" w:cs="Arial" w:eastAsia="Arial" w:hint="default"/>
        </w:rPr>
        <w:t>4</w:t>
      </w:r>
      <w:r>
        <w:rPr/>
        <w:t>）固定资产的减值测试方法、减值准备计提方法</w:t>
      </w:r>
      <w:r>
        <w:rPr>
          <w:b w:val="0"/>
          <w:bCs w:val="0"/>
        </w:rPr>
      </w:r>
    </w:p>
    <w:p>
      <w:pPr>
        <w:spacing w:line="240" w:lineRule="auto" w:before="3"/>
        <w:rPr>
          <w:rFonts w:ascii="宋体" w:hAnsi="宋体" w:cs="宋体" w:eastAsia="宋体" w:hint="default"/>
          <w:b/>
          <w:bCs/>
          <w:sz w:val="26"/>
          <w:szCs w:val="26"/>
        </w:rPr>
      </w:pPr>
    </w:p>
    <w:p>
      <w:pPr>
        <w:pStyle w:val="BodyText"/>
        <w:spacing w:line="319" w:lineRule="auto"/>
        <w:ind w:right="1129" w:firstLine="355"/>
        <w:jc w:val="both"/>
      </w:pPr>
      <w:r>
        <w:rPr>
          <w:spacing w:val="-2"/>
        </w:rPr>
        <w:t>资产负债表日判断固定资产是否存在可能发生减值的迹象。如果存在资产市价持续下跌，或技术陈旧、损坏、长期闲置</w:t>
      </w:r>
      <w:r>
        <w:rPr/>
        <w:t> </w:t>
      </w:r>
      <w:r>
        <w:rPr>
          <w:spacing w:val="-2"/>
        </w:rPr>
        <w:t>等减值迹象的，则估计其可收回金额。可收回金额的计量结果表明，固定资产的可收回金额低于其账面价值的，将固定资产</w:t>
      </w:r>
      <w:r>
        <w:rPr>
          <w:spacing w:val="-65"/>
        </w:rPr>
        <w:t> </w:t>
      </w:r>
      <w:r>
        <w:rPr>
          <w:spacing w:val="-65"/>
        </w:rPr>
      </w:r>
      <w:r>
        <w:rPr>
          <w:spacing w:val="-2"/>
        </w:rPr>
        <w:t>的账面价值减记至可收回金额，减记的金额确认为资产减值损失，计入当期损益，同时计提相应的固定资产减值准备。固定</w:t>
      </w:r>
      <w:r>
        <w:rPr>
          <w:spacing w:val="-63"/>
        </w:rPr>
        <w:t> </w:t>
      </w:r>
      <w:r>
        <w:rPr>
          <w:spacing w:val="-63"/>
        </w:rPr>
      </w:r>
      <w:r>
        <w:rPr/>
        <w:t>资产减值损失一经确认，在以后会计期间不再转回。</w:t>
      </w:r>
    </w:p>
    <w:p>
      <w:pPr>
        <w:spacing w:line="240" w:lineRule="auto" w:before="9"/>
        <w:rPr>
          <w:rFonts w:ascii="宋体" w:hAnsi="宋体" w:cs="宋体" w:eastAsia="宋体" w:hint="default"/>
          <w:sz w:val="22"/>
          <w:szCs w:val="22"/>
        </w:rPr>
      </w:pPr>
    </w:p>
    <w:p>
      <w:pPr>
        <w:pStyle w:val="Heading3"/>
        <w:spacing w:line="240" w:lineRule="auto"/>
        <w:ind w:right="1121"/>
        <w:jc w:val="left"/>
        <w:rPr>
          <w:b w:val="0"/>
          <w:bCs w:val="0"/>
        </w:rPr>
      </w:pPr>
      <w:r>
        <w:rPr/>
        <w:t>（</w:t>
      </w:r>
      <w:r>
        <w:rPr>
          <w:rFonts w:ascii="Arial" w:hAnsi="Arial" w:cs="Arial" w:eastAsia="Arial" w:hint="default"/>
        </w:rPr>
        <w:t>5</w:t>
      </w:r>
      <w:r>
        <w:rPr/>
        <w:t>）其他说明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61" w:right="1121"/>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rFonts w:ascii="Arial" w:hAnsi="Arial" w:cs="Arial" w:eastAsia="Arial" w:hint="default"/>
        </w:rPr>
        <w:t>15</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）在建工程的类别</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5" w:right="1121"/>
        <w:jc w:val="left"/>
      </w:pPr>
      <w:r>
        <w:rPr/>
        <w:t>公司募投项目惠州茂硕产业园建设。</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t>（</w:t>
      </w:r>
      <w:r>
        <w:rPr>
          <w:rFonts w:ascii="Arial" w:hAnsi="Arial" w:cs="Arial" w:eastAsia="Arial" w:hint="default"/>
        </w:rPr>
        <w:t>2</w:t>
      </w:r>
      <w:r>
        <w:rPr/>
        <w:t>）在建工程结转为固定资产的标准和时点</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firstLine="362"/>
        <w:jc w:val="both"/>
      </w:pPr>
      <w:r>
        <w:rPr>
          <w:spacing w:val="-2"/>
        </w:rPr>
        <w:t>在建工程包括施工前期准备、正在施工中的建筑工程、安装工程、技术改造工程和大修理工程等。在建工程按照实际发</w:t>
      </w:r>
      <w:r>
        <w:rPr/>
        <w:t> </w:t>
      </w:r>
      <w:r>
        <w:rPr>
          <w:spacing w:val="-2"/>
        </w:rPr>
        <w:t>生的支出分项目核算，并在工程达到预定可使用状态时结转为固定资产。与在建工程有关的借款费用（包括借款利息、溢折</w:t>
      </w:r>
      <w:r>
        <w:rPr>
          <w:spacing w:val="-64"/>
        </w:rPr>
        <w:t> </w:t>
      </w:r>
      <w:r>
        <w:rPr>
          <w:spacing w:val="-64"/>
        </w:rPr>
      </w:r>
      <w:r>
        <w:rPr>
          <w:spacing w:val="-2"/>
        </w:rPr>
        <w:t>价摊销、汇兑损益等），在相关工程达到预定可使用状态前的计入工程成本，在相关工程达到预定可使用状态后的计入当期</w:t>
      </w:r>
      <w:r>
        <w:rPr>
          <w:spacing w:val="-71"/>
        </w:rPr>
        <w:t> </w:t>
      </w:r>
      <w:r>
        <w:rPr>
          <w:spacing w:val="-71"/>
        </w:rPr>
      </w:r>
      <w:r>
        <w:rPr/>
        <w:t>财务费用。</w:t>
      </w:r>
    </w:p>
    <w:p>
      <w:pPr>
        <w:spacing w:line="240" w:lineRule="auto" w:before="10"/>
        <w:rPr>
          <w:rFonts w:ascii="宋体" w:hAnsi="宋体" w:cs="宋体" w:eastAsia="宋体" w:hint="default"/>
          <w:sz w:val="22"/>
          <w:szCs w:val="22"/>
        </w:rPr>
      </w:pPr>
    </w:p>
    <w:p>
      <w:pPr>
        <w:pStyle w:val="Heading3"/>
        <w:spacing w:line="240" w:lineRule="auto"/>
        <w:ind w:right="1121"/>
        <w:jc w:val="left"/>
        <w:rPr>
          <w:b w:val="0"/>
          <w:bCs w:val="0"/>
        </w:rPr>
      </w:pPr>
      <w:r>
        <w:rPr/>
        <w:t>（</w:t>
      </w:r>
      <w:r>
        <w:rPr>
          <w:rFonts w:ascii="Arial" w:hAnsi="Arial" w:cs="Arial" w:eastAsia="Arial" w:hint="default"/>
        </w:rPr>
        <w:t>3</w:t>
      </w:r>
      <w:r>
        <w:rPr/>
        <w:t>）在建工程的减值测试方法、减值准备计提方法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right="0" w:firstLine="341"/>
        <w:jc w:val="left"/>
      </w:pPr>
      <w:r>
        <w:rPr/>
        <w:t>资产负债表日对在建工程进行全面检查，判断在建工程是否存在可能发生减值的迹象。如果存在：（</w:t>
      </w:r>
      <w:r>
        <w:rPr>
          <w:rFonts w:ascii="Arial" w:hAnsi="Arial" w:cs="Arial" w:eastAsia="Arial" w:hint="default"/>
        </w:rPr>
        <w:t>1</w:t>
      </w:r>
      <w:r>
        <w:rPr/>
        <w:t>）在建工程长期 停建并且预计在未来</w:t>
      </w:r>
      <w:r>
        <w:rPr>
          <w:rFonts w:ascii="Arial" w:hAnsi="Arial" w:cs="Arial" w:eastAsia="Arial" w:hint="default"/>
        </w:rPr>
        <w:t>3</w:t>
      </w:r>
      <w:r>
        <w:rPr/>
        <w:t>年内不会重新开工，（</w:t>
      </w:r>
      <w:r>
        <w:rPr>
          <w:rFonts w:ascii="Arial" w:hAnsi="Arial" w:cs="Arial" w:eastAsia="Arial" w:hint="default"/>
        </w:rPr>
        <w:t>2</w:t>
      </w:r>
      <w:r>
        <w:rPr/>
        <w:t>）所建项目在性能上、技术上已经落后并且所带来的经济效益具有很大的不 </w:t>
      </w:r>
      <w:r>
        <w:rPr>
          <w:spacing w:val="-2"/>
        </w:rPr>
        <w:t>确定性等减值迹象的，则估计其可收回金额。可收回金额的计量结果表明，在建工程的可收回金额低于其账面价值的，将在</w:t>
      </w:r>
      <w:r>
        <w:rPr>
          <w:spacing w:val="-65"/>
        </w:rPr>
        <w:t> </w:t>
      </w:r>
      <w:r>
        <w:rPr>
          <w:spacing w:val="-65"/>
        </w:rPr>
      </w:r>
      <w:r>
        <w:rPr>
          <w:spacing w:val="-4"/>
        </w:rPr>
        <w:t>建工程的账面价值减记至可收回金额，减记的金额确认为资产减值损失，计入当期损益，同时计提相应的在建工程减值准备。</w:t>
      </w:r>
      <w:r>
        <w:rPr>
          <w:spacing w:val="-43"/>
        </w:rPr>
        <w:t> </w:t>
      </w:r>
      <w:r>
        <w:rPr>
          <w:spacing w:val="-43"/>
        </w:rPr>
      </w:r>
      <w:r>
        <w:rPr/>
        <w:t>在建工程减值损失一经确认，在以后会计期间不再转回。</w:t>
      </w:r>
    </w:p>
    <w:p>
      <w:pPr>
        <w:spacing w:line="240" w:lineRule="auto" w:before="3"/>
        <w:rPr>
          <w:rFonts w:ascii="宋体" w:hAnsi="宋体" w:cs="宋体" w:eastAsia="宋体" w:hint="default"/>
          <w:sz w:val="23"/>
          <w:szCs w:val="23"/>
        </w:rPr>
      </w:pPr>
    </w:p>
    <w:p>
      <w:pPr>
        <w:pStyle w:val="Heading3"/>
        <w:spacing w:line="240" w:lineRule="auto"/>
        <w:ind w:right="1121"/>
        <w:jc w:val="left"/>
        <w:rPr>
          <w:b w:val="0"/>
          <w:bCs w:val="0"/>
        </w:rPr>
      </w:pPr>
      <w:r>
        <w:rPr>
          <w:rFonts w:ascii="Arial" w:hAnsi="Arial" w:cs="Arial" w:eastAsia="Arial" w:hint="default"/>
        </w:rPr>
        <w:t>16</w:t>
      </w:r>
      <w:r>
        <w:rPr/>
        <w:t>、借款费用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）借款费用资本化的确认原则</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1121"/>
        <w:jc w:val="left"/>
      </w:pPr>
      <w:r>
        <w:rPr/>
        <w:t>借款费用，包括借款利息、折价或者溢价的摊销、辅助费用以及因外币借款而发生的汇兑差额等。</w:t>
      </w:r>
    </w:p>
    <w:p>
      <w:pPr>
        <w:spacing w:after="0" w:line="240" w:lineRule="auto"/>
        <w:jc w:val="left"/>
        <w:sectPr>
          <w:pgSz w:w="11910" w:h="16840"/>
          <w:pgMar w:header="877" w:footer="1275" w:top="1060" w:bottom="14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1" w:firstLine="420"/>
        <w:jc w:val="left"/>
      </w:pPr>
      <w:r>
        <w:rPr/>
        <w:t>公司发生的借款费用，可直接归属于符合资本化条件的资产的购建或者生产的，予以资本化，计入相关资产成本；其 他借款费用，在发生时根据其发生额确认为费用，计入当期损益。</w:t>
      </w:r>
    </w:p>
    <w:p>
      <w:pPr>
        <w:pStyle w:val="BodyText"/>
        <w:spacing w:line="316" w:lineRule="auto" w:before="17"/>
        <w:ind w:right="1121" w:firstLine="420"/>
        <w:jc w:val="left"/>
      </w:pPr>
      <w:r>
        <w:rPr/>
        <w:t>符合资本化条件的资产，是指需要经过相当长时间的购建或者生产活动才能达到预定可使用或者可销售状态的固定资 产、投资性房地产和存货等资产。</w:t>
      </w:r>
    </w:p>
    <w:p>
      <w:pPr>
        <w:pStyle w:val="BodyText"/>
        <w:spacing w:line="240" w:lineRule="auto" w:before="19"/>
        <w:ind w:left="573" w:right="1121"/>
        <w:jc w:val="left"/>
      </w:pPr>
      <w:r>
        <w:rPr/>
        <w:t>借款费用同时满足下列条件时开始资本化</w:t>
      </w:r>
    </w:p>
    <w:p>
      <w:pPr>
        <w:pStyle w:val="BodyText"/>
        <w:spacing w:line="302" w:lineRule="auto" w:before="76"/>
        <w:ind w:right="1121" w:firstLine="420"/>
        <w:jc w:val="left"/>
      </w:pPr>
      <w:r>
        <w:rPr>
          <w:rFonts w:ascii="Arial" w:hAnsi="Arial" w:cs="Arial" w:eastAsia="Arial" w:hint="default"/>
        </w:rPr>
        <w:t>1.</w:t>
      </w:r>
      <w:r>
        <w:rPr/>
        <w:t>资产支出已经发生，资产支出包括为购建或者生产符合资本化条件的资产而以支付现金、转移非现金资产或者承担</w:t>
      </w:r>
      <w:r>
        <w:rPr>
          <w:w w:val="100"/>
        </w:rPr>
        <w:t> </w:t>
      </w:r>
      <w:r>
        <w:rPr/>
        <w:t>带息债务形式发生的支出；</w:t>
      </w:r>
    </w:p>
    <w:p>
      <w:pPr>
        <w:pStyle w:val="BodyText"/>
        <w:spacing w:line="240" w:lineRule="auto" w:before="29"/>
        <w:ind w:left="573" w:right="1121"/>
        <w:jc w:val="left"/>
      </w:pPr>
      <w:r>
        <w:rPr>
          <w:rFonts w:ascii="Arial" w:hAnsi="Arial" w:cs="Arial" w:eastAsia="Arial" w:hint="default"/>
        </w:rPr>
        <w:t>2.</w:t>
      </w:r>
      <w:r>
        <w:rPr/>
        <w:t>借款费用已经发生；</w:t>
      </w:r>
    </w:p>
    <w:p>
      <w:pPr>
        <w:pStyle w:val="BodyText"/>
        <w:spacing w:line="240" w:lineRule="auto" w:before="63"/>
        <w:ind w:left="573" w:right="1121"/>
        <w:jc w:val="left"/>
      </w:pPr>
      <w:r>
        <w:rPr>
          <w:rFonts w:ascii="Arial" w:hAnsi="Arial" w:cs="Arial" w:eastAsia="Arial"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3"/>
        <w:spacing w:line="240" w:lineRule="auto"/>
        <w:ind w:right="1121"/>
        <w:jc w:val="left"/>
        <w:rPr>
          <w:b w:val="0"/>
          <w:bCs w:val="0"/>
        </w:rPr>
      </w:pPr>
      <w:r>
        <w:rPr/>
        <w:t>（</w:t>
      </w:r>
      <w:r>
        <w:rPr>
          <w:rFonts w:ascii="Arial" w:hAnsi="Arial" w:cs="Arial" w:eastAsia="Arial" w:hint="default"/>
        </w:rPr>
        <w:t>2</w:t>
      </w:r>
      <w:r>
        <w:rPr/>
        <w:t>）借款费用资本化期间</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73" w:right="1121" w:firstLine="26"/>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w:t>
      </w:r>
    </w:p>
    <w:p>
      <w:pPr>
        <w:pStyle w:val="BodyText"/>
        <w:spacing w:line="240" w:lineRule="auto" w:before="19"/>
        <w:ind w:right="1121"/>
        <w:jc w:val="left"/>
      </w:pPr>
      <w:r>
        <w:rPr/>
        <w:t>借款费用资本化。</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t>（</w:t>
      </w:r>
      <w:r>
        <w:rPr>
          <w:rFonts w:ascii="Arial" w:hAnsi="Arial" w:cs="Arial" w:eastAsia="Arial" w:hint="default"/>
        </w:rPr>
        <w:t>3</w:t>
      </w:r>
      <w:r>
        <w:rPr/>
        <w:t>）暂停资本化期间</w:t>
      </w:r>
      <w:r>
        <w:rPr>
          <w:b w:val="0"/>
          <w:bCs w:val="0"/>
        </w:rPr>
      </w:r>
    </w:p>
    <w:p>
      <w:pPr>
        <w:spacing w:line="240" w:lineRule="auto" w:before="3"/>
        <w:rPr>
          <w:rFonts w:ascii="宋体" w:hAnsi="宋体" w:cs="宋体" w:eastAsia="宋体" w:hint="default"/>
          <w:b/>
          <w:bCs/>
          <w:sz w:val="26"/>
          <w:szCs w:val="26"/>
        </w:rPr>
      </w:pPr>
    </w:p>
    <w:p>
      <w:pPr>
        <w:pStyle w:val="BodyText"/>
        <w:spacing w:line="302" w:lineRule="auto"/>
        <w:ind w:left="424" w:right="1030" w:firstLine="45"/>
        <w:jc w:val="left"/>
      </w:pPr>
      <w:r>
        <w:rPr>
          <w:spacing w:val="-1"/>
        </w:rPr>
        <w:t>符合资本化条件的资产在购建或生产过程中发生的非正常中断、且中断时间连续超过</w:t>
      </w:r>
      <w:r>
        <w:rPr>
          <w:rFonts w:ascii="Arial" w:hAnsi="Arial" w:cs="Arial" w:eastAsia="Arial" w:hint="default"/>
          <w:spacing w:val="-1"/>
        </w:rPr>
        <w:t>3</w:t>
      </w:r>
      <w:r>
        <w:rPr>
          <w:spacing w:val="-1"/>
        </w:rPr>
        <w:t>个月的，则借款费用暂停资本化；</w:t>
      </w:r>
      <w:r>
        <w:rPr/>
        <w:t> 该项中断如是所购建或生产的符合资本化条件的资产达到预定可使用状态或者可销售状态必要的程序，则借款费用继续</w:t>
      </w:r>
    </w:p>
    <w:p>
      <w:pPr>
        <w:pStyle w:val="BodyText"/>
        <w:spacing w:line="240" w:lineRule="auto" w:before="29"/>
        <w:ind w:right="1121"/>
        <w:jc w:val="left"/>
      </w:pPr>
      <w:r>
        <w:rPr/>
        <w:t>资本化。在中断期间发生的借款费用确认为当期损益，直至资产的购建或者生产活动重新开始后借款费用继续资本化。</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t>（</w:t>
      </w:r>
      <w:r>
        <w:rPr>
          <w:rFonts w:ascii="Arial" w:hAnsi="Arial" w:cs="Arial" w:eastAsia="Arial" w:hint="default"/>
        </w:rPr>
        <w:t>4</w:t>
      </w:r>
      <w:r>
        <w:rPr/>
        <w:t>）借款费用资本化金额的计算方法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2" w:firstLine="317"/>
        <w:jc w:val="both"/>
      </w:pPr>
      <w:r>
        <w:rPr>
          <w:spacing w:val="-1"/>
        </w:rPr>
        <w:t>对于为购建或者生产符合资本化条件的资产而借入的专门借款，以专门借款当期实际发生的借款费用，减去尚未动用的</w:t>
      </w:r>
      <w:r>
        <w:rPr/>
        <w:t> 借款资金存入银行取得的利息收入或进行暂时性投资取得的投资收益后的金额，来确定借款费用的资本化金额。</w:t>
      </w:r>
    </w:p>
    <w:p>
      <w:pPr>
        <w:pStyle w:val="BodyText"/>
        <w:spacing w:line="316" w:lineRule="auto" w:before="19"/>
        <w:ind w:right="1131" w:firstLine="317"/>
        <w:jc w:val="both"/>
      </w:pPr>
      <w:r>
        <w:rPr>
          <w:spacing w:val="-1"/>
        </w:rPr>
        <w:t>对于为购建或者生产符合资本化条件的资产而占用的一般借款，根据累计资产支出超过专门借款部分的资产支出加权平</w:t>
      </w:r>
      <w:r>
        <w:rPr/>
        <w:t> </w:t>
      </w:r>
      <w:r>
        <w:rPr>
          <w:spacing w:val="-2"/>
        </w:rPr>
        <w:t>均数乘以所占用一般借款的资本化率，计算确定一般借款应予资本化的利息金额。资本化率根据一般借款加权平均利率计算</w:t>
      </w:r>
      <w:r>
        <w:rPr>
          <w:spacing w:val="-62"/>
        </w:rPr>
        <w:t> </w:t>
      </w:r>
      <w:r>
        <w:rPr>
          <w:spacing w:val="-62"/>
        </w:rPr>
      </w:r>
      <w:r>
        <w:rPr/>
        <w:t>确定。</w:t>
      </w:r>
    </w:p>
    <w:p>
      <w:pPr>
        <w:pStyle w:val="BodyText"/>
        <w:spacing w:line="240" w:lineRule="auto" w:before="19"/>
        <w:ind w:left="470" w:right="1121"/>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rFonts w:ascii="Arial" w:hAnsi="Arial" w:cs="Arial" w:eastAsia="Arial" w:hint="default"/>
        </w:rPr>
        <w:t>17</w:t>
      </w:r>
      <w:r>
        <w:rPr/>
        <w:t>、生物资产</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470" w:right="1121"/>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rFonts w:ascii="Arial" w:hAnsi="Arial" w:cs="Arial" w:eastAsia="Arial" w:hint="default"/>
        </w:rPr>
        <w:t>18</w:t>
      </w:r>
      <w:r>
        <w:rPr/>
        <w:t>、油气资产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70" w:right="1121"/>
        <w:jc w:val="left"/>
      </w:pPr>
      <w:r>
        <w:rPr/>
        <w:t>不适用</w:t>
      </w:r>
    </w:p>
    <w:p>
      <w:pPr>
        <w:spacing w:after="0" w:line="240" w:lineRule="auto"/>
        <w:jc w:val="left"/>
        <w:sectPr>
          <w:footerReference w:type="default" r:id="rId56"/>
          <w:pgSz w:w="11910" w:h="16840"/>
          <w:pgMar w:footer="1340" w:header="877"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1"/>
        <w:jc w:val="left"/>
        <w:rPr>
          <w:b w:val="0"/>
          <w:bCs w:val="0"/>
        </w:rPr>
      </w:pPr>
      <w:r>
        <w:rPr>
          <w:rFonts w:ascii="Arial" w:hAnsi="Arial" w:cs="Arial" w:eastAsia="Arial" w:hint="default"/>
        </w:rPr>
        <w:t>19</w:t>
      </w:r>
      <w:r>
        <w:rPr/>
        <w:t>、无形资产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）无形资产的计价方法</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573" w:right="1121"/>
        <w:jc w:val="left"/>
      </w:pPr>
      <w:r>
        <w:rPr/>
        <w:t>（</w:t>
      </w:r>
      <w:r>
        <w:rPr>
          <w:rFonts w:ascii="Arial" w:hAnsi="Arial" w:cs="Arial" w:eastAsia="Arial" w:hint="default"/>
        </w:rPr>
        <w:t>1</w:t>
      </w:r>
      <w:r>
        <w:rPr/>
        <w:t>）无形资产指企业拥有或控制的没有实物形态的可辨认非货币性资产，包括专有技术、土地使用权等。</w:t>
      </w:r>
    </w:p>
    <w:p>
      <w:pPr>
        <w:pStyle w:val="BodyText"/>
        <w:spacing w:line="240" w:lineRule="auto" w:before="63"/>
        <w:ind w:left="573" w:right="1121"/>
        <w:jc w:val="left"/>
      </w:pPr>
      <w:r>
        <w:rPr/>
        <w:t>（</w:t>
      </w:r>
      <w:r>
        <w:rPr>
          <w:rFonts w:ascii="Arial" w:hAnsi="Arial" w:cs="Arial" w:eastAsia="Arial" w:hint="default"/>
        </w:rPr>
        <w:t>2</w:t>
      </w:r>
      <w:r>
        <w:rPr/>
        <w:t>）无形资产在取得时按照实际成本计价。</w:t>
      </w:r>
    </w:p>
    <w:p>
      <w:pPr>
        <w:pStyle w:val="BodyText"/>
        <w:spacing w:line="309" w:lineRule="auto" w:before="63"/>
        <w:ind w:right="1130" w:firstLine="420"/>
        <w:jc w:val="both"/>
      </w:pPr>
      <w:r>
        <w:rPr>
          <w:spacing w:val="-2"/>
        </w:rPr>
        <w:t>（</w:t>
      </w:r>
      <w:r>
        <w:rPr>
          <w:rFonts w:ascii="Arial" w:hAnsi="Arial" w:cs="Arial" w:eastAsia="Arial" w:hint="default"/>
          <w:spacing w:val="-2"/>
        </w:rPr>
        <w:t>3</w:t>
      </w:r>
      <w:r>
        <w:rPr>
          <w:spacing w:val="-2"/>
        </w:rPr>
        <w:t>）对使用寿命确定的无形资产，自无形资产可供使用时起，在使用寿命内采用直线法摊销，计入当期损益；对使用</w:t>
      </w:r>
      <w:r>
        <w:rPr/>
        <w:t> </w:t>
      </w:r>
      <w:r>
        <w:rPr>
          <w:spacing w:val="-2"/>
        </w:rPr>
        <w:t>寿命不确定的无形资产不摊销；公司于年度终了对无形资产的使用寿命及摊销方法进行复核，使用寿命及摊销方法与以前估</w:t>
      </w:r>
      <w:r>
        <w:rPr>
          <w:spacing w:val="-63"/>
        </w:rPr>
        <w:t> </w:t>
      </w:r>
      <w:r>
        <w:rPr>
          <w:spacing w:val="-63"/>
        </w:rPr>
      </w:r>
      <w:r>
        <w:rPr/>
        <w:t>计不同的，则改变摊销期限和摊销方法。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1121"/>
        <w:jc w:val="left"/>
        <w:rPr>
          <w:b w:val="0"/>
          <w:bCs w:val="0"/>
        </w:rPr>
      </w:pPr>
      <w:r>
        <w:rPr/>
        <w:t>（</w:t>
      </w:r>
      <w:r>
        <w:rPr>
          <w:rFonts w:ascii="Arial" w:hAnsi="Arial" w:cs="Arial" w:eastAsia="Arial" w:hint="default"/>
        </w:rPr>
        <w:t>2</w:t>
      </w:r>
      <w:r>
        <w:rPr/>
        <w:t>）使用寿命有限的无形资产的使用寿命估计情况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0" w:right="1121"/>
        <w:jc w:val="left"/>
      </w:pPr>
      <w:r>
        <w:rPr/>
        <w:t>无形资产的使用寿命，通常按照以下顺序确定：</w:t>
      </w:r>
    </w:p>
    <w:p>
      <w:pPr>
        <w:pStyle w:val="BodyText"/>
        <w:spacing w:line="240" w:lineRule="auto" w:before="76"/>
        <w:ind w:left="453" w:right="1121"/>
        <w:jc w:val="left"/>
      </w:pPr>
      <w:r>
        <w:rPr/>
        <w:t>（</w:t>
      </w:r>
      <w:r>
        <w:rPr>
          <w:rFonts w:ascii="Arial" w:hAnsi="Arial" w:cs="Arial" w:eastAsia="Arial" w:hint="default"/>
        </w:rPr>
        <w:t>1</w:t>
      </w:r>
      <w:r>
        <w:rPr/>
        <w:t>）有法律法规规定的，其使用寿命通常不应超过法律法规规定期限。如商标权、专利权、著作权；</w:t>
      </w:r>
    </w:p>
    <w:p>
      <w:pPr>
        <w:pStyle w:val="BodyText"/>
        <w:spacing w:line="240" w:lineRule="auto" w:before="63"/>
        <w:ind w:left="453" w:right="1121"/>
        <w:jc w:val="left"/>
      </w:pPr>
      <w:r>
        <w:rPr/>
        <w:t>（</w:t>
      </w:r>
      <w:r>
        <w:rPr>
          <w:rFonts w:ascii="Arial" w:hAnsi="Arial" w:cs="Arial" w:eastAsia="Arial" w:hint="default"/>
        </w:rPr>
        <w:t>2</w:t>
      </w:r>
      <w:r>
        <w:rPr/>
        <w:t>）无法律法规规定的，看合同是否有规定年限；</w:t>
      </w:r>
    </w:p>
    <w:p>
      <w:pPr>
        <w:pStyle w:val="BodyText"/>
        <w:spacing w:line="309" w:lineRule="auto" w:before="63"/>
        <w:ind w:left="573" w:right="4233" w:hanging="120"/>
        <w:jc w:val="left"/>
      </w:pPr>
      <w:r>
        <w:rPr/>
        <w:t>（</w:t>
      </w:r>
      <w:r>
        <w:rPr>
          <w:rFonts w:ascii="Arial" w:hAnsi="Arial" w:cs="Arial" w:eastAsia="Arial" w:hint="default"/>
        </w:rPr>
        <w:t>3</w:t>
      </w:r>
      <w:r>
        <w:rPr/>
        <w:t>）参照其他单位类似无形资产的使用寿命；或综合各方面因素，合理确定。 每期末，对使用寿命有限的无形资产的使用寿命及摊销方法进行复核。 经复核，本年期末无形资产的使用寿命及摊销方法与以前估计未有不同。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Autocad AIS 2010</w:t>
            </w:r>
            <w:r>
              <w:rPr>
                <w:rFonts w:ascii="Arial" w:hAnsi="Arial" w:cs="Arial" w:eastAsia="Arial" w:hint="default"/>
                <w:spacing w:val="-18"/>
                <w:sz w:val="18"/>
                <w:szCs w:val="18"/>
              </w:rPr>
              <w:t> </w:t>
            </w:r>
            <w:r>
              <w:rPr>
                <w:rFonts w:ascii="宋体" w:hAnsi="宋体" w:cs="宋体" w:eastAsia="宋体" w:hint="default"/>
                <w:sz w:val="18"/>
                <w:szCs w:val="18"/>
              </w:rPr>
              <w:t>软件五套</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预计使用年限，会计政策规定不超过</w:t>
            </w:r>
            <w:r>
              <w:rPr>
                <w:rFonts w:ascii="宋体" w:hAnsi="宋体" w:cs="宋体" w:eastAsia="宋体" w:hint="default"/>
                <w:spacing w:val="-44"/>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71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80"/>
              <w:jc w:val="left"/>
              <w:rPr>
                <w:rFonts w:ascii="宋体" w:hAnsi="宋体" w:cs="宋体" w:eastAsia="宋体" w:hint="default"/>
                <w:sz w:val="18"/>
                <w:szCs w:val="18"/>
              </w:rPr>
            </w:pPr>
            <w:r>
              <w:rPr>
                <w:rFonts w:ascii="Arial" w:hAnsi="Arial" w:cs="Arial" w:eastAsia="Arial" w:hint="default"/>
                <w:sz w:val="18"/>
                <w:szCs w:val="18"/>
              </w:rPr>
              <w:t>Blossim Ames 2.0</w:t>
            </w:r>
            <w:r>
              <w:rPr>
                <w:rFonts w:ascii="Arial" w:hAnsi="Arial" w:cs="Arial" w:eastAsia="Arial" w:hint="default"/>
                <w:spacing w:val="28"/>
                <w:sz w:val="18"/>
                <w:szCs w:val="18"/>
              </w:rPr>
              <w:t> </w:t>
            </w:r>
            <w:r>
              <w:rPr>
                <w:rFonts w:ascii="宋体" w:hAnsi="宋体" w:cs="宋体" w:eastAsia="宋体" w:hint="default"/>
                <w:sz w:val="18"/>
                <w:szCs w:val="18"/>
              </w:rPr>
              <w:t>系统敏</w:t>
            </w:r>
            <w:r>
              <w:rPr>
                <w:rFonts w:ascii="宋体" w:hAnsi="宋体" w:cs="宋体" w:eastAsia="宋体" w:hint="default"/>
                <w:w w:val="100"/>
                <w:sz w:val="18"/>
                <w:szCs w:val="18"/>
              </w:rPr>
              <w:t> </w:t>
            </w:r>
            <w:r>
              <w:rPr>
                <w:rFonts w:ascii="宋体" w:hAnsi="宋体" w:cs="宋体" w:eastAsia="宋体" w:hint="default"/>
                <w:sz w:val="18"/>
                <w:szCs w:val="18"/>
              </w:rPr>
              <w:t>捷制造执行管理软件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预计使用年限，会计政策规定不超过</w:t>
            </w:r>
            <w:r>
              <w:rPr>
                <w:rFonts w:ascii="宋体" w:hAnsi="宋体" w:cs="宋体" w:eastAsia="宋体" w:hint="default"/>
                <w:spacing w:val="-44"/>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SAP ERP</w:t>
            </w:r>
            <w:r>
              <w:rPr>
                <w:rFonts w:ascii="Arial" w:hAnsi="Arial" w:cs="Arial" w:eastAsia="Arial" w:hint="default"/>
                <w:spacing w:val="-8"/>
                <w:sz w:val="18"/>
                <w:szCs w:val="18"/>
              </w:rPr>
              <w:t> </w:t>
            </w:r>
            <w:r>
              <w:rPr>
                <w:rFonts w:ascii="宋体" w:hAnsi="宋体" w:cs="宋体" w:eastAsia="宋体" w:hint="default"/>
                <w:sz w:val="18"/>
                <w:szCs w:val="18"/>
              </w:rPr>
              <w:t>管理软件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预计使用年限，会计政策规定不超过</w:t>
            </w:r>
            <w:r>
              <w:rPr>
                <w:rFonts w:ascii="宋体" w:hAnsi="宋体" w:cs="宋体" w:eastAsia="宋体" w:hint="default"/>
                <w:spacing w:val="-44"/>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OA</w:t>
            </w:r>
            <w:r>
              <w:rPr>
                <w:rFonts w:ascii="Arial" w:hAnsi="Arial" w:cs="Arial" w:eastAsia="Arial" w:hint="default"/>
                <w:spacing w:val="-5"/>
                <w:sz w:val="18"/>
                <w:szCs w:val="18"/>
              </w:rPr>
              <w:t> </w:t>
            </w:r>
            <w:r>
              <w:rPr>
                <w:rFonts w:ascii="宋体" w:hAnsi="宋体" w:cs="宋体" w:eastAsia="宋体" w:hint="default"/>
                <w:sz w:val="18"/>
                <w:szCs w:val="18"/>
              </w:rPr>
              <w:t>无纸化办公软件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预计使用年限，会计政策规定不超过</w:t>
            </w:r>
            <w:r>
              <w:rPr>
                <w:rFonts w:ascii="宋体" w:hAnsi="宋体" w:cs="宋体" w:eastAsia="宋体" w:hint="default"/>
                <w:spacing w:val="-44"/>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IP-GUARD</w:t>
            </w:r>
            <w:r>
              <w:rPr>
                <w:rFonts w:ascii="Arial" w:hAnsi="Arial" w:cs="Arial" w:eastAsia="Arial" w:hint="default"/>
                <w:spacing w:val="-7"/>
                <w:sz w:val="18"/>
                <w:szCs w:val="18"/>
              </w:rPr>
              <w:t> </w:t>
            </w:r>
            <w:r>
              <w:rPr>
                <w:rFonts w:ascii="宋体" w:hAnsi="宋体" w:cs="宋体" w:eastAsia="宋体" w:hint="default"/>
                <w:sz w:val="18"/>
                <w:szCs w:val="18"/>
              </w:rPr>
              <w:t>资产管理软件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预计使用年限，会计政策规定不超过</w:t>
            </w:r>
            <w:r>
              <w:rPr>
                <w:rFonts w:ascii="宋体" w:hAnsi="宋体" w:cs="宋体" w:eastAsia="宋体" w:hint="default"/>
                <w:spacing w:val="-44"/>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71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sz w:val="18"/>
              </w:rPr>
              <w:t>CREO</w:t>
            </w:r>
            <w:r>
              <w:rPr>
                <w:rFonts w:ascii="Arial"/>
                <w:spacing w:val="-5"/>
                <w:sz w:val="18"/>
              </w:rPr>
              <w:t> </w:t>
            </w:r>
            <w:r>
              <w:rPr>
                <w:rFonts w:ascii="Arial"/>
                <w:sz w:val="18"/>
              </w:rPr>
              <w:t>ELEMENTS/PRO</w:t>
            </w:r>
          </w:p>
          <w:p>
            <w:pPr>
              <w:pStyle w:val="TableParagraph"/>
              <w:spacing w:line="240" w:lineRule="auto" w:before="61"/>
              <w:ind w:left="24" w:right="0"/>
              <w:jc w:val="left"/>
              <w:rPr>
                <w:rFonts w:ascii="宋体" w:hAnsi="宋体" w:cs="宋体" w:eastAsia="宋体" w:hint="default"/>
                <w:sz w:val="18"/>
                <w:szCs w:val="18"/>
              </w:rPr>
            </w:pPr>
            <w:r>
              <w:rPr>
                <w:rFonts w:ascii="Arial" w:hAnsi="Arial" w:cs="Arial" w:eastAsia="Arial" w:hint="default"/>
                <w:sz w:val="18"/>
                <w:szCs w:val="18"/>
              </w:rPr>
              <w:t>Foundation XE</w:t>
            </w:r>
            <w:r>
              <w:rPr>
                <w:rFonts w:ascii="Arial" w:hAnsi="Arial" w:cs="Arial" w:eastAsia="Arial" w:hint="default"/>
                <w:spacing w:val="-11"/>
                <w:sz w:val="18"/>
                <w:szCs w:val="18"/>
              </w:rPr>
              <w:t> </w:t>
            </w:r>
            <w:r>
              <w:rPr>
                <w:rFonts w:ascii="宋体" w:hAnsi="宋体" w:cs="宋体" w:eastAsia="宋体" w:hint="default"/>
                <w:sz w:val="18"/>
                <w:szCs w:val="18"/>
              </w:rPr>
              <w:t>设计包</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预计使用年限，会计政策规定不超过</w:t>
            </w:r>
            <w:r>
              <w:rPr>
                <w:rFonts w:ascii="宋体" w:hAnsi="宋体" w:cs="宋体" w:eastAsia="宋体" w:hint="default"/>
                <w:spacing w:val="-44"/>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sz w:val="18"/>
              </w:rPr>
              <w:t>OFFICE STD</w:t>
            </w:r>
            <w:r>
              <w:rPr>
                <w:rFonts w:ascii="Arial"/>
                <w:spacing w:val="-4"/>
                <w:sz w:val="18"/>
              </w:rPr>
              <w:t> </w:t>
            </w:r>
            <w:r>
              <w:rPr>
                <w:rFonts w:ascii="Arial"/>
                <w:sz w:val="18"/>
              </w:rPr>
              <w:t>2010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预计使用年限，会计政策规定不超过</w:t>
            </w:r>
            <w:r>
              <w:rPr>
                <w:rFonts w:ascii="宋体" w:hAnsi="宋体" w:cs="宋体" w:eastAsia="宋体" w:hint="default"/>
                <w:spacing w:val="-44"/>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智能调光软件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预计使用年限，会计政策规定不超过</w:t>
            </w:r>
            <w:r>
              <w:rPr>
                <w:rFonts w:ascii="宋体" w:hAnsi="宋体" w:cs="宋体" w:eastAsia="宋体" w:hint="default"/>
                <w:spacing w:val="-44"/>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404"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Arial" w:hAnsi="Arial" w:cs="Arial" w:eastAsia="Arial" w:hint="default"/>
                <w:sz w:val="18"/>
                <w:szCs w:val="18"/>
              </w:rPr>
            </w:pPr>
            <w:r>
              <w:rPr>
                <w:rFonts w:ascii="宋体" w:hAnsi="宋体" w:cs="宋体" w:eastAsia="宋体" w:hint="default"/>
                <w:sz w:val="18"/>
                <w:szCs w:val="18"/>
              </w:rPr>
              <w:t>电源自动测试监控软件</w:t>
            </w:r>
            <w:r>
              <w:rPr>
                <w:rFonts w:ascii="宋体" w:hAnsi="宋体" w:cs="宋体" w:eastAsia="宋体" w:hint="default"/>
                <w:spacing w:val="-44"/>
                <w:sz w:val="18"/>
                <w:szCs w:val="18"/>
              </w:rPr>
              <w:t> </w:t>
            </w:r>
            <w:r>
              <w:rPr>
                <w:rFonts w:ascii="Arial" w:hAnsi="Arial" w:cs="Arial" w:eastAsia="Arial" w:hint="default"/>
                <w:sz w:val="18"/>
                <w:szCs w:val="18"/>
              </w:rPr>
              <w:t>V1.0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预计使用年限，会计政策规定不超过</w:t>
            </w:r>
            <w:r>
              <w:rPr>
                <w:rFonts w:ascii="宋体" w:hAnsi="宋体" w:cs="宋体" w:eastAsia="宋体" w:hint="default"/>
                <w:spacing w:val="-44"/>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71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4"/>
              <w:jc w:val="left"/>
              <w:rPr>
                <w:rFonts w:ascii="Arial" w:hAnsi="Arial" w:cs="Arial" w:eastAsia="Arial" w:hint="default"/>
                <w:sz w:val="18"/>
                <w:szCs w:val="18"/>
              </w:rPr>
            </w:pPr>
            <w:r>
              <w:rPr>
                <w:rFonts w:ascii="宋体" w:hAnsi="宋体" w:cs="宋体" w:eastAsia="宋体" w:hint="default"/>
                <w:sz w:val="18"/>
                <w:szCs w:val="18"/>
              </w:rPr>
              <w:t>人元科技人力资源管理系统 软件</w:t>
            </w:r>
            <w:r>
              <w:rPr>
                <w:rFonts w:ascii="宋体" w:hAnsi="宋体" w:cs="宋体" w:eastAsia="宋体" w:hint="default"/>
                <w:spacing w:val="-44"/>
                <w:sz w:val="18"/>
                <w:szCs w:val="18"/>
              </w:rPr>
              <w:t> </w:t>
            </w:r>
            <w:r>
              <w:rPr>
                <w:rFonts w:ascii="Arial" w:hAnsi="Arial" w:cs="Arial" w:eastAsia="Arial" w:hint="default"/>
                <w:sz w:val="18"/>
                <w:szCs w:val="18"/>
              </w:rPr>
              <w:t>V1.0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预计使用年限，会计政策规定不超过</w:t>
            </w:r>
            <w:r>
              <w:rPr>
                <w:rFonts w:ascii="宋体" w:hAnsi="宋体" w:cs="宋体" w:eastAsia="宋体" w:hint="default"/>
                <w:spacing w:val="-44"/>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Relex</w:t>
            </w:r>
            <w:r>
              <w:rPr>
                <w:rFonts w:ascii="Arial" w:hAnsi="Arial" w:cs="Arial" w:eastAsia="Arial" w:hint="default"/>
                <w:spacing w:val="-8"/>
                <w:sz w:val="18"/>
                <w:szCs w:val="18"/>
              </w:rPr>
              <w:t> </w:t>
            </w:r>
            <w:r>
              <w:rPr>
                <w:rFonts w:ascii="宋体" w:hAnsi="宋体" w:cs="宋体" w:eastAsia="宋体" w:hint="default"/>
                <w:sz w:val="18"/>
                <w:szCs w:val="18"/>
              </w:rPr>
              <w:t>可靠性分析系统软件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预计使用年限，会计政策规定不超过</w:t>
            </w:r>
            <w:r>
              <w:rPr>
                <w:rFonts w:ascii="宋体" w:hAnsi="宋体" w:cs="宋体" w:eastAsia="宋体" w:hint="default"/>
                <w:spacing w:val="-44"/>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年。</w:t>
            </w:r>
          </w:p>
        </w:tc>
      </w:tr>
    </w:tbl>
    <w:p>
      <w:pPr>
        <w:spacing w:line="240" w:lineRule="auto" w:before="3"/>
        <w:rPr>
          <w:rFonts w:ascii="宋体" w:hAnsi="宋体" w:cs="宋体" w:eastAsia="宋体" w:hint="default"/>
          <w:sz w:val="19"/>
          <w:szCs w:val="19"/>
        </w:rPr>
      </w:pPr>
    </w:p>
    <w:p>
      <w:pPr>
        <w:pStyle w:val="Heading3"/>
        <w:spacing w:line="240" w:lineRule="auto" w:before="36"/>
        <w:ind w:left="549" w:right="1121" w:hanging="397"/>
        <w:jc w:val="left"/>
        <w:rPr>
          <w:b w:val="0"/>
          <w:bCs w:val="0"/>
        </w:rPr>
      </w:pPr>
      <w:r>
        <w:rPr/>
        <w:t>（</w:t>
      </w:r>
      <w:r>
        <w:rPr>
          <w:rFonts w:ascii="Arial" w:hAnsi="Arial" w:cs="Arial" w:eastAsia="Arial" w:hint="default"/>
        </w:rPr>
        <w:t>3</w:t>
      </w:r>
      <w:r>
        <w:rPr/>
        <w:t>）使用寿命不确定的无形资产的判断依据</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549" w:right="1121"/>
        <w:jc w:val="left"/>
      </w:pPr>
      <w:r>
        <w:rPr/>
        <w:t>无形资产的使用寿命，通常按照以下顺序确定：</w:t>
      </w:r>
    </w:p>
    <w:p>
      <w:pPr>
        <w:pStyle w:val="BodyText"/>
        <w:spacing w:line="240" w:lineRule="auto" w:before="76"/>
        <w:ind w:left="513" w:right="1121"/>
        <w:jc w:val="left"/>
      </w:pPr>
      <w:r>
        <w:rPr/>
        <w:t>（</w:t>
      </w:r>
      <w:r>
        <w:rPr>
          <w:rFonts w:ascii="Arial" w:hAnsi="Arial" w:cs="Arial" w:eastAsia="Arial" w:hint="default"/>
        </w:rPr>
        <w:t>1</w:t>
      </w:r>
      <w:r>
        <w:rPr/>
        <w:t>）有法律法规规定的，其使用寿命通常不应超过法律法规规定期限。如商标权、专利权、著作权；</w:t>
      </w:r>
    </w:p>
    <w:p>
      <w:pPr>
        <w:spacing w:after="0" w:line="240" w:lineRule="auto"/>
        <w:jc w:val="left"/>
        <w:sectPr>
          <w:footerReference w:type="default" r:id="rId57"/>
          <w:pgSz w:w="11910" w:h="16840"/>
          <w:pgMar w:footer="1340" w:header="877" w:top="1060" w:bottom="1540" w:left="980" w:right="0"/>
          <w:pgNumType w:start="101"/>
        </w:sectPr>
      </w:pPr>
    </w:p>
    <w:p>
      <w:pPr>
        <w:spacing w:line="240" w:lineRule="auto" w:before="9"/>
        <w:rPr>
          <w:rFonts w:ascii="宋体" w:hAnsi="宋体" w:cs="宋体" w:eastAsia="宋体" w:hint="default"/>
          <w:sz w:val="25"/>
          <w:szCs w:val="25"/>
        </w:rPr>
      </w:pPr>
    </w:p>
    <w:p>
      <w:pPr>
        <w:pStyle w:val="BodyText"/>
        <w:spacing w:line="240" w:lineRule="auto" w:before="44"/>
        <w:ind w:left="513" w:right="1121"/>
        <w:jc w:val="left"/>
      </w:pPr>
      <w:r>
        <w:rPr/>
        <w:t>（</w:t>
      </w:r>
      <w:r>
        <w:rPr>
          <w:rFonts w:ascii="Arial" w:hAnsi="Arial" w:cs="Arial" w:eastAsia="Arial" w:hint="default"/>
        </w:rPr>
        <w:t>2</w:t>
      </w:r>
      <w:r>
        <w:rPr/>
        <w:t>）无法律法规规定的，看合同是否有规定年限；</w:t>
      </w:r>
    </w:p>
    <w:p>
      <w:pPr>
        <w:pStyle w:val="BodyText"/>
        <w:spacing w:line="240" w:lineRule="auto" w:before="64"/>
        <w:ind w:left="513" w:right="1121"/>
        <w:jc w:val="left"/>
      </w:pPr>
      <w:r>
        <w:rPr/>
        <w:t>（</w:t>
      </w:r>
      <w:r>
        <w:rPr>
          <w:rFonts w:ascii="Arial" w:hAnsi="Arial" w:cs="Arial" w:eastAsia="Arial" w:hint="default"/>
        </w:rPr>
        <w:t>3</w:t>
      </w:r>
      <w:r>
        <w:rPr/>
        <w:t>）参照其他单位类似无形资产的使用寿命；或综合各方面因素，合理确定；</w:t>
      </w:r>
    </w:p>
    <w:p>
      <w:pPr>
        <w:pStyle w:val="BodyText"/>
        <w:spacing w:line="240" w:lineRule="auto" w:before="63"/>
        <w:ind w:left="513" w:right="1121"/>
        <w:jc w:val="left"/>
      </w:pPr>
      <w:r>
        <w:rPr/>
        <w:t>（</w:t>
      </w:r>
      <w:r>
        <w:rPr>
          <w:rFonts w:ascii="Arial" w:hAnsi="Arial" w:cs="Arial" w:eastAsia="Arial" w:hint="default"/>
        </w:rPr>
        <w:t>4</w:t>
      </w:r>
      <w:r>
        <w:rPr/>
        <w:t>）上述三种情况都无法确定的，则界定为使用寿命不确定的无形资产。</w:t>
      </w:r>
    </w:p>
    <w:p>
      <w:pPr>
        <w:spacing w:line="240" w:lineRule="auto" w:before="3"/>
        <w:rPr>
          <w:rFonts w:ascii="宋体" w:hAnsi="宋体" w:cs="宋体" w:eastAsia="宋体" w:hint="default"/>
          <w:sz w:val="26"/>
          <w:szCs w:val="26"/>
        </w:rPr>
      </w:pPr>
    </w:p>
    <w:p>
      <w:pPr>
        <w:pStyle w:val="Heading3"/>
        <w:spacing w:line="240" w:lineRule="auto"/>
        <w:ind w:right="1121"/>
        <w:jc w:val="left"/>
        <w:rPr>
          <w:b w:val="0"/>
          <w:bCs w:val="0"/>
        </w:rPr>
      </w:pPr>
      <w:r>
        <w:rPr/>
        <w:t>（</w:t>
      </w:r>
      <w:r>
        <w:rPr>
          <w:rFonts w:ascii="Arial" w:hAnsi="Arial" w:cs="Arial" w:eastAsia="Arial" w:hint="default"/>
        </w:rPr>
        <w:t>4</w:t>
      </w:r>
      <w:r>
        <w:rPr/>
        <w:t>）无形资产减值准备的计提</w:t>
      </w:r>
      <w:r>
        <w:rPr>
          <w:b w:val="0"/>
          <w:bCs w:val="0"/>
        </w:rPr>
      </w:r>
    </w:p>
    <w:p>
      <w:pPr>
        <w:spacing w:line="240" w:lineRule="auto" w:before="5"/>
        <w:rPr>
          <w:rFonts w:ascii="宋体" w:hAnsi="宋体" w:cs="宋体" w:eastAsia="宋体" w:hint="default"/>
          <w:b/>
          <w:bCs/>
          <w:sz w:val="26"/>
          <w:szCs w:val="26"/>
        </w:rPr>
      </w:pPr>
    </w:p>
    <w:p>
      <w:pPr>
        <w:pStyle w:val="BodyText"/>
        <w:spacing w:line="307" w:lineRule="auto"/>
        <w:ind w:right="1129" w:firstLine="370"/>
        <w:jc w:val="both"/>
      </w:pPr>
      <w:r>
        <w:rPr>
          <w:spacing w:val="-1"/>
        </w:rPr>
        <w:t>期末检查各项无形资产预计给本公司带来未来经济利益的能力，当存在以下情形之一时：（</w:t>
      </w:r>
      <w:r>
        <w:rPr>
          <w:rFonts w:ascii="Arial" w:hAnsi="Arial" w:cs="Arial" w:eastAsia="Arial" w:hint="default"/>
          <w:spacing w:val="-1"/>
        </w:rPr>
        <w:t>1</w:t>
      </w:r>
      <w:r>
        <w:rPr>
          <w:spacing w:val="-1"/>
        </w:rPr>
        <w:t>）某项无形资产已被其他</w:t>
      </w:r>
      <w:r>
        <w:rPr/>
        <w:t> 新技术等所替代，使其为企业创造经济利益的能力受到重大不利影响；（</w:t>
      </w:r>
      <w:r>
        <w:rPr>
          <w:rFonts w:ascii="Arial" w:hAnsi="Arial" w:cs="Arial" w:eastAsia="Arial" w:hint="default"/>
        </w:rPr>
        <w:t>2</w:t>
      </w:r>
      <w:r>
        <w:rPr/>
        <w:t>）某项无形资产的市价在当期大幅下跌，在剩余 摊销年限内预期不会恢复；（</w:t>
      </w:r>
      <w:r>
        <w:rPr>
          <w:rFonts w:ascii="Arial" w:hAnsi="Arial" w:cs="Arial" w:eastAsia="Arial" w:hint="default"/>
        </w:rPr>
        <w:t>3</w:t>
      </w:r>
      <w:r>
        <w:rPr/>
        <w:t>）某项无形资产已超过法律保护期限，但仍然具有部分使用价值等减值迹象的，则估计其可 </w:t>
      </w:r>
      <w:r>
        <w:rPr>
          <w:spacing w:val="-2"/>
        </w:rPr>
        <w:t>收回金额。可收回金额的计量结果表明，无形资产的可收回金额低于其账面价值的，将无形资产的账面价值减记至可收回金</w:t>
      </w:r>
      <w:r>
        <w:rPr>
          <w:spacing w:val="-63"/>
        </w:rPr>
        <w:t> </w:t>
      </w:r>
      <w:r>
        <w:rPr>
          <w:spacing w:val="-63"/>
        </w:rPr>
      </w:r>
      <w:r>
        <w:rPr/>
        <w:t>额，减记的金额确认为资产减值损失，计入当期损益，同时计提相应的无形资产减值准备；（</w:t>
      </w:r>
      <w:r>
        <w:rPr>
          <w:rFonts w:ascii="Arial" w:hAnsi="Arial" w:cs="Arial" w:eastAsia="Arial" w:hint="default"/>
        </w:rPr>
        <w:t>4</w:t>
      </w:r>
      <w:r>
        <w:rPr/>
        <w:t>）其他足以证明某项无形资 </w:t>
      </w:r>
      <w:r>
        <w:rPr>
          <w:spacing w:val="-2"/>
        </w:rPr>
        <w:t>产实质上已发生了减值准备情形的情况，按预计可收回金额低于账面价值的差额计提无形资产减值准备。无形资产减值损失</w:t>
      </w:r>
      <w:r>
        <w:rPr>
          <w:spacing w:val="-63"/>
        </w:rPr>
        <w:t> </w:t>
      </w:r>
      <w:r>
        <w:rPr>
          <w:spacing w:val="-63"/>
        </w:rPr>
      </w:r>
      <w:r>
        <w:rPr/>
        <w:t>一经确认，在以后会计期间不再转回。</w:t>
      </w:r>
    </w:p>
    <w:p>
      <w:pPr>
        <w:spacing w:line="240" w:lineRule="auto" w:before="4"/>
        <w:rPr>
          <w:rFonts w:ascii="宋体" w:hAnsi="宋体" w:cs="宋体" w:eastAsia="宋体" w:hint="default"/>
          <w:sz w:val="23"/>
          <w:szCs w:val="23"/>
        </w:rPr>
      </w:pPr>
    </w:p>
    <w:p>
      <w:pPr>
        <w:pStyle w:val="Heading3"/>
        <w:spacing w:line="240" w:lineRule="auto"/>
        <w:ind w:right="1121"/>
        <w:jc w:val="left"/>
        <w:rPr>
          <w:b w:val="0"/>
          <w:bCs w:val="0"/>
        </w:rPr>
      </w:pPr>
      <w:r>
        <w:rPr/>
        <w:t>（</w:t>
      </w:r>
      <w:r>
        <w:rPr>
          <w:rFonts w:ascii="Arial" w:hAnsi="Arial" w:cs="Arial" w:eastAsia="Arial" w:hint="default"/>
        </w:rPr>
        <w:t>5</w:t>
      </w:r>
      <w:r>
        <w:rPr/>
        <w:t>）划分公司内部研究开发项目的研究阶段和开发阶段具体标准</w:t>
      </w:r>
      <w:r>
        <w:rPr>
          <w:b w:val="0"/>
          <w:bCs w:val="0"/>
        </w:rPr>
      </w:r>
    </w:p>
    <w:p>
      <w:pPr>
        <w:spacing w:line="240" w:lineRule="auto" w:before="11"/>
        <w:rPr>
          <w:rFonts w:ascii="宋体" w:hAnsi="宋体" w:cs="宋体" w:eastAsia="宋体" w:hint="default"/>
          <w:b/>
          <w:bCs/>
          <w:sz w:val="22"/>
          <w:szCs w:val="22"/>
        </w:rPr>
      </w:pPr>
    </w:p>
    <w:p>
      <w:pPr>
        <w:pStyle w:val="BodyText"/>
        <w:spacing w:line="316" w:lineRule="auto" w:before="44"/>
        <w:ind w:left="573" w:right="1121"/>
        <w:jc w:val="left"/>
      </w:pPr>
      <w:r>
        <w:rPr/>
        <w:t>公司内部研究开发项目的支出分为研究阶段支出和开发阶段支出。 研究阶段：为获取并理解新的科学或技术知识等而进行的独创性的有计划调查、研究活动的阶段。 开发阶段：在进行商业性生产或使用前，将研究成果或其他知识应用于某项计划或设计，以生产出新的或具有实质性</w:t>
      </w:r>
    </w:p>
    <w:p>
      <w:pPr>
        <w:pStyle w:val="BodyText"/>
        <w:spacing w:line="240" w:lineRule="auto" w:before="19"/>
        <w:ind w:right="1121"/>
        <w:jc w:val="left"/>
      </w:pPr>
      <w:r>
        <w:rPr/>
        <w:t>改</w:t>
      </w:r>
    </w:p>
    <w:p>
      <w:pPr>
        <w:pStyle w:val="BodyText"/>
        <w:spacing w:line="240" w:lineRule="auto" w:before="76"/>
        <w:ind w:left="573" w:right="1121"/>
        <w:jc w:val="left"/>
      </w:pPr>
      <w:r>
        <w:rPr/>
        <w:t>进的材料、装置、产品等活动的阶段。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before="36"/>
        <w:ind w:right="1121"/>
        <w:jc w:val="left"/>
        <w:rPr>
          <w:b w:val="0"/>
          <w:bCs w:val="0"/>
        </w:rPr>
      </w:pPr>
      <w:r>
        <w:rPr/>
        <w:t>（</w:t>
      </w:r>
      <w:r>
        <w:rPr>
          <w:rFonts w:ascii="Arial" w:hAnsi="Arial" w:cs="Arial" w:eastAsia="Arial" w:hint="default"/>
        </w:rPr>
        <w:t>6</w:t>
      </w:r>
      <w:r>
        <w:rPr/>
        <w:t>）内部研究开发项目支出的核算</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92" w:right="1121"/>
        <w:jc w:val="left"/>
      </w:pPr>
      <w:r>
        <w:rPr/>
        <w:t>企业内部研究开发项目开发阶段的支出，同时满足下列条件的，才能确认为无形资产：</w:t>
      </w:r>
    </w:p>
    <w:p>
      <w:pPr>
        <w:pStyle w:val="BodyText"/>
        <w:spacing w:line="240" w:lineRule="auto" w:before="76"/>
        <w:ind w:left="513" w:right="1121"/>
        <w:jc w:val="left"/>
      </w:pPr>
      <w:r>
        <w:rPr/>
        <w:t>（</w:t>
      </w:r>
      <w:r>
        <w:rPr>
          <w:rFonts w:ascii="Arial" w:hAnsi="Arial" w:cs="Arial" w:eastAsia="Arial" w:hint="default"/>
        </w:rPr>
        <w:t>1</w:t>
      </w:r>
      <w:r>
        <w:rPr/>
        <w:t>）完成该无形资产以使其能够使用或出售在技术上具有可行性；</w:t>
      </w:r>
    </w:p>
    <w:p>
      <w:pPr>
        <w:pStyle w:val="BodyText"/>
        <w:spacing w:line="240" w:lineRule="auto" w:before="63"/>
        <w:ind w:left="513" w:right="1121"/>
        <w:jc w:val="left"/>
      </w:pPr>
      <w:r>
        <w:rPr/>
        <w:t>（</w:t>
      </w:r>
      <w:r>
        <w:rPr>
          <w:rFonts w:ascii="Arial" w:hAnsi="Arial" w:cs="Arial" w:eastAsia="Arial" w:hint="default"/>
        </w:rPr>
        <w:t>2</w:t>
      </w:r>
      <w:r>
        <w:rPr/>
        <w:t>）具有完成该无形资产并使用或出售的意图；</w:t>
      </w:r>
    </w:p>
    <w:p>
      <w:pPr>
        <w:pStyle w:val="BodyText"/>
        <w:spacing w:line="302" w:lineRule="auto" w:before="63"/>
        <w:ind w:right="1114" w:firstLine="360"/>
        <w:jc w:val="left"/>
      </w:pPr>
      <w:r>
        <w:rPr/>
        <w:t>（</w:t>
      </w:r>
      <w:r>
        <w:rPr>
          <w:rFonts w:ascii="Arial" w:hAnsi="Arial" w:cs="Arial" w:eastAsia="Arial" w:hint="default"/>
        </w:rPr>
        <w:t>3</w:t>
      </w:r>
      <w:r>
        <w:rPr/>
        <w:t>）无形资产产生经济利益的方式，包括能够证明运用该无形资产生产的产品存在市场或无形资产自身存在市场，无 形资产将在内部使用的，应当证明其有用性；</w:t>
      </w:r>
    </w:p>
    <w:p>
      <w:pPr>
        <w:pStyle w:val="BodyText"/>
        <w:spacing w:line="240" w:lineRule="auto" w:before="29"/>
        <w:ind w:left="513" w:right="1121"/>
        <w:jc w:val="left"/>
      </w:pPr>
      <w:r>
        <w:rPr/>
        <w:t>（</w:t>
      </w:r>
      <w:r>
        <w:rPr>
          <w:rFonts w:ascii="Arial" w:hAnsi="Arial" w:cs="Arial" w:eastAsia="Arial" w:hint="default"/>
        </w:rPr>
        <w:t>4</w:t>
      </w:r>
      <w:r>
        <w:rPr/>
        <w:t>）有足够的技术、财务资源和其他资源支持，以完成该无形资产的开发，并有能力使用或出售该无形资产；</w:t>
      </w:r>
    </w:p>
    <w:p>
      <w:pPr>
        <w:pStyle w:val="BodyText"/>
        <w:spacing w:line="240" w:lineRule="auto" w:before="63"/>
        <w:ind w:left="513" w:right="1121"/>
        <w:jc w:val="left"/>
      </w:pPr>
      <w:r>
        <w:rPr/>
        <w:t>（</w:t>
      </w:r>
      <w:r>
        <w:rPr>
          <w:rFonts w:ascii="Arial" w:hAnsi="Arial" w:cs="Arial" w:eastAsia="Arial" w:hint="default"/>
        </w:rPr>
        <w:t>5</w:t>
      </w:r>
      <w:r>
        <w:rPr/>
        <w:t>）归属于该无形资产开发阶段的支出能够可靠地计量。</w:t>
      </w:r>
    </w:p>
    <w:p>
      <w:pPr>
        <w:spacing w:line="240" w:lineRule="auto" w:before="3"/>
        <w:rPr>
          <w:rFonts w:ascii="宋体" w:hAnsi="宋体" w:cs="宋体" w:eastAsia="宋体" w:hint="default"/>
          <w:sz w:val="26"/>
          <w:szCs w:val="26"/>
        </w:rPr>
      </w:pPr>
    </w:p>
    <w:p>
      <w:pPr>
        <w:pStyle w:val="Heading3"/>
        <w:spacing w:line="240" w:lineRule="auto"/>
        <w:ind w:right="1121"/>
        <w:jc w:val="left"/>
        <w:rPr>
          <w:b w:val="0"/>
          <w:bCs w:val="0"/>
        </w:rPr>
      </w:pPr>
      <w:r>
        <w:rPr>
          <w:rFonts w:ascii="Arial" w:hAnsi="Arial" w:cs="Arial" w:eastAsia="Arial" w:hint="default"/>
        </w:rPr>
        <w:t>20</w:t>
      </w:r>
      <w:r>
        <w:rPr/>
        <w:t>、长期待摊费用</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573" w:right="1121"/>
        <w:jc w:val="left"/>
      </w:pPr>
      <w:r>
        <w:rPr/>
        <w:t>（</w:t>
      </w:r>
      <w:r>
        <w:rPr>
          <w:rFonts w:ascii="Arial" w:hAnsi="Arial" w:cs="Arial" w:eastAsia="Arial" w:hint="default"/>
        </w:rPr>
        <w:t>1</w:t>
      </w:r>
      <w:r>
        <w:rPr/>
        <w:t>）长期待摊费用指应由本期和以后各期负担的分摊期限在一年以上的各项费用。</w:t>
      </w:r>
    </w:p>
    <w:p>
      <w:pPr>
        <w:pStyle w:val="BodyText"/>
        <w:spacing w:line="309" w:lineRule="auto" w:before="63"/>
        <w:ind w:right="1133" w:firstLine="420"/>
        <w:jc w:val="both"/>
      </w:pPr>
      <w:r>
        <w:rPr>
          <w:spacing w:val="-2"/>
        </w:rPr>
        <w:t>（</w:t>
      </w:r>
      <w:r>
        <w:rPr>
          <w:rFonts w:ascii="Arial" w:hAnsi="Arial" w:cs="Arial" w:eastAsia="Arial" w:hint="default"/>
          <w:spacing w:val="-2"/>
        </w:rPr>
        <w:t>2</w:t>
      </w:r>
      <w:r>
        <w:rPr>
          <w:spacing w:val="-2"/>
        </w:rPr>
        <w:t>）长期待摊费用在取得时按照实际成本计价，开办费在发生时计入当期损益；经营性租赁固定资产的装修费用在可</w:t>
      </w:r>
      <w:r>
        <w:rPr/>
        <w:t> </w:t>
      </w:r>
      <w:r>
        <w:rPr>
          <w:spacing w:val="-2"/>
        </w:rPr>
        <w:t>使用年限和租赁期两者较低年限进行平均摊销，其他长期待摊费用按项目的受益期平均摊销。对于在以后会计期间已无法带</w:t>
      </w:r>
      <w:r>
        <w:rPr>
          <w:spacing w:val="-64"/>
        </w:rPr>
        <w:t> </w:t>
      </w:r>
      <w:r>
        <w:rPr>
          <w:spacing w:val="-64"/>
        </w:rPr>
      </w:r>
      <w:r>
        <w:rPr/>
        <w:t>来预期经济利益的长期待摊费用，本公司对其尚未摊销的摊余价值全部转入当期损益。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1121"/>
        <w:jc w:val="left"/>
        <w:rPr>
          <w:b w:val="0"/>
          <w:bCs w:val="0"/>
        </w:rPr>
      </w:pPr>
      <w:r>
        <w:rPr>
          <w:rFonts w:ascii="Arial" w:hAnsi="Arial" w:cs="Arial" w:eastAsia="Arial" w:hint="default"/>
        </w:rPr>
        <w:t>21</w:t>
      </w:r>
      <w:r>
        <w:rPr/>
        <w:t>、附回购条件的资产转让</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70" w:right="1121"/>
        <w:jc w:val="left"/>
      </w:pPr>
      <w:r>
        <w:rPr/>
        <w:t>不适用</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1"/>
        <w:jc w:val="left"/>
        <w:rPr>
          <w:b w:val="0"/>
          <w:bCs w:val="0"/>
        </w:rPr>
      </w:pPr>
      <w:r>
        <w:rPr>
          <w:rFonts w:ascii="Arial" w:hAnsi="Arial" w:cs="Arial" w:eastAsia="Arial" w:hint="default"/>
        </w:rPr>
        <w:t>22</w:t>
      </w:r>
      <w:r>
        <w:rPr/>
        <w:t>、预计负债</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）预计负债的确认标准</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482" w:right="1121"/>
        <w:jc w:val="left"/>
      </w:pPr>
      <w:r>
        <w:rPr/>
        <w:t>与或有事项相关的义务同时符合以下条件，本公司将其确认为预计负债：</w:t>
      </w:r>
    </w:p>
    <w:p>
      <w:pPr>
        <w:pStyle w:val="BodyText"/>
        <w:spacing w:line="240" w:lineRule="auto" w:before="76"/>
        <w:ind w:left="470" w:right="1121"/>
        <w:jc w:val="left"/>
      </w:pPr>
      <w:r>
        <w:rPr>
          <w:rFonts w:ascii="Arial" w:hAnsi="Arial" w:cs="Arial" w:eastAsia="Arial" w:hint="default"/>
        </w:rPr>
        <w:t>1</w:t>
      </w:r>
      <w:r>
        <w:rPr/>
        <w:t>、该义务是本公司承担的现时义务；</w:t>
      </w:r>
    </w:p>
    <w:p>
      <w:pPr>
        <w:pStyle w:val="BodyText"/>
        <w:spacing w:line="240" w:lineRule="auto" w:before="63"/>
        <w:ind w:left="470" w:right="1121"/>
        <w:jc w:val="left"/>
      </w:pPr>
      <w:r>
        <w:rPr>
          <w:rFonts w:ascii="Arial" w:hAnsi="Arial" w:cs="Arial" w:eastAsia="Arial" w:hint="default"/>
        </w:rPr>
        <w:t>2</w:t>
      </w:r>
      <w:r>
        <w:rPr/>
        <w:t>、该义务的履行很可能导致经济利益流出企业；</w:t>
      </w:r>
    </w:p>
    <w:p>
      <w:pPr>
        <w:pStyle w:val="BodyText"/>
        <w:spacing w:line="240" w:lineRule="auto" w:before="63"/>
        <w:ind w:left="470" w:right="1121"/>
        <w:jc w:val="left"/>
      </w:pPr>
      <w:r>
        <w:rPr>
          <w:rFonts w:ascii="Arial" w:hAnsi="Arial" w:cs="Arial" w:eastAsia="Arial" w:hint="default"/>
        </w:rPr>
        <w:t>3</w:t>
      </w:r>
      <w:r>
        <w:rPr/>
        <w:t>、</w:t>
      </w:r>
      <w:r>
        <w:rPr>
          <w:spacing w:val="-12"/>
        </w:rPr>
        <w:t> </w:t>
      </w:r>
      <w:r>
        <w:rPr/>
        <w:t>该义务的金额能够可靠的计量。</w:t>
      </w:r>
    </w:p>
    <w:p>
      <w:pPr>
        <w:spacing w:line="240" w:lineRule="auto" w:before="3"/>
        <w:rPr>
          <w:rFonts w:ascii="宋体" w:hAnsi="宋体" w:cs="宋体" w:eastAsia="宋体" w:hint="default"/>
          <w:sz w:val="26"/>
          <w:szCs w:val="26"/>
        </w:rPr>
      </w:pPr>
    </w:p>
    <w:p>
      <w:pPr>
        <w:pStyle w:val="Heading3"/>
        <w:spacing w:line="240" w:lineRule="auto"/>
        <w:ind w:right="1121"/>
        <w:jc w:val="left"/>
        <w:rPr>
          <w:b w:val="0"/>
          <w:bCs w:val="0"/>
        </w:rPr>
      </w:pPr>
      <w:r>
        <w:rPr/>
        <w:t>（</w:t>
      </w:r>
      <w:r>
        <w:rPr>
          <w:rFonts w:ascii="Arial" w:hAnsi="Arial" w:cs="Arial" w:eastAsia="Arial" w:hint="default"/>
        </w:rPr>
        <w:t>2</w:t>
      </w:r>
      <w:r>
        <w:rPr/>
        <w:t>）预计负债的计量方法</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left="573" w:right="1121"/>
        <w:jc w:val="left"/>
      </w:pPr>
      <w:r>
        <w:rPr/>
        <w:t>本公司预计负债按履行相关现时义务所需的支出的最佳估计数进行初始计量。 本公司在确定最佳估计数时，综合考虑与或有事项有关的风险、不确定性和货币时间价值等因素。对于货币时间价值</w:t>
      </w:r>
    </w:p>
    <w:p>
      <w:pPr>
        <w:pStyle w:val="BodyText"/>
        <w:spacing w:line="316" w:lineRule="auto" w:before="17"/>
        <w:ind w:left="573" w:right="5354" w:hanging="421"/>
        <w:jc w:val="left"/>
      </w:pPr>
      <w:r>
        <w:rPr/>
        <w:t>影响重大的，通过对相关未来现金流出进行折现后确定最佳估计数。 最佳估计数分别以下情况处理：</w:t>
      </w:r>
    </w:p>
    <w:p>
      <w:pPr>
        <w:pStyle w:val="BodyText"/>
        <w:spacing w:line="316" w:lineRule="auto" w:before="19"/>
        <w:ind w:right="1134" w:firstLine="420"/>
        <w:jc w:val="both"/>
      </w:pPr>
      <w:r>
        <w:rPr/>
        <w:t>所需支出存在一个连续范围（或区间），且该范围内各种结果发生的可能性相同的，则最佳估计数按照该范围的中间 值即上下限金额的平均数确定。</w:t>
      </w:r>
    </w:p>
    <w:p>
      <w:pPr>
        <w:pStyle w:val="BodyText"/>
        <w:spacing w:line="316" w:lineRule="auto" w:before="19"/>
        <w:ind w:right="1130" w:firstLine="420"/>
        <w:jc w:val="both"/>
      </w:pPr>
      <w:r>
        <w:rPr/>
        <w:t>所需支出不存在一个连续范围（或区间），或虽然存在一个连续范围但该范围内各种结果发生的可能性不相同的，如 </w:t>
      </w:r>
      <w:r>
        <w:rPr>
          <w:spacing w:val="-2"/>
        </w:rPr>
        <w:t>或有事项涉及单个项目的，则最佳估计数按照最可能发生金额确定；如或有事项涉及多个项目的，则最佳估计数按各种可能</w:t>
      </w:r>
      <w:r>
        <w:rPr>
          <w:spacing w:val="-63"/>
        </w:rPr>
        <w:t> </w:t>
      </w:r>
      <w:r>
        <w:rPr>
          <w:spacing w:val="-63"/>
        </w:rPr>
      </w:r>
      <w:r>
        <w:rPr/>
        <w:t>结果及相关概率计算确定。</w:t>
      </w:r>
    </w:p>
    <w:p>
      <w:pPr>
        <w:pStyle w:val="BodyText"/>
        <w:spacing w:line="316" w:lineRule="auto" w:before="19"/>
        <w:ind w:right="1044" w:firstLine="420"/>
        <w:jc w:val="both"/>
      </w:pPr>
      <w:r>
        <w:rPr>
          <w:spacing w:val="-2"/>
        </w:rPr>
        <w:t>本公司清偿预计负债所需支出全部或部分预期由第三方补偿的，补偿金额在基本确定能够收到时，作为资产单独确认，</w:t>
      </w:r>
      <w:r>
        <w:rPr/>
        <w:t> 确认的补偿金额不超过预计负债的账面价值。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3"/>
        <w:spacing w:line="240" w:lineRule="auto"/>
        <w:ind w:right="1121"/>
        <w:jc w:val="left"/>
        <w:rPr>
          <w:b w:val="0"/>
          <w:bCs w:val="0"/>
        </w:rPr>
      </w:pPr>
      <w:r>
        <w:rPr>
          <w:rFonts w:ascii="Arial" w:hAnsi="Arial" w:cs="Arial" w:eastAsia="Arial" w:hint="default"/>
        </w:rPr>
        <w:t>23</w:t>
      </w:r>
      <w:r>
        <w:rPr/>
        <w:t>、股份支付及权益工具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）股份支付的种类</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5" w:right="1121"/>
        <w:jc w:val="left"/>
      </w:pPr>
      <w:r>
        <w:rPr/>
        <w:t>包括以权益结算的股份支付和以现金结算的股份支付。</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t>（</w:t>
      </w:r>
      <w:r>
        <w:rPr>
          <w:rFonts w:ascii="Arial" w:hAnsi="Arial" w:cs="Arial" w:eastAsia="Arial" w:hint="default"/>
        </w:rPr>
        <w:t>2</w:t>
      </w:r>
      <w:r>
        <w:rPr/>
        <w:t>）权益工具公允价值的确定方法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70" w:right="1121"/>
        <w:jc w:val="left"/>
      </w:pPr>
      <w:r>
        <w:rPr>
          <w:rFonts w:ascii="Arial" w:hAnsi="Arial" w:cs="Arial" w:eastAsia="Arial" w:hint="default"/>
        </w:rPr>
        <w:t>1</w:t>
      </w:r>
      <w:r>
        <w:rPr/>
        <w:t>、存在活跃市场的，按照活跃市场中的报价确定。</w:t>
      </w:r>
    </w:p>
    <w:p>
      <w:pPr>
        <w:pStyle w:val="BodyText"/>
        <w:spacing w:line="302" w:lineRule="auto" w:before="63"/>
        <w:ind w:right="1157" w:firstLine="317"/>
        <w:jc w:val="left"/>
      </w:pPr>
      <w:r>
        <w:rPr>
          <w:rFonts w:ascii="Arial" w:hAnsi="Arial" w:cs="Arial" w:eastAsia="Arial" w:hint="default"/>
        </w:rPr>
        <w:t>2</w:t>
      </w:r>
      <w:r>
        <w:rPr/>
        <w:t>、不存在活跃市场的，采用估值技术确定，包括参考熟悉情况并自愿交易的各方最近进行的市场交易中使用的价格、 参照实质上相同的其他金融工具的当前公允价值、现金流量折现法和期权定价模型等。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0"/>
        <w:ind w:right="1121"/>
        <w:jc w:val="left"/>
        <w:rPr>
          <w:b w:val="0"/>
          <w:bCs w:val="0"/>
        </w:rPr>
      </w:pPr>
      <w:r>
        <w:rPr/>
        <w:t>（</w:t>
      </w:r>
      <w:r>
        <w:rPr>
          <w:rFonts w:ascii="Arial" w:hAnsi="Arial" w:cs="Arial" w:eastAsia="Arial" w:hint="default"/>
        </w:rPr>
        <w:t>3</w:t>
      </w:r>
      <w:r>
        <w:rPr/>
        <w:t>）确认可行权权益工具最佳估计的依据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5" w:right="1121"/>
        <w:jc w:val="left"/>
      </w:pPr>
      <w:r>
        <w:rPr/>
        <w:t>根据最新取得的可行权职工数变动等后续信息进行估计。</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t>（</w:t>
      </w:r>
      <w:r>
        <w:rPr>
          <w:rFonts w:ascii="Arial" w:hAnsi="Arial" w:cs="Arial" w:eastAsia="Arial" w:hint="default"/>
        </w:rPr>
        <w:t>4</w:t>
      </w:r>
      <w:r>
        <w:rPr/>
        <w:t>）实施、修改、终止股份支付计划的相关会计处理</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70" w:right="1121"/>
        <w:jc w:val="left"/>
      </w:pPr>
      <w:r>
        <w:rPr>
          <w:rFonts w:ascii="Arial" w:hAnsi="Arial" w:cs="Arial" w:eastAsia="Arial" w:hint="default"/>
        </w:rPr>
        <w:t>1</w:t>
      </w:r>
      <w:r>
        <w:rPr/>
        <w:t>、以权益结算的股份支付授予后立即可行权的换取职工服务的以权益结算的股份支付，在授予日按照权益工具的公允</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0"/>
        <w:jc w:val="both"/>
      </w:pPr>
      <w:r>
        <w:rPr>
          <w:spacing w:val="-2"/>
        </w:rPr>
        <w:t>价值计入相关成本或费用，相应调整资本公积。完成等待期内的服务或达到规定业绩条件才可行权的换取职工服务的以权益</w:t>
      </w:r>
      <w:r>
        <w:rPr>
          <w:spacing w:val="-64"/>
        </w:rPr>
        <w:t> </w:t>
      </w:r>
      <w:r>
        <w:rPr>
          <w:spacing w:val="-64"/>
        </w:rPr>
      </w:r>
      <w:r>
        <w:rPr>
          <w:spacing w:val="-2"/>
        </w:rPr>
        <w:t>结算的股份支付，在等待期内的每个资产负债表日，以对可行权权益工具数量的最佳估计为基础，按权益工具授予日的公允</w:t>
      </w:r>
      <w:r>
        <w:rPr>
          <w:spacing w:val="-63"/>
        </w:rPr>
        <w:t> </w:t>
      </w:r>
      <w:r>
        <w:rPr>
          <w:spacing w:val="-63"/>
        </w:rPr>
      </w:r>
      <w:r>
        <w:rPr>
          <w:spacing w:val="-2"/>
        </w:rPr>
        <w:t>价值，将当期取得的服务计入相关成本或费用，相应调整资本公积。换取其他方服务的权益结算的股份支付，如果其他方服</w:t>
      </w:r>
      <w:r>
        <w:rPr>
          <w:spacing w:val="-65"/>
        </w:rPr>
        <w:t> </w:t>
      </w:r>
      <w:r>
        <w:rPr>
          <w:spacing w:val="-65"/>
        </w:rPr>
      </w:r>
      <w:r>
        <w:rPr>
          <w:spacing w:val="-2"/>
        </w:rPr>
        <w:t>务的公允价值能够可靠计量的，按照其他方服务在取得日的公允价值计量；如果其他方服务的公允价值不能可靠计量，但权</w:t>
      </w:r>
      <w:r>
        <w:rPr>
          <w:spacing w:val="-63"/>
        </w:rPr>
        <w:t> </w:t>
      </w:r>
      <w:r>
        <w:rPr>
          <w:spacing w:val="-63"/>
        </w:rPr>
      </w:r>
      <w:r>
        <w:rPr>
          <w:spacing w:val="-2"/>
        </w:rPr>
        <w:t>益工具的公允价值能够可靠计量的，按照权益工具在服务取得日的公允价值计量，计入相关成本或费用，相应增加所有者权</w:t>
      </w:r>
      <w:r>
        <w:rPr>
          <w:spacing w:val="-63"/>
        </w:rPr>
        <w:t> </w:t>
      </w:r>
      <w:r>
        <w:rPr>
          <w:spacing w:val="-63"/>
        </w:rPr>
      </w:r>
      <w:r>
        <w:rPr/>
        <w:t>益。</w:t>
      </w:r>
    </w:p>
    <w:p>
      <w:pPr>
        <w:pStyle w:val="BodyText"/>
        <w:spacing w:line="312" w:lineRule="auto" w:before="19"/>
        <w:ind w:right="1121" w:firstLine="475"/>
        <w:jc w:val="left"/>
      </w:pPr>
      <w:r>
        <w:rPr>
          <w:rFonts w:ascii="Arial" w:hAnsi="Arial" w:cs="Arial" w:eastAsia="Arial" w:hint="default"/>
        </w:rPr>
        <w:t>2</w:t>
      </w:r>
      <w:r>
        <w:rPr/>
        <w:t>、以现金结算的股份支付授予后立即可行权的换取职工服务的以现金结算的股份支付，在授予日按公司承担负债的 </w:t>
      </w:r>
      <w:r>
        <w:rPr>
          <w:spacing w:val="-2"/>
        </w:rPr>
        <w:t>公允价值计入相关成本或费用，相应增加负债。完成等待期内的服务或达到规定业绩条件才可行权的换取职工服务的以现金</w:t>
      </w:r>
      <w:r>
        <w:rPr>
          <w:spacing w:val="-64"/>
        </w:rPr>
        <w:t> </w:t>
      </w:r>
      <w:r>
        <w:rPr>
          <w:spacing w:val="-64"/>
        </w:rPr>
      </w:r>
      <w:r>
        <w:rPr>
          <w:spacing w:val="-2"/>
        </w:rPr>
        <w:t>结算的股份支付，在等待期内的每个资产负债表日，以对可行权情况的最佳估计为基础，按公司承担负债的公允价值，将当</w:t>
      </w:r>
      <w:r>
        <w:rPr>
          <w:spacing w:val="-65"/>
        </w:rPr>
        <w:t> </w:t>
      </w:r>
      <w:r>
        <w:rPr>
          <w:spacing w:val="-65"/>
        </w:rPr>
      </w:r>
      <w:r>
        <w:rPr/>
        <w:t>期取得的服务计入相关成本或费用和相应的负债。</w:t>
      </w:r>
    </w:p>
    <w:p>
      <w:pPr>
        <w:pStyle w:val="BodyText"/>
        <w:spacing w:line="316" w:lineRule="auto" w:before="22"/>
        <w:ind w:right="0" w:firstLine="499"/>
        <w:jc w:val="left"/>
      </w:pPr>
      <w:r>
        <w:rPr>
          <w:rFonts w:ascii="Arial" w:hAnsi="Arial" w:cs="Arial" w:eastAsia="Arial" w:hint="default"/>
        </w:rPr>
        <w:t>3</w:t>
      </w:r>
      <w:r>
        <w:rPr/>
        <w:t>、修改、终止股份支付计划如果修改增加了所授予的权益工具的公允价值，公司按照权益工具公允价值的增加相应 </w:t>
      </w:r>
      <w:r>
        <w:rPr>
          <w:spacing w:val="-2"/>
        </w:rPr>
        <w:t>地确认取得服务的增加；如果修改增加了所授予的权益工具的数量，公司将增加的权益工具的公允价值相应地确认为取得服</w:t>
      </w:r>
      <w:r>
        <w:rPr>
          <w:spacing w:val="-64"/>
        </w:rPr>
        <w:t> </w:t>
      </w:r>
      <w:r>
        <w:rPr>
          <w:spacing w:val="-64"/>
        </w:rPr>
      </w:r>
      <w:r>
        <w:rPr>
          <w:spacing w:val="-2"/>
        </w:rPr>
        <w:t>务的增加；如果公司按照有利于职工的方式修改可行权条件，公司在处理可行权条件时，考虑修改后的可行权条件。如果修</w:t>
      </w:r>
      <w:r>
        <w:rPr>
          <w:spacing w:val="-64"/>
        </w:rPr>
        <w:t> </w:t>
      </w:r>
      <w:r>
        <w:rPr>
          <w:spacing w:val="-64"/>
        </w:rPr>
      </w:r>
      <w:r>
        <w:rPr>
          <w:spacing w:val="-2"/>
        </w:rPr>
        <w:t>改减少了授予的权益工具的公允价值，公司继续以权益工具在授予日的公允价值为基础，确认取得服务的金额，而不考虑权</w:t>
      </w:r>
      <w:r>
        <w:rPr>
          <w:spacing w:val="-63"/>
        </w:rPr>
        <w:t> </w:t>
      </w:r>
      <w:r>
        <w:rPr>
          <w:spacing w:val="-63"/>
        </w:rPr>
      </w:r>
      <w:r>
        <w:rPr>
          <w:spacing w:val="-4"/>
        </w:rPr>
        <w:t>益工具公允价值的减少；如果修改减少了授予的权益工具的数量，公司将减少部分作为已授予的权益工具的取消来进行处理；</w:t>
      </w:r>
      <w:r>
        <w:rPr>
          <w:spacing w:val="-44"/>
        </w:rPr>
        <w:t> </w:t>
      </w:r>
      <w:r>
        <w:rPr>
          <w:spacing w:val="-44"/>
        </w:rPr>
      </w:r>
      <w:r>
        <w:rPr>
          <w:spacing w:val="-2"/>
        </w:rPr>
        <w:t>如果以不利于职工的方式修改了可行权条件，在处理可行权条件时，不考虑修改后的可行权条件。如果公司在等待期内取消</w:t>
      </w:r>
      <w:r>
        <w:rPr>
          <w:spacing w:val="-63"/>
        </w:rPr>
        <w:t> </w:t>
      </w:r>
      <w:r>
        <w:rPr>
          <w:spacing w:val="-63"/>
        </w:rPr>
      </w:r>
      <w:r>
        <w:rPr>
          <w:spacing w:val="-2"/>
        </w:rPr>
        <w:t>了所授予的权益工具或结算了所授予的权益工具（因未满足可行权条件而被取消的除外），则将取消或结算作为加速可行权</w:t>
      </w:r>
      <w:r>
        <w:rPr>
          <w:spacing w:val="-63"/>
        </w:rPr>
        <w:t> </w:t>
      </w:r>
      <w:r>
        <w:rPr>
          <w:spacing w:val="-63"/>
        </w:rPr>
      </w:r>
      <w:r>
        <w:rPr/>
        <w:t>处理，立即确认原本在剩余等待期内确认的金额。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Heading3"/>
        <w:spacing w:line="240" w:lineRule="auto"/>
        <w:ind w:right="1121"/>
        <w:jc w:val="left"/>
        <w:rPr>
          <w:b w:val="0"/>
          <w:bCs w:val="0"/>
        </w:rPr>
      </w:pPr>
      <w:r>
        <w:rPr>
          <w:rFonts w:ascii="Arial" w:hAnsi="Arial" w:cs="Arial" w:eastAsia="Arial" w:hint="default"/>
        </w:rPr>
        <w:t>24</w:t>
      </w:r>
      <w:r>
        <w:rPr/>
        <w:t>、回购本公司股份</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70" w:right="1121"/>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rFonts w:ascii="Arial" w:hAnsi="Arial" w:cs="Arial" w:eastAsia="Arial" w:hint="default"/>
        </w:rPr>
        <w:t>25</w:t>
      </w:r>
      <w:r>
        <w:rPr/>
        <w:t>、收入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）销售商品收入确认时间的具体判断标准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9" w:firstLine="362"/>
        <w:jc w:val="both"/>
      </w:pPr>
      <w:r>
        <w:rPr>
          <w:spacing w:val="-2"/>
        </w:rPr>
        <w:t>企业已将商品所有权上的主要风险和报酬转移给购货方；企业既没有保留通常与所有权相联系的继续管理权，也没有对</w:t>
      </w:r>
      <w:r>
        <w:rPr/>
        <w:t> </w:t>
      </w:r>
      <w:r>
        <w:rPr>
          <w:spacing w:val="-2"/>
        </w:rPr>
        <w:t>已售出的商品实施有效控制；收入的金额能够可靠地计量；相关的经济利益很可能流入企业；相关的已发生或将发生的成本</w:t>
      </w:r>
      <w:r>
        <w:rPr>
          <w:spacing w:val="-62"/>
        </w:rPr>
        <w:t> </w:t>
      </w:r>
      <w:r>
        <w:rPr>
          <w:spacing w:val="-62"/>
        </w:rPr>
      </w:r>
      <w:r>
        <w:rPr/>
        <w:t>能够可靠地计量。</w:t>
      </w:r>
    </w:p>
    <w:p>
      <w:pPr>
        <w:spacing w:line="240" w:lineRule="auto" w:before="8"/>
        <w:rPr>
          <w:rFonts w:ascii="宋体" w:hAnsi="宋体" w:cs="宋体" w:eastAsia="宋体" w:hint="default"/>
          <w:sz w:val="22"/>
          <w:szCs w:val="22"/>
        </w:rPr>
      </w:pPr>
    </w:p>
    <w:p>
      <w:pPr>
        <w:pStyle w:val="Heading3"/>
        <w:spacing w:line="240" w:lineRule="auto"/>
        <w:ind w:right="1121"/>
        <w:jc w:val="left"/>
        <w:rPr>
          <w:b w:val="0"/>
          <w:bCs w:val="0"/>
        </w:rPr>
      </w:pPr>
      <w:r>
        <w:rPr/>
        <w:t>（</w:t>
      </w:r>
      <w:r>
        <w:rPr>
          <w:rFonts w:ascii="Arial" w:hAnsi="Arial" w:cs="Arial" w:eastAsia="Arial" w:hint="default"/>
        </w:rPr>
        <w:t>2</w:t>
      </w:r>
      <w:r>
        <w:rPr/>
        <w:t>）确认让渡资产使用权收入的依据</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219" w:firstLine="370"/>
        <w:jc w:val="both"/>
      </w:pPr>
      <w:r>
        <w:rPr/>
        <w:t>让渡资产使用权收入包括利息收入和使用费收入等；利息收入金额，按照他人使用本公司货币资金的时间和实际利率 计算确定；使用费收入金额，按照有关合同或协议约定的收费时间和方法计算确定。</w:t>
      </w:r>
    </w:p>
    <w:p>
      <w:pPr>
        <w:spacing w:line="240" w:lineRule="auto" w:before="10"/>
        <w:rPr>
          <w:rFonts w:ascii="宋体" w:hAnsi="宋体" w:cs="宋体" w:eastAsia="宋体" w:hint="default"/>
          <w:sz w:val="22"/>
          <w:szCs w:val="22"/>
        </w:rPr>
      </w:pPr>
    </w:p>
    <w:p>
      <w:pPr>
        <w:pStyle w:val="Heading3"/>
        <w:spacing w:line="240" w:lineRule="auto"/>
        <w:ind w:right="1121"/>
        <w:jc w:val="left"/>
        <w:rPr>
          <w:b w:val="0"/>
          <w:bCs w:val="0"/>
        </w:rPr>
      </w:pPr>
      <w:r>
        <w:rPr/>
        <w:t>（</w:t>
      </w:r>
      <w:r>
        <w:rPr>
          <w:rFonts w:ascii="Arial" w:hAnsi="Arial" w:cs="Arial" w:eastAsia="Arial" w:hint="default"/>
        </w:rPr>
        <w:t>3</w:t>
      </w:r>
      <w:r>
        <w:rPr/>
        <w:t>）确认提供劳务收入的依据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219" w:firstLine="370"/>
        <w:jc w:val="both"/>
      </w:pPr>
      <w:r>
        <w:rPr/>
        <w:t>对在同一会计年度内开始并完成的劳务，于完成劳务时确认收入；如果劳务的开始和完成分属不同的会计年度，则在 提供劳务交易的结果能够可靠估计的情况下，于期末按完工百分比法确认相关的劳务收入。</w:t>
      </w:r>
    </w:p>
    <w:p>
      <w:pPr>
        <w:spacing w:after="0" w:line="316" w:lineRule="auto"/>
        <w:jc w:val="both"/>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1"/>
        <w:jc w:val="left"/>
        <w:rPr>
          <w:b w:val="0"/>
          <w:bCs w:val="0"/>
        </w:rPr>
      </w:pPr>
      <w:r>
        <w:rPr/>
        <w:t>（</w:t>
      </w:r>
      <w:r>
        <w:rPr>
          <w:rFonts w:ascii="Arial" w:hAnsi="Arial" w:cs="Arial" w:eastAsia="Arial" w:hint="default"/>
        </w:rPr>
        <w:t>4</w:t>
      </w:r>
      <w:r>
        <w:rPr/>
        <w:t>）按完工百分比法确认提供劳务的收入和建造合同收入时，确定合同完工进度的依据和方法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70" w:right="1121"/>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rFonts w:ascii="Arial" w:hAnsi="Arial" w:cs="Arial" w:eastAsia="Arial"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）类型</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1" w:firstLine="362"/>
        <w:jc w:val="both"/>
      </w:pPr>
      <w:r>
        <w:rPr/>
        <w:t>政府补助，是本公司从政府无偿取得的货币性资产与非货币性资产。</w:t>
      </w:r>
      <w:r>
        <w:rPr>
          <w:spacing w:val="6"/>
        </w:rPr>
        <w:t> </w:t>
      </w:r>
      <w:r>
        <w:rPr/>
        <w:t>分为与资产相关的政府补助和与收益相关的政</w:t>
      </w:r>
      <w:r>
        <w:rPr/>
        <w:t> 府补助。</w:t>
      </w:r>
    </w:p>
    <w:p>
      <w:pPr>
        <w:spacing w:line="240" w:lineRule="auto" w:before="8"/>
        <w:rPr>
          <w:rFonts w:ascii="宋体" w:hAnsi="宋体" w:cs="宋体" w:eastAsia="宋体" w:hint="default"/>
          <w:sz w:val="22"/>
          <w:szCs w:val="22"/>
        </w:rPr>
      </w:pPr>
    </w:p>
    <w:p>
      <w:pPr>
        <w:pStyle w:val="Heading3"/>
        <w:spacing w:line="240" w:lineRule="auto"/>
        <w:ind w:right="1121"/>
        <w:jc w:val="left"/>
        <w:rPr>
          <w:b w:val="0"/>
          <w:bCs w:val="0"/>
        </w:rPr>
      </w:pPr>
      <w:r>
        <w:rPr/>
        <w:t>（</w:t>
      </w:r>
      <w:r>
        <w:rPr>
          <w:rFonts w:ascii="Arial" w:hAnsi="Arial" w:cs="Arial" w:eastAsia="Arial" w:hint="default"/>
        </w:rPr>
        <w:t>2</w:t>
      </w:r>
      <w:r>
        <w:rPr/>
        <w:t>）会计处理方法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8" w:firstLine="317"/>
        <w:jc w:val="both"/>
      </w:pPr>
      <w:r>
        <w:rPr>
          <w:spacing w:val="-1"/>
        </w:rPr>
        <w:t>本公司收到的与资产相关的政府补助，确认为递延收益，自相关资产达到预定可使用状态时起，在该资产使用寿命内平</w:t>
      </w:r>
      <w:r>
        <w:rPr/>
        <w:t> </w:t>
      </w:r>
      <w:r>
        <w:rPr>
          <w:spacing w:val="-2"/>
        </w:rPr>
        <w:t>均计入各期损益。相关资产在使用寿命结束前被出售、转让、报废或发生毁损的，将递延收益余额一次性转入资产处置当期</w:t>
      </w:r>
      <w:r>
        <w:rPr>
          <w:spacing w:val="-62"/>
        </w:rPr>
        <w:t> </w:t>
      </w:r>
      <w:r>
        <w:rPr>
          <w:spacing w:val="-62"/>
        </w:rPr>
      </w:r>
      <w:r>
        <w:rPr>
          <w:spacing w:val="-2"/>
        </w:rPr>
        <w:t>的损益。收到的与收益相关的政府补助，用于补偿以后期间的相关费用或损失的，确认为递延收益，在确认相关费用的期间</w:t>
      </w:r>
      <w:r>
        <w:rPr>
          <w:spacing w:val="-65"/>
        </w:rPr>
        <w:t> </w:t>
      </w:r>
      <w:r>
        <w:rPr>
          <w:spacing w:val="-65"/>
        </w:rPr>
      </w:r>
      <w:r>
        <w:rPr/>
        <w:t>计入当期损益；用于补偿已经发生的相关费用或损失的，取得时直接计入当期损益。</w:t>
      </w:r>
    </w:p>
    <w:p>
      <w:pPr>
        <w:spacing w:line="240" w:lineRule="auto" w:before="10"/>
        <w:rPr>
          <w:rFonts w:ascii="宋体" w:hAnsi="宋体" w:cs="宋体" w:eastAsia="宋体" w:hint="default"/>
          <w:sz w:val="22"/>
          <w:szCs w:val="22"/>
        </w:rPr>
      </w:pPr>
    </w:p>
    <w:p>
      <w:pPr>
        <w:pStyle w:val="Heading3"/>
        <w:spacing w:line="240" w:lineRule="auto"/>
        <w:ind w:right="1121"/>
        <w:jc w:val="left"/>
        <w:rPr>
          <w:b w:val="0"/>
          <w:bCs w:val="0"/>
        </w:rPr>
      </w:pPr>
      <w:r>
        <w:rPr>
          <w:rFonts w:ascii="Arial" w:hAnsi="Arial" w:cs="Arial" w:eastAsia="Arial" w:hint="default"/>
        </w:rPr>
        <w:t>27</w:t>
      </w:r>
      <w:r>
        <w:rPr/>
        <w:t>、递延所得税资产和递延所得税负债</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）确认递延所得税资产的依据</w:t>
      </w:r>
      <w:r>
        <w:rPr>
          <w:b w:val="0"/>
          <w:bCs w:val="0"/>
        </w:rPr>
      </w:r>
    </w:p>
    <w:p>
      <w:pPr>
        <w:spacing w:line="240" w:lineRule="auto" w:before="3"/>
        <w:rPr>
          <w:rFonts w:ascii="宋体" w:hAnsi="宋体" w:cs="宋体" w:eastAsia="宋体" w:hint="default"/>
          <w:b/>
          <w:bCs/>
          <w:sz w:val="26"/>
          <w:szCs w:val="26"/>
        </w:rPr>
      </w:pPr>
    </w:p>
    <w:p>
      <w:pPr>
        <w:pStyle w:val="BodyText"/>
        <w:spacing w:line="302" w:lineRule="auto"/>
        <w:ind w:right="1133" w:firstLine="360"/>
        <w:jc w:val="both"/>
      </w:pPr>
      <w:r>
        <w:rPr>
          <w:rFonts w:ascii="Arial" w:hAnsi="Arial" w:cs="Arial" w:eastAsia="Arial" w:hint="default"/>
          <w:spacing w:val="-1"/>
        </w:rPr>
        <w:t>A</w:t>
      </w:r>
      <w:r>
        <w:rPr>
          <w:spacing w:val="-1"/>
        </w:rPr>
        <w:t>、本公司以很可能取得用来抵扣可抵扣暂时性差异的应纳税所得额为限，确认由可抵扣暂时性差异产生的递延所得税</w:t>
      </w:r>
      <w:r>
        <w:rPr>
          <w:w w:val="100"/>
        </w:rPr>
        <w:t> </w:t>
      </w:r>
      <w:r>
        <w:rPr/>
        <w:t>资产。  </w:t>
      </w:r>
      <w:r>
        <w:rPr>
          <w:spacing w:val="89"/>
        </w:rPr>
        <w:t> </w:t>
      </w:r>
      <w:r>
        <w:rPr/>
        <w:t>但是同时具有下列特征的交易中因资产或负债的初始确认所产生的递延所得税资产不予确认：</w:t>
      </w:r>
    </w:p>
    <w:p>
      <w:pPr>
        <w:pStyle w:val="BodyText"/>
        <w:spacing w:line="340" w:lineRule="auto" w:before="71"/>
        <w:ind w:left="513" w:right="4455"/>
        <w:jc w:val="left"/>
      </w:pPr>
      <w:r>
        <w:rPr>
          <w:rFonts w:ascii="Arial" w:hAnsi="Arial" w:cs="Arial" w:eastAsia="Arial" w:hint="default"/>
        </w:rPr>
        <w:t>a</w:t>
      </w:r>
      <w:r>
        <w:rPr/>
        <w:t>、该项交易不是企业合并； </w:t>
      </w:r>
      <w:r>
        <w:rPr>
          <w:rFonts w:ascii="Arial" w:hAnsi="Arial" w:cs="Arial" w:eastAsia="Arial" w:hint="default"/>
          <w:spacing w:val="-3"/>
          <w:w w:val="99"/>
        </w:rPr>
        <w:t>b</w:t>
      </w:r>
      <w:r>
        <w:rPr>
          <w:spacing w:val="-3"/>
          <w:w w:val="99"/>
        </w:rPr>
        <w:t>、交易发生时既不影响会计利润也不影响应纳税所得额（或可抵扣亏损）。</w:t>
      </w:r>
    </w:p>
    <w:p>
      <w:pPr>
        <w:pStyle w:val="BodyText"/>
        <w:spacing w:line="302" w:lineRule="auto" w:before="17"/>
        <w:ind w:right="1130" w:firstLine="360"/>
        <w:jc w:val="both"/>
      </w:pPr>
      <w:r>
        <w:rPr>
          <w:rFonts w:ascii="Arial" w:hAnsi="Arial" w:cs="Arial" w:eastAsia="Arial" w:hint="default"/>
          <w:spacing w:val="-1"/>
        </w:rPr>
        <w:t>B</w:t>
      </w:r>
      <w:r>
        <w:rPr>
          <w:spacing w:val="-1"/>
        </w:rPr>
        <w:t>、本公司对与子公司、联营公司及合营企业投资相关的可抵扣暂时性差异，同时满足下列条件的，确认相应的递延所</w:t>
      </w:r>
      <w:r>
        <w:rPr>
          <w:w w:val="100"/>
        </w:rPr>
        <w:t> </w:t>
      </w:r>
      <w:r>
        <w:rPr/>
        <w:t>得税资产：</w:t>
      </w:r>
    </w:p>
    <w:p>
      <w:pPr>
        <w:pStyle w:val="BodyText"/>
        <w:spacing w:line="340" w:lineRule="auto" w:before="70"/>
        <w:ind w:left="513" w:right="5793"/>
        <w:jc w:val="left"/>
      </w:pPr>
      <w:r>
        <w:rPr>
          <w:rFonts w:ascii="Arial" w:hAnsi="Arial" w:cs="Arial" w:eastAsia="Arial" w:hint="default"/>
        </w:rPr>
        <w:t>a</w:t>
      </w:r>
      <w:r>
        <w:rPr/>
        <w:t>、暂时性差异在可预见的未来很可能转回； </w:t>
      </w:r>
      <w:r>
        <w:rPr>
          <w:rFonts w:ascii="Arial" w:hAnsi="Arial" w:cs="Arial" w:eastAsia="Arial" w:hint="default"/>
        </w:rPr>
        <w:t>b</w:t>
      </w:r>
      <w:r>
        <w:rPr/>
        <w:t>、未来很可能获得用来抵扣暂时性差异的应纳税所得额。</w:t>
      </w:r>
    </w:p>
    <w:p>
      <w:pPr>
        <w:pStyle w:val="BodyText"/>
        <w:spacing w:line="302" w:lineRule="auto" w:before="17"/>
        <w:ind w:right="1132" w:firstLine="360"/>
        <w:jc w:val="both"/>
      </w:pPr>
      <w:r>
        <w:rPr>
          <w:rFonts w:ascii="Arial" w:hAnsi="Arial" w:cs="Arial" w:eastAsia="Arial" w:hint="default"/>
          <w:spacing w:val="-1"/>
        </w:rPr>
        <w:t>C</w:t>
      </w:r>
      <w:r>
        <w:rPr>
          <w:spacing w:val="-1"/>
        </w:rPr>
        <w:t>、本公司对于能够结转以后年度的可抵扣亏损和税款抵减，以很可能获得用来抵扣可抵扣亏损和税款抵减的未来应纳</w:t>
      </w:r>
      <w:r>
        <w:rPr/>
        <w:t> 税所得额为限，确认相应的递延所得税资产。</w:t>
      </w:r>
    </w:p>
    <w:p>
      <w:pPr>
        <w:spacing w:line="240" w:lineRule="auto" w:before="8"/>
        <w:rPr>
          <w:rFonts w:ascii="宋体" w:hAnsi="宋体" w:cs="宋体" w:eastAsia="宋体" w:hint="default"/>
          <w:sz w:val="23"/>
          <w:szCs w:val="23"/>
        </w:rPr>
      </w:pPr>
    </w:p>
    <w:p>
      <w:pPr>
        <w:pStyle w:val="Heading3"/>
        <w:spacing w:line="240" w:lineRule="auto"/>
        <w:ind w:right="1121"/>
        <w:jc w:val="left"/>
        <w:rPr>
          <w:b w:val="0"/>
          <w:bCs w:val="0"/>
        </w:rPr>
      </w:pPr>
      <w:r>
        <w:rPr/>
        <w:t>（</w:t>
      </w:r>
      <w:r>
        <w:rPr>
          <w:rFonts w:ascii="Arial" w:hAnsi="Arial" w:cs="Arial" w:eastAsia="Arial" w:hint="default"/>
        </w:rPr>
        <w:t>2</w:t>
      </w:r>
      <w:r>
        <w:rPr/>
        <w:t>）确认递延所得税负债的依据</w:t>
      </w:r>
      <w:r>
        <w:rPr>
          <w:b w:val="0"/>
          <w:bCs w:val="0"/>
        </w:rPr>
      </w:r>
    </w:p>
    <w:p>
      <w:pPr>
        <w:spacing w:line="240" w:lineRule="auto" w:before="6"/>
        <w:rPr>
          <w:rFonts w:ascii="宋体" w:hAnsi="宋体" w:cs="宋体" w:eastAsia="宋体" w:hint="default"/>
          <w:b/>
          <w:bCs/>
          <w:sz w:val="26"/>
          <w:szCs w:val="26"/>
        </w:rPr>
      </w:pPr>
    </w:p>
    <w:p>
      <w:pPr>
        <w:pStyle w:val="BodyText"/>
        <w:tabs>
          <w:tab w:pos="2615" w:val="left" w:leader="none"/>
        </w:tabs>
        <w:spacing w:line="345" w:lineRule="auto"/>
        <w:ind w:left="513" w:right="2490"/>
        <w:jc w:val="left"/>
      </w:pPr>
      <w:r>
        <w:rPr/>
        <w:t>除下列情况产生的递延所得税负债以外，本公司确认所有应纳税暂时性差异产生的递延所得税负债： </w:t>
      </w:r>
      <w:r>
        <w:rPr>
          <w:rFonts w:ascii="Arial" w:hAnsi="Arial" w:cs="Arial" w:eastAsia="Arial" w:hint="default"/>
        </w:rPr>
        <w:t>A</w:t>
      </w:r>
      <w:r>
        <w:rPr/>
        <w:t>、商誉的初始确认；</w:t>
        <w:tab/>
      </w:r>
      <w:r>
        <w:rPr>
          <w:rFonts w:ascii="Arial" w:hAnsi="Arial" w:cs="Arial" w:eastAsia="Arial" w:hint="default"/>
        </w:rPr>
        <w:t>B</w:t>
      </w:r>
      <w:r>
        <w:rPr/>
        <w:t>、同时满足具有下列特征的交易中产生的资产或负债的初始确认： </w:t>
      </w:r>
      <w:r>
        <w:rPr>
          <w:rFonts w:ascii="Arial" w:hAnsi="Arial" w:cs="Arial" w:eastAsia="Arial" w:hint="default"/>
        </w:rPr>
        <w:t>a</w:t>
      </w:r>
      <w:r>
        <w:rPr/>
        <w:t>、该项交易不是企业合并； </w:t>
      </w:r>
      <w:r>
        <w:rPr>
          <w:rFonts w:ascii="Arial" w:hAnsi="Arial" w:cs="Arial" w:eastAsia="Arial" w:hint="default"/>
          <w:spacing w:val="-3"/>
          <w:w w:val="99"/>
        </w:rPr>
        <w:t>b</w:t>
      </w:r>
      <w:r>
        <w:rPr>
          <w:spacing w:val="-3"/>
          <w:w w:val="99"/>
        </w:rPr>
        <w:t>、交易发生时既不影响会计利润也不影响应纳税所得额（或可抵扣亏损）。</w:t>
      </w:r>
    </w:p>
    <w:p>
      <w:pPr>
        <w:pStyle w:val="BodyText"/>
        <w:spacing w:line="340" w:lineRule="auto" w:before="13"/>
        <w:ind w:left="513" w:right="2163"/>
        <w:jc w:val="left"/>
      </w:pPr>
      <w:r>
        <w:rPr>
          <w:rFonts w:ascii="Arial" w:hAnsi="Arial" w:cs="Arial" w:eastAsia="Arial" w:hint="default"/>
        </w:rPr>
        <w:t>C</w:t>
      </w:r>
      <w:r>
        <w:rPr/>
        <w:t>、本公司对与子公司、联营公司及合营企业投资产生相关的应纳税暂时性差异，同时满足下列条件的： </w:t>
      </w:r>
      <w:r>
        <w:rPr>
          <w:rFonts w:ascii="Arial" w:hAnsi="Arial" w:cs="Arial" w:eastAsia="Arial" w:hint="default"/>
        </w:rPr>
        <w:t>a</w:t>
      </w:r>
      <w:r>
        <w:rPr/>
        <w:t>、投资企业能够控制暂时性差异的转回的时间；</w:t>
      </w:r>
    </w:p>
    <w:p>
      <w:pPr>
        <w:pStyle w:val="BodyText"/>
        <w:spacing w:line="240" w:lineRule="auto" w:before="20"/>
        <w:ind w:left="513" w:right="1121"/>
        <w:jc w:val="left"/>
      </w:pPr>
      <w:r>
        <w:rPr>
          <w:rFonts w:ascii="Arial" w:hAnsi="Arial" w:cs="Arial" w:eastAsia="Arial" w:hint="default"/>
        </w:rPr>
        <w:t>b</w:t>
      </w:r>
      <w:r>
        <w:rPr/>
        <w:t>、暂时性差异在可预见的未来很可能不会转回。</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1"/>
        <w:jc w:val="left"/>
        <w:rPr>
          <w:b w:val="0"/>
          <w:bCs w:val="0"/>
        </w:rPr>
      </w:pPr>
      <w:r>
        <w:rPr>
          <w:rFonts w:ascii="Arial" w:hAnsi="Arial" w:cs="Arial" w:eastAsia="Arial" w:hint="default"/>
        </w:rPr>
        <w:t>28</w:t>
      </w:r>
      <w:r>
        <w:rPr/>
        <w:t>、主要会计政策、会计估计的变更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1"/>
        <w:jc w:val="left"/>
      </w:pPr>
      <w:r>
        <w:rPr/>
        <w:t>本报告期主要会计政策、会计估计是否变更</w:t>
      </w:r>
    </w:p>
    <w:p>
      <w:pPr>
        <w:pStyle w:val="BodyText"/>
        <w:spacing w:line="240" w:lineRule="auto" w:before="115"/>
        <w:ind w:right="1121"/>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1"/>
        </w:rPr>
        <w:t> </w:t>
      </w:r>
      <w:r>
        <w:rPr/>
        <w:t>否</w:t>
      </w:r>
    </w:p>
    <w:p>
      <w:pPr>
        <w:spacing w:line="240" w:lineRule="auto" w:before="3"/>
        <w:rPr>
          <w:rFonts w:ascii="宋体" w:hAnsi="宋体" w:cs="宋体" w:eastAsia="宋体" w:hint="default"/>
          <w:sz w:val="26"/>
          <w:szCs w:val="26"/>
        </w:rPr>
      </w:pPr>
    </w:p>
    <w:p>
      <w:pPr>
        <w:pStyle w:val="Heading3"/>
        <w:spacing w:line="240" w:lineRule="auto"/>
        <w:ind w:right="1121"/>
        <w:jc w:val="left"/>
        <w:rPr>
          <w:b w:val="0"/>
          <w:bCs w:val="0"/>
        </w:rPr>
      </w:pPr>
      <w:r>
        <w:rPr/>
        <w:t>（</w:t>
      </w:r>
      <w:r>
        <w:rPr>
          <w:rFonts w:ascii="Arial" w:hAnsi="Arial" w:cs="Arial" w:eastAsia="Arial" w:hint="default"/>
        </w:rPr>
        <w:t>1</w:t>
      </w:r>
      <w:r>
        <w:rPr/>
        <w:t>）会计政策变更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1"/>
        <w:jc w:val="left"/>
      </w:pPr>
      <w:r>
        <w:rPr/>
        <w:t>本报告期主要会计政策是否变更</w:t>
      </w:r>
    </w:p>
    <w:p>
      <w:pPr>
        <w:pStyle w:val="BodyText"/>
        <w:spacing w:line="240" w:lineRule="auto" w:before="115"/>
        <w:ind w:right="1121"/>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1"/>
        </w:rPr>
        <w:t> </w:t>
      </w:r>
      <w:r>
        <w:rPr/>
        <w:t>否</w:t>
      </w:r>
    </w:p>
    <w:p>
      <w:pPr>
        <w:spacing w:line="240" w:lineRule="auto" w:before="3"/>
        <w:rPr>
          <w:rFonts w:ascii="宋体" w:hAnsi="宋体" w:cs="宋体" w:eastAsia="宋体" w:hint="default"/>
          <w:sz w:val="26"/>
          <w:szCs w:val="26"/>
        </w:rPr>
      </w:pPr>
    </w:p>
    <w:p>
      <w:pPr>
        <w:pStyle w:val="Heading3"/>
        <w:spacing w:line="240" w:lineRule="auto"/>
        <w:ind w:right="1121"/>
        <w:jc w:val="left"/>
        <w:rPr>
          <w:b w:val="0"/>
          <w:bCs w:val="0"/>
        </w:rPr>
      </w:pPr>
      <w:r>
        <w:rPr/>
        <w:t>（</w:t>
      </w:r>
      <w:r>
        <w:rPr>
          <w:rFonts w:ascii="Arial" w:hAnsi="Arial" w:cs="Arial" w:eastAsia="Arial" w:hint="default"/>
        </w:rPr>
        <w:t>2</w:t>
      </w:r>
      <w:r>
        <w:rPr/>
        <w:t>）会计估计变更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1"/>
        <w:jc w:val="left"/>
      </w:pPr>
      <w:r>
        <w:rPr/>
        <w:t>本报告期主要会计估计是否变更</w:t>
      </w:r>
    </w:p>
    <w:p>
      <w:pPr>
        <w:pStyle w:val="BodyText"/>
        <w:spacing w:line="240" w:lineRule="auto" w:before="117"/>
        <w:ind w:right="1121"/>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1"/>
        </w:rPr>
        <w:t> </w:t>
      </w:r>
      <w:r>
        <w:rPr/>
        <w:t>否</w:t>
      </w:r>
    </w:p>
    <w:p>
      <w:pPr>
        <w:spacing w:line="240" w:lineRule="auto" w:before="0"/>
        <w:rPr>
          <w:rFonts w:ascii="宋体" w:hAnsi="宋体" w:cs="宋体" w:eastAsia="宋体" w:hint="default"/>
          <w:sz w:val="26"/>
          <w:szCs w:val="26"/>
        </w:rPr>
      </w:pPr>
    </w:p>
    <w:p>
      <w:pPr>
        <w:pStyle w:val="Heading3"/>
        <w:spacing w:line="240" w:lineRule="auto"/>
        <w:ind w:right="1121"/>
        <w:jc w:val="left"/>
        <w:rPr>
          <w:b w:val="0"/>
          <w:bCs w:val="0"/>
        </w:rPr>
      </w:pPr>
      <w:r>
        <w:rPr>
          <w:rFonts w:ascii="Arial" w:hAnsi="Arial" w:cs="Arial" w:eastAsia="Arial" w:hint="default"/>
        </w:rPr>
        <w:t>29</w:t>
      </w:r>
      <w:r>
        <w:rPr/>
        <w:t>、前期会计差错更正</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1"/>
        <w:jc w:val="left"/>
      </w:pPr>
      <w:r>
        <w:rPr/>
        <w:t>本报告期是否发现前期会计差错</w:t>
      </w:r>
    </w:p>
    <w:p>
      <w:pPr>
        <w:pStyle w:val="BodyText"/>
        <w:spacing w:line="338" w:lineRule="auto" w:before="117"/>
        <w:ind w:right="967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1"/>
        </w:rPr>
        <w:t> </w:t>
      </w:r>
      <w:r>
        <w:rPr/>
        <w:t>否 不适用</w:t>
      </w:r>
    </w:p>
    <w:p>
      <w:pPr>
        <w:spacing w:line="240" w:lineRule="auto" w:before="7"/>
        <w:rPr>
          <w:rFonts w:ascii="宋体" w:hAnsi="宋体" w:cs="宋体" w:eastAsia="宋体" w:hint="default"/>
          <w:sz w:val="21"/>
          <w:szCs w:val="21"/>
        </w:rPr>
      </w:pPr>
    </w:p>
    <w:p>
      <w:pPr>
        <w:pStyle w:val="Heading3"/>
        <w:spacing w:line="240" w:lineRule="auto"/>
        <w:ind w:right="1121"/>
        <w:jc w:val="left"/>
        <w:rPr>
          <w:b w:val="0"/>
          <w:bCs w:val="0"/>
        </w:rPr>
      </w:pPr>
      <w:r>
        <w:rPr/>
        <w:t>（</w:t>
      </w:r>
      <w:r>
        <w:rPr>
          <w:rFonts w:ascii="Arial" w:hAnsi="Arial" w:cs="Arial" w:eastAsia="Arial" w:hint="default"/>
        </w:rPr>
        <w:t>1</w:t>
      </w:r>
      <w:r>
        <w:rPr/>
        <w:t>）追溯重述法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1"/>
        <w:jc w:val="left"/>
      </w:pPr>
      <w:r>
        <w:rPr/>
        <w:t>本报告期是否发现采用追溯重述法的前期会计差错</w:t>
      </w:r>
    </w:p>
    <w:p>
      <w:pPr>
        <w:pStyle w:val="BodyText"/>
        <w:spacing w:line="240" w:lineRule="auto" w:before="117"/>
        <w:ind w:right="1121"/>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1"/>
        </w:rPr>
        <w:t> </w:t>
      </w:r>
      <w:r>
        <w:rPr/>
        <w:t>否</w:t>
      </w:r>
    </w:p>
    <w:p>
      <w:pPr>
        <w:spacing w:line="240" w:lineRule="auto" w:before="0"/>
        <w:rPr>
          <w:rFonts w:ascii="宋体" w:hAnsi="宋体" w:cs="宋体" w:eastAsia="宋体" w:hint="default"/>
          <w:sz w:val="26"/>
          <w:szCs w:val="26"/>
        </w:rPr>
      </w:pPr>
    </w:p>
    <w:p>
      <w:pPr>
        <w:pStyle w:val="Heading3"/>
        <w:spacing w:line="240" w:lineRule="auto"/>
        <w:ind w:right="1121"/>
        <w:jc w:val="left"/>
        <w:rPr>
          <w:b w:val="0"/>
          <w:bCs w:val="0"/>
        </w:rPr>
      </w:pPr>
      <w:r>
        <w:rPr/>
        <w:t>（</w:t>
      </w:r>
      <w:r>
        <w:rPr>
          <w:rFonts w:ascii="Arial" w:hAnsi="Arial" w:cs="Arial" w:eastAsia="Arial" w:hint="default"/>
        </w:rPr>
        <w:t>2</w:t>
      </w:r>
      <w:r>
        <w:rPr/>
        <w:t>）未来适用法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1"/>
        <w:jc w:val="left"/>
      </w:pPr>
      <w:r>
        <w:rPr/>
        <w:t>本报告期是否发现采用未来适用法的前期会计差错</w:t>
      </w:r>
    </w:p>
    <w:p>
      <w:pPr>
        <w:pStyle w:val="BodyText"/>
        <w:spacing w:line="240" w:lineRule="auto" w:before="117"/>
        <w:ind w:right="1121"/>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1"/>
        </w:rPr>
        <w:t> </w:t>
      </w:r>
      <w:r>
        <w:rPr/>
        <w:t>否</w:t>
      </w:r>
    </w:p>
    <w:p>
      <w:pPr>
        <w:spacing w:line="240" w:lineRule="auto" w:before="3"/>
        <w:rPr>
          <w:rFonts w:ascii="宋体" w:hAnsi="宋体" w:cs="宋体" w:eastAsia="宋体" w:hint="default"/>
          <w:sz w:val="26"/>
          <w:szCs w:val="26"/>
        </w:rPr>
      </w:pPr>
    </w:p>
    <w:p>
      <w:pPr>
        <w:pStyle w:val="Heading3"/>
        <w:spacing w:line="240" w:lineRule="auto"/>
        <w:ind w:right="1121"/>
        <w:jc w:val="left"/>
        <w:rPr>
          <w:b w:val="0"/>
          <w:bCs w:val="0"/>
        </w:rPr>
      </w:pPr>
      <w:r>
        <w:rPr>
          <w:rFonts w:ascii="Arial" w:hAnsi="Arial" w:cs="Arial" w:eastAsia="Arial" w:hint="default"/>
        </w:rPr>
        <w:t>30</w:t>
      </w:r>
      <w:r>
        <w:rPr/>
        <w:t>、其他主要会计政策、会计估计和财务报表编制方法</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470" w:right="1121"/>
        <w:jc w:val="left"/>
      </w:pPr>
      <w:r>
        <w:rPr/>
        <w:t>不适用</w:t>
      </w:r>
    </w:p>
    <w:p>
      <w:pPr>
        <w:spacing w:line="240" w:lineRule="auto" w:before="4"/>
        <w:rPr>
          <w:rFonts w:ascii="宋体" w:hAnsi="宋体" w:cs="宋体" w:eastAsia="宋体" w:hint="default"/>
          <w:sz w:val="25"/>
          <w:szCs w:val="25"/>
        </w:rPr>
      </w:pPr>
    </w:p>
    <w:p>
      <w:pPr>
        <w:pStyle w:val="Heading2"/>
        <w:spacing w:line="240" w:lineRule="auto"/>
        <w:ind w:right="1121"/>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、公司主要税种和税率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05"/>
        <w:gridCol w:w="3024"/>
        <w:gridCol w:w="3027"/>
      </w:tblGrid>
      <w:tr>
        <w:trPr>
          <w:trHeight w:val="401"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17"/>
              <w:jc w:val="left"/>
              <w:rPr>
                <w:rFonts w:ascii="宋体" w:hAnsi="宋体" w:cs="宋体" w:eastAsia="宋体" w:hint="default"/>
                <w:sz w:val="18"/>
                <w:szCs w:val="18"/>
              </w:rPr>
            </w:pPr>
            <w:r>
              <w:rPr>
                <w:rFonts w:ascii="宋体" w:hAnsi="宋体" w:cs="宋体" w:eastAsia="宋体" w:hint="default"/>
                <w:spacing w:val="-6"/>
                <w:sz w:val="18"/>
                <w:szCs w:val="18"/>
              </w:rPr>
              <w:t>内销销售收入、加工及修理修配劳务收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入金额</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6" w:right="0"/>
              <w:jc w:val="left"/>
              <w:rPr>
                <w:rFonts w:ascii="Arial" w:hAnsi="Arial" w:cs="Arial" w:eastAsia="Arial" w:hint="default"/>
                <w:sz w:val="18"/>
                <w:szCs w:val="18"/>
              </w:rPr>
            </w:pPr>
            <w:r>
              <w:rPr>
                <w:rFonts w:ascii="Arial"/>
                <w:sz w:val="18"/>
              </w:rPr>
              <w:t>17%</w:t>
            </w:r>
          </w:p>
        </w:tc>
      </w:tr>
      <w:tr>
        <w:trPr>
          <w:trHeight w:val="394" w:hRule="exact"/>
        </w:trPr>
        <w:tc>
          <w:tcPr>
            <w:tcW w:w="35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161" w:hRule="exact"/>
        </w:trPr>
        <w:tc>
          <w:tcPr>
            <w:tcW w:w="3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1"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5"/>
              <w:jc w:val="center"/>
              <w:rPr>
                <w:rFonts w:ascii="宋体" w:hAnsi="宋体" w:cs="宋体" w:eastAsia="宋体" w:hint="default"/>
                <w:sz w:val="18"/>
                <w:szCs w:val="18"/>
              </w:rPr>
            </w:pPr>
            <w:r>
              <w:rPr>
                <w:rFonts w:ascii="宋体" w:hAnsi="宋体" w:cs="宋体" w:eastAsia="宋体" w:hint="default"/>
                <w:sz w:val="18"/>
                <w:szCs w:val="18"/>
              </w:rPr>
              <w:t>应税劳务收入</w:t>
            </w:r>
            <w:r>
              <w:rPr>
                <w:rFonts w:ascii="宋体" w:hAnsi="宋体" w:cs="宋体" w:eastAsia="宋体" w:hint="default"/>
                <w:spacing w:val="-92"/>
                <w:sz w:val="18"/>
                <w:szCs w:val="18"/>
              </w:rPr>
              <w:t>、</w:t>
            </w:r>
            <w:r>
              <w:rPr>
                <w:rFonts w:ascii="宋体" w:hAnsi="宋体" w:cs="宋体" w:eastAsia="宋体" w:hint="default"/>
                <w:sz w:val="18"/>
                <w:szCs w:val="18"/>
              </w:rPr>
              <w:t>转让无形资产</w:t>
            </w:r>
            <w:r>
              <w:rPr>
                <w:rFonts w:ascii="宋体" w:hAnsi="宋体" w:cs="宋体" w:eastAsia="宋体" w:hint="default"/>
                <w:spacing w:val="2"/>
                <w:sz w:val="18"/>
                <w:szCs w:val="18"/>
              </w:rPr>
              <w:t>及</w:t>
            </w:r>
            <w:r>
              <w:rPr>
                <w:rFonts w:ascii="宋体" w:hAnsi="宋体" w:cs="宋体" w:eastAsia="宋体" w:hint="default"/>
                <w:sz w:val="18"/>
                <w:szCs w:val="18"/>
              </w:rPr>
              <w:t>销售不</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6" w:right="0"/>
              <w:jc w:val="left"/>
              <w:rPr>
                <w:rFonts w:ascii="Arial" w:hAnsi="Arial" w:cs="Arial" w:eastAsia="Arial" w:hint="default"/>
                <w:sz w:val="18"/>
                <w:szCs w:val="18"/>
              </w:rPr>
            </w:pPr>
            <w:r>
              <w:rPr>
                <w:rFonts w:ascii="Arial"/>
                <w:sz w:val="18"/>
              </w:rPr>
              <w:t>5%</w:t>
            </w:r>
          </w:p>
        </w:tc>
      </w:tr>
    </w:tbl>
    <w:p>
      <w:pPr>
        <w:spacing w:after="0" w:line="240" w:lineRule="auto"/>
        <w:jc w:val="left"/>
        <w:rPr>
          <w:rFonts w:ascii="Arial" w:hAnsi="Arial" w:cs="Arial" w:eastAsia="Arial"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r>
        <w:rPr/>
        <w:pict>
          <v:group style="position:absolute;margin-left:460.320007pt;margin-top:764.919983pt;width:135pt;height:77pt;mso-position-horizontal-relative:page;mso-position-vertical-relative:page;z-index:-1033192"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107</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36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动产收入</w:t>
            </w: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Arial" w:hAnsi="Arial" w:cs="Arial" w:eastAsia="Arial" w:hint="default"/>
                <w:sz w:val="18"/>
                <w:szCs w:val="18"/>
              </w:rPr>
            </w:pPr>
            <w:r>
              <w:rPr>
                <w:rFonts w:ascii="Arial" w:hAnsi="Arial" w:cs="Arial" w:eastAsia="Arial" w:hint="default"/>
                <w:sz w:val="18"/>
                <w:szCs w:val="18"/>
              </w:rPr>
              <w:t>5%</w:t>
            </w:r>
            <w:r>
              <w:rPr>
                <w:rFonts w:ascii="宋体" w:hAnsi="宋体" w:cs="宋体" w:eastAsia="宋体" w:hint="default"/>
                <w:sz w:val="18"/>
                <w:szCs w:val="18"/>
              </w:rPr>
              <w:t>、</w:t>
            </w:r>
            <w:r>
              <w:rPr>
                <w:rFonts w:ascii="Arial" w:hAnsi="Arial" w:cs="Arial" w:eastAsia="Arial" w:hint="default"/>
                <w:sz w:val="18"/>
                <w:szCs w:val="18"/>
              </w:rPr>
              <w:t>7%</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Arial" w:hAnsi="Arial" w:cs="Arial" w:eastAsia="Arial" w:hint="default"/>
                <w:sz w:val="18"/>
                <w:szCs w:val="18"/>
              </w:rPr>
            </w:pPr>
            <w:r>
              <w:rPr>
                <w:rFonts w:ascii="Arial" w:hAnsi="Arial" w:cs="Arial" w:eastAsia="Arial" w:hint="default"/>
                <w:sz w:val="18"/>
                <w:szCs w:val="18"/>
              </w:rPr>
              <w:t>16.5%</w:t>
            </w:r>
            <w:r>
              <w:rPr>
                <w:rFonts w:ascii="宋体" w:hAnsi="宋体" w:cs="宋体" w:eastAsia="宋体" w:hint="default"/>
                <w:sz w:val="18"/>
                <w:szCs w:val="18"/>
              </w:rPr>
              <w:t>、</w:t>
            </w:r>
            <w:r>
              <w:rPr>
                <w:rFonts w:ascii="Arial" w:hAnsi="Arial" w:cs="Arial" w:eastAsia="Arial" w:hint="default"/>
                <w:sz w:val="18"/>
                <w:szCs w:val="18"/>
              </w:rPr>
              <w:t>25%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6" w:right="0"/>
              <w:jc w:val="left"/>
              <w:rPr>
                <w:rFonts w:ascii="Arial" w:hAnsi="Arial" w:cs="Arial" w:eastAsia="Arial" w:hint="default"/>
                <w:sz w:val="18"/>
                <w:szCs w:val="18"/>
              </w:rPr>
            </w:pPr>
            <w:r>
              <w:rPr>
                <w:rFonts w:ascii="Arial"/>
                <w:sz w:val="18"/>
              </w:rPr>
              <w:t>3%</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6" w:right="0"/>
              <w:jc w:val="left"/>
              <w:rPr>
                <w:rFonts w:ascii="Arial" w:hAnsi="Arial" w:cs="Arial" w:eastAsia="Arial" w:hint="default"/>
                <w:sz w:val="18"/>
                <w:szCs w:val="18"/>
              </w:rPr>
            </w:pPr>
            <w:r>
              <w:rPr>
                <w:rFonts w:ascii="Arial"/>
                <w:sz w:val="18"/>
              </w:rPr>
              <w:t>2%</w:t>
            </w:r>
          </w:p>
        </w:tc>
      </w:tr>
    </w:tbl>
    <w:p>
      <w:pPr>
        <w:pStyle w:val="BodyText"/>
        <w:spacing w:line="357" w:lineRule="auto" w:before="49"/>
        <w:ind w:right="8054"/>
        <w:jc w:val="left"/>
      </w:pPr>
      <w:r>
        <w:rPr/>
        <w:t>各分公司、分厂执行的所得税税率 企业所得税基本税率</w:t>
      </w:r>
    </w:p>
    <w:p>
      <w:pPr>
        <w:pStyle w:val="BodyText"/>
        <w:spacing w:line="237" w:lineRule="exact"/>
        <w:ind w:left="573" w:right="1121"/>
        <w:jc w:val="left"/>
      </w:pPr>
      <w:r>
        <w:rPr>
          <w:rFonts w:ascii="Arial" w:hAnsi="Arial" w:cs="Arial" w:eastAsia="Arial" w:hint="default"/>
        </w:rPr>
        <w:t>A</w:t>
      </w:r>
      <w:r>
        <w:rPr/>
        <w:t>、本公司及下属的在中国境内的控股子公司企业所得税税率为</w:t>
      </w:r>
      <w:r>
        <w:rPr>
          <w:rFonts w:ascii="Arial" w:hAnsi="Arial" w:cs="Arial" w:eastAsia="Arial" w:hint="default"/>
        </w:rPr>
        <w:t>25</w:t>
      </w:r>
      <w:r>
        <w:rPr/>
        <w:t>％；</w:t>
      </w:r>
    </w:p>
    <w:p>
      <w:pPr>
        <w:pStyle w:val="BodyText"/>
        <w:spacing w:line="302" w:lineRule="auto" w:before="63"/>
        <w:ind w:right="1121" w:firstLine="420"/>
        <w:jc w:val="left"/>
      </w:pPr>
      <w:r>
        <w:rPr>
          <w:rFonts w:ascii="Arial" w:hAnsi="Arial" w:cs="Arial" w:eastAsia="Arial" w:hint="default"/>
          <w:spacing w:val="-1"/>
        </w:rPr>
        <w:t>B</w:t>
      </w:r>
      <w:r>
        <w:rPr>
          <w:spacing w:val="-1"/>
        </w:rPr>
        <w:t>、本公司之控股子公司茂硕能源科技（香港）国际有限公司（以下简称</w:t>
      </w:r>
      <w:r>
        <w:rPr>
          <w:rFonts w:ascii="Arial" w:hAnsi="Arial" w:cs="Arial" w:eastAsia="Arial" w:hint="default"/>
          <w:spacing w:val="-1"/>
        </w:rPr>
        <w:t>“</w:t>
      </w:r>
      <w:r>
        <w:rPr>
          <w:spacing w:val="-1"/>
        </w:rPr>
        <w:t>香港茂硕</w:t>
      </w:r>
      <w:r>
        <w:rPr>
          <w:rFonts w:ascii="Arial" w:hAnsi="Arial" w:cs="Arial" w:eastAsia="Arial" w:hint="default"/>
          <w:spacing w:val="-1"/>
        </w:rPr>
        <w:t>”</w:t>
      </w:r>
      <w:r>
        <w:rPr>
          <w:spacing w:val="-1"/>
        </w:rPr>
        <w:t>）依照香港立法局颁布的《税务条</w:t>
      </w:r>
      <w:r>
        <w:rPr>
          <w:w w:val="100"/>
        </w:rPr>
        <w:t> </w:t>
      </w:r>
      <w:r>
        <w:rPr/>
        <w:t>例》，依据课税年度的应纳税所得额按</w:t>
      </w:r>
      <w:r>
        <w:rPr>
          <w:rFonts w:ascii="Arial" w:hAnsi="Arial" w:cs="Arial" w:eastAsia="Arial" w:hint="default"/>
        </w:rPr>
        <w:t>16.5</w:t>
      </w:r>
      <w:r>
        <w:rPr/>
        <w:t>％的税率缴纳利得税。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2"/>
        <w:ind w:right="1121"/>
        <w:jc w:val="left"/>
        <w:rPr>
          <w:b w:val="0"/>
          <w:bCs w:val="0"/>
        </w:rPr>
      </w:pPr>
      <w:r>
        <w:rPr>
          <w:rFonts w:ascii="Arial" w:hAnsi="Arial" w:cs="Arial" w:eastAsia="Arial" w:hint="default"/>
        </w:rPr>
        <w:t>2</w:t>
      </w:r>
      <w:r>
        <w:rPr/>
        <w:t>、税收优惠及批文</w:t>
      </w:r>
      <w:r>
        <w:rPr>
          <w:b w:val="0"/>
          <w:bCs w:val="0"/>
        </w:rPr>
      </w:r>
    </w:p>
    <w:p>
      <w:pPr>
        <w:spacing w:line="240" w:lineRule="auto" w:before="5"/>
        <w:rPr>
          <w:rFonts w:ascii="宋体" w:hAnsi="宋体" w:cs="宋体" w:eastAsia="宋体" w:hint="default"/>
          <w:b/>
          <w:bCs/>
          <w:sz w:val="26"/>
          <w:szCs w:val="26"/>
        </w:rPr>
      </w:pPr>
    </w:p>
    <w:p>
      <w:pPr>
        <w:pStyle w:val="BodyText"/>
        <w:spacing w:line="302" w:lineRule="auto"/>
        <w:ind w:right="1128" w:firstLine="420"/>
        <w:jc w:val="both"/>
      </w:pPr>
      <w:r>
        <w:rPr>
          <w:rFonts w:ascii="Arial" w:hAnsi="Arial" w:cs="Arial" w:eastAsia="Arial" w:hint="default"/>
        </w:rPr>
        <w:t>2009</w:t>
      </w:r>
      <w:r>
        <w:rPr/>
        <w:t>年</w:t>
      </w:r>
      <w:r>
        <w:rPr>
          <w:rFonts w:ascii="Arial" w:hAnsi="Arial" w:cs="Arial" w:eastAsia="Arial" w:hint="default"/>
        </w:rPr>
        <w:t>6</w:t>
      </w:r>
      <w:r>
        <w:rPr/>
        <w:t>月</w:t>
      </w:r>
      <w:r>
        <w:rPr>
          <w:rFonts w:ascii="Arial" w:hAnsi="Arial" w:cs="Arial" w:eastAsia="Arial" w:hint="default"/>
        </w:rPr>
        <w:t>27</w:t>
      </w:r>
      <w:r>
        <w:rPr/>
        <w:t>日，本公司取得深圳市科技和信息局、深圳市财政局、深圳市国家税务局、地方税务局联合颁发的高新 </w:t>
      </w:r>
      <w:r>
        <w:rPr>
          <w:spacing w:val="-1"/>
        </w:rPr>
        <w:t>技术企业证书，号码为</w:t>
      </w:r>
      <w:r>
        <w:rPr>
          <w:rFonts w:ascii="Arial" w:hAnsi="Arial" w:cs="Arial" w:eastAsia="Arial" w:hint="default"/>
          <w:spacing w:val="-1"/>
        </w:rPr>
        <w:t>GR200944200032</w:t>
      </w:r>
      <w:r>
        <w:rPr>
          <w:spacing w:val="-1"/>
        </w:rPr>
        <w:t>。根据深圳市国家税务局税收优惠登记备案通知书深国税南减免备案</w:t>
      </w:r>
      <w:r>
        <w:rPr>
          <w:rFonts w:ascii="Arial" w:hAnsi="Arial" w:cs="Arial" w:eastAsia="Arial" w:hint="default"/>
          <w:spacing w:val="-1"/>
        </w:rPr>
        <w:t>[2009]336</w:t>
      </w:r>
      <w:r>
        <w:rPr>
          <w:spacing w:val="-1"/>
        </w:rPr>
        <w:t>号</w:t>
      </w:r>
      <w:r>
        <w:rPr>
          <w:spacing w:val="-48"/>
        </w:rPr>
        <w:t> </w:t>
      </w:r>
      <w:r>
        <w:rPr/>
        <w:t>文件，本公司</w:t>
      </w:r>
      <w:r>
        <w:rPr>
          <w:rFonts w:ascii="Arial" w:hAnsi="Arial" w:cs="Arial" w:eastAsia="Arial" w:hint="default"/>
        </w:rPr>
        <w:t>2009</w:t>
      </w:r>
      <w:r>
        <w:rPr/>
        <w:t>年</w:t>
      </w:r>
      <w:r>
        <w:rPr>
          <w:rFonts w:ascii="Arial" w:hAnsi="Arial" w:cs="Arial" w:eastAsia="Arial" w:hint="default"/>
        </w:rPr>
        <w:t>1</w:t>
      </w:r>
      <w:r>
        <w:rPr/>
        <w:t>月</w:t>
      </w:r>
      <w:r>
        <w:rPr>
          <w:rFonts w:ascii="Arial" w:hAnsi="Arial" w:cs="Arial" w:eastAsia="Arial" w:hint="default"/>
        </w:rPr>
        <w:t>1</w:t>
      </w:r>
      <w:r>
        <w:rPr/>
        <w:t>日至</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日符合税收优惠备案条件，本公司</w:t>
      </w:r>
      <w:r>
        <w:rPr>
          <w:rFonts w:ascii="Arial" w:hAnsi="Arial" w:cs="Arial" w:eastAsia="Arial" w:hint="default"/>
        </w:rPr>
        <w:t>2011</w:t>
      </w:r>
      <w:r>
        <w:rPr/>
        <w:t>年度企业所得税税率为</w:t>
      </w:r>
      <w:r>
        <w:rPr>
          <w:rFonts w:ascii="Arial" w:hAnsi="Arial" w:cs="Arial" w:eastAsia="Arial" w:hint="default"/>
        </w:rPr>
        <w:t>15%</w:t>
      </w:r>
      <w:r>
        <w:rPr/>
        <w:t>。</w:t>
      </w:r>
    </w:p>
    <w:p>
      <w:pPr>
        <w:pStyle w:val="BodyText"/>
        <w:spacing w:line="302" w:lineRule="auto" w:before="11"/>
        <w:ind w:right="1121" w:firstLine="420"/>
        <w:jc w:val="left"/>
      </w:pPr>
      <w:r>
        <w:rPr>
          <w:rFonts w:ascii="Arial" w:hAnsi="Arial" w:cs="Arial" w:eastAsia="Arial" w:hint="default"/>
        </w:rPr>
        <w:t>2012</w:t>
      </w:r>
      <w:r>
        <w:rPr/>
        <w:t>年</w:t>
      </w:r>
      <w:r>
        <w:rPr>
          <w:rFonts w:ascii="Arial" w:hAnsi="Arial" w:cs="Arial" w:eastAsia="Arial" w:hint="default"/>
        </w:rPr>
        <w:t>9</w:t>
      </w:r>
      <w:r>
        <w:rPr/>
        <w:t>月</w:t>
      </w:r>
      <w:r>
        <w:rPr>
          <w:rFonts w:ascii="Arial" w:hAnsi="Arial" w:cs="Arial" w:eastAsia="Arial" w:hint="default"/>
        </w:rPr>
        <w:t>12</w:t>
      </w:r>
      <w:r>
        <w:rPr/>
        <w:t>日，本公司取得深圳市科技创新委员会、深圳市财政委员会、深圳市国家税务局、深圳市地方税务局联 合颁发的高新技术企业证书，证书编号：</w:t>
      </w:r>
      <w:r>
        <w:rPr>
          <w:rFonts w:ascii="Arial" w:hAnsi="Arial" w:cs="Arial" w:eastAsia="Arial" w:hint="default"/>
        </w:rPr>
        <w:t>GF201244200443</w:t>
      </w:r>
      <w:r>
        <w:rPr/>
        <w:t>，有效期</w:t>
      </w:r>
      <w:r>
        <w:rPr>
          <w:rFonts w:ascii="Arial" w:hAnsi="Arial" w:cs="Arial" w:eastAsia="Arial" w:hint="default"/>
        </w:rPr>
        <w:t>3</w:t>
      </w:r>
      <w:r>
        <w:rPr/>
        <w:t>年，本公司</w:t>
      </w:r>
      <w:r>
        <w:rPr>
          <w:rFonts w:ascii="Arial" w:hAnsi="Arial" w:cs="Arial" w:eastAsia="Arial" w:hint="default"/>
        </w:rPr>
        <w:t>2012</w:t>
      </w:r>
      <w:r>
        <w:rPr/>
        <w:t>年度的企业所得税率为</w:t>
      </w:r>
      <w:r>
        <w:rPr>
          <w:rFonts w:ascii="Arial" w:hAnsi="Arial" w:cs="Arial" w:eastAsia="Arial" w:hint="default"/>
        </w:rPr>
        <w:t>15%</w:t>
      </w:r>
      <w:r>
        <w:rPr/>
        <w:t>。</w:t>
      </w:r>
    </w:p>
    <w:p>
      <w:pPr>
        <w:pStyle w:val="BodyText"/>
        <w:spacing w:line="302" w:lineRule="auto" w:before="11"/>
        <w:ind w:right="1053" w:firstLine="420"/>
        <w:jc w:val="left"/>
      </w:pPr>
      <w:r>
        <w:rPr>
          <w:rFonts w:ascii="Arial" w:hAnsi="Arial" w:cs="Arial" w:eastAsia="Arial" w:hint="default"/>
        </w:rPr>
        <w:t>2012</w:t>
      </w:r>
      <w:r>
        <w:rPr/>
        <w:t>年</w:t>
      </w:r>
      <w:r>
        <w:rPr>
          <w:rFonts w:ascii="Arial" w:hAnsi="Arial" w:cs="Arial" w:eastAsia="Arial" w:hint="default"/>
        </w:rPr>
        <w:t>11</w:t>
      </w:r>
      <w:r>
        <w:rPr/>
        <w:t>月</w:t>
      </w:r>
      <w:r>
        <w:rPr>
          <w:rFonts w:ascii="Arial" w:hAnsi="Arial" w:cs="Arial" w:eastAsia="Arial" w:hint="default"/>
        </w:rPr>
        <w:t>5</w:t>
      </w:r>
      <w:r>
        <w:rPr/>
        <w:t>日，深圳茂硕电子科技有限公司（以下简称</w:t>
      </w:r>
      <w:r>
        <w:rPr>
          <w:rFonts w:ascii="Arial" w:hAnsi="Arial" w:cs="Arial" w:eastAsia="Arial" w:hint="default"/>
        </w:rPr>
        <w:t>“</w:t>
      </w:r>
      <w:r>
        <w:rPr/>
        <w:t>茂硕电子</w:t>
      </w:r>
      <w:r>
        <w:rPr>
          <w:rFonts w:ascii="Arial" w:hAnsi="Arial" w:cs="Arial" w:eastAsia="Arial" w:hint="default"/>
        </w:rPr>
        <w:t>”</w:t>
      </w:r>
      <w:r>
        <w:rPr/>
        <w:t>取得深圳市科技创新委员会、深圳市财政委员会、 深圳市国家税务局、深圳市地方税务局联合颁发的高新技术企业证书，证书编号：</w:t>
      </w:r>
      <w:r>
        <w:rPr>
          <w:rFonts w:ascii="Arial" w:hAnsi="Arial" w:cs="Arial" w:eastAsia="Arial" w:hint="default"/>
        </w:rPr>
        <w:t>GF201244200830</w:t>
      </w:r>
      <w:r>
        <w:rPr/>
        <w:t>，有效期</w:t>
      </w:r>
      <w:r>
        <w:rPr>
          <w:rFonts w:ascii="Arial" w:hAnsi="Arial" w:cs="Arial" w:eastAsia="Arial" w:hint="default"/>
        </w:rPr>
        <w:t>3</w:t>
      </w:r>
      <w:r>
        <w:rPr/>
        <w:t>年，茂硕电</w:t>
      </w:r>
      <w:r>
        <w:rPr>
          <w:spacing w:val="-3"/>
        </w:rPr>
        <w:t> </w:t>
      </w:r>
      <w:r>
        <w:rPr/>
        <w:t>子</w:t>
      </w:r>
      <w:r>
        <w:rPr>
          <w:rFonts w:ascii="Arial" w:hAnsi="Arial" w:cs="Arial" w:eastAsia="Arial" w:hint="default"/>
        </w:rPr>
        <w:t>2012</w:t>
      </w:r>
      <w:r>
        <w:rPr/>
        <w:t>年度的企业所得税率为</w:t>
      </w:r>
      <w:r>
        <w:rPr>
          <w:rFonts w:ascii="Arial" w:hAnsi="Arial" w:cs="Arial" w:eastAsia="Arial" w:hint="default"/>
        </w:rPr>
        <w:t>15%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2"/>
        <w:ind w:right="1121"/>
        <w:jc w:val="left"/>
        <w:rPr>
          <w:b w:val="0"/>
          <w:bCs w:val="0"/>
        </w:rPr>
      </w:pPr>
      <w:r>
        <w:rPr>
          <w:rFonts w:ascii="Arial" w:hAnsi="Arial" w:cs="Arial" w:eastAsia="Arial" w:hint="default"/>
        </w:rPr>
        <w:t>3</w:t>
      </w:r>
      <w:r>
        <w:rPr/>
        <w:t>、其他说明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451" w:right="9895"/>
        <w:jc w:val="center"/>
      </w:pPr>
      <w:r>
        <w:rPr/>
        <w:t>不适用</w:t>
      </w:r>
    </w:p>
    <w:p>
      <w:pPr>
        <w:spacing w:line="240" w:lineRule="auto" w:before="3"/>
        <w:rPr>
          <w:rFonts w:ascii="宋体" w:hAnsi="宋体" w:cs="宋体" w:eastAsia="宋体" w:hint="default"/>
          <w:sz w:val="25"/>
          <w:szCs w:val="25"/>
        </w:rPr>
      </w:pPr>
    </w:p>
    <w:p>
      <w:pPr>
        <w:pStyle w:val="Heading2"/>
        <w:spacing w:line="240" w:lineRule="auto"/>
        <w:ind w:right="1121"/>
        <w:jc w:val="left"/>
        <w:rPr>
          <w:b w:val="0"/>
          <w:bCs w:val="0"/>
        </w:rPr>
      </w:pPr>
      <w:r>
        <w:rPr/>
        <w:t>六、企业合并及合并财务报表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、子公司情况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）通过设立或投资等方式取得的子公司</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254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105" w:right="62" w:hanging="39"/>
              <w:jc w:val="left"/>
              <w:rPr>
                <w:rFonts w:ascii="Arial" w:hAnsi="Arial" w:cs="Arial" w:eastAsia="Arial" w:hint="default"/>
                <w:sz w:val="18"/>
                <w:szCs w:val="18"/>
              </w:rPr>
            </w:pPr>
            <w:r>
              <w:rPr>
                <w:rFonts w:ascii="宋体" w:hAnsi="宋体" w:cs="宋体" w:eastAsia="宋体" w:hint="default"/>
                <w:sz w:val="18"/>
                <w:szCs w:val="18"/>
              </w:rPr>
              <w:t>持股比 例</w:t>
            </w:r>
            <w:r>
              <w:rPr>
                <w:rFonts w:ascii="Arial" w:hAnsi="Arial" w:cs="Arial" w:eastAsia="Arial"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38" w:lineRule="auto"/>
              <w:ind w:left="67" w:right="65"/>
              <w:jc w:val="center"/>
              <w:rPr>
                <w:rFonts w:ascii="Arial" w:hAnsi="Arial" w:cs="Arial" w:eastAsia="Arial" w:hint="default"/>
                <w:sz w:val="18"/>
                <w:szCs w:val="18"/>
              </w:rPr>
            </w:pPr>
            <w:r>
              <w:rPr>
                <w:rFonts w:ascii="宋体" w:hAnsi="宋体" w:cs="宋体" w:eastAsia="宋体" w:hint="default"/>
                <w:sz w:val="18"/>
                <w:szCs w:val="18"/>
              </w:rPr>
              <w:t>表决权 比例 </w:t>
            </w:r>
            <w:r>
              <w:rPr>
                <w:rFonts w:ascii="Arial" w:hAnsi="Arial" w:cs="Arial" w:eastAsia="Arial"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w:t>
            </w:r>
          </w:p>
        </w:tc>
      </w:tr>
    </w:tbl>
    <w:p>
      <w:pPr>
        <w:spacing w:after="0" w:line="316" w:lineRule="auto"/>
        <w:jc w:val="both"/>
        <w:rPr>
          <w:rFonts w:ascii="宋体" w:hAnsi="宋体" w:cs="宋体" w:eastAsia="宋体" w:hint="default"/>
          <w:sz w:val="18"/>
          <w:szCs w:val="18"/>
        </w:rPr>
        <w:sectPr>
          <w:headerReference w:type="default" r:id="rId58"/>
          <w:footerReference w:type="default" r:id="rId59"/>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171"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损超过 少数股 东在该 子公司 年初所 有者权 益中所 享有份 额后的 余额</w:t>
            </w:r>
          </w:p>
        </w:tc>
      </w:tr>
      <w:tr>
        <w:trPr>
          <w:trHeight w:val="1066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深圳茂 硕新能 源技术 研究院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Arial" w:hAnsi="Arial" w:cs="Arial" w:eastAsia="Arial" w:hint="default"/>
                <w:sz w:val="18"/>
                <w:szCs w:val="18"/>
              </w:rPr>
            </w:pPr>
            <w:r>
              <w:rPr>
                <w:rFonts w:ascii="Arial"/>
                <w:sz w:val="18"/>
              </w:rPr>
              <w:t>100000</w:t>
            </w:r>
          </w:p>
          <w:p>
            <w:pPr>
              <w:pStyle w:val="TableParagraph"/>
              <w:spacing w:line="240" w:lineRule="auto" w:before="102"/>
              <w:ind w:left="23" w:right="0"/>
              <w:jc w:val="left"/>
              <w:rPr>
                <w:rFonts w:ascii="Arial" w:hAnsi="Arial" w:cs="Arial" w:eastAsia="Arial" w:hint="default"/>
                <w:sz w:val="18"/>
                <w:szCs w:val="18"/>
              </w:rPr>
            </w:pPr>
            <w:r>
              <w:rPr>
                <w:rFonts w:ascii="Arial"/>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6"/>
              <w:jc w:val="both"/>
              <w:rPr>
                <w:rFonts w:ascii="宋体" w:hAnsi="宋体" w:cs="宋体" w:eastAsia="宋体" w:hint="default"/>
                <w:sz w:val="18"/>
                <w:szCs w:val="18"/>
              </w:rPr>
            </w:pPr>
            <w:r>
              <w:rPr>
                <w:rFonts w:ascii="宋体" w:hAnsi="宋体" w:cs="宋体" w:eastAsia="宋体" w:hint="default"/>
                <w:sz w:val="18"/>
                <w:szCs w:val="18"/>
              </w:rPr>
              <w:t>提供新 能源和 再生能 源的储 能系统 解决方 案；</w:t>
            </w:r>
          </w:p>
          <w:p>
            <w:pPr>
              <w:pStyle w:val="TableParagraph"/>
              <w:spacing w:line="240" w:lineRule="auto" w:before="58"/>
              <w:ind w:left="23" w:right="0"/>
              <w:jc w:val="left"/>
              <w:rPr>
                <w:rFonts w:ascii="Arial" w:hAnsi="Arial" w:cs="Arial" w:eastAsia="Arial" w:hint="default"/>
                <w:sz w:val="18"/>
                <w:szCs w:val="18"/>
              </w:rPr>
            </w:pPr>
            <w:r>
              <w:rPr>
                <w:rFonts w:ascii="Arial"/>
                <w:sz w:val="18"/>
              </w:rPr>
              <w:t>DC/DC</w:t>
            </w:r>
          </w:p>
          <w:p>
            <w:pPr>
              <w:pStyle w:val="TableParagraph"/>
              <w:spacing w:line="316"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高效、 高密度 模块电 源的设 </w:t>
            </w:r>
            <w:r>
              <w:rPr>
                <w:rFonts w:ascii="宋体" w:hAnsi="宋体" w:cs="宋体" w:eastAsia="宋体" w:hint="default"/>
                <w:spacing w:val="-17"/>
                <w:w w:val="99"/>
                <w:sz w:val="18"/>
                <w:szCs w:val="18"/>
              </w:rPr>
              <w:t>计；</w:t>
            </w:r>
            <w:r>
              <w:rPr>
                <w:rFonts w:ascii="Arial" w:hAnsi="Arial" w:cs="Arial" w:eastAsia="Arial" w:hint="default"/>
                <w:spacing w:val="-17"/>
                <w:w w:val="99"/>
                <w:sz w:val="18"/>
                <w:szCs w:val="18"/>
              </w:rPr>
              <w:t>LED</w:t>
            </w:r>
            <w:r>
              <w:rPr>
                <w:rFonts w:ascii="Arial" w:hAnsi="Arial" w:cs="Arial" w:eastAsia="Arial" w:hint="default"/>
                <w:w w:val="99"/>
                <w:sz w:val="18"/>
                <w:szCs w:val="18"/>
              </w:rPr>
              <w:t> </w:t>
            </w:r>
            <w:r>
              <w:rPr>
                <w:rFonts w:ascii="宋体" w:hAnsi="宋体" w:cs="宋体" w:eastAsia="宋体" w:hint="default"/>
                <w:sz w:val="18"/>
                <w:szCs w:val="18"/>
              </w:rPr>
              <w:t>新一代 数字驱 动智能 化电源 的设 计；计 算机的 辅助设 计、模 拟、仿 真系统 服务平 台及测 试系统 的开 发、销 售及相 应的技 术服务</w:t>
            </w:r>
          </w:p>
          <w:p>
            <w:pPr>
              <w:pStyle w:val="TableParagraph"/>
              <w:spacing w:line="316" w:lineRule="auto" w:before="18"/>
              <w:ind w:left="23" w:right="107"/>
              <w:jc w:val="left"/>
              <w:rPr>
                <w:rFonts w:ascii="宋体" w:hAnsi="宋体" w:cs="宋体" w:eastAsia="宋体" w:hint="default"/>
                <w:sz w:val="18"/>
                <w:szCs w:val="18"/>
              </w:rPr>
            </w:pPr>
            <w:r>
              <w:rPr>
                <w:rFonts w:ascii="宋体" w:hAnsi="宋体" w:cs="宋体" w:eastAsia="宋体" w:hint="default"/>
                <w:sz w:val="18"/>
                <w:szCs w:val="18"/>
              </w:rPr>
              <w:t>（以上 法律、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0" w:right="0"/>
              <w:jc w:val="left"/>
              <w:rPr>
                <w:rFonts w:ascii="Arial" w:hAnsi="Arial" w:cs="Arial" w:eastAsia="Arial" w:hint="default"/>
                <w:sz w:val="18"/>
                <w:szCs w:val="18"/>
              </w:rPr>
            </w:pPr>
            <w:r>
              <w:rPr>
                <w:rFonts w:ascii="Arial"/>
                <w:sz w:val="18"/>
              </w:rPr>
              <w:t>10,000,</w:t>
            </w:r>
          </w:p>
          <w:p>
            <w:pPr>
              <w:pStyle w:val="TableParagraph"/>
              <w:spacing w:line="240" w:lineRule="auto" w:before="102"/>
              <w:ind w:left="100" w:right="0"/>
              <w:jc w:val="left"/>
              <w:rPr>
                <w:rFonts w:ascii="Arial" w:hAnsi="Arial" w:cs="Arial" w:eastAsia="Arial" w:hint="default"/>
                <w:sz w:val="18"/>
                <w:szCs w:val="18"/>
              </w:rPr>
            </w:pPr>
            <w:r>
              <w:rPr>
                <w:rFonts w:ascii="Arial"/>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89" w:right="0"/>
              <w:jc w:val="left"/>
              <w:rPr>
                <w:rFonts w:ascii="Arial" w:hAnsi="Arial" w:cs="Arial" w:eastAsia="Arial" w:hint="default"/>
                <w:sz w:val="18"/>
                <w:szCs w:val="18"/>
              </w:rPr>
            </w:pPr>
            <w:r>
              <w:rPr>
                <w:rFonts w:ascii="Arial"/>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89" w:right="0"/>
              <w:jc w:val="left"/>
              <w:rPr>
                <w:rFonts w:ascii="Arial" w:hAnsi="Arial" w:cs="Arial" w:eastAsia="Arial" w:hint="default"/>
                <w:sz w:val="18"/>
                <w:szCs w:val="18"/>
              </w:rPr>
            </w:pPr>
            <w:r>
              <w:rPr>
                <w:rFonts w:ascii="Arial"/>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0"/>
          <w:pgSz w:w="11910" w:h="16840"/>
          <w:pgMar w:footer="1340" w:header="877" w:top="1060" w:bottom="1540" w:left="980" w:right="0"/>
          <w:pgNumType w:start="108"/>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795"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行政法 规、国 务院决 定禁止 的项目 除外， 限制的 项目须 取得许 可后方 可经 </w:t>
            </w:r>
            <w:r>
              <w:rPr>
                <w:rFonts w:ascii="宋体" w:hAnsi="宋体" w:cs="宋体" w:eastAsia="宋体" w:hint="default"/>
                <w:spacing w:val="-31"/>
                <w:sz w:val="18"/>
                <w:szCs w:val="18"/>
              </w:rPr>
              <w:t>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976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4" w:right="108"/>
              <w:jc w:val="both"/>
              <w:rPr>
                <w:rFonts w:ascii="宋体" w:hAnsi="宋体" w:cs="宋体" w:eastAsia="宋体" w:hint="default"/>
                <w:sz w:val="18"/>
                <w:szCs w:val="18"/>
              </w:rPr>
            </w:pPr>
            <w:r>
              <w:rPr>
                <w:rFonts w:ascii="宋体" w:hAnsi="宋体" w:cs="宋体" w:eastAsia="宋体" w:hint="default"/>
                <w:sz w:val="18"/>
                <w:szCs w:val="18"/>
              </w:rPr>
              <w:t>惠州茂 硕能源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Arial" w:hAnsi="Arial" w:cs="Arial" w:eastAsia="Arial" w:hint="default"/>
                <w:sz w:val="18"/>
                <w:szCs w:val="18"/>
              </w:rPr>
            </w:pPr>
            <w:r>
              <w:rPr>
                <w:rFonts w:ascii="Arial"/>
                <w:sz w:val="18"/>
              </w:rPr>
              <w:t>100000</w:t>
            </w:r>
          </w:p>
          <w:p>
            <w:pPr>
              <w:pStyle w:val="TableParagraph"/>
              <w:spacing w:line="240" w:lineRule="auto" w:before="105"/>
              <w:ind w:left="23" w:right="0"/>
              <w:jc w:val="left"/>
              <w:rPr>
                <w:rFonts w:ascii="Arial" w:hAnsi="Arial" w:cs="Arial" w:eastAsia="Arial" w:hint="default"/>
                <w:sz w:val="18"/>
                <w:szCs w:val="18"/>
              </w:rPr>
            </w:pPr>
            <w:r>
              <w:rPr>
                <w:rFonts w:ascii="Arial"/>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生产、 销售： 大功率 </w:t>
            </w:r>
            <w:r>
              <w:rPr>
                <w:rFonts w:ascii="Arial" w:hAnsi="Arial" w:cs="Arial" w:eastAsia="Arial" w:hint="default"/>
                <w:sz w:val="18"/>
                <w:szCs w:val="18"/>
              </w:rPr>
              <w:t>LED</w:t>
            </w:r>
            <w:r>
              <w:rPr>
                <w:rFonts w:ascii="Arial" w:hAnsi="Arial" w:cs="Arial" w:eastAsia="Arial" w:hint="default"/>
                <w:spacing w:val="-6"/>
                <w:sz w:val="18"/>
                <w:szCs w:val="18"/>
              </w:rPr>
              <w:t> </w:t>
            </w:r>
            <w:r>
              <w:rPr>
                <w:rFonts w:ascii="宋体" w:hAnsi="宋体" w:cs="宋体" w:eastAsia="宋体" w:hint="default"/>
                <w:sz w:val="18"/>
                <w:szCs w:val="18"/>
              </w:rPr>
              <w:t>路</w:t>
            </w: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灯电 源、隧 道灯电 源、汽 车充电 器、光 伏并网 逆变 器、开 关电 源、变 压器、 电子元 器件、 五金塑 胶配 件；货 物出口 业务</w:t>
            </w:r>
          </w:p>
          <w:p>
            <w:pPr>
              <w:pStyle w:val="TableParagraph"/>
              <w:spacing w:line="316" w:lineRule="auto" w:before="19"/>
              <w:ind w:left="23" w:right="107"/>
              <w:jc w:val="left"/>
              <w:rPr>
                <w:rFonts w:ascii="宋体" w:hAnsi="宋体" w:cs="宋体" w:eastAsia="宋体" w:hint="default"/>
                <w:sz w:val="18"/>
                <w:szCs w:val="18"/>
              </w:rPr>
            </w:pPr>
            <w:r>
              <w:rPr>
                <w:rFonts w:ascii="宋体" w:hAnsi="宋体" w:cs="宋体" w:eastAsia="宋体" w:hint="default"/>
                <w:sz w:val="18"/>
                <w:szCs w:val="18"/>
              </w:rPr>
              <w:t>（法 律、行 政法规 禁止 的、限 制的项 目除 </w:t>
            </w:r>
            <w:r>
              <w:rPr>
                <w:rFonts w:ascii="宋体" w:hAnsi="宋体" w:cs="宋体" w:eastAsia="宋体" w:hint="default"/>
                <w:spacing w:val="-31"/>
                <w:sz w:val="18"/>
                <w:szCs w:val="18"/>
              </w:rPr>
              <w:t>外）。</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0"/>
              <w:jc w:val="right"/>
              <w:rPr>
                <w:rFonts w:ascii="Arial" w:hAnsi="Arial" w:cs="Arial" w:eastAsia="Arial" w:hint="default"/>
                <w:sz w:val="18"/>
                <w:szCs w:val="18"/>
              </w:rPr>
            </w:pPr>
            <w:r>
              <w:rPr>
                <w:rFonts w:ascii="Arial"/>
                <w:spacing w:val="-1"/>
                <w:sz w:val="18"/>
              </w:rPr>
              <w:t>280,77</w:t>
            </w:r>
          </w:p>
          <w:p>
            <w:pPr>
              <w:pStyle w:val="TableParagraph"/>
              <w:spacing w:line="240" w:lineRule="auto" w:before="105"/>
              <w:ind w:right="20"/>
              <w:jc w:val="right"/>
              <w:rPr>
                <w:rFonts w:ascii="Arial" w:hAnsi="Arial" w:cs="Arial" w:eastAsia="Arial" w:hint="default"/>
                <w:sz w:val="18"/>
                <w:szCs w:val="18"/>
              </w:rPr>
            </w:pPr>
            <w:r>
              <w:rPr>
                <w:rFonts w:ascii="Arial"/>
                <w:spacing w:val="-1"/>
                <w:sz w:val="18"/>
              </w:rPr>
              <w:t>0,000.0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89" w:right="0"/>
              <w:jc w:val="left"/>
              <w:rPr>
                <w:rFonts w:ascii="Arial" w:hAnsi="Arial" w:cs="Arial" w:eastAsia="Arial" w:hint="default"/>
                <w:sz w:val="18"/>
                <w:szCs w:val="18"/>
              </w:rPr>
            </w:pPr>
            <w:r>
              <w:rPr>
                <w:rFonts w:ascii="Arial"/>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89" w:right="0"/>
              <w:jc w:val="left"/>
              <w:rPr>
                <w:rFonts w:ascii="Arial" w:hAnsi="Arial" w:cs="Arial" w:eastAsia="Arial" w:hint="default"/>
                <w:sz w:val="18"/>
                <w:szCs w:val="18"/>
              </w:rPr>
            </w:pPr>
            <w:r>
              <w:rPr>
                <w:rFonts w:ascii="Arial"/>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33144" coordorigin="9206,15298" coordsize="2700,1540">
            <v:shape style="position:absolute;left:9206;top:15298;width:2700;height:1540" type="#_x0000_t75" stroked="false">
              <v:imagedata r:id="rId15" o:title=""/>
            </v:shape>
            <v:shape style="position:absolute;left:10509;top:15659;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110</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789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深圳茂 硕电子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8"/>
              <w:ind w:left="26" w:right="105"/>
              <w:jc w:val="left"/>
              <w:rPr>
                <w:rFonts w:ascii="宋体" w:hAnsi="宋体" w:cs="宋体" w:eastAsia="宋体" w:hint="default"/>
                <w:sz w:val="18"/>
                <w:szCs w:val="18"/>
              </w:rPr>
            </w:pPr>
            <w:r>
              <w:rPr>
                <w:rFonts w:ascii="宋体" w:hAnsi="宋体" w:cs="宋体" w:eastAsia="宋体" w:hint="default"/>
                <w:sz w:val="18"/>
                <w:szCs w:val="18"/>
              </w:rPr>
              <w:t>有限责 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Arial" w:hAnsi="Arial" w:cs="Arial" w:eastAsia="Arial" w:hint="default"/>
                <w:sz w:val="18"/>
                <w:szCs w:val="18"/>
              </w:rPr>
            </w:pPr>
            <w:r>
              <w:rPr>
                <w:rFonts w:ascii="Arial"/>
                <w:sz w:val="18"/>
              </w:rPr>
              <w:t>980000</w:t>
            </w:r>
          </w:p>
          <w:p>
            <w:pPr>
              <w:pStyle w:val="TableParagraph"/>
              <w:spacing w:line="240" w:lineRule="auto" w:before="105"/>
              <w:ind w:left="23" w:right="0"/>
              <w:jc w:val="left"/>
              <w:rPr>
                <w:rFonts w:ascii="Arial" w:hAnsi="Arial" w:cs="Arial" w:eastAsia="Arial" w:hint="default"/>
                <w:sz w:val="18"/>
                <w:szCs w:val="18"/>
              </w:rPr>
            </w:pPr>
            <w:r>
              <w:rPr>
                <w:rFonts w:ascii="Arial"/>
                <w:w w:val="99"/>
                <w:sz w:val="18"/>
              </w:rPr>
              <w:t>0</w:t>
            </w:r>
            <w:r>
              <w:rPr>
                <w:rFonts w:ascii="Arial"/>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开关电 源、变 压器、 电感的 设计、 技术开 发、生 产和销 售；经 营进出 口业务</w:t>
            </w:r>
          </w:p>
          <w:p>
            <w:pPr>
              <w:pStyle w:val="TableParagraph"/>
              <w:spacing w:line="316" w:lineRule="auto" w:before="19"/>
              <w:ind w:left="23" w:right="107"/>
              <w:jc w:val="left"/>
              <w:rPr>
                <w:rFonts w:ascii="宋体" w:hAnsi="宋体" w:cs="宋体" w:eastAsia="宋体" w:hint="default"/>
                <w:sz w:val="18"/>
                <w:szCs w:val="18"/>
              </w:rPr>
            </w:pPr>
            <w:r>
              <w:rPr>
                <w:rFonts w:ascii="宋体" w:hAnsi="宋体" w:cs="宋体" w:eastAsia="宋体" w:hint="default"/>
                <w:sz w:val="18"/>
                <w:szCs w:val="18"/>
              </w:rPr>
              <w:t>（法 律、行 政法 规、国 务院决 定禁止 的项目 除外， 限制的 项目须 取得许 可后方 可经 </w:t>
            </w:r>
            <w:r>
              <w:rPr>
                <w:rFonts w:ascii="宋体" w:hAnsi="宋体" w:cs="宋体" w:eastAsia="宋体" w:hint="default"/>
                <w:spacing w:val="-31"/>
                <w:sz w:val="18"/>
                <w:szCs w:val="18"/>
              </w:rPr>
              <w:t>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50" w:right="0"/>
              <w:jc w:val="left"/>
              <w:rPr>
                <w:rFonts w:ascii="Arial" w:hAnsi="Arial" w:cs="Arial" w:eastAsia="Arial" w:hint="default"/>
                <w:sz w:val="18"/>
                <w:szCs w:val="18"/>
              </w:rPr>
            </w:pPr>
            <w:r>
              <w:rPr>
                <w:rFonts w:ascii="Arial"/>
                <w:sz w:val="18"/>
              </w:rPr>
              <w:t>10,437,</w:t>
            </w:r>
          </w:p>
          <w:p>
            <w:pPr>
              <w:pStyle w:val="TableParagraph"/>
              <w:spacing w:line="240" w:lineRule="auto" w:before="105"/>
              <w:ind w:left="100" w:right="0"/>
              <w:jc w:val="left"/>
              <w:rPr>
                <w:rFonts w:ascii="Arial" w:hAnsi="Arial" w:cs="Arial" w:eastAsia="Arial" w:hint="default"/>
                <w:sz w:val="18"/>
                <w:szCs w:val="18"/>
              </w:rPr>
            </w:pPr>
            <w:r>
              <w:rPr>
                <w:rFonts w:ascii="Arial"/>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Arial" w:hAnsi="Arial" w:cs="Arial" w:eastAsia="Arial" w:hint="default"/>
                <w:sz w:val="18"/>
                <w:szCs w:val="18"/>
              </w:rPr>
            </w:pPr>
            <w:r>
              <w:rPr>
                <w:rFonts w:ascii="Arial"/>
                <w:w w:val="95"/>
                <w:sz w:val="18"/>
              </w:rPr>
              <w:t>100%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9"/>
              <w:jc w:val="right"/>
              <w:rPr>
                <w:rFonts w:ascii="Arial" w:hAnsi="Arial" w:cs="Arial" w:eastAsia="Arial" w:hint="default"/>
                <w:sz w:val="18"/>
                <w:szCs w:val="18"/>
              </w:rPr>
            </w:pPr>
            <w:r>
              <w:rPr>
                <w:rFonts w:ascii="Arial"/>
                <w:w w:val="95"/>
                <w:sz w:val="18"/>
              </w:rPr>
              <w:t>100%</w:t>
            </w:r>
            <w:r>
              <w:rPr>
                <w:rFonts w:ascii="Arial"/>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02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北京茂 硕新能 源科技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其他有 限责任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Arial" w:hAnsi="Arial" w:cs="Arial" w:eastAsia="Arial" w:hint="default"/>
                <w:sz w:val="18"/>
                <w:szCs w:val="18"/>
              </w:rPr>
            </w:pPr>
            <w:r>
              <w:rPr>
                <w:rFonts w:ascii="Arial"/>
                <w:sz w:val="18"/>
              </w:rPr>
              <w:t>100000</w:t>
            </w:r>
          </w:p>
          <w:p>
            <w:pPr>
              <w:pStyle w:val="TableParagraph"/>
              <w:spacing w:line="240" w:lineRule="auto" w:before="103"/>
              <w:ind w:left="23" w:right="0"/>
              <w:jc w:val="left"/>
              <w:rPr>
                <w:rFonts w:ascii="Arial" w:hAnsi="Arial" w:cs="Arial" w:eastAsia="Arial" w:hint="default"/>
                <w:sz w:val="18"/>
                <w:szCs w:val="18"/>
              </w:rPr>
            </w:pPr>
            <w:r>
              <w:rPr>
                <w:rFonts w:ascii="Arial"/>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技术推 广服 务；应 用软件 服务； 销售机 械设备 五金交 电、家 用电 器、计 算机软 件及辅 助设 备、通 讯设 备、电 子产 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7" w:right="0"/>
              <w:jc w:val="center"/>
              <w:rPr>
                <w:rFonts w:ascii="Arial" w:hAnsi="Arial" w:cs="Arial" w:eastAsia="Arial" w:hint="default"/>
                <w:sz w:val="18"/>
                <w:szCs w:val="18"/>
              </w:rPr>
            </w:pPr>
            <w:r>
              <w:rPr>
                <w:rFonts w:ascii="Arial"/>
                <w:sz w:val="18"/>
              </w:rPr>
              <w:t>9,900,0</w:t>
            </w:r>
          </w:p>
          <w:p>
            <w:pPr>
              <w:pStyle w:val="TableParagraph"/>
              <w:spacing w:line="240" w:lineRule="auto" w:before="103"/>
              <w:ind w:left="176" w:right="0"/>
              <w:jc w:val="center"/>
              <w:rPr>
                <w:rFonts w:ascii="Arial" w:hAnsi="Arial" w:cs="Arial" w:eastAsia="Arial" w:hint="default"/>
                <w:sz w:val="18"/>
                <w:szCs w:val="18"/>
              </w:rPr>
            </w:pPr>
            <w:r>
              <w:rPr>
                <w:rFonts w:ascii="Arial"/>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w w:val="95"/>
                <w:sz w:val="18"/>
              </w:rPr>
              <w:t>100%</w:t>
            </w:r>
            <w:r>
              <w:rPr>
                <w:rFonts w:ascii="Arial"/>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1"/>
          <w:footerReference w:type="default" r:id="rId62"/>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687"/>
        <w:gridCol w:w="684"/>
        <w:gridCol w:w="684"/>
        <w:gridCol w:w="682"/>
        <w:gridCol w:w="684"/>
        <w:gridCol w:w="682"/>
        <w:gridCol w:w="684"/>
        <w:gridCol w:w="684"/>
        <w:gridCol w:w="682"/>
        <w:gridCol w:w="684"/>
        <w:gridCol w:w="682"/>
        <w:gridCol w:w="685"/>
        <w:gridCol w:w="682"/>
        <w:gridCol w:w="684"/>
      </w:tblGrid>
      <w:tr>
        <w:trPr>
          <w:trHeight w:val="6332"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11"/>
              <w:jc w:val="left"/>
              <w:rPr>
                <w:rFonts w:ascii="宋体" w:hAnsi="宋体" w:cs="宋体" w:eastAsia="宋体" w:hint="default"/>
                <w:sz w:val="18"/>
                <w:szCs w:val="18"/>
              </w:rPr>
            </w:pPr>
            <w:r>
              <w:rPr>
                <w:rFonts w:ascii="宋体" w:hAnsi="宋体" w:cs="宋体" w:eastAsia="宋体" w:hint="default"/>
                <w:sz w:val="18"/>
                <w:szCs w:val="18"/>
              </w:rPr>
              <w:t>茂硕能 源科技</w:t>
            </w:r>
          </w:p>
          <w:p>
            <w:pPr>
              <w:pStyle w:val="TableParagraph"/>
              <w:spacing w:line="319" w:lineRule="auto" w:before="19"/>
              <w:ind w:left="24" w:right="111"/>
              <w:jc w:val="left"/>
              <w:rPr>
                <w:rFonts w:ascii="宋体" w:hAnsi="宋体" w:cs="宋体" w:eastAsia="宋体" w:hint="default"/>
                <w:sz w:val="18"/>
                <w:szCs w:val="18"/>
              </w:rPr>
            </w:pPr>
            <w:r>
              <w:rPr>
                <w:rFonts w:ascii="宋体" w:hAnsi="宋体" w:cs="宋体" w:eastAsia="宋体" w:hint="default"/>
                <w:sz w:val="18"/>
                <w:szCs w:val="18"/>
              </w:rPr>
              <w:t>（香 港）国 际有限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62" w:lineRule="auto"/>
              <w:ind w:left="23" w:right="47"/>
              <w:jc w:val="left"/>
              <w:rPr>
                <w:rFonts w:ascii="Arial" w:hAnsi="Arial" w:cs="Arial" w:eastAsia="Arial" w:hint="default"/>
                <w:sz w:val="18"/>
                <w:szCs w:val="18"/>
              </w:rPr>
            </w:pPr>
            <w:r>
              <w:rPr>
                <w:rFonts w:ascii="Arial"/>
                <w:sz w:val="18"/>
              </w:rPr>
              <w:t>HKD10</w:t>
            </w:r>
            <w:r>
              <w:rPr>
                <w:rFonts w:ascii="Arial"/>
                <w:w w:val="99"/>
                <w:sz w:val="18"/>
              </w:rPr>
              <w:t> </w:t>
            </w:r>
            <w:r>
              <w:rPr>
                <w:rFonts w:ascii="Arial"/>
                <w:sz w:val="18"/>
              </w:rPr>
              <w:t>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大功率</w:t>
            </w:r>
          </w:p>
          <w:p>
            <w:pPr>
              <w:pStyle w:val="TableParagraph"/>
              <w:spacing w:line="240" w:lineRule="auto" w:before="77"/>
              <w:ind w:left="23" w:right="0"/>
              <w:jc w:val="left"/>
              <w:rPr>
                <w:rFonts w:ascii="宋体" w:hAnsi="宋体" w:cs="宋体" w:eastAsia="宋体" w:hint="default"/>
                <w:sz w:val="18"/>
                <w:szCs w:val="18"/>
              </w:rPr>
            </w:pPr>
            <w:r>
              <w:rPr>
                <w:rFonts w:ascii="Arial" w:hAnsi="Arial" w:cs="Arial" w:eastAsia="Arial" w:hint="default"/>
                <w:sz w:val="18"/>
                <w:szCs w:val="18"/>
              </w:rPr>
              <w:t>LED</w:t>
            </w:r>
            <w:r>
              <w:rPr>
                <w:rFonts w:ascii="Arial" w:hAnsi="Arial" w:cs="Arial" w:eastAsia="Arial" w:hint="default"/>
                <w:spacing w:val="-6"/>
                <w:sz w:val="18"/>
                <w:szCs w:val="18"/>
              </w:rPr>
              <w:t> </w:t>
            </w:r>
            <w:r>
              <w:rPr>
                <w:rFonts w:ascii="宋体" w:hAnsi="宋体" w:cs="宋体" w:eastAsia="宋体" w:hint="default"/>
                <w:sz w:val="18"/>
                <w:szCs w:val="18"/>
              </w:rPr>
              <w:t>路</w:t>
            </w:r>
          </w:p>
          <w:p>
            <w:pPr>
              <w:pStyle w:val="TableParagraph"/>
              <w:spacing w:line="316" w:lineRule="auto" w:before="63"/>
              <w:ind w:left="23" w:right="107"/>
              <w:jc w:val="left"/>
              <w:rPr>
                <w:rFonts w:ascii="宋体" w:hAnsi="宋体" w:cs="宋体" w:eastAsia="宋体" w:hint="default"/>
                <w:sz w:val="18"/>
                <w:szCs w:val="18"/>
              </w:rPr>
            </w:pPr>
            <w:r>
              <w:rPr>
                <w:rFonts w:ascii="宋体" w:hAnsi="宋体" w:cs="宋体" w:eastAsia="宋体" w:hint="default"/>
                <w:sz w:val="18"/>
                <w:szCs w:val="18"/>
              </w:rPr>
              <w:t>灯电 源、汽 车充电 器、太 阳能逆 变器、 开关电 源、变 压器的 采购和 销售； 电子元 器件、 五金塑 胶配件 的采购 和销售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78" w:right="0"/>
              <w:jc w:val="center"/>
              <w:rPr>
                <w:rFonts w:ascii="Arial" w:hAnsi="Arial" w:cs="Arial" w:eastAsia="Arial" w:hint="default"/>
                <w:sz w:val="18"/>
                <w:szCs w:val="18"/>
              </w:rPr>
            </w:pPr>
            <w:r>
              <w:rPr>
                <w:rFonts w:ascii="Arial"/>
                <w:sz w:val="18"/>
              </w:rPr>
              <w:t>854,12</w:t>
            </w:r>
          </w:p>
          <w:p>
            <w:pPr>
              <w:pStyle w:val="TableParagraph"/>
              <w:spacing w:line="240" w:lineRule="auto" w:before="105"/>
              <w:ind w:left="277" w:right="0"/>
              <w:jc w:val="center"/>
              <w:rPr>
                <w:rFonts w:ascii="Arial" w:hAnsi="Arial" w:cs="Arial" w:eastAsia="Arial" w:hint="default"/>
                <w:sz w:val="18"/>
                <w:szCs w:val="18"/>
              </w:rPr>
            </w:pPr>
            <w:r>
              <w:rPr>
                <w:rFonts w:ascii="Arial"/>
                <w:sz w:val="18"/>
              </w:rPr>
              <w:t>6.65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89" w:right="0"/>
              <w:jc w:val="left"/>
              <w:rPr>
                <w:rFonts w:ascii="Arial" w:hAnsi="Arial" w:cs="Arial" w:eastAsia="Arial" w:hint="default"/>
                <w:sz w:val="18"/>
                <w:szCs w:val="18"/>
              </w:rPr>
            </w:pPr>
            <w:r>
              <w:rPr>
                <w:rFonts w:ascii="Arial"/>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89" w:right="0"/>
              <w:jc w:val="left"/>
              <w:rPr>
                <w:rFonts w:ascii="Arial" w:hAnsi="Arial" w:cs="Arial" w:eastAsia="Arial" w:hint="default"/>
                <w:sz w:val="18"/>
                <w:szCs w:val="18"/>
              </w:rPr>
            </w:pPr>
            <w:r>
              <w:rPr>
                <w:rFonts w:ascii="Arial"/>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1"/>
        <w:jc w:val="left"/>
      </w:pPr>
      <w:r>
        <w:rPr/>
        <w:t>通过设立或投资等方式取得的子公司的其他说明</w:t>
      </w:r>
    </w:p>
    <w:p>
      <w:pPr>
        <w:pStyle w:val="BodyText"/>
        <w:spacing w:line="302" w:lineRule="auto" w:before="115"/>
        <w:ind w:right="1129"/>
        <w:jc w:val="both"/>
      </w:pPr>
      <w:r>
        <w:rPr>
          <w:rFonts w:ascii="Arial" w:hAnsi="Arial" w:cs="Arial" w:eastAsia="Arial" w:hint="default"/>
        </w:rPr>
        <w:t>1</w:t>
      </w:r>
      <w:r>
        <w:rPr/>
        <w:t>、深圳茂硕新能源技术研究院有限公司（以下简称</w:t>
      </w:r>
      <w:r>
        <w:rPr>
          <w:rFonts w:ascii="Arial" w:hAnsi="Arial" w:cs="Arial" w:eastAsia="Arial" w:hint="default"/>
        </w:rPr>
        <w:t>“</w:t>
      </w:r>
      <w:r>
        <w:rPr/>
        <w:t>茂硕研究院</w:t>
      </w:r>
      <w:r>
        <w:rPr>
          <w:rFonts w:ascii="Arial" w:hAnsi="Arial" w:cs="Arial" w:eastAsia="Arial" w:hint="default"/>
        </w:rPr>
        <w:t>”</w:t>
      </w:r>
      <w:r>
        <w:rPr/>
        <w:t>）成立于</w:t>
      </w:r>
      <w:r>
        <w:rPr>
          <w:rFonts w:ascii="Arial" w:hAnsi="Arial" w:cs="Arial" w:eastAsia="Arial" w:hint="default"/>
        </w:rPr>
        <w:t>2008</w:t>
      </w:r>
      <w:r>
        <w:rPr/>
        <w:t>年</w:t>
      </w:r>
      <w:r>
        <w:rPr>
          <w:rFonts w:ascii="Arial" w:hAnsi="Arial" w:cs="Arial" w:eastAsia="Arial" w:hint="default"/>
        </w:rPr>
        <w:t>4</w:t>
      </w:r>
      <w:r>
        <w:rPr/>
        <w:t>月</w:t>
      </w:r>
      <w:r>
        <w:rPr>
          <w:rFonts w:ascii="Arial" w:hAnsi="Arial" w:cs="Arial" w:eastAsia="Arial" w:hint="default"/>
        </w:rPr>
        <w:t>1</w:t>
      </w:r>
      <w:r>
        <w:rPr/>
        <w:t>日，前身为深圳茂硕电子软件技术有 限公司，成立时注册资本为人民币</w:t>
      </w:r>
      <w:r>
        <w:rPr>
          <w:rFonts w:ascii="Arial" w:hAnsi="Arial" w:cs="Arial" w:eastAsia="Arial" w:hint="default"/>
        </w:rPr>
        <w:t>200</w:t>
      </w:r>
      <w:r>
        <w:rPr/>
        <w:t>万元，为本公司投资设立的全资子公司。</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5</w:t>
      </w:r>
      <w:r>
        <w:rPr/>
        <w:t>日，本公司对茂硕研究院增资 </w:t>
      </w:r>
      <w:r>
        <w:rPr>
          <w:rFonts w:ascii="Arial" w:hAnsi="Arial" w:cs="Arial" w:eastAsia="Arial" w:hint="default"/>
        </w:rPr>
        <w:t>800</w:t>
      </w:r>
      <w:r>
        <w:rPr/>
        <w:t>万元，增资后茂硕研究院的实收资本为</w:t>
      </w:r>
      <w:r>
        <w:rPr>
          <w:rFonts w:ascii="Arial" w:hAnsi="Arial" w:cs="Arial" w:eastAsia="Arial" w:hint="default"/>
        </w:rPr>
        <w:t>1,000</w:t>
      </w:r>
      <w:r>
        <w:rPr/>
        <w:t>万元。</w:t>
      </w:r>
    </w:p>
    <w:p>
      <w:pPr>
        <w:pStyle w:val="BodyText"/>
        <w:spacing w:line="302" w:lineRule="auto" w:before="11"/>
        <w:ind w:right="1028"/>
        <w:jc w:val="left"/>
      </w:pPr>
      <w:r>
        <w:rPr>
          <w:rFonts w:ascii="Arial" w:hAnsi="Arial" w:cs="Arial" w:eastAsia="Arial" w:hint="default"/>
        </w:rPr>
        <w:t>2</w:t>
      </w:r>
      <w:r>
        <w:rPr/>
        <w:t>、惠州茂硕能源科技有限公司（以下简称</w:t>
      </w:r>
      <w:r>
        <w:rPr>
          <w:rFonts w:ascii="Arial" w:hAnsi="Arial" w:cs="Arial" w:eastAsia="Arial" w:hint="default"/>
        </w:rPr>
        <w:t>“</w:t>
      </w:r>
      <w:r>
        <w:rPr/>
        <w:t>惠州茂硕</w:t>
      </w:r>
      <w:r>
        <w:rPr>
          <w:rFonts w:ascii="Arial" w:hAnsi="Arial" w:cs="Arial" w:eastAsia="Arial" w:hint="default"/>
        </w:rPr>
        <w:t>”</w:t>
      </w:r>
      <w:r>
        <w:rPr/>
        <w:t>）成立于</w:t>
      </w:r>
      <w:r>
        <w:rPr>
          <w:rFonts w:ascii="Arial" w:hAnsi="Arial" w:cs="Arial" w:eastAsia="Arial" w:hint="default"/>
        </w:rPr>
        <w:t>2009</w:t>
      </w:r>
      <w:r>
        <w:rPr/>
        <w:t>年</w:t>
      </w:r>
      <w:r>
        <w:rPr>
          <w:rFonts w:ascii="Arial" w:hAnsi="Arial" w:cs="Arial" w:eastAsia="Arial" w:hint="default"/>
        </w:rPr>
        <w:t>10</w:t>
      </w:r>
      <w:r>
        <w:rPr/>
        <w:t>月</w:t>
      </w:r>
      <w:r>
        <w:rPr>
          <w:rFonts w:ascii="Arial" w:hAnsi="Arial" w:cs="Arial" w:eastAsia="Arial" w:hint="default"/>
        </w:rPr>
        <w:t>14</w:t>
      </w:r>
      <w:r>
        <w:rPr/>
        <w:t>日，成立时注册资本人民币</w:t>
      </w:r>
      <w:r>
        <w:rPr>
          <w:rFonts w:ascii="Arial" w:hAnsi="Arial" w:cs="Arial" w:eastAsia="Arial" w:hint="default"/>
        </w:rPr>
        <w:t>800</w:t>
      </w:r>
      <w:r>
        <w:rPr/>
        <w:t>万元，本公司 及本公司之全资子公司茂硕研究院各占比</w:t>
      </w:r>
      <w:r>
        <w:rPr>
          <w:rFonts w:ascii="Arial" w:hAnsi="Arial" w:cs="Arial" w:eastAsia="Arial" w:hint="default"/>
        </w:rPr>
        <w:t>95%</w:t>
      </w:r>
      <w:r>
        <w:rPr/>
        <w:t>、</w:t>
      </w:r>
      <w:r>
        <w:rPr>
          <w:rFonts w:ascii="Arial" w:hAnsi="Arial" w:cs="Arial" w:eastAsia="Arial" w:hint="default"/>
        </w:rPr>
        <w:t>5%</w:t>
      </w:r>
      <w:r>
        <w:rPr/>
        <w:t>；</w:t>
      </w:r>
      <w:r>
        <w:rPr>
          <w:rFonts w:ascii="Arial" w:hAnsi="Arial" w:cs="Arial" w:eastAsia="Arial" w:hint="default"/>
        </w:rPr>
        <w:t>2012</w:t>
      </w:r>
      <w:r>
        <w:rPr/>
        <w:t>年</w:t>
      </w:r>
      <w:r>
        <w:rPr>
          <w:rFonts w:ascii="Arial" w:hAnsi="Arial" w:cs="Arial" w:eastAsia="Arial" w:hint="default"/>
        </w:rPr>
        <w:t>4</w:t>
      </w:r>
      <w:r>
        <w:rPr/>
        <w:t>月</w:t>
      </w:r>
      <w:r>
        <w:rPr>
          <w:rFonts w:ascii="Arial" w:hAnsi="Arial" w:cs="Arial" w:eastAsia="Arial" w:hint="default"/>
        </w:rPr>
        <w:t>10</w:t>
      </w:r>
      <w:r>
        <w:rPr/>
        <w:t>日，本公司对惠州茂硕增资</w:t>
      </w:r>
      <w:r>
        <w:rPr>
          <w:rFonts w:ascii="Arial" w:hAnsi="Arial" w:cs="Arial" w:eastAsia="Arial" w:hint="default"/>
        </w:rPr>
        <w:t>9200</w:t>
      </w:r>
      <w:r>
        <w:rPr/>
        <w:t>万元，本次增资后及本 公司之全资子公司茂硕研究院各占</w:t>
      </w:r>
      <w:r>
        <w:rPr>
          <w:rFonts w:ascii="Arial" w:hAnsi="Arial" w:cs="Arial" w:eastAsia="Arial" w:hint="default"/>
        </w:rPr>
        <w:t>99.6%</w:t>
      </w:r>
      <w:r>
        <w:rPr/>
        <w:t>、</w:t>
      </w:r>
      <w:r>
        <w:rPr>
          <w:rFonts w:ascii="Arial" w:hAnsi="Arial" w:cs="Arial" w:eastAsia="Arial" w:hint="default"/>
        </w:rPr>
        <w:t>0.4%</w:t>
      </w:r>
      <w:r>
        <w:rPr/>
        <w:t>。 </w:t>
      </w:r>
      <w:r>
        <w:rPr>
          <w:rFonts w:ascii="Arial" w:hAnsi="Arial" w:cs="Arial" w:eastAsia="Arial" w:hint="default"/>
        </w:rPr>
        <w:t>3</w:t>
      </w:r>
      <w:r>
        <w:rPr/>
        <w:t>、深圳茂硕电子科技有限公司（以下简称</w:t>
      </w:r>
      <w:r>
        <w:rPr>
          <w:rFonts w:ascii="Arial" w:hAnsi="Arial" w:cs="Arial" w:eastAsia="Arial" w:hint="default"/>
        </w:rPr>
        <w:t>“</w:t>
      </w:r>
      <w:r>
        <w:rPr/>
        <w:t>茂硕电子</w:t>
      </w:r>
      <w:r>
        <w:rPr>
          <w:rFonts w:ascii="Arial" w:hAnsi="Arial" w:cs="Arial" w:eastAsia="Arial" w:hint="default"/>
        </w:rPr>
        <w:t>”</w:t>
      </w:r>
      <w:r>
        <w:rPr/>
        <w:t>）前身为深圳茂硕磁性元件技术有限公司，成立于</w:t>
      </w:r>
      <w:r>
        <w:rPr>
          <w:rFonts w:ascii="Arial" w:hAnsi="Arial" w:cs="Arial" w:eastAsia="Arial" w:hint="default"/>
        </w:rPr>
        <w:t>2009</w:t>
      </w:r>
      <w:r>
        <w:rPr/>
        <w:t>年</w:t>
      </w:r>
      <w:r>
        <w:rPr>
          <w:rFonts w:ascii="Arial" w:hAnsi="Arial" w:cs="Arial" w:eastAsia="Arial" w:hint="default"/>
        </w:rPr>
        <w:t>11</w:t>
      </w:r>
      <w:r>
        <w:rPr/>
        <w:t>月</w:t>
      </w:r>
      <w:r>
        <w:rPr>
          <w:rFonts w:ascii="Arial" w:hAnsi="Arial" w:cs="Arial" w:eastAsia="Arial" w:hint="default"/>
        </w:rPr>
        <w:t>27</w:t>
      </w:r>
      <w:r>
        <w:rPr/>
        <w:t>日，</w:t>
      </w:r>
      <w:r>
        <w:rPr>
          <w:spacing w:val="-3"/>
        </w:rPr>
        <w:t> </w:t>
      </w:r>
      <w:r>
        <w:rPr>
          <w:spacing w:val="-1"/>
        </w:rPr>
        <w:t>成立时注册资本人民币</w:t>
      </w:r>
      <w:r>
        <w:rPr>
          <w:rFonts w:ascii="Arial" w:hAnsi="Arial" w:cs="Arial" w:eastAsia="Arial" w:hint="default"/>
          <w:spacing w:val="-1"/>
        </w:rPr>
        <w:t>250</w:t>
      </w:r>
      <w:r>
        <w:rPr>
          <w:spacing w:val="-1"/>
        </w:rPr>
        <w:t>万元，由本公司、张敏春、严旭各投资</w:t>
      </w:r>
      <w:r>
        <w:rPr>
          <w:rFonts w:ascii="Arial" w:hAnsi="Arial" w:cs="Arial" w:eastAsia="Arial" w:hint="default"/>
          <w:spacing w:val="-1"/>
        </w:rPr>
        <w:t>127.5</w:t>
      </w:r>
      <w:r>
        <w:rPr>
          <w:spacing w:val="-1"/>
        </w:rPr>
        <w:t>万元、</w:t>
      </w:r>
      <w:r>
        <w:rPr>
          <w:rFonts w:ascii="Arial" w:hAnsi="Arial" w:cs="Arial" w:eastAsia="Arial" w:hint="default"/>
          <w:spacing w:val="-1"/>
        </w:rPr>
        <w:t>75</w:t>
      </w:r>
      <w:r>
        <w:rPr>
          <w:spacing w:val="-1"/>
        </w:rPr>
        <w:t>万元、</w:t>
      </w:r>
      <w:r>
        <w:rPr>
          <w:rFonts w:ascii="Arial" w:hAnsi="Arial" w:cs="Arial" w:eastAsia="Arial" w:hint="default"/>
          <w:spacing w:val="-1"/>
        </w:rPr>
        <w:t>47.5</w:t>
      </w:r>
      <w:r>
        <w:rPr>
          <w:spacing w:val="-1"/>
        </w:rPr>
        <w:t>万元，分别占注册资本的</w:t>
      </w:r>
      <w:r>
        <w:rPr>
          <w:rFonts w:ascii="Arial" w:hAnsi="Arial" w:cs="Arial" w:eastAsia="Arial" w:hint="default"/>
          <w:spacing w:val="-1"/>
        </w:rPr>
        <w:t>51%</w:t>
      </w:r>
      <w:r>
        <w:rPr>
          <w:spacing w:val="-1"/>
        </w:rPr>
        <w:t>，</w:t>
      </w:r>
      <w:r>
        <w:rPr>
          <w:spacing w:val="-74"/>
        </w:rPr>
        <w:t> </w:t>
      </w:r>
      <w:r>
        <w:rPr>
          <w:rFonts w:ascii="Arial" w:hAnsi="Arial" w:cs="Arial" w:eastAsia="Arial" w:hint="default"/>
        </w:rPr>
        <w:t>30%</w:t>
      </w:r>
      <w:r>
        <w:rPr/>
        <w:t>、</w:t>
      </w:r>
      <w:r>
        <w:rPr>
          <w:rFonts w:ascii="Arial" w:hAnsi="Arial" w:cs="Arial" w:eastAsia="Arial" w:hint="default"/>
        </w:rPr>
        <w:t>19%</w:t>
      </w:r>
      <w:r>
        <w:rPr/>
        <w:t>。</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7</w:t>
      </w:r>
      <w:r>
        <w:rPr/>
        <w:t>日，张敏春、严旭与本公司签订了股权转让书，分别以</w:t>
      </w:r>
      <w:r>
        <w:rPr>
          <w:rFonts w:ascii="Arial" w:hAnsi="Arial" w:cs="Arial" w:eastAsia="Arial" w:hint="default"/>
        </w:rPr>
        <w:t>114</w:t>
      </w:r>
      <w:r>
        <w:rPr/>
        <w:t>万元、</w:t>
      </w:r>
      <w:r>
        <w:rPr>
          <w:rFonts w:ascii="Arial" w:hAnsi="Arial" w:cs="Arial" w:eastAsia="Arial" w:hint="default"/>
        </w:rPr>
        <w:t>72.2</w:t>
      </w:r>
      <w:r>
        <w:rPr/>
        <w:t>万元的价格将其持有的茂</w:t>
      </w:r>
      <w:r>
        <w:rPr>
          <w:w w:val="100"/>
        </w:rPr>
        <w:t> </w:t>
      </w:r>
      <w:r>
        <w:rPr>
          <w:spacing w:val="-2"/>
        </w:rPr>
        <w:t>硕电子的全部股份转让给茂硕电源，深圳市市场监督管理局于</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16</w:t>
      </w:r>
      <w:r>
        <w:rPr>
          <w:spacing w:val="-2"/>
        </w:rPr>
        <w:t>日核准了股权转让变更。</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23</w:t>
      </w:r>
      <w:r>
        <w:rPr>
          <w:spacing w:val="-2"/>
        </w:rPr>
        <w:t>日，公</w:t>
      </w:r>
      <w:r>
        <w:rPr>
          <w:spacing w:val="-42"/>
        </w:rPr>
        <w:t> </w:t>
      </w:r>
      <w:r>
        <w:rPr>
          <w:spacing w:val="-42"/>
        </w:rPr>
      </w:r>
      <w:r>
        <w:rPr/>
        <w:t>司名称更名为深圳茂硕电子科技有限公司。</w:t>
      </w:r>
      <w:r>
        <w:rPr>
          <w:rFonts w:ascii="Arial" w:hAnsi="Arial" w:cs="Arial" w:eastAsia="Arial" w:hint="default"/>
        </w:rPr>
        <w:t>2011</w:t>
      </w:r>
      <w:r>
        <w:rPr/>
        <w:t>年</w:t>
      </w:r>
      <w:r>
        <w:rPr>
          <w:rFonts w:ascii="Arial" w:hAnsi="Arial" w:cs="Arial" w:eastAsia="Arial" w:hint="default"/>
        </w:rPr>
        <w:t>2</w:t>
      </w:r>
      <w:r>
        <w:rPr/>
        <w:t>月</w:t>
      </w:r>
      <w:r>
        <w:rPr>
          <w:rFonts w:ascii="Arial" w:hAnsi="Arial" w:cs="Arial" w:eastAsia="Arial" w:hint="default"/>
        </w:rPr>
        <w:t>21</w:t>
      </w:r>
      <w:r>
        <w:rPr/>
        <w:t>日，本公司对茂硕电子增资</w:t>
      </w:r>
      <w:r>
        <w:rPr>
          <w:rFonts w:ascii="Arial" w:hAnsi="Arial" w:cs="Arial" w:eastAsia="Arial" w:hint="default"/>
        </w:rPr>
        <w:t>730</w:t>
      </w:r>
      <w:r>
        <w:rPr/>
        <w:t>万元，增资后茂硕电子的实收资本 为</w:t>
      </w:r>
      <w:r>
        <w:rPr>
          <w:rFonts w:ascii="Arial" w:hAnsi="Arial" w:cs="Arial" w:eastAsia="Arial" w:hint="default"/>
        </w:rPr>
        <w:t>980</w:t>
      </w:r>
      <w:r>
        <w:rPr/>
        <w:t>万元。 </w:t>
      </w:r>
      <w:r>
        <w:rPr>
          <w:rFonts w:ascii="Arial" w:hAnsi="Arial" w:cs="Arial" w:eastAsia="Arial" w:hint="default"/>
        </w:rPr>
        <w:t>4</w:t>
      </w:r>
      <w:r>
        <w:rPr/>
        <w:t>、北京茂硕新能源科技有限公司（以下简称</w:t>
      </w:r>
      <w:r>
        <w:rPr>
          <w:rFonts w:ascii="Arial" w:hAnsi="Arial" w:cs="Arial" w:eastAsia="Arial" w:hint="default"/>
        </w:rPr>
        <w:t>“</w:t>
      </w:r>
      <w:r>
        <w:rPr/>
        <w:t>北京茂硕</w:t>
      </w:r>
      <w:r>
        <w:rPr>
          <w:rFonts w:ascii="Arial" w:hAnsi="Arial" w:cs="Arial" w:eastAsia="Arial" w:hint="default"/>
        </w:rPr>
        <w:t>”</w:t>
      </w:r>
      <w:r>
        <w:rPr/>
        <w:t>）成立于</w:t>
      </w:r>
      <w:r>
        <w:rPr>
          <w:rFonts w:ascii="Arial" w:hAnsi="Arial" w:cs="Arial" w:eastAsia="Arial" w:hint="default"/>
        </w:rPr>
        <w:t>2010</w:t>
      </w:r>
      <w:r>
        <w:rPr/>
        <w:t>年</w:t>
      </w:r>
      <w:r>
        <w:rPr>
          <w:rFonts w:ascii="Arial" w:hAnsi="Arial" w:cs="Arial" w:eastAsia="Arial" w:hint="default"/>
        </w:rPr>
        <w:t>6</w:t>
      </w:r>
      <w:r>
        <w:rPr/>
        <w:t>月</w:t>
      </w:r>
      <w:r>
        <w:rPr>
          <w:rFonts w:ascii="Arial" w:hAnsi="Arial" w:cs="Arial" w:eastAsia="Arial" w:hint="default"/>
        </w:rPr>
        <w:t>18</w:t>
      </w:r>
      <w:r>
        <w:rPr/>
        <w:t>日，注册资本</w:t>
      </w:r>
      <w:r>
        <w:rPr>
          <w:rFonts w:ascii="Arial" w:hAnsi="Arial" w:cs="Arial" w:eastAsia="Arial" w:hint="default"/>
        </w:rPr>
        <w:t>1,000</w:t>
      </w:r>
      <w:r>
        <w:rPr/>
        <w:t>万元，实收资本</w:t>
      </w:r>
      <w:r>
        <w:rPr>
          <w:rFonts w:ascii="Arial" w:hAnsi="Arial" w:cs="Arial" w:eastAsia="Arial" w:hint="default"/>
        </w:rPr>
        <w:t>1,000</w:t>
      </w:r>
      <w:r>
        <w:rPr/>
        <w:t>万 元，由本公司与本公司之全资子公司茂硕研究院各投资</w:t>
      </w:r>
      <w:r>
        <w:rPr>
          <w:rFonts w:ascii="Arial" w:hAnsi="Arial" w:cs="Arial" w:eastAsia="Arial" w:hint="default"/>
        </w:rPr>
        <w:t>990</w:t>
      </w:r>
      <w:r>
        <w:rPr/>
        <w:t>万元、</w:t>
      </w:r>
      <w:r>
        <w:rPr>
          <w:rFonts w:ascii="Arial" w:hAnsi="Arial" w:cs="Arial" w:eastAsia="Arial" w:hint="default"/>
        </w:rPr>
        <w:t>10</w:t>
      </w:r>
      <w:r>
        <w:rPr/>
        <w:t>万元，分别占注册资本的</w:t>
      </w:r>
      <w:r>
        <w:rPr>
          <w:rFonts w:ascii="Arial" w:hAnsi="Arial" w:cs="Arial" w:eastAsia="Arial" w:hint="default"/>
        </w:rPr>
        <w:t>99%</w:t>
      </w:r>
      <w:r>
        <w:rPr/>
        <w:t>、</w:t>
      </w:r>
      <w:r>
        <w:rPr>
          <w:rFonts w:ascii="Arial" w:hAnsi="Arial" w:cs="Arial" w:eastAsia="Arial" w:hint="default"/>
        </w:rPr>
        <w:t>1%</w:t>
      </w:r>
      <w:r>
        <w:rPr/>
        <w:t>。 </w:t>
      </w:r>
      <w:r>
        <w:rPr>
          <w:rFonts w:ascii="Arial" w:hAnsi="Arial" w:cs="Arial" w:eastAsia="Arial" w:hint="default"/>
          <w:spacing w:val="-2"/>
        </w:rPr>
        <w:t>5</w:t>
      </w:r>
      <w:r>
        <w:rPr>
          <w:spacing w:val="-2"/>
        </w:rPr>
        <w:t>、茂硕能源科技（香港）国际有限公司（以下简称</w:t>
      </w:r>
      <w:r>
        <w:rPr>
          <w:rFonts w:ascii="Arial" w:hAnsi="Arial" w:cs="Arial" w:eastAsia="Arial" w:hint="default"/>
          <w:spacing w:val="-2"/>
        </w:rPr>
        <w:t>“</w:t>
      </w:r>
      <w:r>
        <w:rPr>
          <w:spacing w:val="-2"/>
        </w:rPr>
        <w:t>香港茂硕</w:t>
      </w:r>
      <w:r>
        <w:rPr>
          <w:rFonts w:ascii="Arial" w:hAnsi="Arial" w:cs="Arial" w:eastAsia="Arial" w:hint="default"/>
          <w:spacing w:val="-2"/>
        </w:rPr>
        <w:t>”</w:t>
      </w:r>
      <w:r>
        <w:rPr>
          <w:spacing w:val="-2"/>
        </w:rPr>
        <w:t>）成立于</w:t>
      </w:r>
      <w:r>
        <w:rPr>
          <w:rFonts w:ascii="Arial" w:hAnsi="Arial" w:cs="Arial" w:eastAsia="Arial" w:hint="default"/>
          <w:spacing w:val="-2"/>
        </w:rPr>
        <w:t>2009</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26</w:t>
      </w:r>
      <w:r>
        <w:rPr>
          <w:spacing w:val="-2"/>
        </w:rPr>
        <w:t>日，成立时注册资本</w:t>
      </w:r>
      <w:r>
        <w:rPr>
          <w:rFonts w:ascii="Arial" w:hAnsi="Arial" w:cs="Arial" w:eastAsia="Arial" w:hint="default"/>
          <w:spacing w:val="-2"/>
        </w:rPr>
        <w:t>100</w:t>
      </w:r>
      <w:r>
        <w:rPr>
          <w:spacing w:val="-2"/>
        </w:rPr>
        <w:t>万港币，</w:t>
      </w:r>
      <w:r>
        <w:rPr>
          <w:rFonts w:ascii="Arial" w:hAnsi="Arial" w:cs="Arial" w:eastAsia="Arial" w:hint="default"/>
          <w:spacing w:val="-2"/>
        </w:rPr>
        <w:t>2012</w:t>
      </w:r>
      <w:r>
        <w:rPr>
          <w:rFonts w:ascii="Arial" w:hAnsi="Arial" w:cs="Arial" w:eastAsia="Arial" w:hint="default"/>
          <w:spacing w:val="-26"/>
        </w:rPr>
        <w:t> </w:t>
      </w:r>
      <w:r>
        <w:rPr>
          <w:rFonts w:ascii="Arial" w:hAnsi="Arial" w:cs="Arial" w:eastAsia="Arial" w:hint="default"/>
          <w:spacing w:val="-26"/>
        </w:rPr>
      </w:r>
      <w:r>
        <w:rPr/>
        <w:t>年</w:t>
      </w:r>
      <w:r>
        <w:rPr>
          <w:rFonts w:ascii="Arial" w:hAnsi="Arial" w:cs="Arial" w:eastAsia="Arial" w:hint="default"/>
        </w:rPr>
        <w:t>12</w:t>
      </w:r>
      <w:r>
        <w:rPr/>
        <w:t>月</w:t>
      </w:r>
      <w:r>
        <w:rPr>
          <w:rFonts w:ascii="Arial" w:hAnsi="Arial" w:cs="Arial" w:eastAsia="Arial" w:hint="default"/>
        </w:rPr>
        <w:t>21</w:t>
      </w:r>
      <w:r>
        <w:rPr/>
        <w:t>日公司注册资本增加至</w:t>
      </w:r>
      <w:r>
        <w:rPr>
          <w:rFonts w:ascii="Arial" w:hAnsi="Arial" w:cs="Arial" w:eastAsia="Arial" w:hint="default"/>
        </w:rPr>
        <w:t>1,000</w:t>
      </w:r>
      <w:r>
        <w:rPr/>
        <w:t>万港币，截止</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日，实收资本</w:t>
      </w:r>
      <w:r>
        <w:rPr>
          <w:rFonts w:ascii="Arial" w:hAnsi="Arial" w:cs="Arial" w:eastAsia="Arial" w:hint="default"/>
        </w:rPr>
        <w:t>100</w:t>
      </w:r>
      <w:r>
        <w:rPr/>
        <w:t>万港币，为本公司在香港投资设立的全 资子公司。</w:t>
      </w:r>
    </w:p>
    <w:p>
      <w:pPr>
        <w:spacing w:after="0" w:line="302" w:lineRule="auto"/>
        <w:jc w:val="left"/>
        <w:sectPr>
          <w:footerReference w:type="default" r:id="rId63"/>
          <w:pgSz w:w="11910" w:h="16840"/>
          <w:pgMar w:footer="1258" w:header="877" w:top="1060" w:bottom="1440" w:left="980" w:right="0"/>
          <w:pgNumType w:start="111"/>
        </w:sectPr>
      </w:pPr>
    </w:p>
    <w:p>
      <w:pPr>
        <w:spacing w:line="240" w:lineRule="auto" w:before="10"/>
        <w:rPr>
          <w:rFonts w:ascii="宋体" w:hAnsi="宋体" w:cs="宋体" w:eastAsia="宋体" w:hint="default"/>
          <w:sz w:val="24"/>
          <w:szCs w:val="24"/>
        </w:rPr>
      </w:pPr>
    </w:p>
    <w:p>
      <w:pPr>
        <w:pStyle w:val="Heading3"/>
        <w:spacing w:line="240" w:lineRule="auto" w:before="36"/>
        <w:ind w:right="1121"/>
        <w:jc w:val="left"/>
        <w:rPr>
          <w:b w:val="0"/>
          <w:bCs w:val="0"/>
        </w:rPr>
      </w:pPr>
      <w:r>
        <w:rPr/>
        <w:t>（</w:t>
      </w:r>
      <w:r>
        <w:rPr>
          <w:rFonts w:ascii="Arial" w:hAnsi="Arial" w:cs="Arial" w:eastAsia="Arial" w:hint="default"/>
        </w:rPr>
        <w:t>2</w:t>
      </w:r>
      <w:r>
        <w:rPr/>
        <w:t>）非同一控制下企业合并取得的子公司</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708"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05" w:right="62" w:hanging="39"/>
              <w:jc w:val="left"/>
              <w:rPr>
                <w:rFonts w:ascii="Arial" w:hAnsi="Arial" w:cs="Arial" w:eastAsia="Arial" w:hint="default"/>
                <w:sz w:val="18"/>
                <w:szCs w:val="18"/>
              </w:rPr>
            </w:pPr>
            <w:r>
              <w:rPr>
                <w:rFonts w:ascii="宋体" w:hAnsi="宋体" w:cs="宋体" w:eastAsia="宋体" w:hint="default"/>
                <w:sz w:val="18"/>
                <w:szCs w:val="18"/>
              </w:rPr>
              <w:t>持股比 例</w:t>
            </w:r>
            <w:r>
              <w:rPr>
                <w:rFonts w:ascii="Arial" w:hAnsi="Arial" w:cs="Arial" w:eastAsia="Arial"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38" w:lineRule="auto"/>
              <w:ind w:left="67" w:right="65"/>
              <w:jc w:val="center"/>
              <w:rPr>
                <w:rFonts w:ascii="Arial" w:hAnsi="Arial" w:cs="Arial" w:eastAsia="Arial" w:hint="default"/>
                <w:sz w:val="18"/>
                <w:szCs w:val="18"/>
              </w:rPr>
            </w:pPr>
            <w:r>
              <w:rPr>
                <w:rFonts w:ascii="宋体" w:hAnsi="宋体" w:cs="宋体" w:eastAsia="宋体" w:hint="default"/>
                <w:sz w:val="18"/>
                <w:szCs w:val="18"/>
              </w:rPr>
              <w:t>表决权 比例 </w:t>
            </w:r>
            <w:r>
              <w:rPr>
                <w:rFonts w:ascii="Arial" w:hAnsi="Arial" w:cs="Arial" w:eastAsia="Arial"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695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深圳华 智测控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Arial" w:hAnsi="Arial" w:cs="Arial" w:eastAsia="Arial" w:hint="default"/>
                <w:sz w:val="18"/>
                <w:szCs w:val="18"/>
              </w:rPr>
            </w:pPr>
            <w:r>
              <w:rPr>
                <w:rFonts w:ascii="Arial"/>
                <w:sz w:val="18"/>
              </w:rPr>
              <w:t>410000</w:t>
            </w:r>
          </w:p>
          <w:p>
            <w:pPr>
              <w:pStyle w:val="TableParagraph"/>
              <w:spacing w:line="240" w:lineRule="auto" w:before="105"/>
              <w:ind w:left="23" w:right="0"/>
              <w:jc w:val="left"/>
              <w:rPr>
                <w:rFonts w:ascii="Arial" w:hAnsi="Arial" w:cs="Arial" w:eastAsia="Arial" w:hint="default"/>
                <w:sz w:val="18"/>
                <w:szCs w:val="18"/>
              </w:rPr>
            </w:pPr>
            <w:r>
              <w:rPr>
                <w:rFonts w:ascii="Arial"/>
                <w:w w:val="99"/>
                <w:sz w:val="18"/>
              </w:rPr>
              <w:t>0</w:t>
            </w:r>
            <w:r>
              <w:rPr>
                <w:rFonts w:ascii="Arial"/>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远程测 控系统 和设备 产品的 研发、 设计、 销售及 相关产 品的技 术支持 与服务</w:t>
            </w:r>
          </w:p>
          <w:p>
            <w:pPr>
              <w:pStyle w:val="TableParagraph"/>
              <w:spacing w:line="316" w:lineRule="auto" w:before="19"/>
              <w:ind w:left="23" w:right="107"/>
              <w:jc w:val="left"/>
              <w:rPr>
                <w:rFonts w:ascii="宋体" w:hAnsi="宋体" w:cs="宋体" w:eastAsia="宋体" w:hint="default"/>
                <w:sz w:val="18"/>
                <w:szCs w:val="18"/>
              </w:rPr>
            </w:pPr>
            <w:r>
              <w:rPr>
                <w:rFonts w:ascii="宋体" w:hAnsi="宋体" w:cs="宋体" w:eastAsia="宋体" w:hint="default"/>
                <w:sz w:val="18"/>
                <w:szCs w:val="18"/>
              </w:rPr>
              <w:t>（法 律、行 政法 规、国 务院决 定规定 在登记 前须经 批准的 项目除 </w:t>
            </w:r>
            <w:r>
              <w:rPr>
                <w:rFonts w:ascii="宋体" w:hAnsi="宋体" w:cs="宋体" w:eastAsia="宋体" w:hint="default"/>
                <w:spacing w:val="-31"/>
                <w:sz w:val="18"/>
                <w:szCs w:val="18"/>
              </w:rPr>
              <w:t>外）。</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7" w:right="0"/>
              <w:jc w:val="center"/>
              <w:rPr>
                <w:rFonts w:ascii="Arial" w:hAnsi="Arial" w:cs="Arial" w:eastAsia="Arial" w:hint="default"/>
                <w:sz w:val="18"/>
                <w:szCs w:val="18"/>
              </w:rPr>
            </w:pPr>
            <w:r>
              <w:rPr>
                <w:rFonts w:ascii="Arial"/>
                <w:sz w:val="18"/>
              </w:rPr>
              <w:t>2,088,0</w:t>
            </w:r>
          </w:p>
          <w:p>
            <w:pPr>
              <w:pStyle w:val="TableParagraph"/>
              <w:spacing w:line="240" w:lineRule="auto" w:before="105"/>
              <w:ind w:left="176" w:right="0"/>
              <w:jc w:val="center"/>
              <w:rPr>
                <w:rFonts w:ascii="Arial" w:hAnsi="Arial" w:cs="Arial" w:eastAsia="Arial" w:hint="default"/>
                <w:sz w:val="18"/>
                <w:szCs w:val="18"/>
              </w:rPr>
            </w:pPr>
            <w:r>
              <w:rPr>
                <w:rFonts w:ascii="Arial"/>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0" w:right="0"/>
              <w:jc w:val="left"/>
              <w:rPr>
                <w:rFonts w:ascii="Arial" w:hAnsi="Arial" w:cs="Arial" w:eastAsia="Arial" w:hint="default"/>
                <w:sz w:val="18"/>
                <w:szCs w:val="18"/>
              </w:rPr>
            </w:pPr>
            <w:r>
              <w:rPr>
                <w:rFonts w:ascii="Arial"/>
                <w:sz w:val="18"/>
              </w:rPr>
              <w:t>50.93%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0" w:right="0"/>
              <w:jc w:val="left"/>
              <w:rPr>
                <w:rFonts w:ascii="Arial" w:hAnsi="Arial" w:cs="Arial" w:eastAsia="Arial" w:hint="default"/>
                <w:sz w:val="18"/>
                <w:szCs w:val="18"/>
              </w:rPr>
            </w:pPr>
            <w:r>
              <w:rPr>
                <w:rFonts w:ascii="Arial"/>
                <w:sz w:val="18"/>
              </w:rPr>
              <w:t>50.93%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8" w:right="0"/>
              <w:jc w:val="center"/>
              <w:rPr>
                <w:rFonts w:ascii="Arial" w:hAnsi="Arial" w:cs="Arial" w:eastAsia="Arial" w:hint="default"/>
                <w:sz w:val="18"/>
                <w:szCs w:val="18"/>
              </w:rPr>
            </w:pPr>
            <w:r>
              <w:rPr>
                <w:rFonts w:ascii="Arial"/>
                <w:sz w:val="18"/>
              </w:rPr>
              <w:t>1,113,4</w:t>
            </w:r>
          </w:p>
          <w:p>
            <w:pPr>
              <w:pStyle w:val="TableParagraph"/>
              <w:spacing w:line="240" w:lineRule="auto" w:before="105"/>
              <w:ind w:left="176" w:right="0"/>
              <w:jc w:val="center"/>
              <w:rPr>
                <w:rFonts w:ascii="Arial" w:hAnsi="Arial" w:cs="Arial" w:eastAsia="Arial" w:hint="default"/>
                <w:sz w:val="18"/>
                <w:szCs w:val="18"/>
              </w:rPr>
            </w:pPr>
            <w:r>
              <w:rPr>
                <w:rFonts w:ascii="Arial"/>
                <w:sz w:val="18"/>
              </w:rPr>
              <w:t>18.09</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80" w:right="0"/>
              <w:jc w:val="center"/>
              <w:rPr>
                <w:rFonts w:ascii="Arial" w:hAnsi="Arial" w:cs="Arial" w:eastAsia="Arial" w:hint="default"/>
                <w:sz w:val="18"/>
                <w:szCs w:val="18"/>
              </w:rPr>
            </w:pPr>
            <w:r>
              <w:rPr>
                <w:rFonts w:ascii="Arial"/>
                <w:sz w:val="18"/>
              </w:rPr>
              <w:t>296,70</w:t>
            </w:r>
          </w:p>
          <w:p>
            <w:pPr>
              <w:pStyle w:val="TableParagraph"/>
              <w:spacing w:line="240" w:lineRule="auto" w:before="105"/>
              <w:ind w:left="279" w:right="0"/>
              <w:jc w:val="center"/>
              <w:rPr>
                <w:rFonts w:ascii="Arial" w:hAnsi="Arial" w:cs="Arial" w:eastAsia="Arial" w:hint="default"/>
                <w:sz w:val="18"/>
                <w:szCs w:val="18"/>
              </w:rPr>
            </w:pPr>
            <w:r>
              <w:rPr>
                <w:rFonts w:ascii="Arial"/>
                <w:sz w:val="18"/>
              </w:rPr>
              <w:t>7.70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18"/>
                <w:szCs w:val="18"/>
              </w:rPr>
            </w:pPr>
            <w:r>
              <w:rPr>
                <w:rFonts w:ascii="Arial"/>
                <w:spacing w:val="-1"/>
                <w:sz w:val="18"/>
              </w:rPr>
              <w:t>682,34</w:t>
            </w:r>
          </w:p>
          <w:p>
            <w:pPr>
              <w:pStyle w:val="TableParagraph"/>
              <w:spacing w:line="240" w:lineRule="auto" w:before="105"/>
              <w:ind w:right="18"/>
              <w:jc w:val="right"/>
              <w:rPr>
                <w:rFonts w:ascii="Arial" w:hAnsi="Arial" w:cs="Arial" w:eastAsia="Arial" w:hint="default"/>
                <w:sz w:val="18"/>
                <w:szCs w:val="18"/>
              </w:rPr>
            </w:pPr>
            <w:r>
              <w:rPr>
                <w:rFonts w:ascii="Arial"/>
                <w:spacing w:val="-1"/>
                <w:sz w:val="18"/>
              </w:rPr>
              <w:t>3,695.6</w:t>
            </w:r>
          </w:p>
          <w:p>
            <w:pPr>
              <w:pStyle w:val="TableParagraph"/>
              <w:spacing w:line="240" w:lineRule="auto" w:before="105"/>
              <w:ind w:right="20"/>
              <w:jc w:val="right"/>
              <w:rPr>
                <w:rFonts w:ascii="Arial" w:hAnsi="Arial" w:cs="Arial" w:eastAsia="Arial" w:hint="default"/>
                <w:sz w:val="18"/>
                <w:szCs w:val="18"/>
              </w:rPr>
            </w:pPr>
            <w:r>
              <w:rPr>
                <w:rFonts w:ascii="Arial"/>
                <w:w w:val="99"/>
                <w:sz w:val="18"/>
              </w:rPr>
              <w:t>7</w:t>
            </w:r>
            <w:r>
              <w:rPr>
                <w:rFonts w:ascii="Arial"/>
                <w:sz w:val="18"/>
              </w:rPr>
            </w:r>
          </w:p>
        </w:tc>
      </w:tr>
    </w:tbl>
    <w:p>
      <w:pPr>
        <w:pStyle w:val="BodyText"/>
        <w:spacing w:line="240" w:lineRule="auto" w:before="49"/>
        <w:ind w:right="1121"/>
        <w:jc w:val="left"/>
      </w:pPr>
      <w:r>
        <w:rPr/>
        <w:t>通过非同一控制下企业合并取得的子公司的其他说明</w:t>
      </w:r>
    </w:p>
    <w:p>
      <w:pPr>
        <w:spacing w:after="0" w:line="240" w:lineRule="auto"/>
        <w:jc w:val="left"/>
        <w:sectPr>
          <w:pgSz w:w="11910" w:h="16840"/>
          <w:pgMar w:header="877" w:footer="1258" w:top="1060" w:bottom="1440" w:left="980" w:right="0"/>
        </w:sectPr>
      </w:pPr>
    </w:p>
    <w:p>
      <w:pPr>
        <w:spacing w:line="240" w:lineRule="auto" w:before="9"/>
        <w:rPr>
          <w:rFonts w:ascii="宋体" w:hAnsi="宋体" w:cs="宋体" w:eastAsia="宋体" w:hint="default"/>
          <w:sz w:val="25"/>
          <w:szCs w:val="25"/>
        </w:rPr>
      </w:pPr>
    </w:p>
    <w:p>
      <w:pPr>
        <w:pStyle w:val="BodyText"/>
        <w:spacing w:line="302" w:lineRule="auto" w:before="44"/>
        <w:ind w:right="1033" w:firstLine="420"/>
        <w:jc w:val="left"/>
      </w:pPr>
      <w:r>
        <w:rPr/>
        <w:t>深圳华智测控技术有限公司（以下简称</w:t>
      </w:r>
      <w:r>
        <w:rPr>
          <w:rFonts w:ascii="Arial" w:hAnsi="Arial" w:cs="Arial" w:eastAsia="Arial" w:hint="default"/>
        </w:rPr>
        <w:t>“</w:t>
      </w:r>
      <w:r>
        <w:rPr/>
        <w:t>华智测控</w:t>
      </w:r>
      <w:r>
        <w:rPr>
          <w:rFonts w:ascii="Arial" w:hAnsi="Arial" w:cs="Arial" w:eastAsia="Arial" w:hint="default"/>
        </w:rPr>
        <w:t>”</w:t>
      </w:r>
      <w:r>
        <w:rPr/>
        <w:t>）成立于</w:t>
      </w:r>
      <w:r>
        <w:rPr>
          <w:rFonts w:ascii="Arial" w:hAnsi="Arial" w:cs="Arial" w:eastAsia="Arial" w:hint="default"/>
        </w:rPr>
        <w:t>2009</w:t>
      </w:r>
      <w:r>
        <w:rPr/>
        <w:t>年</w:t>
      </w:r>
      <w:r>
        <w:rPr>
          <w:rFonts w:ascii="Arial" w:hAnsi="Arial" w:cs="Arial" w:eastAsia="Arial" w:hint="default"/>
        </w:rPr>
        <w:t>9</w:t>
      </w:r>
      <w:r>
        <w:rPr/>
        <w:t>月</w:t>
      </w:r>
      <w:r>
        <w:rPr>
          <w:rFonts w:ascii="Arial" w:hAnsi="Arial" w:cs="Arial" w:eastAsia="Arial" w:hint="default"/>
        </w:rPr>
        <w:t>7</w:t>
      </w:r>
      <w:r>
        <w:rPr/>
        <w:t>日，注册资本</w:t>
      </w:r>
      <w:r>
        <w:rPr>
          <w:rFonts w:ascii="Arial" w:hAnsi="Arial" w:cs="Arial" w:eastAsia="Arial" w:hint="default"/>
        </w:rPr>
        <w:t>200</w:t>
      </w:r>
      <w:r>
        <w:rPr/>
        <w:t>万元，由德旺投资、陈克峰、 杨卫忠、宋国焰、秦传君、陶胜首期出资共</w:t>
      </w:r>
      <w:r>
        <w:rPr>
          <w:rFonts w:ascii="Arial" w:hAnsi="Arial" w:cs="Arial" w:eastAsia="Arial" w:hint="default"/>
        </w:rPr>
        <w:t>50</w:t>
      </w:r>
      <w:r>
        <w:rPr/>
        <w:t>万元设立，持股比例分别为</w:t>
      </w:r>
      <w:r>
        <w:rPr>
          <w:rFonts w:ascii="Arial" w:hAnsi="Arial" w:cs="Arial" w:eastAsia="Arial" w:hint="default"/>
        </w:rPr>
        <w:t>45.00%</w:t>
      </w:r>
      <w:r>
        <w:rPr/>
        <w:t>、</w:t>
      </w:r>
      <w:r>
        <w:rPr>
          <w:rFonts w:ascii="Arial" w:hAnsi="Arial" w:cs="Arial" w:eastAsia="Arial" w:hint="default"/>
        </w:rPr>
        <w:t>20.00%</w:t>
      </w:r>
      <w:r>
        <w:rPr/>
        <w:t>、</w:t>
      </w:r>
      <w:r>
        <w:rPr>
          <w:rFonts w:ascii="Arial" w:hAnsi="Arial" w:cs="Arial" w:eastAsia="Arial" w:hint="default"/>
        </w:rPr>
        <w:t>15.00%</w:t>
      </w:r>
      <w:r>
        <w:rPr/>
        <w:t>、</w:t>
      </w:r>
      <w:r>
        <w:rPr>
          <w:rFonts w:ascii="Arial" w:hAnsi="Arial" w:cs="Arial" w:eastAsia="Arial" w:hint="default"/>
        </w:rPr>
        <w:t>10.00%</w:t>
      </w:r>
      <w:r>
        <w:rPr/>
        <w:t>、</w:t>
      </w:r>
      <w:r>
        <w:rPr>
          <w:rFonts w:ascii="Arial" w:hAnsi="Arial" w:cs="Arial" w:eastAsia="Arial" w:hint="default"/>
        </w:rPr>
        <w:t>5.00%</w:t>
      </w:r>
      <w:r>
        <w:rPr/>
        <w:t>、 </w:t>
      </w:r>
      <w:r>
        <w:rPr>
          <w:rFonts w:ascii="Arial" w:hAnsi="Arial" w:cs="Arial" w:eastAsia="Arial" w:hint="default"/>
        </w:rPr>
        <w:t>5.00%</w:t>
      </w:r>
      <w:r>
        <w:rPr/>
        <w:t>。</w:t>
      </w:r>
    </w:p>
    <w:p>
      <w:pPr>
        <w:pStyle w:val="BodyText"/>
        <w:spacing w:line="302" w:lineRule="auto" w:before="11"/>
        <w:ind w:right="0" w:firstLine="420"/>
        <w:jc w:val="left"/>
      </w:pPr>
      <w:r>
        <w:rPr>
          <w:rFonts w:ascii="Arial" w:hAnsi="Arial" w:cs="Arial" w:eastAsia="Arial" w:hint="default"/>
        </w:rPr>
        <w:t>2009</w:t>
      </w:r>
      <w:r>
        <w:rPr/>
        <w:t>年</w:t>
      </w:r>
      <w:r>
        <w:rPr>
          <w:rFonts w:ascii="Arial" w:hAnsi="Arial" w:cs="Arial" w:eastAsia="Arial" w:hint="default"/>
        </w:rPr>
        <w:t>11</w:t>
      </w:r>
      <w:r>
        <w:rPr/>
        <w:t>月</w:t>
      </w:r>
      <w:r>
        <w:rPr>
          <w:rFonts w:ascii="Arial" w:hAnsi="Arial" w:cs="Arial" w:eastAsia="Arial" w:hint="default"/>
        </w:rPr>
        <w:t>20</w:t>
      </w:r>
      <w:r>
        <w:rPr/>
        <w:t>日，德旺投资、陈克峰、杨卫忠、宋国焰、秦传君、陶胜与本公司签订股权转让协议，上述各方将持有 </w:t>
      </w:r>
      <w:r>
        <w:rPr>
          <w:spacing w:val="-2"/>
        </w:rPr>
        <w:t>华智测控的全部股份，合计实收资本</w:t>
      </w:r>
      <w:r>
        <w:rPr>
          <w:rFonts w:ascii="Arial" w:hAnsi="Arial" w:cs="Arial" w:eastAsia="Arial" w:hint="default"/>
          <w:spacing w:val="-2"/>
        </w:rPr>
        <w:t>50</w:t>
      </w:r>
      <w:r>
        <w:rPr>
          <w:spacing w:val="-2"/>
        </w:rPr>
        <w:t>万元转让给本公司。</w:t>
      </w:r>
      <w:r>
        <w:rPr>
          <w:rFonts w:ascii="Arial" w:hAnsi="Arial" w:cs="Arial" w:eastAsia="Arial" w:hint="default"/>
          <w:spacing w:val="-2"/>
        </w:rPr>
        <w:t>2009</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21</w:t>
      </w:r>
      <w:r>
        <w:rPr>
          <w:spacing w:val="-2"/>
        </w:rPr>
        <w:t>日，深圳市市场监督管理局核准了上述股权转让。</w:t>
      </w:r>
      <w:r>
        <w:rPr>
          <w:spacing w:val="-76"/>
        </w:rPr>
        <w:t> </w:t>
      </w:r>
      <w:r>
        <w:rPr>
          <w:spacing w:val="-76"/>
        </w:rPr>
      </w:r>
      <w:r>
        <w:rPr/>
        <w:t>本公司分别于</w:t>
      </w:r>
      <w:r>
        <w:rPr>
          <w:rFonts w:ascii="Arial" w:hAnsi="Arial" w:cs="Arial" w:eastAsia="Arial" w:hint="default"/>
        </w:rPr>
        <w:t>2010</w:t>
      </w:r>
      <w:r>
        <w:rPr/>
        <w:t>年</w:t>
      </w:r>
      <w:r>
        <w:rPr>
          <w:rFonts w:ascii="Arial" w:hAnsi="Arial" w:cs="Arial" w:eastAsia="Arial" w:hint="default"/>
        </w:rPr>
        <w:t>2</w:t>
      </w:r>
      <w:r>
        <w:rPr/>
        <w:t>月</w:t>
      </w:r>
      <w:r>
        <w:rPr>
          <w:rFonts w:ascii="Arial" w:hAnsi="Arial" w:cs="Arial" w:eastAsia="Arial" w:hint="default"/>
        </w:rPr>
        <w:t>3</w:t>
      </w:r>
      <w:r>
        <w:rPr/>
        <w:t>日、</w:t>
      </w:r>
      <w:r>
        <w:rPr>
          <w:rFonts w:ascii="Arial" w:hAnsi="Arial" w:cs="Arial" w:eastAsia="Arial" w:hint="default"/>
        </w:rPr>
        <w:t>2010</w:t>
      </w:r>
      <w:r>
        <w:rPr/>
        <w:t>年</w:t>
      </w:r>
      <w:r>
        <w:rPr>
          <w:rFonts w:ascii="Arial" w:hAnsi="Arial" w:cs="Arial" w:eastAsia="Arial" w:hint="default"/>
        </w:rPr>
        <w:t>9</w:t>
      </w:r>
      <w:r>
        <w:rPr/>
        <w:t>月</w:t>
      </w:r>
      <w:r>
        <w:rPr>
          <w:rFonts w:ascii="Arial" w:hAnsi="Arial" w:cs="Arial" w:eastAsia="Arial" w:hint="default"/>
        </w:rPr>
        <w:t>2</w:t>
      </w:r>
      <w:r>
        <w:rPr/>
        <w:t>日各投入</w:t>
      </w:r>
      <w:r>
        <w:rPr>
          <w:rFonts w:ascii="Arial" w:hAnsi="Arial" w:cs="Arial" w:eastAsia="Arial" w:hint="default"/>
        </w:rPr>
        <w:t>60</w:t>
      </w:r>
      <w:r>
        <w:rPr/>
        <w:t>万元、</w:t>
      </w:r>
      <w:r>
        <w:rPr>
          <w:rFonts w:ascii="Arial" w:hAnsi="Arial" w:cs="Arial" w:eastAsia="Arial" w:hint="default"/>
        </w:rPr>
        <w:t>90</w:t>
      </w:r>
      <w:r>
        <w:rPr/>
        <w:t>万元，至此，华智测控的注册资本已缴足。</w:t>
      </w:r>
    </w:p>
    <w:p>
      <w:pPr>
        <w:pStyle w:val="BodyText"/>
        <w:spacing w:line="240" w:lineRule="auto" w:before="11"/>
        <w:ind w:left="573" w:right="1121"/>
        <w:jc w:val="left"/>
      </w:pPr>
      <w:r>
        <w:rPr>
          <w:rFonts w:ascii="Arial" w:hAnsi="Arial" w:cs="Arial" w:eastAsia="Arial" w:hint="default"/>
        </w:rPr>
        <w:t>2011</w:t>
      </w:r>
      <w:r>
        <w:rPr/>
        <w:t>年</w:t>
      </w:r>
      <w:r>
        <w:rPr>
          <w:rFonts w:ascii="Arial" w:hAnsi="Arial" w:cs="Arial" w:eastAsia="Arial" w:hint="default"/>
        </w:rPr>
        <w:t>2</w:t>
      </w:r>
      <w:r>
        <w:rPr/>
        <w:t>月</w:t>
      </w:r>
      <w:r>
        <w:rPr>
          <w:rFonts w:ascii="Arial" w:hAnsi="Arial" w:cs="Arial" w:eastAsia="Arial" w:hint="default"/>
        </w:rPr>
        <w:t>24</w:t>
      </w:r>
      <w:r>
        <w:rPr/>
        <w:t>日，本公司将持有华智测控</w:t>
      </w:r>
      <w:r>
        <w:rPr>
          <w:rFonts w:ascii="Arial" w:hAnsi="Arial" w:cs="Arial" w:eastAsia="Arial" w:hint="default"/>
        </w:rPr>
        <w:t>13%</w:t>
      </w:r>
      <w:r>
        <w:rPr/>
        <w:t>的股份转让给深圳市北科投资发展有限公司。</w:t>
      </w:r>
    </w:p>
    <w:p>
      <w:pPr>
        <w:pStyle w:val="BodyText"/>
        <w:spacing w:line="302" w:lineRule="auto" w:before="63"/>
        <w:ind w:right="1121" w:firstLine="420"/>
        <w:jc w:val="left"/>
      </w:pPr>
      <w:r>
        <w:rPr>
          <w:rFonts w:ascii="Arial" w:hAnsi="Arial" w:cs="Arial" w:eastAsia="Arial" w:hint="default"/>
        </w:rPr>
        <w:t>2011</w:t>
      </w:r>
      <w:r>
        <w:rPr/>
        <w:t>年</w:t>
      </w:r>
      <w:r>
        <w:rPr>
          <w:rFonts w:ascii="Arial" w:hAnsi="Arial" w:cs="Arial" w:eastAsia="Arial" w:hint="default"/>
        </w:rPr>
        <w:t>6</w:t>
      </w:r>
      <w:r>
        <w:rPr/>
        <w:t>月</w:t>
      </w:r>
      <w:r>
        <w:rPr>
          <w:rFonts w:ascii="Arial" w:hAnsi="Arial" w:cs="Arial" w:eastAsia="Arial" w:hint="default"/>
        </w:rPr>
        <w:t>29</w:t>
      </w:r>
      <w:r>
        <w:rPr/>
        <w:t>日，自然人毛周明增资</w:t>
      </w:r>
      <w:r>
        <w:rPr>
          <w:rFonts w:ascii="Arial" w:hAnsi="Arial" w:cs="Arial" w:eastAsia="Arial" w:hint="default"/>
        </w:rPr>
        <w:t>50</w:t>
      </w:r>
      <w:r>
        <w:rPr/>
        <w:t>万元；本次增资后本公司、深圳市北科投资发展有限公司、毛周明分别持有华 智测控</w:t>
      </w:r>
      <w:r>
        <w:rPr>
          <w:rFonts w:ascii="Arial" w:hAnsi="Arial" w:cs="Arial" w:eastAsia="Arial" w:hint="default"/>
        </w:rPr>
        <w:t>69.60%</w:t>
      </w:r>
      <w:r>
        <w:rPr/>
        <w:t>、</w:t>
      </w:r>
      <w:r>
        <w:rPr>
          <w:rFonts w:ascii="Arial" w:hAnsi="Arial" w:cs="Arial" w:eastAsia="Arial" w:hint="default"/>
        </w:rPr>
        <w:t>10.40%</w:t>
      </w:r>
      <w:r>
        <w:rPr/>
        <w:t>、</w:t>
      </w:r>
      <w:r>
        <w:rPr>
          <w:rFonts w:ascii="Arial" w:hAnsi="Arial" w:cs="Arial" w:eastAsia="Arial" w:hint="default"/>
        </w:rPr>
        <w:t>20.00%</w:t>
      </w:r>
      <w:r>
        <w:rPr>
          <w:rFonts w:ascii="Arial" w:hAnsi="Arial" w:cs="Arial" w:eastAsia="Arial" w:hint="default"/>
          <w:spacing w:val="24"/>
        </w:rPr>
        <w:t> </w:t>
      </w:r>
      <w:r>
        <w:rPr/>
        <w:t>的股份。</w:t>
      </w:r>
    </w:p>
    <w:p>
      <w:pPr>
        <w:pStyle w:val="BodyText"/>
        <w:spacing w:line="302" w:lineRule="auto" w:before="11"/>
        <w:ind w:right="1121" w:firstLine="437"/>
        <w:jc w:val="left"/>
      </w:pPr>
      <w:r>
        <w:rPr>
          <w:rFonts w:ascii="Arial" w:hAnsi="Arial" w:cs="Arial" w:eastAsia="Arial" w:hint="default"/>
        </w:rPr>
        <w:t>2012</w:t>
      </w:r>
      <w:r>
        <w:rPr/>
        <w:t>年</w:t>
      </w:r>
      <w:r>
        <w:rPr>
          <w:rFonts w:ascii="Arial" w:hAnsi="Arial" w:cs="Arial" w:eastAsia="Arial" w:hint="default"/>
        </w:rPr>
        <w:t>2</w:t>
      </w:r>
      <w:r>
        <w:rPr/>
        <w:t>月</w:t>
      </w:r>
      <w:r>
        <w:rPr>
          <w:rFonts w:ascii="Arial" w:hAnsi="Arial" w:cs="Arial" w:eastAsia="Arial" w:hint="default"/>
        </w:rPr>
        <w:t>27</w:t>
      </w:r>
      <w:r>
        <w:rPr/>
        <w:t>日，注册资本增加</w:t>
      </w:r>
      <w:r>
        <w:rPr>
          <w:rFonts w:ascii="Arial" w:hAnsi="Arial" w:cs="Arial" w:eastAsia="Arial" w:hint="default"/>
        </w:rPr>
        <w:t>50</w:t>
      </w:r>
      <w:r>
        <w:rPr/>
        <w:t>万元整，分别由茂硕电源、毛周明、深圳市北科投资发展有限公司认缴，认缴金额 分别为</w:t>
      </w:r>
      <w:r>
        <w:rPr>
          <w:rFonts w:ascii="Arial" w:hAnsi="Arial" w:cs="Arial" w:eastAsia="Arial" w:hint="default"/>
        </w:rPr>
        <w:t>34.8</w:t>
      </w:r>
      <w:r>
        <w:rPr/>
        <w:t>万、</w:t>
      </w:r>
      <w:r>
        <w:rPr>
          <w:rFonts w:ascii="Arial" w:hAnsi="Arial" w:cs="Arial" w:eastAsia="Arial" w:hint="default"/>
        </w:rPr>
        <w:t>10</w:t>
      </w:r>
      <w:r>
        <w:rPr/>
        <w:t>万、</w:t>
      </w:r>
      <w:r>
        <w:rPr>
          <w:rFonts w:ascii="Arial" w:hAnsi="Arial" w:cs="Arial" w:eastAsia="Arial" w:hint="default"/>
        </w:rPr>
        <w:t>5.2</w:t>
      </w:r>
      <w:r>
        <w:rPr/>
        <w:t>万；</w:t>
      </w:r>
    </w:p>
    <w:p>
      <w:pPr>
        <w:pStyle w:val="BodyText"/>
        <w:spacing w:line="302" w:lineRule="auto" w:before="11"/>
        <w:ind w:right="1032" w:firstLine="437"/>
        <w:jc w:val="left"/>
      </w:pPr>
      <w:r>
        <w:rPr>
          <w:rFonts w:ascii="Arial" w:hAnsi="Arial" w:cs="Arial" w:eastAsia="Arial" w:hint="default"/>
        </w:rPr>
        <w:t>2012</w:t>
      </w:r>
      <w:r>
        <w:rPr/>
        <w:t>年</w:t>
      </w:r>
      <w:r>
        <w:rPr>
          <w:rFonts w:ascii="Arial" w:hAnsi="Arial" w:cs="Arial" w:eastAsia="Arial" w:hint="default"/>
        </w:rPr>
        <w:t>4</w:t>
      </w:r>
      <w:r>
        <w:rPr/>
        <w:t>月</w:t>
      </w:r>
      <w:r>
        <w:rPr>
          <w:rFonts w:ascii="Arial" w:hAnsi="Arial" w:cs="Arial" w:eastAsia="Arial" w:hint="default"/>
        </w:rPr>
        <w:t>28</w:t>
      </w:r>
      <w:r>
        <w:rPr/>
        <w:t>日，注册资本增加</w:t>
      </w:r>
      <w:r>
        <w:rPr>
          <w:rFonts w:ascii="Arial" w:hAnsi="Arial" w:cs="Arial" w:eastAsia="Arial" w:hint="default"/>
        </w:rPr>
        <w:t>110</w:t>
      </w:r>
      <w:r>
        <w:rPr/>
        <w:t>万元整，分别由毛周明、金鹏认缴，认缴金额为</w:t>
      </w:r>
      <w:r>
        <w:rPr>
          <w:rFonts w:ascii="Arial" w:hAnsi="Arial" w:cs="Arial" w:eastAsia="Arial" w:hint="default"/>
        </w:rPr>
        <w:t>40</w:t>
      </w:r>
      <w:r>
        <w:rPr/>
        <w:t>万元、</w:t>
      </w:r>
      <w:r>
        <w:rPr>
          <w:rFonts w:ascii="Arial" w:hAnsi="Arial" w:cs="Arial" w:eastAsia="Arial" w:hint="default"/>
        </w:rPr>
        <w:t>70</w:t>
      </w:r>
      <w:r>
        <w:rPr/>
        <w:t>万元整。增资后，茂 硕电源科技股份有限公司占比</w:t>
      </w:r>
      <w:r>
        <w:rPr>
          <w:rFonts w:ascii="Arial" w:hAnsi="Arial" w:cs="Arial" w:eastAsia="Arial" w:hint="default"/>
        </w:rPr>
        <w:t>50.93%</w:t>
      </w:r>
      <w:r>
        <w:rPr/>
        <w:t>；深圳市北科投资发展有限公司占比</w:t>
      </w:r>
      <w:r>
        <w:rPr>
          <w:rFonts w:ascii="Arial" w:hAnsi="Arial" w:cs="Arial" w:eastAsia="Arial" w:hint="default"/>
        </w:rPr>
        <w:t>7.61%</w:t>
      </w:r>
      <w:r>
        <w:rPr/>
        <w:t>；毛周明占比</w:t>
      </w:r>
      <w:r>
        <w:rPr>
          <w:rFonts w:ascii="Arial" w:hAnsi="Arial" w:cs="Arial" w:eastAsia="Arial" w:hint="default"/>
        </w:rPr>
        <w:t>24.39%</w:t>
      </w:r>
      <w:r>
        <w:rPr/>
        <w:t>；金鹏占比</w:t>
      </w:r>
      <w:r>
        <w:rPr>
          <w:rFonts w:ascii="Arial" w:hAnsi="Arial" w:cs="Arial" w:eastAsia="Arial" w:hint="default"/>
        </w:rPr>
        <w:t>17.07%</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3"/>
        <w:spacing w:line="240" w:lineRule="auto"/>
        <w:ind w:right="1121"/>
        <w:jc w:val="left"/>
        <w:rPr>
          <w:b w:val="0"/>
          <w:bCs w:val="0"/>
        </w:rPr>
      </w:pPr>
      <w:r>
        <w:rPr>
          <w:rFonts w:ascii="Arial" w:hAnsi="Arial" w:cs="Arial" w:eastAsia="Arial" w:hint="default"/>
        </w:rPr>
        <w:t>2</w:t>
      </w:r>
      <w:r>
        <w:rPr/>
        <w:t>、报告期内新纳入合并范围的主体和报告期内不再纳入合并范围的主体</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21"/>
        <w:jc w:val="left"/>
      </w:pPr>
      <w:r>
        <w:rPr/>
        <w:t>本期新纳入合并范围的子公司、特殊目的主体、通过受托经营或承租等方式形成控制权的经营实体</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pStyle w:val="BodyText"/>
        <w:spacing w:line="240" w:lineRule="auto" w:before="50"/>
        <w:ind w:right="1121"/>
        <w:jc w:val="left"/>
      </w:pPr>
      <w:r>
        <w:rPr/>
        <w:t>本期不再纳入合并范围的子公司、特殊目的主体、通过受托经营或承租等方式形成控制权的经营实体</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pStyle w:val="BodyText"/>
        <w:spacing w:line="360" w:lineRule="auto" w:before="49"/>
        <w:ind w:left="470" w:right="5894" w:hanging="318"/>
        <w:jc w:val="left"/>
      </w:pPr>
      <w:r>
        <w:rPr/>
        <w:t>新纳入合并范围的主体和不再纳入合并范围的主体的其他说明 不适用</w:t>
      </w:r>
    </w:p>
    <w:p>
      <w:pPr>
        <w:spacing w:line="240" w:lineRule="auto" w:before="4"/>
        <w:rPr>
          <w:rFonts w:ascii="宋体" w:hAnsi="宋体" w:cs="宋体" w:eastAsia="宋体" w:hint="default"/>
          <w:sz w:val="20"/>
          <w:szCs w:val="20"/>
        </w:rPr>
      </w:pPr>
    </w:p>
    <w:p>
      <w:pPr>
        <w:pStyle w:val="Heading3"/>
        <w:spacing w:line="240" w:lineRule="auto"/>
        <w:ind w:right="1121"/>
        <w:jc w:val="left"/>
        <w:rPr>
          <w:b w:val="0"/>
          <w:bCs w:val="0"/>
        </w:rPr>
      </w:pPr>
      <w:r>
        <w:rPr>
          <w:rFonts w:ascii="Arial" w:hAnsi="Arial" w:cs="Arial" w:eastAsia="Arial" w:hint="default"/>
        </w:rPr>
        <w:t>3</w:t>
      </w:r>
      <w:r>
        <w:rPr/>
        <w:t>、报告期内发生的同一控制下企业合并</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3"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360" w:lineRule="auto" w:before="49"/>
        <w:ind w:left="470" w:right="8234" w:hanging="318"/>
        <w:jc w:val="left"/>
      </w:pPr>
      <w:r>
        <w:rPr/>
        <w:t>同一控制下企业合并的其他说明 不适用</w:t>
      </w:r>
    </w:p>
    <w:p>
      <w:pPr>
        <w:spacing w:line="240" w:lineRule="auto" w:before="4"/>
        <w:rPr>
          <w:rFonts w:ascii="宋体" w:hAnsi="宋体" w:cs="宋体" w:eastAsia="宋体" w:hint="default"/>
          <w:sz w:val="20"/>
          <w:szCs w:val="20"/>
        </w:rPr>
      </w:pPr>
    </w:p>
    <w:p>
      <w:pPr>
        <w:pStyle w:val="Heading3"/>
        <w:spacing w:line="240" w:lineRule="auto"/>
        <w:ind w:right="1121"/>
        <w:jc w:val="left"/>
        <w:rPr>
          <w:b w:val="0"/>
          <w:bCs w:val="0"/>
        </w:rPr>
      </w:pPr>
      <w:r>
        <w:rPr>
          <w:rFonts w:ascii="Arial" w:hAnsi="Arial" w:cs="Arial" w:eastAsia="Arial" w:hint="default"/>
        </w:rPr>
        <w:t>4</w:t>
      </w:r>
      <w:r>
        <w:rPr/>
        <w:t>、报告期内发生的非同一控制下企业合并</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6"/>
        <w:gridCol w:w="3032"/>
        <w:gridCol w:w="3850"/>
      </w:tblGrid>
      <w:tr>
        <w:trPr>
          <w:trHeight w:val="402"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pStyle w:val="BodyText"/>
        <w:spacing w:line="357" w:lineRule="auto" w:before="50"/>
        <w:ind w:left="470" w:right="8054" w:hanging="318"/>
        <w:jc w:val="left"/>
      </w:pPr>
      <w:r>
        <w:rPr/>
        <w:t>非同一控制下企业合并的其他说明 不适用</w:t>
      </w:r>
    </w:p>
    <w:p>
      <w:pPr>
        <w:spacing w:after="0" w:line="357" w:lineRule="auto"/>
        <w:jc w:val="left"/>
        <w:sectPr>
          <w:pgSz w:w="11910" w:h="16840"/>
          <w:pgMar w:header="877" w:footer="1258" w:top="1060" w:bottom="14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1"/>
        <w:jc w:val="left"/>
        <w:rPr>
          <w:b w:val="0"/>
          <w:bCs w:val="0"/>
        </w:rPr>
      </w:pPr>
      <w:r>
        <w:rPr>
          <w:rFonts w:ascii="Arial" w:hAnsi="Arial" w:cs="Arial" w:eastAsia="Arial" w:hint="default"/>
        </w:rPr>
        <w:t>5</w:t>
      </w:r>
      <w:r>
        <w:rPr/>
        <w:t>、报告期内出售丧失控制权的股权而减少子公司</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85"/>
      </w:tblGrid>
      <w:tr>
        <w:trPr>
          <w:trHeight w:val="401"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360" w:lineRule="auto" w:before="49"/>
        <w:ind w:left="470" w:right="6794" w:hanging="318"/>
        <w:jc w:val="left"/>
      </w:pPr>
      <w:r>
        <w:rPr/>
        <w:t>出售丧失控制权的股权而减少的子公司的其他说明 不适用</w:t>
      </w:r>
    </w:p>
    <w:p>
      <w:pPr>
        <w:spacing w:line="240" w:lineRule="auto" w:before="4"/>
        <w:rPr>
          <w:rFonts w:ascii="宋体" w:hAnsi="宋体" w:cs="宋体" w:eastAsia="宋体" w:hint="default"/>
          <w:sz w:val="20"/>
          <w:szCs w:val="20"/>
        </w:rPr>
      </w:pPr>
    </w:p>
    <w:p>
      <w:pPr>
        <w:pStyle w:val="Heading3"/>
        <w:spacing w:line="240" w:lineRule="auto"/>
        <w:ind w:right="1121"/>
        <w:jc w:val="left"/>
        <w:rPr>
          <w:b w:val="0"/>
          <w:bCs w:val="0"/>
        </w:rPr>
      </w:pPr>
      <w:r>
        <w:rPr>
          <w:rFonts w:ascii="Arial" w:hAnsi="Arial" w:cs="Arial" w:eastAsia="Arial" w:hint="default"/>
        </w:rPr>
        <w:t>6</w:t>
      </w:r>
      <w:r>
        <w:rPr/>
        <w:t>、报告期内发生的反向购买</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pStyle w:val="BodyText"/>
        <w:spacing w:line="357" w:lineRule="auto" w:before="49"/>
        <w:ind w:left="470" w:right="9134" w:hanging="318"/>
        <w:jc w:val="left"/>
      </w:pPr>
      <w:r>
        <w:rPr/>
        <w:t>反向购买的其他说明 不适用</w:t>
      </w:r>
    </w:p>
    <w:p>
      <w:pPr>
        <w:spacing w:line="240" w:lineRule="auto" w:before="6"/>
        <w:rPr>
          <w:rFonts w:ascii="宋体" w:hAnsi="宋体" w:cs="宋体" w:eastAsia="宋体" w:hint="default"/>
          <w:sz w:val="20"/>
          <w:szCs w:val="20"/>
        </w:rPr>
      </w:pPr>
    </w:p>
    <w:p>
      <w:pPr>
        <w:pStyle w:val="Heading3"/>
        <w:spacing w:line="240" w:lineRule="auto"/>
        <w:ind w:right="1121"/>
        <w:jc w:val="left"/>
        <w:rPr>
          <w:b w:val="0"/>
          <w:bCs w:val="0"/>
        </w:rPr>
      </w:pPr>
      <w:r>
        <w:rPr>
          <w:rFonts w:ascii="Arial" w:hAnsi="Arial" w:cs="Arial" w:eastAsia="Arial" w:hint="default"/>
        </w:rPr>
        <w:t>7</w:t>
      </w:r>
      <w:r>
        <w:rPr/>
        <w:t>、本报告期发生的吸收合并</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49"/>
        <w:ind w:left="470" w:right="9134" w:hanging="318"/>
        <w:jc w:val="left"/>
      </w:pPr>
      <w:r>
        <w:rPr/>
        <w:t>吸收合并的其他说明 不适用</w:t>
      </w:r>
    </w:p>
    <w:p>
      <w:pPr>
        <w:spacing w:line="240" w:lineRule="auto" w:before="6"/>
        <w:rPr>
          <w:rFonts w:ascii="宋体" w:hAnsi="宋体" w:cs="宋体" w:eastAsia="宋体" w:hint="default"/>
          <w:sz w:val="20"/>
          <w:szCs w:val="20"/>
        </w:rPr>
      </w:pPr>
    </w:p>
    <w:p>
      <w:pPr>
        <w:pStyle w:val="Heading3"/>
        <w:spacing w:line="240" w:lineRule="auto"/>
        <w:ind w:right="1121"/>
        <w:jc w:val="left"/>
        <w:rPr>
          <w:b w:val="0"/>
          <w:bCs w:val="0"/>
        </w:rPr>
      </w:pPr>
      <w:r>
        <w:rPr>
          <w:rFonts w:ascii="Arial" w:hAnsi="Arial" w:cs="Arial" w:eastAsia="Arial" w:hint="default"/>
        </w:rPr>
        <w:t>8</w:t>
      </w:r>
      <w:r>
        <w:rPr/>
        <w:t>、境外经营实体主要报表项目的折算汇率</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51" w:right="9895"/>
        <w:jc w:val="center"/>
      </w:pPr>
      <w:r>
        <w:rPr/>
        <w:t>不适用</w:t>
      </w:r>
    </w:p>
    <w:p>
      <w:pPr>
        <w:spacing w:line="240" w:lineRule="auto" w:before="3"/>
        <w:rPr>
          <w:rFonts w:ascii="宋体" w:hAnsi="宋体" w:cs="宋体" w:eastAsia="宋体" w:hint="default"/>
          <w:sz w:val="25"/>
          <w:szCs w:val="25"/>
        </w:rPr>
      </w:pPr>
    </w:p>
    <w:p>
      <w:pPr>
        <w:pStyle w:val="Heading2"/>
        <w:spacing w:line="240" w:lineRule="auto"/>
        <w:ind w:right="1121"/>
        <w:jc w:val="left"/>
        <w:rPr>
          <w:b w:val="0"/>
          <w:bCs w:val="0"/>
        </w:rPr>
      </w:pPr>
      <w:r>
        <w:rPr/>
        <w:t>七、合并财务报表主要项目注释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、货币资金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8"/>
        <w:gridCol w:w="918"/>
        <w:gridCol w:w="1485"/>
        <w:gridCol w:w="1318"/>
        <w:gridCol w:w="917"/>
        <w:gridCol w:w="1606"/>
      </w:tblGrid>
      <w:tr>
        <w:trPr>
          <w:trHeight w:val="204"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7"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Arial" w:hAnsi="Arial" w:cs="Arial" w:eastAsia="Arial" w:hint="default"/>
                <w:sz w:val="18"/>
                <w:szCs w:val="18"/>
              </w:rPr>
            </w:pPr>
            <w:r>
              <w:rPr>
                <w:rFonts w:ascii="宋体" w:hAnsi="宋体" w:cs="宋体" w:eastAsia="宋体" w:hint="default"/>
                <w:sz w:val="18"/>
                <w:szCs w:val="18"/>
              </w:rPr>
              <w:t>现金</w:t>
            </w:r>
            <w:r>
              <w:rPr>
                <w:rFonts w:ascii="Arial" w:hAnsi="Arial" w:cs="Arial" w:eastAsia="Arial"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Arial" w:hAnsi="Arial" w:cs="Arial" w:eastAsia="Arial" w:hint="default"/>
                <w:sz w:val="18"/>
                <w:szCs w:val="18"/>
              </w:rPr>
            </w:pPr>
            <w:r>
              <w:rPr>
                <w:rFonts w:ascii="Arial"/>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3" w:right="0"/>
              <w:jc w:val="center"/>
              <w:rPr>
                <w:rFonts w:ascii="Arial" w:hAnsi="Arial" w:cs="Arial" w:eastAsia="Arial" w:hint="default"/>
                <w:sz w:val="18"/>
                <w:szCs w:val="18"/>
              </w:rPr>
            </w:pPr>
            <w:r>
              <w:rPr>
                <w:rFonts w:ascii="Arial"/>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10,720.16</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1"/>
              <w:jc w:val="center"/>
              <w:rPr>
                <w:rFonts w:ascii="Arial" w:hAnsi="Arial" w:cs="Arial" w:eastAsia="Arial" w:hint="default"/>
                <w:sz w:val="18"/>
                <w:szCs w:val="18"/>
              </w:rPr>
            </w:pPr>
            <w:r>
              <w:rPr>
                <w:rFonts w:ascii="Arial"/>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3" w:right="0"/>
              <w:jc w:val="center"/>
              <w:rPr>
                <w:rFonts w:ascii="Arial" w:hAnsi="Arial" w:cs="Arial" w:eastAsia="Arial" w:hint="default"/>
                <w:sz w:val="18"/>
                <w:szCs w:val="18"/>
              </w:rPr>
            </w:pPr>
            <w:r>
              <w:rPr>
                <w:rFonts w:ascii="Arial"/>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124,745.57</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Arial" w:hAnsi="Arial" w:cs="Arial" w:eastAsia="Arial" w:hint="default"/>
                <w:sz w:val="18"/>
                <w:szCs w:val="18"/>
              </w:rPr>
            </w:pPr>
            <w:r>
              <w:rPr>
                <w:rFonts w:ascii="Arial"/>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3" w:right="0"/>
              <w:jc w:val="center"/>
              <w:rPr>
                <w:rFonts w:ascii="Arial" w:hAnsi="Arial" w:cs="Arial" w:eastAsia="Arial" w:hint="default"/>
                <w:sz w:val="18"/>
                <w:szCs w:val="18"/>
              </w:rPr>
            </w:pPr>
            <w:r>
              <w:rPr>
                <w:rFonts w:ascii="Arial"/>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10,720.16</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1"/>
              <w:jc w:val="center"/>
              <w:rPr>
                <w:rFonts w:ascii="Arial" w:hAnsi="Arial" w:cs="Arial" w:eastAsia="Arial" w:hint="default"/>
                <w:sz w:val="18"/>
                <w:szCs w:val="18"/>
              </w:rPr>
            </w:pPr>
            <w:r>
              <w:rPr>
                <w:rFonts w:ascii="Arial"/>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3" w:right="0"/>
              <w:jc w:val="center"/>
              <w:rPr>
                <w:rFonts w:ascii="Arial" w:hAnsi="Arial" w:cs="Arial" w:eastAsia="Arial" w:hint="default"/>
                <w:sz w:val="18"/>
                <w:szCs w:val="18"/>
              </w:rPr>
            </w:pPr>
            <w:r>
              <w:rPr>
                <w:rFonts w:ascii="Arial"/>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124,745.57</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Arial" w:hAnsi="Arial" w:cs="Arial" w:eastAsia="Arial" w:hint="default"/>
                <w:sz w:val="18"/>
                <w:szCs w:val="18"/>
              </w:rPr>
            </w:pPr>
            <w:r>
              <w:rPr>
                <w:rFonts w:ascii="Arial"/>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3" w:right="0"/>
              <w:jc w:val="center"/>
              <w:rPr>
                <w:rFonts w:ascii="Arial" w:hAnsi="Arial" w:cs="Arial" w:eastAsia="Arial" w:hint="default"/>
                <w:sz w:val="18"/>
                <w:szCs w:val="18"/>
              </w:rPr>
            </w:pPr>
            <w:r>
              <w:rPr>
                <w:rFonts w:ascii="Arial"/>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387,824,888.24</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1"/>
              <w:jc w:val="center"/>
              <w:rPr>
                <w:rFonts w:ascii="Arial" w:hAnsi="Arial" w:cs="Arial" w:eastAsia="Arial" w:hint="default"/>
                <w:sz w:val="18"/>
                <w:szCs w:val="18"/>
              </w:rPr>
            </w:pPr>
            <w:r>
              <w:rPr>
                <w:rFonts w:ascii="Arial"/>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3" w:right="0"/>
              <w:jc w:val="center"/>
              <w:rPr>
                <w:rFonts w:ascii="Arial" w:hAnsi="Arial" w:cs="Arial" w:eastAsia="Arial" w:hint="default"/>
                <w:sz w:val="18"/>
                <w:szCs w:val="18"/>
              </w:rPr>
            </w:pPr>
            <w:r>
              <w:rPr>
                <w:rFonts w:ascii="Arial"/>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88,612,611.71</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Arial" w:hAnsi="Arial" w:cs="Arial" w:eastAsia="Arial" w:hint="default"/>
                <w:sz w:val="18"/>
                <w:szCs w:val="18"/>
              </w:rPr>
            </w:pPr>
            <w:r>
              <w:rPr>
                <w:rFonts w:ascii="Arial"/>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3" w:right="0"/>
              <w:jc w:val="center"/>
              <w:rPr>
                <w:rFonts w:ascii="Arial" w:hAnsi="Arial" w:cs="Arial" w:eastAsia="Arial" w:hint="default"/>
                <w:sz w:val="18"/>
                <w:szCs w:val="18"/>
              </w:rPr>
            </w:pPr>
            <w:r>
              <w:rPr>
                <w:rFonts w:ascii="Arial"/>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356,645,768.96</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1"/>
              <w:jc w:val="center"/>
              <w:rPr>
                <w:rFonts w:ascii="Arial" w:hAnsi="Arial" w:cs="Arial" w:eastAsia="Arial" w:hint="default"/>
                <w:sz w:val="18"/>
                <w:szCs w:val="18"/>
              </w:rPr>
            </w:pPr>
            <w:r>
              <w:rPr>
                <w:rFonts w:ascii="Arial"/>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3" w:right="0"/>
              <w:jc w:val="center"/>
              <w:rPr>
                <w:rFonts w:ascii="Arial" w:hAnsi="Arial" w:cs="Arial" w:eastAsia="Arial" w:hint="default"/>
                <w:sz w:val="18"/>
                <w:szCs w:val="18"/>
              </w:rPr>
            </w:pPr>
            <w:r>
              <w:rPr>
                <w:rFonts w:ascii="Arial"/>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65,293,729.12</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4,913,861.76</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628.55%</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31"/>
              <w:jc w:val="right"/>
              <w:rPr>
                <w:rFonts w:ascii="Arial" w:hAnsi="Arial" w:cs="Arial" w:eastAsia="Arial" w:hint="default"/>
                <w:sz w:val="18"/>
                <w:szCs w:val="18"/>
              </w:rPr>
            </w:pPr>
            <w:r>
              <w:rPr>
                <w:rFonts w:ascii="Arial"/>
                <w:spacing w:val="-1"/>
                <w:sz w:val="18"/>
              </w:rPr>
              <w:t>30,886,078.08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3,659,522.84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630.09%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23,058,287.47</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361,400.01</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81.09%</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31"/>
              <w:jc w:val="right"/>
              <w:rPr>
                <w:rFonts w:ascii="Arial" w:hAnsi="Arial" w:cs="Arial" w:eastAsia="Arial" w:hint="default"/>
                <w:sz w:val="18"/>
                <w:szCs w:val="18"/>
              </w:rPr>
            </w:pPr>
            <w:r>
              <w:rPr>
                <w:rFonts w:ascii="Arial"/>
                <w:spacing w:val="-1"/>
                <w:sz w:val="18"/>
              </w:rPr>
              <w:t>293,041.20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321,444.58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81.07%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260,595.12</w:t>
            </w:r>
          </w:p>
        </w:tc>
      </w:tr>
    </w:tbl>
    <w:p>
      <w:pPr>
        <w:spacing w:after="0" w:line="240" w:lineRule="auto"/>
        <w:jc w:val="right"/>
        <w:rPr>
          <w:rFonts w:ascii="Arial" w:hAnsi="Arial" w:cs="Arial" w:eastAsia="Arial" w:hint="default"/>
          <w:sz w:val="18"/>
          <w:szCs w:val="18"/>
        </w:rPr>
        <w:sectPr>
          <w:pgSz w:w="11910" w:h="16840"/>
          <w:pgMar w:header="877" w:footer="1258" w:top="1060" w:bottom="14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325"/>
        <w:gridCol w:w="931"/>
        <w:gridCol w:w="1463"/>
        <w:gridCol w:w="1326"/>
        <w:gridCol w:w="920"/>
        <w:gridCol w:w="1606"/>
      </w:tblGrid>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4" w:right="0"/>
              <w:jc w:val="center"/>
              <w:rPr>
                <w:rFonts w:ascii="Arial" w:hAnsi="Arial" w:cs="Arial" w:eastAsia="Arial" w:hint="default"/>
                <w:sz w:val="18"/>
                <w:szCs w:val="18"/>
              </w:rPr>
            </w:pPr>
            <w:r>
              <w:rPr>
                <w:rFonts w:ascii="Arial"/>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4" w:right="0"/>
              <w:jc w:val="center"/>
              <w:rPr>
                <w:rFonts w:ascii="Arial" w:hAnsi="Arial" w:cs="Arial" w:eastAsia="Arial" w:hint="default"/>
                <w:sz w:val="18"/>
                <w:szCs w:val="18"/>
              </w:rPr>
            </w:pPr>
            <w:r>
              <w:rPr>
                <w:rFonts w:ascii="Arial"/>
                <w:sz w:val="18"/>
              </w:rPr>
              <w:t>--</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18,040,000.00</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Arial" w:hAnsi="Arial" w:cs="Arial" w:eastAsia="Arial" w:hint="default"/>
                <w:sz w:val="18"/>
                <w:szCs w:val="18"/>
              </w:rPr>
            </w:pPr>
            <w:r>
              <w:rPr>
                <w:rFonts w:ascii="Arial"/>
                <w:sz w:val="18"/>
              </w:rPr>
              <w:t>--</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6" w:right="0"/>
              <w:jc w:val="center"/>
              <w:rPr>
                <w:rFonts w:ascii="Arial" w:hAnsi="Arial" w:cs="Arial" w:eastAsia="Arial" w:hint="default"/>
                <w:sz w:val="18"/>
                <w:szCs w:val="18"/>
              </w:rPr>
            </w:pPr>
            <w:r>
              <w:rPr>
                <w:rFonts w:ascii="Arial"/>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23,089,518.04</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Arial" w:hAnsi="Arial" w:cs="Arial" w:eastAsia="Arial" w:hint="default"/>
                <w:sz w:val="18"/>
                <w:szCs w:val="18"/>
              </w:rPr>
            </w:pPr>
            <w:r>
              <w:rPr>
                <w:rFonts w:ascii="Arial"/>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Arial" w:hAnsi="Arial" w:cs="Arial" w:eastAsia="Arial" w:hint="default"/>
                <w:sz w:val="18"/>
                <w:szCs w:val="18"/>
              </w:rPr>
            </w:pPr>
            <w:r>
              <w:rPr>
                <w:rFonts w:ascii="Arial"/>
                <w:sz w:val="18"/>
              </w:rPr>
              <w:t>--</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18,040,000.00</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Arial" w:hAnsi="Arial" w:cs="Arial" w:eastAsia="Arial" w:hint="default"/>
                <w:sz w:val="18"/>
                <w:szCs w:val="18"/>
              </w:rPr>
            </w:pPr>
            <w:r>
              <w:rPr>
                <w:rFonts w:ascii="Arial"/>
                <w:sz w:val="18"/>
              </w:rPr>
              <w:t>--</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Arial" w:hAnsi="Arial" w:cs="Arial" w:eastAsia="Arial" w:hint="default"/>
                <w:sz w:val="18"/>
                <w:szCs w:val="18"/>
              </w:rPr>
            </w:pPr>
            <w:r>
              <w:rPr>
                <w:rFonts w:ascii="Arial"/>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23,089,518.04</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4" w:right="0"/>
              <w:jc w:val="center"/>
              <w:rPr>
                <w:rFonts w:ascii="Arial" w:hAnsi="Arial" w:cs="Arial" w:eastAsia="Arial" w:hint="default"/>
                <w:sz w:val="18"/>
                <w:szCs w:val="18"/>
              </w:rPr>
            </w:pPr>
            <w:r>
              <w:rPr>
                <w:rFonts w:ascii="Arial"/>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4" w:right="0"/>
              <w:jc w:val="center"/>
              <w:rPr>
                <w:rFonts w:ascii="Arial" w:hAnsi="Arial" w:cs="Arial" w:eastAsia="Arial" w:hint="default"/>
                <w:sz w:val="18"/>
                <w:szCs w:val="18"/>
              </w:rPr>
            </w:pPr>
            <w:r>
              <w:rPr>
                <w:rFonts w:ascii="Arial"/>
                <w:sz w:val="18"/>
              </w:rPr>
              <w:t>--</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405,875,608.40</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Arial" w:hAnsi="Arial" w:cs="Arial" w:eastAsia="Arial" w:hint="default"/>
                <w:sz w:val="18"/>
                <w:szCs w:val="18"/>
              </w:rPr>
            </w:pPr>
            <w:r>
              <w:rPr>
                <w:rFonts w:ascii="Arial"/>
                <w:sz w:val="18"/>
              </w:rPr>
              <w:t>--</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6" w:right="0"/>
              <w:jc w:val="center"/>
              <w:rPr>
                <w:rFonts w:ascii="Arial" w:hAnsi="Arial" w:cs="Arial" w:eastAsia="Arial" w:hint="default"/>
                <w:sz w:val="18"/>
                <w:szCs w:val="18"/>
              </w:rPr>
            </w:pPr>
            <w:r>
              <w:rPr>
                <w:rFonts w:ascii="Arial"/>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3"/>
                <w:sz w:val="18"/>
              </w:rPr>
              <w:t>111,826,875.32</w:t>
            </w:r>
          </w:p>
        </w:tc>
      </w:tr>
    </w:tbl>
    <w:p>
      <w:pPr>
        <w:pStyle w:val="BodyText"/>
        <w:spacing w:line="357" w:lineRule="auto" w:before="49"/>
        <w:ind w:left="513" w:right="3554" w:hanging="361"/>
        <w:jc w:val="left"/>
      </w:pPr>
      <w:r>
        <w:rPr/>
        <w:t>如有因抵押、质押或冻结等对使用有限制、存放在境外、有潜在回收风险的款项应单独说明 年末其他货币资金余额为银行承兑汇票保证金。</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3"/>
        <w:spacing w:line="240" w:lineRule="auto"/>
        <w:ind w:right="1121"/>
        <w:jc w:val="left"/>
        <w:rPr>
          <w:b w:val="0"/>
          <w:bCs w:val="0"/>
        </w:rPr>
      </w:pPr>
      <w:r>
        <w:rPr>
          <w:rFonts w:ascii="Arial" w:hAnsi="Arial" w:cs="Arial" w:eastAsia="Arial" w:hint="default"/>
        </w:rPr>
        <w:t>2</w:t>
      </w:r>
      <w:r>
        <w:rPr/>
        <w:t>、交易性金融资产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）交易性金融资产</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7"/>
      </w:tblGrid>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交易性债券投资</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715"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指定为以公允价值计量且变动计入当期损益的金融资 产</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套期工具</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92,180.09</w:t>
            </w:r>
          </w:p>
        </w:tc>
      </w:tr>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4"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92,180.09</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2</w:t>
      </w:r>
      <w:r>
        <w:rPr/>
        <w:t>）套期工具及对相关套期交易的说明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451" w:right="9895"/>
        <w:jc w:val="center"/>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rFonts w:ascii="Arial" w:hAnsi="Arial" w:cs="Arial" w:eastAsia="Arial" w:hint="default"/>
        </w:rPr>
        <w:t>3</w:t>
      </w:r>
      <w:r>
        <w:rPr/>
        <w:t>、应收票据</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）应收票据的分类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4"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27,748,074.28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24,172,011.90</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10,699,636.80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4,713,273.48</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38,447,711.08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28,885,285.38</w:t>
            </w:r>
          </w:p>
        </w:tc>
      </w:tr>
    </w:tbl>
    <w:p>
      <w:pPr>
        <w:spacing w:line="240" w:lineRule="auto" w:before="3"/>
        <w:rPr>
          <w:rFonts w:ascii="宋体" w:hAnsi="宋体" w:cs="宋体" w:eastAsia="宋体" w:hint="default"/>
          <w:sz w:val="19"/>
          <w:szCs w:val="19"/>
        </w:rPr>
      </w:pPr>
    </w:p>
    <w:p>
      <w:pPr>
        <w:pStyle w:val="Heading3"/>
        <w:spacing w:line="259" w:lineRule="auto" w:before="36"/>
        <w:ind w:right="1121"/>
        <w:jc w:val="left"/>
        <w:rPr>
          <w:b w:val="0"/>
          <w:bCs w:val="0"/>
        </w:rPr>
      </w:pPr>
      <w:r>
        <w:rPr/>
        <w:t>（</w:t>
      </w:r>
      <w:r>
        <w:rPr>
          <w:rFonts w:ascii="Arial" w:hAnsi="Arial" w:cs="Arial" w:eastAsia="Arial" w:hint="default"/>
        </w:rPr>
        <w:t>2</w:t>
      </w:r>
      <w:r>
        <w:rPr/>
        <w:t>）因出票人无力履约而将票据转为应收账款的票据，以及期末公司已经背书给他方但尚未到期的票据</w:t>
      </w:r>
      <w:r>
        <w:rPr>
          <w:spacing w:val="-74"/>
        </w:rPr>
        <w:t> </w:t>
      </w:r>
      <w:r>
        <w:rPr>
          <w:spacing w:val="-74"/>
        </w:rPr>
      </w:r>
      <w:r>
        <w:rPr/>
        <w:t>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513" w:right="1121"/>
        <w:jc w:val="left"/>
      </w:pPr>
      <w:r>
        <w:rPr/>
        <w:t>因出票人无力履约而将票据转为应收账款的票据</w:t>
      </w:r>
    </w:p>
    <w:p>
      <w:pPr>
        <w:spacing w:after="0" w:line="240" w:lineRule="auto"/>
        <w:jc w:val="left"/>
        <w:sectPr>
          <w:pgSz w:w="11910" w:h="16840"/>
          <w:pgMar w:header="877" w:footer="1258" w:top="1060" w:bottom="144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1121"/>
        <w:jc w:val="left"/>
      </w:pPr>
      <w:r>
        <w:rPr/>
        <w:t>说明</w:t>
      </w:r>
    </w:p>
    <w:p>
      <w:pPr>
        <w:pStyle w:val="BodyText"/>
        <w:spacing w:line="240" w:lineRule="auto" w:before="117"/>
        <w:ind w:left="522" w:right="1121"/>
        <w:jc w:val="left"/>
      </w:pPr>
      <w:r>
        <w:rPr/>
        <w:t>截止</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日，无因出票人无力履约而将票据转为应收账款的票据。</w:t>
      </w:r>
    </w:p>
    <w:p>
      <w:pPr>
        <w:pStyle w:val="BodyText"/>
        <w:spacing w:line="240" w:lineRule="auto" w:before="104"/>
        <w:ind w:right="1121"/>
        <w:jc w:val="left"/>
      </w:pPr>
      <w:r>
        <w:rPr/>
        <w:t>公司已经背书给其他方但尚未到期的票据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17</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4,535,754.18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sz w:val="18"/>
              </w:rPr>
              <w:t>00100061/20873583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25</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1,107,824.00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sz w:val="18"/>
              </w:rPr>
              <w:t>10500053/21369245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19</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25</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869,078.40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sz w:val="18"/>
              </w:rPr>
              <w:t>00100063/20566406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7"/>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Arial" w:hAnsi="Arial" w:cs="Arial" w:eastAsia="Arial" w:hint="default"/>
                <w:sz w:val="18"/>
                <w:szCs w:val="18"/>
              </w:rPr>
            </w:pPr>
            <w:r>
              <w:rPr>
                <w:rFonts w:ascii="Arial"/>
                <w:sz w:val="18"/>
              </w:rPr>
              <w:t>31000051/20542993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7"/>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09</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626,349.84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sz w:val="18"/>
              </w:rPr>
              <w:t>10200052/21266734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191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0"/>
              <w:ind w:right="9"/>
              <w:jc w:val="right"/>
              <w:rPr>
                <w:rFonts w:ascii="Arial" w:hAnsi="Arial" w:cs="Arial" w:eastAsia="Arial" w:hint="default"/>
                <w:sz w:val="18"/>
                <w:szCs w:val="18"/>
              </w:rPr>
            </w:pPr>
            <w:r>
              <w:rPr>
                <w:rFonts w:ascii="Arial"/>
                <w:spacing w:val="-1"/>
                <w:sz w:val="18"/>
              </w:rPr>
              <w:t>7,979,006.42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bl>
    <w:p>
      <w:pPr>
        <w:pStyle w:val="BodyText"/>
        <w:spacing w:line="360" w:lineRule="auto" w:before="49"/>
        <w:ind w:right="7874"/>
        <w:jc w:val="left"/>
      </w:pPr>
      <w:r>
        <w:rPr/>
        <w:t>说明 已贴现或质押的商业承兑票据的说明</w:t>
      </w:r>
    </w:p>
    <w:p>
      <w:pPr>
        <w:spacing w:line="240" w:lineRule="auto" w:before="2"/>
        <w:rPr>
          <w:rFonts w:ascii="宋体" w:hAnsi="宋体" w:cs="宋体" w:eastAsia="宋体" w:hint="default"/>
          <w:sz w:val="20"/>
          <w:szCs w:val="20"/>
        </w:rPr>
      </w:pPr>
    </w:p>
    <w:p>
      <w:pPr>
        <w:pStyle w:val="Heading3"/>
        <w:spacing w:line="240" w:lineRule="auto"/>
        <w:ind w:right="1121"/>
        <w:jc w:val="left"/>
        <w:rPr>
          <w:b w:val="0"/>
          <w:bCs w:val="0"/>
        </w:rPr>
      </w:pPr>
      <w:r>
        <w:rPr>
          <w:rFonts w:ascii="Arial" w:hAnsi="Arial" w:cs="Arial" w:eastAsia="Arial" w:hint="default"/>
        </w:rPr>
        <w:t>4</w:t>
      </w:r>
      <w:r>
        <w:rPr/>
        <w:t>、应收利息</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）应收利息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2"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5,639,988.09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5,639,988.09</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5,639,988.09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5,639,988.09</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2</w:t>
      </w:r>
      <w:r>
        <w:rPr/>
        <w:t>）应收利息的说明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70" w:right="1121"/>
        <w:jc w:val="left"/>
      </w:pPr>
      <w:r>
        <w:rPr/>
        <w:t>应收利息为闲置募集资金及超募资金转存定期的利息收入。</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rFonts w:ascii="Arial" w:hAnsi="Arial" w:cs="Arial" w:eastAsia="Arial" w:hint="default"/>
        </w:rPr>
        <w:t>5</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）应收账款按种类披露</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929"/>
        <w:gridCol w:w="931"/>
        <w:gridCol w:w="929"/>
        <w:gridCol w:w="929"/>
        <w:gridCol w:w="797"/>
        <w:gridCol w:w="929"/>
        <w:gridCol w:w="1064"/>
        <w:gridCol w:w="1066"/>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1"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6"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bl>
    <w:p>
      <w:pPr>
        <w:spacing w:after="0" w:line="240" w:lineRule="auto"/>
        <w:jc w:val="left"/>
        <w:rPr>
          <w:rFonts w:ascii="宋体" w:hAnsi="宋体" w:cs="宋体" w:eastAsia="宋体" w:hint="default"/>
          <w:sz w:val="18"/>
          <w:szCs w:val="18"/>
        </w:rPr>
        <w:sectPr>
          <w:pgSz w:w="11910" w:h="16840"/>
          <w:pgMar w:header="877" w:footer="1258" w:top="1060" w:bottom="14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929"/>
        <w:gridCol w:w="931"/>
        <w:gridCol w:w="929"/>
        <w:gridCol w:w="929"/>
        <w:gridCol w:w="797"/>
        <w:gridCol w:w="929"/>
        <w:gridCol w:w="1064"/>
        <w:gridCol w:w="1066"/>
      </w:tblGrid>
      <w:tr>
        <w:trPr>
          <w:trHeight w:val="713"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5" w:right="0"/>
              <w:jc w:val="left"/>
              <w:rPr>
                <w:rFonts w:ascii="Arial" w:hAnsi="Arial" w:cs="Arial" w:eastAsia="Arial" w:hint="default"/>
                <w:sz w:val="18"/>
                <w:szCs w:val="18"/>
              </w:rPr>
            </w:pPr>
            <w:r>
              <w:rPr>
                <w:rFonts w:ascii="Arial"/>
                <w:sz w:val="18"/>
              </w:rPr>
              <w:t>250,058,9</w:t>
            </w:r>
          </w:p>
          <w:p>
            <w:pPr>
              <w:pStyle w:val="TableParagraph"/>
              <w:spacing w:line="240" w:lineRule="auto" w:before="105"/>
              <w:ind w:left="446" w:right="0"/>
              <w:jc w:val="left"/>
              <w:rPr>
                <w:rFonts w:ascii="Arial" w:hAnsi="Arial" w:cs="Arial" w:eastAsia="Arial" w:hint="default"/>
                <w:sz w:val="18"/>
                <w:szCs w:val="18"/>
              </w:rPr>
            </w:pPr>
            <w:r>
              <w:rPr>
                <w:rFonts w:ascii="Arial"/>
                <w:sz w:val="18"/>
              </w:rPr>
              <w:t>79.20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9" w:right="0"/>
              <w:jc w:val="left"/>
              <w:rPr>
                <w:rFonts w:ascii="Arial" w:hAnsi="Arial" w:cs="Arial" w:eastAsia="Arial" w:hint="default"/>
                <w:sz w:val="18"/>
                <w:szCs w:val="18"/>
              </w:rPr>
            </w:pPr>
            <w:r>
              <w:rPr>
                <w:rFonts w:ascii="Arial"/>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7,218,150.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22</w:t>
            </w:r>
            <w:r>
              <w:rPr>
                <w:rFonts w:ascii="Arial"/>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86" w:right="0"/>
              <w:jc w:val="left"/>
              <w:rPr>
                <w:rFonts w:ascii="Arial" w:hAnsi="Arial" w:cs="Arial" w:eastAsia="Arial" w:hint="default"/>
                <w:sz w:val="18"/>
                <w:szCs w:val="18"/>
              </w:rPr>
            </w:pPr>
            <w:r>
              <w:rPr>
                <w:rFonts w:ascii="Arial"/>
                <w:sz w:val="18"/>
              </w:rPr>
              <w:t>2.89%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 w:right="0"/>
              <w:jc w:val="center"/>
              <w:rPr>
                <w:rFonts w:ascii="Arial" w:hAnsi="Arial" w:cs="Arial" w:eastAsia="Arial" w:hint="default"/>
                <w:sz w:val="18"/>
                <w:szCs w:val="18"/>
              </w:rPr>
            </w:pPr>
            <w:r>
              <w:rPr>
                <w:rFonts w:ascii="Arial"/>
                <w:sz w:val="18"/>
              </w:rPr>
              <w:t>155,003,</w:t>
            </w:r>
          </w:p>
          <w:p>
            <w:pPr>
              <w:pStyle w:val="TableParagraph"/>
              <w:spacing w:line="240" w:lineRule="auto" w:before="105"/>
              <w:ind w:left="195" w:right="0"/>
              <w:jc w:val="center"/>
              <w:rPr>
                <w:rFonts w:ascii="Arial" w:hAnsi="Arial" w:cs="Arial" w:eastAsia="Arial" w:hint="default"/>
                <w:sz w:val="18"/>
                <w:szCs w:val="18"/>
              </w:rPr>
            </w:pPr>
            <w:r>
              <w:rPr>
                <w:rFonts w:ascii="Arial"/>
                <w:sz w:val="18"/>
              </w:rPr>
              <w:t>631.31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6" w:right="0"/>
              <w:jc w:val="left"/>
              <w:rPr>
                <w:rFonts w:ascii="Arial" w:hAnsi="Arial" w:cs="Arial" w:eastAsia="Arial" w:hint="default"/>
                <w:sz w:val="18"/>
                <w:szCs w:val="18"/>
              </w:rPr>
            </w:pPr>
            <w:r>
              <w:rPr>
                <w:rFonts w:ascii="Arial"/>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2,577,570.9</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1.66%</w:t>
            </w:r>
            <w:r>
              <w:rPr>
                <w:rFonts w:ascii="Arial"/>
                <w:sz w:val="18"/>
              </w:rPr>
            </w:r>
          </w:p>
        </w:tc>
      </w:tr>
      <w:tr>
        <w:trPr>
          <w:trHeight w:val="715"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5" w:right="0"/>
              <w:jc w:val="left"/>
              <w:rPr>
                <w:rFonts w:ascii="Arial" w:hAnsi="Arial" w:cs="Arial" w:eastAsia="Arial" w:hint="default"/>
                <w:sz w:val="18"/>
                <w:szCs w:val="18"/>
              </w:rPr>
            </w:pPr>
            <w:r>
              <w:rPr>
                <w:rFonts w:ascii="Arial"/>
                <w:sz w:val="18"/>
              </w:rPr>
              <w:t>250,058,9</w:t>
            </w:r>
          </w:p>
          <w:p>
            <w:pPr>
              <w:pStyle w:val="TableParagraph"/>
              <w:spacing w:line="240" w:lineRule="auto" w:before="102"/>
              <w:ind w:left="446" w:right="0"/>
              <w:jc w:val="left"/>
              <w:rPr>
                <w:rFonts w:ascii="Arial" w:hAnsi="Arial" w:cs="Arial" w:eastAsia="Arial" w:hint="default"/>
                <w:sz w:val="18"/>
                <w:szCs w:val="18"/>
              </w:rPr>
            </w:pPr>
            <w:r>
              <w:rPr>
                <w:rFonts w:ascii="Arial"/>
                <w:sz w:val="18"/>
              </w:rPr>
              <w:t>79.20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39" w:right="0"/>
              <w:jc w:val="left"/>
              <w:rPr>
                <w:rFonts w:ascii="Arial" w:hAnsi="Arial" w:cs="Arial" w:eastAsia="Arial" w:hint="default"/>
                <w:sz w:val="18"/>
                <w:szCs w:val="18"/>
              </w:rPr>
            </w:pPr>
            <w:r>
              <w:rPr>
                <w:rFonts w:ascii="Arial"/>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7,218,150.</w:t>
            </w:r>
          </w:p>
          <w:p>
            <w:pPr>
              <w:pStyle w:val="TableParagraph"/>
              <w:spacing w:line="240" w:lineRule="auto" w:before="102"/>
              <w:ind w:right="17"/>
              <w:jc w:val="right"/>
              <w:rPr>
                <w:rFonts w:ascii="Arial" w:hAnsi="Arial" w:cs="Arial" w:eastAsia="Arial" w:hint="default"/>
                <w:sz w:val="18"/>
                <w:szCs w:val="18"/>
              </w:rPr>
            </w:pPr>
            <w:r>
              <w:rPr>
                <w:rFonts w:ascii="Arial"/>
                <w:w w:val="95"/>
                <w:sz w:val="18"/>
              </w:rPr>
              <w:t>22</w:t>
            </w:r>
            <w:r>
              <w:rPr>
                <w:rFonts w:ascii="Arial"/>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86" w:right="0"/>
              <w:jc w:val="left"/>
              <w:rPr>
                <w:rFonts w:ascii="Arial" w:hAnsi="Arial" w:cs="Arial" w:eastAsia="Arial" w:hint="default"/>
                <w:sz w:val="18"/>
                <w:szCs w:val="18"/>
              </w:rPr>
            </w:pPr>
            <w:r>
              <w:rPr>
                <w:rFonts w:ascii="Arial"/>
                <w:sz w:val="18"/>
              </w:rPr>
              <w:t>2.89%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Arial" w:hAnsi="Arial" w:cs="Arial" w:eastAsia="Arial" w:hint="default"/>
                <w:sz w:val="18"/>
                <w:szCs w:val="18"/>
              </w:rPr>
            </w:pPr>
            <w:r>
              <w:rPr>
                <w:rFonts w:ascii="Arial"/>
                <w:sz w:val="18"/>
              </w:rPr>
              <w:t>155,003,</w:t>
            </w:r>
          </w:p>
          <w:p>
            <w:pPr>
              <w:pStyle w:val="TableParagraph"/>
              <w:spacing w:line="240" w:lineRule="auto" w:before="102"/>
              <w:ind w:left="195" w:right="0"/>
              <w:jc w:val="center"/>
              <w:rPr>
                <w:rFonts w:ascii="Arial" w:hAnsi="Arial" w:cs="Arial" w:eastAsia="Arial" w:hint="default"/>
                <w:sz w:val="18"/>
                <w:szCs w:val="18"/>
              </w:rPr>
            </w:pPr>
            <w:r>
              <w:rPr>
                <w:rFonts w:ascii="Arial"/>
                <w:sz w:val="18"/>
              </w:rPr>
              <w:t>631.31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36" w:right="0"/>
              <w:jc w:val="left"/>
              <w:rPr>
                <w:rFonts w:ascii="Arial" w:hAnsi="Arial" w:cs="Arial" w:eastAsia="Arial" w:hint="default"/>
                <w:sz w:val="18"/>
                <w:szCs w:val="18"/>
              </w:rPr>
            </w:pPr>
            <w:r>
              <w:rPr>
                <w:rFonts w:ascii="Arial"/>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2,577,570.9</w:t>
            </w:r>
          </w:p>
          <w:p>
            <w:pPr>
              <w:pStyle w:val="TableParagraph"/>
              <w:spacing w:line="240" w:lineRule="auto" w:before="102"/>
              <w:ind w:right="20"/>
              <w:jc w:val="right"/>
              <w:rPr>
                <w:rFonts w:ascii="Arial" w:hAnsi="Arial" w:cs="Arial" w:eastAsia="Arial" w:hint="default"/>
                <w:sz w:val="18"/>
                <w:szCs w:val="18"/>
              </w:rPr>
            </w:pPr>
            <w:r>
              <w:rPr>
                <w:rFonts w:ascii="Arial"/>
                <w:w w:val="99"/>
                <w:sz w:val="18"/>
              </w:rPr>
              <w:t>0</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1.66%</w:t>
            </w:r>
            <w:r>
              <w:rPr>
                <w:rFonts w:ascii="Arial"/>
                <w:sz w:val="18"/>
              </w:rPr>
            </w:r>
          </w:p>
        </w:tc>
      </w:tr>
      <w:tr>
        <w:trPr>
          <w:trHeight w:val="715"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5" w:right="0"/>
              <w:jc w:val="left"/>
              <w:rPr>
                <w:rFonts w:ascii="Arial" w:hAnsi="Arial" w:cs="Arial" w:eastAsia="Arial" w:hint="default"/>
                <w:sz w:val="18"/>
                <w:szCs w:val="18"/>
              </w:rPr>
            </w:pPr>
            <w:r>
              <w:rPr>
                <w:rFonts w:ascii="Arial"/>
                <w:sz w:val="18"/>
              </w:rPr>
              <w:t>250,058,9</w:t>
            </w:r>
          </w:p>
          <w:p>
            <w:pPr>
              <w:pStyle w:val="TableParagraph"/>
              <w:spacing w:line="240" w:lineRule="auto" w:before="105"/>
              <w:ind w:left="446" w:right="0"/>
              <w:jc w:val="left"/>
              <w:rPr>
                <w:rFonts w:ascii="Arial" w:hAnsi="Arial" w:cs="Arial" w:eastAsia="Arial" w:hint="default"/>
                <w:sz w:val="18"/>
                <w:szCs w:val="18"/>
              </w:rPr>
            </w:pPr>
            <w:r>
              <w:rPr>
                <w:rFonts w:ascii="Arial"/>
                <w:sz w:val="18"/>
              </w:rPr>
              <w:t>79.20</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3" w:right="0"/>
              <w:jc w:val="left"/>
              <w:rPr>
                <w:rFonts w:ascii="Arial" w:hAnsi="Arial" w:cs="Arial" w:eastAsia="Arial" w:hint="default"/>
                <w:sz w:val="18"/>
                <w:szCs w:val="18"/>
              </w:rPr>
            </w:pPr>
            <w:r>
              <w:rPr>
                <w:rFonts w:ascii="Arial"/>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7,218,150.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22</w:t>
            </w:r>
            <w:r>
              <w:rPr>
                <w:rFonts w:ascii="Arial"/>
                <w:sz w:val="18"/>
              </w:rPr>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1" w:right="0"/>
              <w:jc w:val="left"/>
              <w:rPr>
                <w:rFonts w:ascii="Arial" w:hAnsi="Arial" w:cs="Arial" w:eastAsia="Arial" w:hint="default"/>
                <w:sz w:val="18"/>
                <w:szCs w:val="18"/>
              </w:rPr>
            </w:pPr>
            <w:r>
              <w:rPr>
                <w:rFonts w:ascii="Arial"/>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 w:right="0"/>
              <w:jc w:val="center"/>
              <w:rPr>
                <w:rFonts w:ascii="Arial" w:hAnsi="Arial" w:cs="Arial" w:eastAsia="Arial" w:hint="default"/>
                <w:sz w:val="18"/>
                <w:szCs w:val="18"/>
              </w:rPr>
            </w:pPr>
            <w:r>
              <w:rPr>
                <w:rFonts w:ascii="Arial"/>
                <w:sz w:val="18"/>
              </w:rPr>
              <w:t>155,003,</w:t>
            </w:r>
          </w:p>
          <w:p>
            <w:pPr>
              <w:pStyle w:val="TableParagraph"/>
              <w:spacing w:line="240" w:lineRule="auto" w:before="105"/>
              <w:ind w:left="195" w:right="0"/>
              <w:jc w:val="center"/>
              <w:rPr>
                <w:rFonts w:ascii="Arial" w:hAnsi="Arial" w:cs="Arial" w:eastAsia="Arial" w:hint="default"/>
                <w:sz w:val="18"/>
                <w:szCs w:val="18"/>
              </w:rPr>
            </w:pPr>
            <w:r>
              <w:rPr>
                <w:rFonts w:ascii="Arial"/>
                <w:sz w:val="18"/>
              </w:rPr>
              <w:t>631.31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0" w:right="0"/>
              <w:jc w:val="left"/>
              <w:rPr>
                <w:rFonts w:ascii="Arial" w:hAnsi="Arial" w:cs="Arial" w:eastAsia="Arial" w:hint="default"/>
                <w:sz w:val="18"/>
                <w:szCs w:val="18"/>
              </w:rPr>
            </w:pPr>
            <w:r>
              <w:rPr>
                <w:rFonts w:ascii="Arial"/>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2,577,570.9</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footerReference w:type="default" r:id="rId64"/>
          <w:pgSz w:w="11910" w:h="16840"/>
          <w:pgMar w:footer="1575" w:header="877" w:top="1060" w:bottom="1760" w:left="980" w:right="0"/>
          <w:pgNumType w:start="117"/>
        </w:sectPr>
      </w:pPr>
    </w:p>
    <w:p>
      <w:pPr>
        <w:pStyle w:val="BodyText"/>
        <w:spacing w:line="357" w:lineRule="auto" w:before="49"/>
        <w:ind w:right="-20"/>
        <w:jc w:val="left"/>
      </w:pPr>
      <w:r>
        <w:rPr/>
        <w:t>应收账款种类的说明 期末单项金额重大并单项计提坏账准备的应收账款</w:t>
      </w:r>
    </w:p>
    <w:p>
      <w:pPr>
        <w:pStyle w:val="BodyText"/>
        <w:spacing w:line="338" w:lineRule="auto" w:before="29"/>
        <w:ind w:right="16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组合中，按账龄分析法计提坏账准备的应收账款</w:t>
      </w:r>
    </w:p>
    <w:p>
      <w:pPr>
        <w:pStyle w:val="BodyText"/>
        <w:spacing w:line="240" w:lineRule="auto" w:before="43"/>
        <w:ind w:right="-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50"/>
        <w:gridCol w:w="1600"/>
        <w:gridCol w:w="923"/>
        <w:gridCol w:w="1740"/>
        <w:gridCol w:w="1454"/>
        <w:gridCol w:w="925"/>
        <w:gridCol w:w="1465"/>
      </w:tblGrid>
      <w:tr>
        <w:trPr>
          <w:trHeight w:val="403"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2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2522" w:type="dxa"/>
            <w:gridSpan w:val="2"/>
            <w:vMerge/>
            <w:tcBorders>
              <w:left w:val="single" w:sz="4" w:space="0" w:color="000000"/>
              <w:bottom w:val="single" w:sz="4" w:space="0" w:color="000000"/>
              <w:right w:val="single" w:sz="4" w:space="0" w:color="000000"/>
            </w:tcBorders>
            <w:shd w:val="clear" w:color="auto" w:fill="D2D2D2"/>
          </w:tcPr>
          <w:p>
            <w:pPr/>
          </w:p>
        </w:tc>
        <w:tc>
          <w:tcPr>
            <w:tcW w:w="1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79" w:type="dxa"/>
            <w:gridSpan w:val="2"/>
            <w:vMerge/>
            <w:tcBorders>
              <w:left w:val="single" w:sz="4" w:space="0" w:color="000000"/>
              <w:bottom w:val="single" w:sz="4" w:space="0" w:color="000000"/>
              <w:right w:val="single" w:sz="4" w:space="0" w:color="000000"/>
            </w:tcBorders>
            <w:shd w:val="clear" w:color="auto" w:fill="D2D2D2"/>
          </w:tcPr>
          <w:p>
            <w:pPr/>
          </w:p>
        </w:tc>
        <w:tc>
          <w:tcPr>
            <w:tcW w:w="14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8"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740"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465"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4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1"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r>
      <w:tr>
        <w:trPr>
          <w:trHeight w:val="408"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3" w:right="0"/>
              <w:jc w:val="center"/>
              <w:rPr>
                <w:rFonts w:ascii="Arial" w:hAnsi="Arial" w:cs="Arial" w:eastAsia="Arial" w:hint="default"/>
                <w:sz w:val="18"/>
                <w:szCs w:val="18"/>
              </w:rPr>
            </w:pPr>
            <w:r>
              <w:rPr>
                <w:rFonts w:ascii="Arial"/>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7" w:right="0"/>
              <w:jc w:val="center"/>
              <w:rPr>
                <w:rFonts w:ascii="Arial" w:hAnsi="Arial" w:cs="Arial" w:eastAsia="Arial" w:hint="default"/>
                <w:sz w:val="18"/>
                <w:szCs w:val="18"/>
              </w:rPr>
            </w:pPr>
            <w:r>
              <w:rPr>
                <w:rFonts w:ascii="Arial"/>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Arial" w:hAnsi="Arial" w:cs="Arial" w:eastAsia="Arial" w:hint="default"/>
                <w:sz w:val="18"/>
                <w:szCs w:val="18"/>
              </w:rPr>
            </w:pPr>
            <w:r>
              <w:rPr>
                <w:rFonts w:ascii="Arial"/>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5"/>
              <w:jc w:val="center"/>
              <w:rPr>
                <w:rFonts w:ascii="Arial" w:hAnsi="Arial" w:cs="Arial" w:eastAsia="Arial" w:hint="default"/>
                <w:sz w:val="18"/>
                <w:szCs w:val="18"/>
              </w:rPr>
            </w:pPr>
            <w:r>
              <w:rPr>
                <w:rFonts w:ascii="Arial"/>
                <w:sz w:val="18"/>
              </w:rPr>
              <w:t>--</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9" w:right="0"/>
              <w:jc w:val="center"/>
              <w:rPr>
                <w:rFonts w:ascii="Arial" w:hAnsi="Arial" w:cs="Arial" w:eastAsia="Arial" w:hint="default"/>
                <w:sz w:val="18"/>
                <w:szCs w:val="18"/>
              </w:rPr>
            </w:pPr>
            <w:r>
              <w:rPr>
                <w:rFonts w:ascii="Arial"/>
                <w:sz w:val="18"/>
              </w:rPr>
              <w:t>--</w:t>
            </w:r>
          </w:p>
        </w:tc>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6" w:right="0"/>
              <w:jc w:val="center"/>
              <w:rPr>
                <w:rFonts w:ascii="Arial" w:hAnsi="Arial" w:cs="Arial" w:eastAsia="Arial" w:hint="default"/>
                <w:sz w:val="18"/>
                <w:szCs w:val="18"/>
              </w:rPr>
            </w:pPr>
            <w:r>
              <w:rPr>
                <w:rFonts w:ascii="Arial"/>
                <w:sz w:val="18"/>
              </w:rPr>
              <w:t>--</w:t>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229,338,028.71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
              <w:jc w:val="right"/>
              <w:rPr>
                <w:rFonts w:ascii="Arial" w:hAnsi="Arial" w:cs="Arial" w:eastAsia="Arial" w:hint="default"/>
                <w:sz w:val="18"/>
                <w:szCs w:val="18"/>
              </w:rPr>
            </w:pPr>
            <w:r>
              <w:rPr>
                <w:rFonts w:ascii="Arial"/>
                <w:spacing w:val="-1"/>
                <w:sz w:val="18"/>
              </w:rPr>
              <w:t>91.71%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8"/>
              <w:jc w:val="right"/>
              <w:rPr>
                <w:rFonts w:ascii="Arial" w:hAnsi="Arial" w:cs="Arial" w:eastAsia="Arial" w:hint="default"/>
                <w:sz w:val="18"/>
                <w:szCs w:val="18"/>
              </w:rPr>
            </w:pPr>
            <w:r>
              <w:rPr>
                <w:rFonts w:ascii="Arial"/>
                <w:spacing w:val="-1"/>
                <w:sz w:val="18"/>
              </w:rPr>
              <w:t>2,346,419.82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142,156,322.97</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
              <w:jc w:val="right"/>
              <w:rPr>
                <w:rFonts w:ascii="Arial" w:hAnsi="Arial" w:cs="Arial" w:eastAsia="Arial" w:hint="default"/>
                <w:sz w:val="18"/>
                <w:szCs w:val="18"/>
              </w:rPr>
            </w:pPr>
            <w:r>
              <w:rPr>
                <w:rFonts w:ascii="Arial"/>
                <w:spacing w:val="-1"/>
                <w:sz w:val="18"/>
              </w:rPr>
              <w:t>91.72%</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568,919.90</w:t>
            </w: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9,071,603.87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
              <w:jc w:val="right"/>
              <w:rPr>
                <w:rFonts w:ascii="Arial" w:hAnsi="Arial" w:cs="Arial" w:eastAsia="Arial" w:hint="default"/>
                <w:sz w:val="18"/>
                <w:szCs w:val="18"/>
              </w:rPr>
            </w:pPr>
            <w:r>
              <w:rPr>
                <w:rFonts w:ascii="Arial"/>
                <w:w w:val="95"/>
                <w:sz w:val="18"/>
              </w:rPr>
              <w:t>3.63%</w:t>
            </w:r>
            <w:r>
              <w:rPr>
                <w:rFonts w:ascii="Arial"/>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7"/>
              <w:jc w:val="right"/>
              <w:rPr>
                <w:rFonts w:ascii="Arial" w:hAnsi="Arial" w:cs="Arial" w:eastAsia="Arial" w:hint="default"/>
                <w:sz w:val="18"/>
                <w:szCs w:val="18"/>
              </w:rPr>
            </w:pPr>
            <w:r>
              <w:rPr>
                <w:rFonts w:ascii="Arial"/>
                <w:spacing w:val="-1"/>
                <w:sz w:val="18"/>
              </w:rPr>
              <w:t>908,502.43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7,897,309.08</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
              <w:jc w:val="right"/>
              <w:rPr>
                <w:rFonts w:ascii="Arial" w:hAnsi="Arial" w:cs="Arial" w:eastAsia="Arial" w:hint="default"/>
                <w:sz w:val="18"/>
                <w:szCs w:val="18"/>
              </w:rPr>
            </w:pPr>
            <w:r>
              <w:rPr>
                <w:rFonts w:ascii="Arial"/>
                <w:w w:val="95"/>
                <w:sz w:val="18"/>
              </w:rPr>
              <w:t>5.09%</w:t>
            </w:r>
            <w:r>
              <w:rPr>
                <w:rFonts w:ascii="Arial"/>
                <w:sz w:val="18"/>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789,730.91</w:t>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6,916,548.26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
              <w:jc w:val="right"/>
              <w:rPr>
                <w:rFonts w:ascii="Arial" w:hAnsi="Arial" w:cs="Arial" w:eastAsia="Arial" w:hint="default"/>
                <w:sz w:val="18"/>
                <w:szCs w:val="18"/>
              </w:rPr>
            </w:pPr>
            <w:r>
              <w:rPr>
                <w:rFonts w:ascii="Arial"/>
                <w:w w:val="95"/>
                <w:sz w:val="18"/>
              </w:rPr>
              <w:t>2.77%</w:t>
            </w:r>
            <w:r>
              <w:rPr>
                <w:rFonts w:ascii="Arial"/>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8"/>
              <w:jc w:val="right"/>
              <w:rPr>
                <w:rFonts w:ascii="Arial" w:hAnsi="Arial" w:cs="Arial" w:eastAsia="Arial" w:hint="default"/>
                <w:sz w:val="18"/>
                <w:szCs w:val="18"/>
              </w:rPr>
            </w:pPr>
            <w:r>
              <w:rPr>
                <w:rFonts w:ascii="Arial"/>
                <w:spacing w:val="-1"/>
                <w:sz w:val="18"/>
              </w:rPr>
              <w:t>1,383,309.65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4,388,842.79</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
              <w:jc w:val="right"/>
              <w:rPr>
                <w:rFonts w:ascii="Arial" w:hAnsi="Arial" w:cs="Arial" w:eastAsia="Arial" w:hint="default"/>
                <w:sz w:val="18"/>
                <w:szCs w:val="18"/>
              </w:rPr>
            </w:pPr>
            <w:r>
              <w:rPr>
                <w:rFonts w:ascii="Arial"/>
                <w:w w:val="95"/>
                <w:sz w:val="18"/>
              </w:rPr>
              <w:t>2.83%</w:t>
            </w:r>
            <w:r>
              <w:rPr>
                <w:rFonts w:ascii="Arial"/>
                <w:sz w:val="18"/>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877,768.56</w:t>
            </w: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4,305,760.08</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
              <w:jc w:val="right"/>
              <w:rPr>
                <w:rFonts w:ascii="Arial" w:hAnsi="Arial" w:cs="Arial" w:eastAsia="Arial" w:hint="default"/>
                <w:sz w:val="18"/>
                <w:szCs w:val="18"/>
              </w:rPr>
            </w:pPr>
            <w:r>
              <w:rPr>
                <w:rFonts w:ascii="Arial"/>
                <w:w w:val="95"/>
                <w:sz w:val="18"/>
              </w:rPr>
              <w:t>1.72%</w:t>
            </w:r>
            <w:r>
              <w:rPr>
                <w:rFonts w:ascii="Arial"/>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8"/>
              <w:jc w:val="right"/>
              <w:rPr>
                <w:rFonts w:ascii="Arial" w:hAnsi="Arial" w:cs="Arial" w:eastAsia="Arial" w:hint="default"/>
                <w:sz w:val="18"/>
                <w:szCs w:val="18"/>
              </w:rPr>
            </w:pPr>
            <w:r>
              <w:rPr>
                <w:rFonts w:ascii="Arial"/>
                <w:spacing w:val="-1"/>
                <w:sz w:val="18"/>
              </w:rPr>
              <w:t>2,152,880.04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440,009.89</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
              <w:jc w:val="right"/>
              <w:rPr>
                <w:rFonts w:ascii="Arial" w:hAnsi="Arial" w:cs="Arial" w:eastAsia="Arial" w:hint="default"/>
                <w:sz w:val="18"/>
                <w:szCs w:val="18"/>
              </w:rPr>
            </w:pPr>
            <w:r>
              <w:rPr>
                <w:rFonts w:ascii="Arial"/>
                <w:w w:val="95"/>
                <w:sz w:val="18"/>
              </w:rPr>
              <w:t>0.28%</w:t>
            </w:r>
            <w:r>
              <w:rPr>
                <w:rFonts w:ascii="Arial"/>
                <w:sz w:val="18"/>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220,004.95</w:t>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427,038.28</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
              <w:jc w:val="right"/>
              <w:rPr>
                <w:rFonts w:ascii="Arial" w:hAnsi="Arial" w:cs="Arial" w:eastAsia="Arial" w:hint="default"/>
                <w:sz w:val="18"/>
                <w:szCs w:val="18"/>
              </w:rPr>
            </w:pPr>
            <w:r>
              <w:rPr>
                <w:rFonts w:ascii="Arial"/>
                <w:w w:val="95"/>
                <w:sz w:val="18"/>
              </w:rPr>
              <w:t>0.17%</w:t>
            </w:r>
            <w:r>
              <w:rPr>
                <w:rFonts w:ascii="Arial"/>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7"/>
              <w:jc w:val="right"/>
              <w:rPr>
                <w:rFonts w:ascii="Arial" w:hAnsi="Arial" w:cs="Arial" w:eastAsia="Arial" w:hint="default"/>
                <w:sz w:val="18"/>
                <w:szCs w:val="18"/>
              </w:rPr>
            </w:pPr>
            <w:r>
              <w:rPr>
                <w:rFonts w:ascii="Arial"/>
                <w:spacing w:val="-1"/>
                <w:sz w:val="18"/>
              </w:rPr>
              <w:t>427,038.28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121,146.58</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
              <w:jc w:val="right"/>
              <w:rPr>
                <w:rFonts w:ascii="Arial" w:hAnsi="Arial" w:cs="Arial" w:eastAsia="Arial" w:hint="default"/>
                <w:sz w:val="18"/>
                <w:szCs w:val="18"/>
              </w:rPr>
            </w:pPr>
            <w:r>
              <w:rPr>
                <w:rFonts w:ascii="Arial"/>
                <w:w w:val="95"/>
                <w:sz w:val="18"/>
              </w:rPr>
              <w:t>0.08%</w:t>
            </w:r>
            <w:r>
              <w:rPr>
                <w:rFonts w:ascii="Arial"/>
                <w:sz w:val="18"/>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121,146.58</w:t>
            </w: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1"/>
              <w:jc w:val="right"/>
              <w:rPr>
                <w:rFonts w:ascii="Arial" w:hAnsi="Arial" w:cs="Arial" w:eastAsia="Arial" w:hint="default"/>
                <w:sz w:val="18"/>
                <w:szCs w:val="18"/>
              </w:rPr>
            </w:pPr>
            <w:r>
              <w:rPr>
                <w:rFonts w:ascii="Arial"/>
                <w:w w:val="95"/>
                <w:sz w:val="18"/>
              </w:rPr>
              <w:t>0%</w:t>
            </w:r>
            <w:r>
              <w:rPr>
                <w:rFonts w:ascii="Arial"/>
                <w:sz w:val="18"/>
              </w:rPr>
            </w:r>
          </w:p>
        </w:tc>
        <w:tc>
          <w:tcPr>
            <w:tcW w:w="17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0.00</w:t>
            </w:r>
            <w:r>
              <w:rPr>
                <w:rFonts w:ascii="Arial"/>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1"/>
              <w:jc w:val="right"/>
              <w:rPr>
                <w:rFonts w:ascii="Arial" w:hAnsi="Arial" w:cs="Arial" w:eastAsia="Arial" w:hint="default"/>
                <w:sz w:val="18"/>
                <w:szCs w:val="18"/>
              </w:rPr>
            </w:pPr>
            <w:r>
              <w:rPr>
                <w:rFonts w:ascii="Arial"/>
                <w:w w:val="95"/>
                <w:sz w:val="18"/>
              </w:rPr>
              <w:t>0%</w:t>
            </w:r>
            <w:r>
              <w:rPr>
                <w:rFonts w:ascii="Arial"/>
                <w:sz w:val="18"/>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0"/>
              <w:ind w:right="8"/>
              <w:jc w:val="right"/>
              <w:rPr>
                <w:rFonts w:ascii="Arial" w:hAnsi="Arial" w:cs="Arial" w:eastAsia="Arial" w:hint="default"/>
                <w:sz w:val="18"/>
                <w:szCs w:val="18"/>
              </w:rPr>
            </w:pPr>
            <w:r>
              <w:rPr>
                <w:rFonts w:ascii="Arial"/>
                <w:spacing w:val="-1"/>
                <w:sz w:val="18"/>
              </w:rPr>
              <w:t>250,058,979.20</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7" w:right="0"/>
              <w:jc w:val="center"/>
              <w:rPr>
                <w:rFonts w:ascii="Arial" w:hAnsi="Arial" w:cs="Arial" w:eastAsia="Arial" w:hint="default"/>
                <w:sz w:val="18"/>
                <w:szCs w:val="18"/>
              </w:rPr>
            </w:pPr>
            <w:r>
              <w:rPr>
                <w:rFonts w:ascii="Arial"/>
                <w:sz w:val="18"/>
              </w:rPr>
              <w:t>--</w:t>
            </w:r>
          </w:p>
        </w:tc>
        <w:tc>
          <w:tcPr>
            <w:tcW w:w="17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8"/>
              <w:jc w:val="right"/>
              <w:rPr>
                <w:rFonts w:ascii="Arial" w:hAnsi="Arial" w:cs="Arial" w:eastAsia="Arial" w:hint="default"/>
                <w:sz w:val="18"/>
                <w:szCs w:val="18"/>
              </w:rPr>
            </w:pPr>
            <w:r>
              <w:rPr>
                <w:rFonts w:ascii="Arial"/>
                <w:spacing w:val="-1"/>
                <w:sz w:val="18"/>
              </w:rPr>
              <w:t>7,218,150.22</w:t>
            </w:r>
          </w:p>
        </w:tc>
        <w:tc>
          <w:tcPr>
            <w:tcW w:w="145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0"/>
              <w:ind w:right="8"/>
              <w:jc w:val="right"/>
              <w:rPr>
                <w:rFonts w:ascii="Arial" w:hAnsi="Arial" w:cs="Arial" w:eastAsia="Arial" w:hint="default"/>
                <w:sz w:val="18"/>
                <w:szCs w:val="18"/>
              </w:rPr>
            </w:pPr>
            <w:r>
              <w:rPr>
                <w:rFonts w:ascii="Arial"/>
                <w:spacing w:val="-1"/>
                <w:sz w:val="18"/>
              </w:rPr>
              <w:t>155,003,631.31</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9" w:right="0"/>
              <w:jc w:val="center"/>
              <w:rPr>
                <w:rFonts w:ascii="Arial" w:hAnsi="Arial" w:cs="Arial" w:eastAsia="Arial" w:hint="default"/>
                <w:sz w:val="18"/>
                <w:szCs w:val="18"/>
              </w:rPr>
            </w:pPr>
            <w:r>
              <w:rPr>
                <w:rFonts w:ascii="Arial"/>
                <w:sz w:val="18"/>
              </w:rPr>
              <w:t>--</w:t>
            </w:r>
          </w:p>
        </w:tc>
        <w:tc>
          <w:tcPr>
            <w:tcW w:w="1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2,577,570.90</w:t>
            </w:r>
          </w:p>
        </w:tc>
      </w:tr>
    </w:tbl>
    <w:p>
      <w:pPr>
        <w:pStyle w:val="BodyText"/>
        <w:spacing w:line="240" w:lineRule="auto" w:before="49"/>
        <w:ind w:right="1121"/>
        <w:jc w:val="left"/>
      </w:pPr>
      <w:r>
        <w:rPr/>
        <w:t>组合中，采用余额百分比法计提坏账准备的应收账款</w:t>
      </w:r>
    </w:p>
    <w:p>
      <w:pPr>
        <w:pStyle w:val="BodyText"/>
        <w:spacing w:line="338" w:lineRule="auto" w:before="117"/>
        <w:ind w:right="69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组合中，采用其他方法计提坏账准备的应收账款</w:t>
      </w:r>
    </w:p>
    <w:p>
      <w:pPr>
        <w:pStyle w:val="BodyText"/>
        <w:spacing w:line="340" w:lineRule="auto" w:before="43"/>
        <w:ind w:right="643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期末单项金额虽不重大但单项计提坏账准备的应收账款</w:t>
      </w:r>
    </w:p>
    <w:p>
      <w:pPr>
        <w:pStyle w:val="BodyText"/>
        <w:spacing w:line="240" w:lineRule="auto" w:before="40"/>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21"/>
        <w:jc w:val="left"/>
        <w:rPr>
          <w:b w:val="0"/>
          <w:bCs w:val="0"/>
        </w:rPr>
      </w:pPr>
      <w:r>
        <w:rPr/>
        <w:t>（</w:t>
      </w:r>
      <w:r>
        <w:rPr>
          <w:rFonts w:ascii="Arial" w:hAnsi="Arial" w:cs="Arial" w:eastAsia="Arial" w:hint="default"/>
        </w:rPr>
        <w:t>2</w:t>
      </w:r>
      <w:r>
        <w:rPr/>
        <w:t>）本报告期转回或收回的应收账款情况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3"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1121"/>
        <w:jc w:val="left"/>
      </w:pPr>
      <w:r>
        <w:rPr/>
        <w:t>期末单项金额重大或虽不重大但单独进行减值测试的应收账款坏账准备计提</w:t>
      </w:r>
    </w:p>
    <w:p>
      <w:pPr>
        <w:spacing w:after="0" w:line="240" w:lineRule="auto"/>
        <w:jc w:val="left"/>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357" w:lineRule="auto" w:before="50"/>
        <w:ind w:left="522" w:right="4635" w:hanging="371"/>
        <w:jc w:val="left"/>
      </w:pPr>
      <w:r>
        <w:rPr/>
        <w:t>单项金额不重大但按信用风险特征组合后该组合的风险较大的应收账款的说明 年末无单项金额虽不重大但单项计提坏账准备的应收账款。</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3"/>
        <w:spacing w:line="240" w:lineRule="auto"/>
        <w:ind w:right="1121"/>
        <w:jc w:val="left"/>
        <w:rPr>
          <w:b w:val="0"/>
          <w:bCs w:val="0"/>
        </w:rPr>
      </w:pPr>
      <w:r>
        <w:rPr/>
        <w:t>（</w:t>
      </w:r>
      <w:r>
        <w:rPr>
          <w:rFonts w:ascii="Arial" w:hAnsi="Arial" w:cs="Arial" w:eastAsia="Arial" w:hint="default"/>
        </w:rPr>
        <w:t>3</w:t>
      </w:r>
      <w:r>
        <w:rPr/>
        <w:t>）本报告期实际核销的应收账款情况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357" w:lineRule="auto" w:before="49"/>
        <w:ind w:left="494" w:right="8072" w:hanging="342"/>
        <w:jc w:val="left"/>
      </w:pPr>
      <w:r>
        <w:rPr/>
        <w:t>应收账款核销说明 本年度内无核销的应收款项。</w:t>
      </w:r>
    </w:p>
    <w:p>
      <w:pPr>
        <w:spacing w:line="240" w:lineRule="auto" w:before="6"/>
        <w:rPr>
          <w:rFonts w:ascii="宋体" w:hAnsi="宋体" w:cs="宋体" w:eastAsia="宋体" w:hint="default"/>
          <w:sz w:val="20"/>
          <w:szCs w:val="20"/>
        </w:rPr>
      </w:pPr>
    </w:p>
    <w:p>
      <w:pPr>
        <w:pStyle w:val="Heading3"/>
        <w:spacing w:line="240" w:lineRule="auto"/>
        <w:ind w:right="1121"/>
        <w:jc w:val="left"/>
        <w:rPr>
          <w:b w:val="0"/>
          <w:bCs w:val="0"/>
        </w:rPr>
      </w:pPr>
      <w:r>
        <w:rPr/>
        <w:t>（</w:t>
      </w:r>
      <w:r>
        <w:rPr>
          <w:rFonts w:ascii="Arial" w:hAnsi="Arial" w:cs="Arial" w:eastAsia="Arial" w:hint="default"/>
        </w:rPr>
        <w:t>4</w:t>
      </w:r>
      <w:r>
        <w:rPr/>
        <w:t>）应收账款中金额前五名单位情况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5"/>
              <w:ind w:right="1"/>
              <w:jc w:val="center"/>
              <w:rPr>
                <w:rFonts w:ascii="Arial" w:hAnsi="Arial" w:cs="Arial" w:eastAsia="Arial" w:hint="default"/>
                <w:sz w:val="18"/>
                <w:szCs w:val="18"/>
              </w:rPr>
            </w:pPr>
            <w:r>
              <w:rPr>
                <w:rFonts w:ascii="Arial"/>
                <w:sz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40,381,938.32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16.15%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18,325,424.43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7.33%</w:t>
            </w:r>
            <w:r>
              <w:rPr>
                <w:rFonts w:ascii="Arial"/>
                <w:sz w:val="18"/>
              </w:rPr>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2"/>
                <w:sz w:val="18"/>
              </w:rPr>
              <w:t>11,289,586.60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4.51%</w:t>
            </w:r>
            <w:r>
              <w:rPr>
                <w:rFonts w:ascii="Arial"/>
                <w:sz w:val="18"/>
              </w:rPr>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Arial" w:hAnsi="Arial" w:cs="Arial" w:eastAsia="Arial" w:hint="default"/>
                <w:sz w:val="18"/>
                <w:szCs w:val="18"/>
              </w:rPr>
            </w:pPr>
            <w:r>
              <w:rPr>
                <w:rFonts w:ascii="Arial"/>
                <w:spacing w:val="-1"/>
                <w:sz w:val="18"/>
              </w:rPr>
              <w:t>7,839,199.48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w w:val="95"/>
                <w:sz w:val="18"/>
              </w:rPr>
              <w:t>3.13%</w:t>
            </w:r>
            <w:r>
              <w:rPr>
                <w:rFonts w:ascii="Arial"/>
                <w:sz w:val="18"/>
              </w:rPr>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7,255,854.10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2.9%</w:t>
            </w:r>
            <w:r>
              <w:rPr>
                <w:rFonts w:ascii="Arial"/>
                <w:sz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Arial" w:hAnsi="Arial" w:cs="Arial" w:eastAsia="Arial" w:hint="default"/>
                <w:sz w:val="18"/>
                <w:szCs w:val="18"/>
              </w:rPr>
            </w:pPr>
            <w:r>
              <w:rPr>
                <w:rFonts w:ascii="Arial"/>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85,092,002.93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Arial" w:hAnsi="Arial" w:cs="Arial" w:eastAsia="Arial" w:hint="default"/>
                <w:sz w:val="18"/>
                <w:szCs w:val="18"/>
              </w:rPr>
            </w:pPr>
            <w:r>
              <w:rPr>
                <w:rFonts w:ascii="Arial"/>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34.02%</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5</w:t>
      </w:r>
      <w:r>
        <w:rPr/>
        <w:t>）应收关联方账款情况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Arial" w:hAnsi="Arial" w:cs="Arial" w:eastAsia="Arial" w:hint="default"/>
                <w:sz w:val="18"/>
                <w:szCs w:val="18"/>
              </w:rPr>
            </w:pPr>
            <w:r>
              <w:rPr>
                <w:rFonts w:ascii="宋体" w:hAnsi="宋体" w:cs="宋体" w:eastAsia="宋体" w:hint="default"/>
                <w:sz w:val="18"/>
                <w:szCs w:val="18"/>
              </w:rPr>
              <w:t>占应收账款总额的比例</w:t>
            </w:r>
            <w:r>
              <w:rPr>
                <w:rFonts w:ascii="Arial" w:hAnsi="Arial" w:cs="Arial" w:eastAsia="Arial" w:hint="default"/>
                <w:sz w:val="18"/>
                <w:szCs w:val="18"/>
              </w:rPr>
              <w:t>(%)</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山西光宇半导体照明股份有 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公司独立董事施伟力在该公司 任独立董事</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216,908.00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0.1%</w:t>
            </w:r>
            <w:r>
              <w:rPr>
                <w:rFonts w:ascii="Arial"/>
                <w:sz w:val="18"/>
              </w:rPr>
            </w:r>
          </w:p>
        </w:tc>
      </w:tr>
      <w:tr>
        <w:trPr>
          <w:trHeight w:val="71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大连路明发光科技股份有限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公司董事丁宝玉在该公司任董 事</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30,820.02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0.01%</w:t>
            </w:r>
            <w:r>
              <w:rPr>
                <w:rFonts w:ascii="Arial"/>
                <w:sz w:val="18"/>
              </w:rPr>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247,728.02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3"/>
                <w:sz w:val="18"/>
              </w:rPr>
              <w:t>0.11%</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rFonts w:ascii="Arial" w:hAnsi="Arial" w:cs="Arial" w:eastAsia="Arial" w:hint="default"/>
        </w:rPr>
        <w:t>6</w:t>
      </w:r>
      <w:r>
        <w:rPr/>
        <w:t>、其他应收款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）其他应收款按种类披露</w:t>
      </w:r>
      <w:r>
        <w:rPr>
          <w:b w:val="0"/>
          <w:bCs w:val="0"/>
        </w:rPr>
      </w:r>
    </w:p>
    <w:p>
      <w:pPr>
        <w:spacing w:after="0" w:line="240" w:lineRule="auto"/>
        <w:jc w:val="left"/>
        <w:sectPr>
          <w:pgSz w:w="11910" w:h="16840"/>
          <w:pgMar w:header="877" w:footer="1575" w:top="1060" w:bottom="17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2"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7"/>
              <w:jc w:val="right"/>
              <w:rPr>
                <w:rFonts w:ascii="Arial" w:hAnsi="Arial" w:cs="Arial" w:eastAsia="Arial"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Arial" w:hAnsi="Arial" w:cs="Arial" w:eastAsia="Arial" w:hint="default"/>
                <w:sz w:val="18"/>
                <w:szCs w:val="18"/>
              </w:rPr>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Arial" w:hAnsi="Arial" w:cs="Arial" w:eastAsia="Arial"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Arial" w:hAnsi="Arial" w:cs="Arial" w:eastAsia="Arial" w:hint="default"/>
                <w:sz w:val="18"/>
                <w:szCs w:val="18"/>
              </w:rPr>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7"/>
              <w:jc w:val="right"/>
              <w:rPr>
                <w:rFonts w:ascii="Arial" w:hAnsi="Arial" w:cs="Arial" w:eastAsia="Arial"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Arial" w:hAnsi="Arial" w:cs="Arial" w:eastAsia="Arial" w:hint="default"/>
                <w:sz w:val="18"/>
                <w:szCs w:val="18"/>
              </w:rPr>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10,124,842.</w:t>
            </w:r>
          </w:p>
          <w:p>
            <w:pPr>
              <w:pStyle w:val="TableParagraph"/>
              <w:spacing w:line="240" w:lineRule="auto" w:before="105"/>
              <w:ind w:right="14"/>
              <w:jc w:val="right"/>
              <w:rPr>
                <w:rFonts w:ascii="Arial" w:hAnsi="Arial" w:cs="Arial" w:eastAsia="Arial" w:hint="default"/>
                <w:sz w:val="18"/>
                <w:szCs w:val="18"/>
              </w:rPr>
            </w:pPr>
            <w:r>
              <w:rPr>
                <w:rFonts w:ascii="Arial"/>
                <w:w w:val="95"/>
                <w:sz w:val="18"/>
              </w:rPr>
              <w:t>78</w:t>
            </w:r>
            <w:r>
              <w:rPr>
                <w:rFonts w:ascii="Arial"/>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6" w:right="0"/>
              <w:jc w:val="center"/>
              <w:rPr>
                <w:rFonts w:ascii="Arial" w:hAnsi="Arial" w:cs="Arial" w:eastAsia="Arial" w:hint="default"/>
                <w:sz w:val="18"/>
                <w:szCs w:val="18"/>
              </w:rPr>
            </w:pPr>
            <w:r>
              <w:rPr>
                <w:rFonts w:ascii="Arial"/>
                <w:sz w:val="18"/>
              </w:rPr>
              <w:t>275,153.33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w w:val="95"/>
                <w:sz w:val="18"/>
              </w:rPr>
              <w:t>2.72%</w:t>
            </w:r>
            <w:r>
              <w:rPr>
                <w:rFonts w:ascii="Arial"/>
                <w:sz w:val="18"/>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12,013,825.</w:t>
            </w:r>
          </w:p>
          <w:p>
            <w:pPr>
              <w:pStyle w:val="TableParagraph"/>
              <w:spacing w:line="240" w:lineRule="auto" w:before="105"/>
              <w:ind w:right="17"/>
              <w:jc w:val="right"/>
              <w:rPr>
                <w:rFonts w:ascii="Arial" w:hAnsi="Arial" w:cs="Arial" w:eastAsia="Arial" w:hint="default"/>
                <w:sz w:val="18"/>
                <w:szCs w:val="18"/>
              </w:rPr>
            </w:pPr>
            <w:r>
              <w:rPr>
                <w:rFonts w:ascii="Arial"/>
                <w:w w:val="95"/>
                <w:sz w:val="18"/>
              </w:rPr>
              <w:t>27</w:t>
            </w:r>
            <w:r>
              <w:rPr>
                <w:rFonts w:ascii="Arial"/>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55" w:right="0"/>
              <w:jc w:val="left"/>
              <w:rPr>
                <w:rFonts w:ascii="Arial" w:hAnsi="Arial" w:cs="Arial" w:eastAsia="Arial" w:hint="default"/>
                <w:sz w:val="18"/>
                <w:szCs w:val="18"/>
              </w:rPr>
            </w:pPr>
            <w:r>
              <w:rPr>
                <w:rFonts w:ascii="Arial"/>
                <w:sz w:val="18"/>
              </w:rPr>
              <w:t>76,272.41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0.63%</w:t>
            </w:r>
            <w:r>
              <w:rPr>
                <w:rFonts w:ascii="Arial"/>
                <w:sz w:val="18"/>
              </w:rPr>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1"/>
                <w:sz w:val="18"/>
              </w:rPr>
              <w:t>10,124,842.</w:t>
            </w:r>
          </w:p>
          <w:p>
            <w:pPr>
              <w:pStyle w:val="TableParagraph"/>
              <w:spacing w:line="240" w:lineRule="auto" w:before="102"/>
              <w:ind w:right="14"/>
              <w:jc w:val="right"/>
              <w:rPr>
                <w:rFonts w:ascii="Arial" w:hAnsi="Arial" w:cs="Arial" w:eastAsia="Arial" w:hint="default"/>
                <w:sz w:val="18"/>
                <w:szCs w:val="18"/>
              </w:rPr>
            </w:pPr>
            <w:r>
              <w:rPr>
                <w:rFonts w:ascii="Arial"/>
                <w:w w:val="95"/>
                <w:sz w:val="18"/>
              </w:rPr>
              <w:t>78</w:t>
            </w:r>
            <w:r>
              <w:rPr>
                <w:rFonts w:ascii="Arial"/>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06" w:right="0"/>
              <w:jc w:val="center"/>
              <w:rPr>
                <w:rFonts w:ascii="Arial" w:hAnsi="Arial" w:cs="Arial" w:eastAsia="Arial" w:hint="default"/>
                <w:sz w:val="18"/>
                <w:szCs w:val="18"/>
              </w:rPr>
            </w:pPr>
            <w:r>
              <w:rPr>
                <w:rFonts w:ascii="Arial"/>
                <w:sz w:val="18"/>
              </w:rPr>
              <w:t>275,153.33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18"/>
                <w:szCs w:val="18"/>
              </w:rPr>
            </w:pPr>
            <w:r>
              <w:rPr>
                <w:rFonts w:ascii="Arial"/>
                <w:w w:val="95"/>
                <w:sz w:val="18"/>
              </w:rPr>
              <w:t>2.72%</w:t>
            </w:r>
            <w:r>
              <w:rPr>
                <w:rFonts w:ascii="Arial"/>
                <w:sz w:val="18"/>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12,013,825.</w:t>
            </w:r>
          </w:p>
          <w:p>
            <w:pPr>
              <w:pStyle w:val="TableParagraph"/>
              <w:spacing w:line="240" w:lineRule="auto" w:before="102"/>
              <w:ind w:right="17"/>
              <w:jc w:val="right"/>
              <w:rPr>
                <w:rFonts w:ascii="Arial" w:hAnsi="Arial" w:cs="Arial" w:eastAsia="Arial" w:hint="default"/>
                <w:sz w:val="18"/>
                <w:szCs w:val="18"/>
              </w:rPr>
            </w:pPr>
            <w:r>
              <w:rPr>
                <w:rFonts w:ascii="Arial"/>
                <w:w w:val="95"/>
                <w:sz w:val="18"/>
              </w:rPr>
              <w:t>27</w:t>
            </w:r>
            <w:r>
              <w:rPr>
                <w:rFonts w:ascii="Arial"/>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55" w:right="0"/>
              <w:jc w:val="left"/>
              <w:rPr>
                <w:rFonts w:ascii="Arial" w:hAnsi="Arial" w:cs="Arial" w:eastAsia="Arial" w:hint="default"/>
                <w:sz w:val="18"/>
                <w:szCs w:val="18"/>
              </w:rPr>
            </w:pPr>
            <w:r>
              <w:rPr>
                <w:rFonts w:ascii="Arial"/>
                <w:sz w:val="18"/>
              </w:rPr>
              <w:t>76,272.41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0.63%</w:t>
            </w:r>
            <w:r>
              <w:rPr>
                <w:rFonts w:ascii="Arial"/>
                <w:sz w:val="18"/>
              </w:rPr>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spacing w:val="-1"/>
                <w:sz w:val="18"/>
              </w:rPr>
              <w:t>10,124,842.</w:t>
            </w:r>
          </w:p>
          <w:p>
            <w:pPr>
              <w:pStyle w:val="TableParagraph"/>
              <w:spacing w:line="240" w:lineRule="auto" w:before="105"/>
              <w:ind w:right="14"/>
              <w:jc w:val="right"/>
              <w:rPr>
                <w:rFonts w:ascii="Arial" w:hAnsi="Arial" w:cs="Arial" w:eastAsia="Arial" w:hint="default"/>
                <w:sz w:val="18"/>
                <w:szCs w:val="18"/>
              </w:rPr>
            </w:pPr>
            <w:r>
              <w:rPr>
                <w:rFonts w:ascii="Arial"/>
                <w:w w:val="95"/>
                <w:sz w:val="18"/>
              </w:rPr>
              <w:t>78</w:t>
            </w:r>
            <w:r>
              <w:rPr>
                <w:rFonts w:ascii="Arial"/>
                <w:sz w:val="18"/>
              </w:rPr>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6" w:right="0"/>
              <w:jc w:val="center"/>
              <w:rPr>
                <w:rFonts w:ascii="Arial" w:hAnsi="Arial" w:cs="Arial" w:eastAsia="Arial" w:hint="default"/>
                <w:sz w:val="18"/>
                <w:szCs w:val="18"/>
              </w:rPr>
            </w:pPr>
            <w:r>
              <w:rPr>
                <w:rFonts w:ascii="Arial"/>
                <w:sz w:val="18"/>
              </w:rPr>
              <w:t>275,153.33</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12,013,825.</w:t>
            </w:r>
          </w:p>
          <w:p>
            <w:pPr>
              <w:pStyle w:val="TableParagraph"/>
              <w:spacing w:line="240" w:lineRule="auto" w:before="105"/>
              <w:ind w:right="17"/>
              <w:jc w:val="right"/>
              <w:rPr>
                <w:rFonts w:ascii="Arial" w:hAnsi="Arial" w:cs="Arial" w:eastAsia="Arial" w:hint="default"/>
                <w:sz w:val="18"/>
                <w:szCs w:val="18"/>
              </w:rPr>
            </w:pPr>
            <w:r>
              <w:rPr>
                <w:rFonts w:ascii="Arial"/>
                <w:w w:val="95"/>
                <w:sz w:val="18"/>
              </w:rPr>
              <w:t>27</w:t>
            </w:r>
            <w:r>
              <w:rPr>
                <w:rFonts w:ascii="Arial"/>
                <w:sz w:val="18"/>
              </w:rPr>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55" w:right="0"/>
              <w:jc w:val="left"/>
              <w:rPr>
                <w:rFonts w:ascii="Arial" w:hAnsi="Arial" w:cs="Arial" w:eastAsia="Arial" w:hint="default"/>
                <w:sz w:val="18"/>
                <w:szCs w:val="18"/>
              </w:rPr>
            </w:pPr>
            <w:r>
              <w:rPr>
                <w:rFonts w:ascii="Arial"/>
                <w:sz w:val="18"/>
              </w:rPr>
              <w:t>76,272.41</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footerReference w:type="default" r:id="rId65"/>
          <w:pgSz w:w="11910" w:h="16840"/>
          <w:pgMar w:footer="1340" w:header="877" w:top="1060" w:bottom="1540" w:left="980" w:right="0"/>
          <w:pgNumType w:start="119"/>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338" w:lineRule="auto" w:before="29"/>
        <w:ind w:right="-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组合中，采用账龄分析法计提坏账准备的其他应收款</w:t>
      </w:r>
    </w:p>
    <w:p>
      <w:pPr>
        <w:pStyle w:val="BodyText"/>
        <w:spacing w:line="240" w:lineRule="auto" w:before="43"/>
        <w:ind w:right="-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36"/>
        <w:gridCol w:w="1859"/>
        <w:gridCol w:w="646"/>
        <w:gridCol w:w="1459"/>
        <w:gridCol w:w="1450"/>
        <w:gridCol w:w="646"/>
        <w:gridCol w:w="1674"/>
      </w:tblGrid>
      <w:tr>
        <w:trPr>
          <w:trHeight w:val="403" w:hRule="exact"/>
        </w:trPr>
        <w:tc>
          <w:tcPr>
            <w:tcW w:w="1836" w:type="dxa"/>
            <w:vMerge w:val="restart"/>
            <w:tcBorders>
              <w:top w:val="single" w:sz="4" w:space="0" w:color="000000"/>
              <w:left w:val="single" w:sz="4" w:space="0" w:color="000000"/>
              <w:right w:val="single" w:sz="4" w:space="0" w:color="000000"/>
            </w:tcBorders>
            <w:shd w:val="clear" w:color="auto" w:fill="D2D2D2"/>
          </w:tcPr>
          <w:p>
            <w:pPr/>
          </w:p>
        </w:tc>
        <w:tc>
          <w:tcPr>
            <w:tcW w:w="39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36" w:type="dxa"/>
            <w:vMerge/>
            <w:tcBorders>
              <w:left w:val="single" w:sz="4" w:space="0" w:color="000000"/>
              <w:bottom w:val="nil" w:sz="6" w:space="0" w:color="auto"/>
              <w:right w:val="single" w:sz="4" w:space="0" w:color="000000"/>
            </w:tcBorders>
            <w:shd w:val="clear" w:color="auto" w:fill="D2D2D2"/>
          </w:tcPr>
          <w:p>
            <w:pPr/>
          </w:p>
        </w:tc>
        <w:tc>
          <w:tcPr>
            <w:tcW w:w="25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
        </w:tc>
        <w:tc>
          <w:tcPr>
            <w:tcW w:w="20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4"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8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06"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2096" w:type="dxa"/>
            <w:gridSpan w:val="2"/>
            <w:vMerge/>
            <w:tcBorders>
              <w:left w:val="single" w:sz="4" w:space="0" w:color="000000"/>
              <w:bottom w:val="single" w:sz="4" w:space="0" w:color="000000"/>
              <w:right w:val="single" w:sz="4" w:space="0" w:color="000000"/>
            </w:tcBorders>
            <w:shd w:val="clear" w:color="auto" w:fill="D2D2D2"/>
          </w:tcPr>
          <w:p>
            <w:pPr/>
          </w:p>
        </w:tc>
        <w:tc>
          <w:tcPr>
            <w:tcW w:w="167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36" w:type="dxa"/>
            <w:vMerge/>
            <w:tcBorders>
              <w:left w:val="single" w:sz="4" w:space="0" w:color="000000"/>
              <w:bottom w:val="single" w:sz="4" w:space="0" w:color="FFFFFF"/>
              <w:right w:val="single" w:sz="4" w:space="0" w:color="000000"/>
            </w:tcBorders>
            <w:shd w:val="clear" w:color="auto" w:fill="D2D2D2"/>
          </w:tcPr>
          <w:p>
            <w:pPr/>
          </w:p>
        </w:tc>
        <w:tc>
          <w:tcPr>
            <w:tcW w:w="185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78" w:right="0"/>
              <w:jc w:val="left"/>
              <w:rPr>
                <w:rFonts w:ascii="Arial" w:hAnsi="Arial" w:cs="Arial" w:eastAsia="Arial" w:hint="default"/>
                <w:sz w:val="18"/>
                <w:szCs w:val="18"/>
              </w:rPr>
            </w:pPr>
            <w:r>
              <w:rPr>
                <w:rFonts w:ascii="Arial"/>
                <w:sz w:val="18"/>
              </w:rPr>
              <w:t>(%)</w:t>
            </w: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76" w:right="0"/>
              <w:jc w:val="left"/>
              <w:rPr>
                <w:rFonts w:ascii="Arial" w:hAnsi="Arial" w:cs="Arial" w:eastAsia="Arial" w:hint="default"/>
                <w:sz w:val="18"/>
                <w:szCs w:val="18"/>
              </w:rPr>
            </w:pPr>
            <w:r>
              <w:rPr>
                <w:rFonts w:ascii="Arial"/>
                <w:sz w:val="18"/>
              </w:rPr>
              <w:t>(%)</w:t>
            </w:r>
          </w:p>
        </w:tc>
        <w:tc>
          <w:tcPr>
            <w:tcW w:w="16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836" w:type="dxa"/>
            <w:vMerge w:val="restart"/>
            <w:tcBorders>
              <w:top w:val="single" w:sz="4" w:space="0" w:color="FFFFFF"/>
              <w:left w:val="single" w:sz="4" w:space="0" w:color="000000"/>
              <w:right w:val="single" w:sz="4" w:space="0" w:color="000000"/>
            </w:tcBorders>
            <w:shd w:val="clear" w:color="auto" w:fill="D2D2D2"/>
          </w:tcPr>
          <w:p>
            <w:pPr/>
          </w:p>
        </w:tc>
        <w:tc>
          <w:tcPr>
            <w:tcW w:w="185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67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36" w:type="dxa"/>
            <w:vMerge/>
            <w:tcBorders>
              <w:left w:val="single" w:sz="4" w:space="0" w:color="000000"/>
              <w:right w:val="single" w:sz="4" w:space="0" w:color="000000"/>
            </w:tcBorders>
            <w:shd w:val="clear" w:color="auto" w:fill="D2D2D2"/>
          </w:tcPr>
          <w:p>
            <w:pPr/>
          </w:p>
        </w:tc>
        <w:tc>
          <w:tcPr>
            <w:tcW w:w="1859"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67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36" w:type="dxa"/>
            <w:vMerge/>
            <w:tcBorders>
              <w:left w:val="single" w:sz="4" w:space="0" w:color="000000"/>
              <w:bottom w:val="single" w:sz="4" w:space="0" w:color="000000"/>
              <w:right w:val="single" w:sz="4" w:space="0" w:color="000000"/>
            </w:tcBorders>
            <w:shd w:val="clear" w:color="auto" w:fill="D2D2D2"/>
          </w:tcPr>
          <w:p>
            <w:pPr/>
          </w:p>
        </w:tc>
        <w:tc>
          <w:tcPr>
            <w:tcW w:w="1859"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674" w:type="dxa"/>
            <w:vMerge/>
            <w:tcBorders>
              <w:left w:val="single" w:sz="4" w:space="0" w:color="000000"/>
              <w:bottom w:val="single" w:sz="4" w:space="0" w:color="000000"/>
              <w:right w:val="single" w:sz="4" w:space="0" w:color="000000"/>
            </w:tcBorders>
            <w:shd w:val="clear" w:color="auto" w:fill="D2D2D2"/>
          </w:tcPr>
          <w:p>
            <w:pPr/>
          </w:p>
        </w:tc>
      </w:tr>
      <w:tr>
        <w:trPr>
          <w:trHeight w:val="39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r>
      <w:tr>
        <w:trPr>
          <w:trHeight w:val="408"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9"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3" w:right="0"/>
              <w:jc w:val="left"/>
              <w:rPr>
                <w:rFonts w:ascii="Arial" w:hAnsi="Arial" w:cs="Arial" w:eastAsia="Arial" w:hint="default"/>
                <w:sz w:val="18"/>
                <w:szCs w:val="18"/>
              </w:rPr>
            </w:pPr>
            <w:r>
              <w:rPr>
                <w:rFonts w:ascii="Arial"/>
                <w:sz w:val="18"/>
              </w:rPr>
              <w:t>8,965,285.66</w:t>
            </w:r>
          </w:p>
        </w:tc>
        <w:tc>
          <w:tcPr>
            <w:tcW w:w="646" w:type="dxa"/>
            <w:vMerge w:val="restart"/>
            <w:tcBorders>
              <w:top w:val="single" w:sz="4" w:space="0" w:color="000000"/>
              <w:left w:val="single" w:sz="4" w:space="0" w:color="000000"/>
              <w:right w:val="single" w:sz="4" w:space="0" w:color="000000"/>
            </w:tcBorders>
          </w:tcPr>
          <w:p>
            <w:pPr>
              <w:pStyle w:val="TableParagraph"/>
              <w:spacing w:line="240" w:lineRule="auto" w:before="90"/>
              <w:ind w:right="13"/>
              <w:jc w:val="right"/>
              <w:rPr>
                <w:rFonts w:ascii="Arial" w:hAnsi="Arial" w:cs="Arial" w:eastAsia="Arial" w:hint="default"/>
                <w:sz w:val="18"/>
                <w:szCs w:val="18"/>
              </w:rPr>
            </w:pPr>
            <w:r>
              <w:rPr>
                <w:rFonts w:ascii="Arial"/>
                <w:w w:val="95"/>
                <w:sz w:val="18"/>
              </w:rPr>
              <w:t>88.55</w:t>
            </w:r>
            <w:r>
              <w:rPr>
                <w:rFonts w:ascii="Arial"/>
                <w:sz w:val="18"/>
              </w:rPr>
            </w:r>
          </w:p>
          <w:p>
            <w:pPr>
              <w:pStyle w:val="TableParagraph"/>
              <w:spacing w:line="240" w:lineRule="auto" w:before="105"/>
              <w:ind w:right="14"/>
              <w:jc w:val="right"/>
              <w:rPr>
                <w:rFonts w:ascii="Arial" w:hAnsi="Arial" w:cs="Arial" w:eastAsia="Arial" w:hint="default"/>
                <w:sz w:val="18"/>
                <w:szCs w:val="18"/>
              </w:rPr>
            </w:pPr>
            <w:r>
              <w:rPr>
                <w:rFonts w:ascii="Arial"/>
                <w:w w:val="99"/>
                <w:sz w:val="18"/>
              </w:rPr>
              <w:t>%</w:t>
            </w:r>
            <w:r>
              <w:rPr>
                <w:rFonts w:ascii="Arial"/>
                <w:sz w:val="18"/>
              </w:rPr>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19" w:right="0"/>
              <w:jc w:val="left"/>
              <w:rPr>
                <w:rFonts w:ascii="Arial" w:hAnsi="Arial" w:cs="Arial" w:eastAsia="Arial" w:hint="default"/>
                <w:sz w:val="18"/>
                <w:szCs w:val="18"/>
              </w:rPr>
            </w:pPr>
            <w:r>
              <w:rPr>
                <w:rFonts w:ascii="Arial"/>
                <w:sz w:val="18"/>
              </w:rPr>
              <w:t>62,764.09</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72" w:right="0"/>
              <w:jc w:val="left"/>
              <w:rPr>
                <w:rFonts w:ascii="Arial" w:hAnsi="Arial" w:cs="Arial" w:eastAsia="Arial" w:hint="default"/>
                <w:sz w:val="18"/>
                <w:szCs w:val="18"/>
              </w:rPr>
            </w:pPr>
            <w:r>
              <w:rPr>
                <w:rFonts w:ascii="Arial"/>
                <w:sz w:val="18"/>
              </w:rPr>
              <w:t>11,773,001.35</w:t>
            </w:r>
          </w:p>
        </w:tc>
        <w:tc>
          <w:tcPr>
            <w:tcW w:w="64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57" w:right="0"/>
              <w:jc w:val="left"/>
              <w:rPr>
                <w:rFonts w:ascii="Arial" w:hAnsi="Arial" w:cs="Arial" w:eastAsia="Arial" w:hint="default"/>
                <w:sz w:val="18"/>
                <w:szCs w:val="18"/>
              </w:rPr>
            </w:pPr>
            <w:r>
              <w:rPr>
                <w:rFonts w:ascii="Arial"/>
                <w:sz w:val="18"/>
              </w:rPr>
              <w:t>98%</w:t>
            </w:r>
          </w:p>
        </w:tc>
        <w:tc>
          <w:tcPr>
            <w:tcW w:w="167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41" w:right="0"/>
              <w:jc w:val="left"/>
              <w:rPr>
                <w:rFonts w:ascii="Arial" w:hAnsi="Arial" w:cs="Arial" w:eastAsia="Arial" w:hint="default"/>
                <w:sz w:val="18"/>
                <w:szCs w:val="18"/>
              </w:rPr>
            </w:pPr>
            <w:r>
              <w:rPr>
                <w:rFonts w:ascii="Arial"/>
                <w:sz w:val="18"/>
              </w:rPr>
              <w:t>18,134.85</w:t>
            </w:r>
          </w:p>
        </w:tc>
      </w:tr>
      <w:tr>
        <w:trPr>
          <w:trHeight w:val="391" w:hRule="exact"/>
        </w:trPr>
        <w:tc>
          <w:tcPr>
            <w:tcW w:w="1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年以内小计</w:t>
            </w:r>
          </w:p>
        </w:tc>
        <w:tc>
          <w:tcPr>
            <w:tcW w:w="1859" w:type="dxa"/>
            <w:vMerge/>
            <w:tcBorders>
              <w:left w:val="single" w:sz="10" w:space="0" w:color="D2D2D2"/>
              <w:right w:val="single" w:sz="4" w:space="0" w:color="000000"/>
            </w:tcBorders>
          </w:tcPr>
          <w:p>
            <w:pPr/>
          </w:p>
        </w:tc>
        <w:tc>
          <w:tcPr>
            <w:tcW w:w="646"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c>
          <w:tcPr>
            <w:tcW w:w="1450"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1674" w:type="dxa"/>
            <w:vMerge/>
            <w:tcBorders>
              <w:left w:val="single" w:sz="4" w:space="0" w:color="000000"/>
              <w:right w:val="single" w:sz="4" w:space="0" w:color="000000"/>
            </w:tcBorders>
          </w:tcPr>
          <w:p>
            <w:pPr/>
          </w:p>
        </w:tc>
      </w:tr>
      <w:tr>
        <w:trPr>
          <w:trHeight w:val="161" w:hRule="exact"/>
        </w:trPr>
        <w:tc>
          <w:tcPr>
            <w:tcW w:w="1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9" w:type="dxa"/>
            <w:vMerge/>
            <w:tcBorders>
              <w:left w:val="single" w:sz="10" w:space="0" w:color="D2D2D2"/>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1674" w:type="dxa"/>
            <w:vMerge/>
            <w:tcBorders>
              <w:left w:val="single" w:sz="4" w:space="0" w:color="000000"/>
              <w:bottom w:val="single" w:sz="4" w:space="0" w:color="000000"/>
              <w:right w:val="single" w:sz="4" w:space="0" w:color="000000"/>
            </w:tcBorders>
          </w:tcPr>
          <w:p>
            <w:pP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4"/>
              <w:jc w:val="right"/>
              <w:rPr>
                <w:rFonts w:ascii="Arial" w:hAnsi="Arial" w:cs="Arial" w:eastAsia="Arial" w:hint="default"/>
                <w:sz w:val="18"/>
                <w:szCs w:val="18"/>
              </w:rPr>
            </w:pPr>
            <w:r>
              <w:rPr>
                <w:rFonts w:ascii="Arial"/>
                <w:spacing w:val="-1"/>
                <w:sz w:val="18"/>
              </w:rPr>
              <w:t>951,313.20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2"/>
              <w:jc w:val="right"/>
              <w:rPr>
                <w:rFonts w:ascii="Arial" w:hAnsi="Arial" w:cs="Arial" w:eastAsia="Arial" w:hint="default"/>
                <w:sz w:val="18"/>
                <w:szCs w:val="18"/>
              </w:rPr>
            </w:pPr>
            <w:r>
              <w:rPr>
                <w:rFonts w:ascii="Arial"/>
                <w:w w:val="95"/>
                <w:sz w:val="18"/>
              </w:rPr>
              <w:t>9.4%</w:t>
            </w:r>
            <w:r>
              <w:rPr>
                <w:rFonts w:ascii="Arial"/>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Arial" w:hAnsi="Arial" w:cs="Arial" w:eastAsia="Arial" w:hint="default"/>
                <w:sz w:val="18"/>
                <w:szCs w:val="18"/>
              </w:rPr>
            </w:pPr>
            <w:r>
              <w:rPr>
                <w:rFonts w:ascii="Arial"/>
                <w:spacing w:val="-1"/>
                <w:sz w:val="18"/>
              </w:rPr>
              <w:t>94,630.12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7"/>
              <w:jc w:val="right"/>
              <w:rPr>
                <w:rFonts w:ascii="Arial" w:hAnsi="Arial" w:cs="Arial" w:eastAsia="Arial" w:hint="default"/>
                <w:sz w:val="18"/>
                <w:szCs w:val="18"/>
              </w:rPr>
            </w:pPr>
            <w:r>
              <w:rPr>
                <w:rFonts w:ascii="Arial"/>
                <w:spacing w:val="-1"/>
                <w:sz w:val="18"/>
              </w:rPr>
              <w:t>95,686.00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0.8%</w:t>
            </w:r>
            <w:r>
              <w:rPr>
                <w:rFonts w:ascii="Arial"/>
                <w:sz w:val="18"/>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9,568.60</w:t>
            </w: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4"/>
              <w:jc w:val="right"/>
              <w:rPr>
                <w:rFonts w:ascii="Arial" w:hAnsi="Arial" w:cs="Arial" w:eastAsia="Arial" w:hint="default"/>
                <w:sz w:val="18"/>
                <w:szCs w:val="18"/>
              </w:rPr>
            </w:pPr>
            <w:r>
              <w:rPr>
                <w:rFonts w:ascii="Arial"/>
                <w:spacing w:val="-1"/>
                <w:sz w:val="18"/>
              </w:rPr>
              <w:t>63,106.00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
              <w:jc w:val="right"/>
              <w:rPr>
                <w:rFonts w:ascii="Arial" w:hAnsi="Arial" w:cs="Arial" w:eastAsia="Arial" w:hint="default"/>
                <w:sz w:val="18"/>
                <w:szCs w:val="18"/>
              </w:rPr>
            </w:pPr>
            <w:r>
              <w:rPr>
                <w:rFonts w:ascii="Arial"/>
                <w:w w:val="95"/>
                <w:sz w:val="18"/>
              </w:rPr>
              <w:t>0.62%</w:t>
            </w:r>
            <w:r>
              <w:rPr>
                <w:rFonts w:ascii="Arial"/>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Arial" w:hAnsi="Arial" w:cs="Arial" w:eastAsia="Arial" w:hint="default"/>
                <w:sz w:val="18"/>
                <w:szCs w:val="18"/>
              </w:rPr>
            </w:pPr>
            <w:r>
              <w:rPr>
                <w:rFonts w:ascii="Arial"/>
                <w:spacing w:val="-1"/>
                <w:sz w:val="18"/>
              </w:rPr>
              <w:t>12,621.20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7"/>
              <w:jc w:val="right"/>
              <w:rPr>
                <w:rFonts w:ascii="Arial" w:hAnsi="Arial" w:cs="Arial" w:eastAsia="Arial" w:hint="default"/>
                <w:sz w:val="18"/>
                <w:szCs w:val="18"/>
              </w:rPr>
            </w:pPr>
            <w:r>
              <w:rPr>
                <w:rFonts w:ascii="Arial"/>
                <w:spacing w:val="-1"/>
                <w:sz w:val="18"/>
              </w:rPr>
              <w:t>80,000.00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0.66%</w:t>
            </w:r>
            <w:r>
              <w:rPr>
                <w:rFonts w:ascii="Arial"/>
                <w:sz w:val="18"/>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16,000.00</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4"/>
              <w:jc w:val="right"/>
              <w:rPr>
                <w:rFonts w:ascii="Arial" w:hAnsi="Arial" w:cs="Arial" w:eastAsia="Arial" w:hint="default"/>
                <w:sz w:val="18"/>
                <w:szCs w:val="18"/>
              </w:rPr>
            </w:pPr>
            <w:r>
              <w:rPr>
                <w:rFonts w:ascii="Arial"/>
                <w:spacing w:val="-1"/>
                <w:sz w:val="18"/>
              </w:rPr>
              <w:t>80,000.00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
              <w:jc w:val="right"/>
              <w:rPr>
                <w:rFonts w:ascii="Arial" w:hAnsi="Arial" w:cs="Arial" w:eastAsia="Arial" w:hint="default"/>
                <w:sz w:val="18"/>
                <w:szCs w:val="18"/>
              </w:rPr>
            </w:pPr>
            <w:r>
              <w:rPr>
                <w:rFonts w:ascii="Arial"/>
                <w:w w:val="95"/>
                <w:sz w:val="18"/>
              </w:rPr>
              <w:t>0.79%</w:t>
            </w:r>
            <w:r>
              <w:rPr>
                <w:rFonts w:ascii="Arial"/>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Arial" w:hAnsi="Arial" w:cs="Arial" w:eastAsia="Arial" w:hint="default"/>
                <w:sz w:val="18"/>
                <w:szCs w:val="18"/>
              </w:rPr>
            </w:pPr>
            <w:r>
              <w:rPr>
                <w:rFonts w:ascii="Arial"/>
                <w:spacing w:val="-1"/>
                <w:sz w:val="18"/>
              </w:rPr>
              <w:t>40,000.00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7"/>
              <w:jc w:val="right"/>
              <w:rPr>
                <w:rFonts w:ascii="Arial" w:hAnsi="Arial" w:cs="Arial" w:eastAsia="Arial" w:hint="default"/>
                <w:sz w:val="18"/>
                <w:szCs w:val="18"/>
              </w:rPr>
            </w:pPr>
            <w:r>
              <w:rPr>
                <w:rFonts w:ascii="Arial"/>
                <w:spacing w:val="-1"/>
                <w:sz w:val="18"/>
              </w:rPr>
              <w:t>65,137.92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0.54%</w:t>
            </w:r>
            <w:r>
              <w:rPr>
                <w:rFonts w:ascii="Arial"/>
                <w:sz w:val="18"/>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32,568.96</w:t>
            </w: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4"/>
              <w:jc w:val="right"/>
              <w:rPr>
                <w:rFonts w:ascii="Arial" w:hAnsi="Arial" w:cs="Arial" w:eastAsia="Arial" w:hint="default"/>
                <w:sz w:val="18"/>
                <w:szCs w:val="18"/>
              </w:rPr>
            </w:pPr>
            <w:r>
              <w:rPr>
                <w:rFonts w:ascii="Arial"/>
                <w:spacing w:val="-1"/>
                <w:sz w:val="18"/>
              </w:rPr>
              <w:t>65,137.92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
              <w:jc w:val="right"/>
              <w:rPr>
                <w:rFonts w:ascii="Arial" w:hAnsi="Arial" w:cs="Arial" w:eastAsia="Arial" w:hint="default"/>
                <w:sz w:val="18"/>
                <w:szCs w:val="18"/>
              </w:rPr>
            </w:pPr>
            <w:r>
              <w:rPr>
                <w:rFonts w:ascii="Arial"/>
                <w:w w:val="95"/>
                <w:sz w:val="18"/>
              </w:rPr>
              <w:t>0.64%</w:t>
            </w:r>
            <w:r>
              <w:rPr>
                <w:rFonts w:ascii="Arial"/>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Arial" w:hAnsi="Arial" w:cs="Arial" w:eastAsia="Arial" w:hint="default"/>
                <w:sz w:val="18"/>
                <w:szCs w:val="18"/>
              </w:rPr>
            </w:pPr>
            <w:r>
              <w:rPr>
                <w:rFonts w:ascii="Arial"/>
                <w:spacing w:val="-1"/>
                <w:sz w:val="18"/>
              </w:rPr>
              <w:t>65,137.92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6"/>
              <w:jc w:val="right"/>
              <w:rPr>
                <w:rFonts w:ascii="Arial" w:hAnsi="Arial" w:cs="Arial" w:eastAsia="Arial" w:hint="default"/>
                <w:sz w:val="18"/>
                <w:szCs w:val="18"/>
              </w:rPr>
            </w:pPr>
            <w:r>
              <w:rPr>
                <w:rFonts w:ascii="Arial"/>
                <w:w w:val="95"/>
                <w:sz w:val="18"/>
              </w:rPr>
              <w:t>0.00</w:t>
            </w:r>
            <w:r>
              <w:rPr>
                <w:rFonts w:ascii="Arial"/>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4"/>
              <w:jc w:val="right"/>
              <w:rPr>
                <w:rFonts w:ascii="Arial" w:hAnsi="Arial" w:cs="Arial" w:eastAsia="Arial" w:hint="default"/>
                <w:sz w:val="18"/>
                <w:szCs w:val="18"/>
              </w:rPr>
            </w:pPr>
            <w:r>
              <w:rPr>
                <w:rFonts w:ascii="Arial"/>
                <w:w w:val="95"/>
                <w:sz w:val="18"/>
              </w:rPr>
              <w:t>0%</w:t>
            </w:r>
            <w:r>
              <w:rPr>
                <w:rFonts w:ascii="Arial"/>
                <w:sz w:val="18"/>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0"/>
              <w:ind w:right="13"/>
              <w:jc w:val="right"/>
              <w:rPr>
                <w:rFonts w:ascii="Arial" w:hAnsi="Arial" w:cs="Arial" w:eastAsia="Arial" w:hint="default"/>
                <w:sz w:val="18"/>
                <w:szCs w:val="18"/>
              </w:rPr>
            </w:pPr>
            <w:r>
              <w:rPr>
                <w:rFonts w:ascii="Arial"/>
                <w:spacing w:val="-1"/>
                <w:sz w:val="18"/>
              </w:rPr>
              <w:t>10,124,842.78</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5"/>
              <w:jc w:val="right"/>
              <w:rPr>
                <w:rFonts w:ascii="Arial" w:hAnsi="Arial" w:cs="Arial" w:eastAsia="Arial" w:hint="default"/>
                <w:sz w:val="18"/>
                <w:szCs w:val="18"/>
              </w:rPr>
            </w:pPr>
            <w:r>
              <w:rPr>
                <w:rFonts w:ascii="Arial"/>
                <w:spacing w:val="-1"/>
                <w:sz w:val="18"/>
              </w:rPr>
              <w:t>275,153.33</w:t>
            </w:r>
          </w:p>
        </w:tc>
        <w:tc>
          <w:tcPr>
            <w:tcW w:w="14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15"/>
              <w:jc w:val="right"/>
              <w:rPr>
                <w:rFonts w:ascii="Arial" w:hAnsi="Arial" w:cs="Arial" w:eastAsia="Arial" w:hint="default"/>
                <w:sz w:val="18"/>
                <w:szCs w:val="18"/>
              </w:rPr>
            </w:pPr>
            <w:r>
              <w:rPr>
                <w:rFonts w:ascii="Arial"/>
                <w:spacing w:val="-1"/>
                <w:sz w:val="18"/>
              </w:rPr>
              <w:t>12,013,825.27</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76,272.41</w:t>
            </w:r>
          </w:p>
        </w:tc>
      </w:tr>
    </w:tbl>
    <w:p>
      <w:pPr>
        <w:pStyle w:val="BodyText"/>
        <w:spacing w:line="240" w:lineRule="auto" w:before="49"/>
        <w:ind w:right="1121"/>
        <w:jc w:val="left"/>
      </w:pPr>
      <w:r>
        <w:rPr/>
        <w:t>组合中，采用余额百分比法计提坏账准备的其他应收款</w:t>
      </w:r>
    </w:p>
    <w:p>
      <w:pPr>
        <w:pStyle w:val="BodyText"/>
        <w:spacing w:line="340" w:lineRule="auto" w:before="115"/>
        <w:ind w:right="67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组合中，采用其他方法计提坏账准备的其他应收款</w:t>
      </w:r>
    </w:p>
    <w:p>
      <w:pPr>
        <w:pStyle w:val="BodyText"/>
        <w:spacing w:line="338" w:lineRule="auto" w:before="41"/>
        <w:ind w:right="62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期末单项金额虽不重大但单项计提坏账准备的其他应收款</w:t>
      </w:r>
    </w:p>
    <w:p>
      <w:pPr>
        <w:pStyle w:val="BodyText"/>
        <w:spacing w:line="240" w:lineRule="auto" w:before="43"/>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after="0" w:line="240" w:lineRule="auto"/>
        <w:jc w:val="left"/>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1"/>
        <w:jc w:val="left"/>
        <w:rPr>
          <w:b w:val="0"/>
          <w:bCs w:val="0"/>
        </w:rPr>
      </w:pPr>
      <w:r>
        <w:rPr/>
        <w:t>（</w:t>
      </w:r>
      <w:r>
        <w:rPr>
          <w:rFonts w:ascii="Arial" w:hAnsi="Arial" w:cs="Arial" w:eastAsia="Arial" w:hint="default"/>
        </w:rPr>
        <w:t>2</w:t>
      </w:r>
      <w:r>
        <w:rPr/>
        <w:t>）本报告期实际核销的其他应收款情况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357" w:lineRule="auto" w:before="49"/>
        <w:ind w:left="470" w:right="7556" w:hanging="318"/>
        <w:jc w:val="left"/>
      </w:pPr>
      <w:r>
        <w:rPr/>
        <w:t>其他应收款核销说明 本报告期没有核销的其他应收款项。</w:t>
      </w:r>
    </w:p>
    <w:p>
      <w:pPr>
        <w:spacing w:line="240" w:lineRule="auto" w:before="6"/>
        <w:rPr>
          <w:rFonts w:ascii="宋体" w:hAnsi="宋体" w:cs="宋体" w:eastAsia="宋体" w:hint="default"/>
          <w:sz w:val="20"/>
          <w:szCs w:val="20"/>
        </w:rPr>
      </w:pPr>
    </w:p>
    <w:p>
      <w:pPr>
        <w:pStyle w:val="Heading3"/>
        <w:spacing w:line="240" w:lineRule="auto"/>
        <w:ind w:right="1121"/>
        <w:jc w:val="left"/>
        <w:rPr>
          <w:b w:val="0"/>
          <w:bCs w:val="0"/>
        </w:rPr>
      </w:pPr>
      <w:r>
        <w:rPr/>
        <w:t>（</w:t>
      </w:r>
      <w:r>
        <w:rPr>
          <w:rFonts w:ascii="Arial" w:hAnsi="Arial" w:cs="Arial" w:eastAsia="Arial" w:hint="default"/>
        </w:rPr>
        <w:t>3</w:t>
      </w:r>
      <w:r>
        <w:rPr/>
        <w:t>）金额较大的其他应收款的性质或内容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1916"/>
        <w:gridCol w:w="2871"/>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0" w:right="0"/>
              <w:jc w:val="left"/>
              <w:rPr>
                <w:rFonts w:ascii="Arial" w:hAnsi="Arial" w:cs="Arial" w:eastAsia="Arial" w:hint="default"/>
                <w:sz w:val="18"/>
                <w:szCs w:val="18"/>
              </w:rPr>
            </w:pPr>
            <w:r>
              <w:rPr>
                <w:rFonts w:ascii="宋体" w:hAnsi="宋体" w:cs="宋体" w:eastAsia="宋体" w:hint="default"/>
                <w:sz w:val="18"/>
                <w:szCs w:val="18"/>
              </w:rPr>
              <w:t>占其他应收款总额的比例</w:t>
            </w:r>
            <w:r>
              <w:rPr>
                <w:rFonts w:ascii="Arial" w:hAnsi="Arial" w:cs="Arial" w:eastAsia="Arial" w:hint="default"/>
                <w:sz w:val="18"/>
                <w:szCs w:val="18"/>
              </w:rPr>
              <w:t>(%)</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29.63%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9.88%</w:t>
            </w:r>
            <w:r>
              <w:rPr>
                <w:rFonts w:ascii="Arial"/>
                <w:sz w:val="18"/>
              </w:rPr>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337,058.28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3.33%</w:t>
            </w:r>
            <w:r>
              <w:rPr>
                <w:rFonts w:ascii="Arial"/>
                <w:sz w:val="18"/>
              </w:rPr>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2.96%</w:t>
            </w:r>
            <w:r>
              <w:rPr>
                <w:rFonts w:ascii="Arial"/>
                <w:sz w:val="18"/>
              </w:rPr>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285,400.00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2.82%</w:t>
            </w:r>
            <w:r>
              <w:rPr>
                <w:rFonts w:ascii="Arial"/>
                <w:sz w:val="18"/>
              </w:rPr>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Arial" w:hAnsi="Arial" w:cs="Arial" w:eastAsia="Arial" w:hint="default"/>
                <w:sz w:val="18"/>
                <w:szCs w:val="18"/>
              </w:rPr>
            </w:pPr>
            <w:r>
              <w:rPr>
                <w:rFonts w:ascii="Arial"/>
                <w:spacing w:val="-1"/>
                <w:sz w:val="18"/>
              </w:rPr>
              <w:t>4,922,458.28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48.62%</w:t>
            </w:r>
          </w:p>
        </w:tc>
      </w:tr>
    </w:tbl>
    <w:p>
      <w:pPr>
        <w:pStyle w:val="BodyText"/>
        <w:spacing w:line="240" w:lineRule="auto" w:before="49"/>
        <w:ind w:right="1121"/>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t>（</w:t>
      </w:r>
      <w:r>
        <w:rPr>
          <w:rFonts w:ascii="Arial" w:hAnsi="Arial" w:cs="Arial" w:eastAsia="Arial" w:hint="default"/>
        </w:rPr>
        <w:t>4</w:t>
      </w:r>
      <w:r>
        <w:rPr/>
        <w:t>）其他应收款金额前五名单位情况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2" w:right="50" w:hanging="670"/>
              <w:jc w:val="left"/>
              <w:rPr>
                <w:rFonts w:ascii="Arial" w:hAnsi="Arial" w:cs="Arial" w:eastAsia="Arial" w:hint="default"/>
                <w:sz w:val="18"/>
                <w:szCs w:val="18"/>
              </w:rPr>
            </w:pPr>
            <w:r>
              <w:rPr>
                <w:rFonts w:ascii="宋体" w:hAnsi="宋体" w:cs="宋体" w:eastAsia="宋体" w:hint="default"/>
                <w:sz w:val="18"/>
                <w:szCs w:val="18"/>
              </w:rPr>
              <w:t>占其他应收款总额的比 例</w:t>
            </w:r>
            <w:r>
              <w:rPr>
                <w:rFonts w:ascii="Arial" w:hAnsi="Arial" w:cs="Arial" w:eastAsia="Arial"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个月内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29.63%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个月内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9.88%</w:t>
            </w:r>
            <w:r>
              <w:rPr>
                <w:rFonts w:ascii="Arial"/>
                <w:sz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337,058.28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3.33%</w:t>
            </w:r>
            <w:r>
              <w:rPr>
                <w:rFonts w:ascii="Arial"/>
                <w:sz w:val="18"/>
              </w:rPr>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个月内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2.96%</w:t>
            </w:r>
            <w:r>
              <w:rPr>
                <w:rFonts w:ascii="Arial"/>
                <w:sz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285,400.00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2.82%</w:t>
            </w:r>
            <w:r>
              <w:rPr>
                <w:rFonts w:ascii="Arial"/>
                <w:sz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Arial" w:hAnsi="Arial" w:cs="Arial" w:eastAsia="Arial" w:hint="default"/>
                <w:sz w:val="18"/>
                <w:szCs w:val="18"/>
              </w:rPr>
            </w:pPr>
            <w:r>
              <w:rPr>
                <w:rFonts w:ascii="Arial"/>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4,922,458.28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48.62%</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rFonts w:ascii="Arial" w:hAnsi="Arial" w:cs="Arial" w:eastAsia="Arial" w:hint="default"/>
        </w:rPr>
        <w:t>7</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）预付款项按账龄列示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88"/>
        <w:gridCol w:w="1064"/>
        <w:gridCol w:w="3053"/>
        <w:gridCol w:w="1063"/>
      </w:tblGrid>
      <w:tr>
        <w:trPr>
          <w:trHeight w:val="402" w:hRule="exact"/>
        </w:trPr>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02" w:type="dxa"/>
            <w:vMerge/>
            <w:tcBorders>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footerReference w:type="default" r:id="rId66"/>
          <w:pgSz w:w="11910" w:h="16840"/>
          <w:pgMar w:footer="1340" w:header="877" w:top="1060" w:bottom="1540" w:left="980" w:right="0"/>
          <w:pgNumType w:start="12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033096"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121</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202"/>
        <w:gridCol w:w="3188"/>
        <w:gridCol w:w="1064"/>
        <w:gridCol w:w="3053"/>
        <w:gridCol w:w="1063"/>
      </w:tblGrid>
      <w:tr>
        <w:trPr>
          <w:trHeight w:val="401"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13,073,317.61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68" w:right="0"/>
              <w:jc w:val="left"/>
              <w:rPr>
                <w:rFonts w:ascii="Arial" w:hAnsi="Arial" w:cs="Arial" w:eastAsia="Arial" w:hint="default"/>
                <w:sz w:val="18"/>
                <w:szCs w:val="18"/>
              </w:rPr>
            </w:pPr>
            <w:r>
              <w:rPr>
                <w:rFonts w:ascii="Arial"/>
                <w:sz w:val="18"/>
              </w:rPr>
              <w:t>100%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4,088,126.86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68" w:right="0"/>
              <w:jc w:val="left"/>
              <w:rPr>
                <w:rFonts w:ascii="Arial" w:hAnsi="Arial" w:cs="Arial" w:eastAsia="Arial" w:hint="default"/>
                <w:sz w:val="18"/>
                <w:szCs w:val="18"/>
              </w:rPr>
            </w:pPr>
            <w:r>
              <w:rPr>
                <w:rFonts w:ascii="Arial"/>
                <w:sz w:val="18"/>
              </w:rPr>
              <w:t>100%</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Arial" w:hAnsi="Arial" w:cs="Arial" w:eastAsia="Arial" w:hint="default"/>
                <w:sz w:val="18"/>
                <w:szCs w:val="18"/>
              </w:rPr>
            </w:pPr>
            <w:r>
              <w:rPr>
                <w:rFonts w:ascii="Arial"/>
                <w:spacing w:val="-1"/>
                <w:sz w:val="18"/>
              </w:rPr>
              <w:t>13,073,317.61</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30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Arial" w:hAnsi="Arial" w:cs="Arial" w:eastAsia="Arial" w:hint="default"/>
                <w:sz w:val="18"/>
                <w:szCs w:val="18"/>
              </w:rPr>
            </w:pPr>
            <w:r>
              <w:rPr>
                <w:rFonts w:ascii="Arial"/>
                <w:spacing w:val="-1"/>
                <w:sz w:val="18"/>
              </w:rPr>
              <w:t>4,088,126.86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r>
    </w:tbl>
    <w:p>
      <w:pPr>
        <w:pStyle w:val="BodyText"/>
        <w:spacing w:line="357" w:lineRule="auto" w:before="49"/>
        <w:ind w:left="522" w:right="5704" w:hanging="371"/>
        <w:jc w:val="left"/>
      </w:pPr>
      <w:r>
        <w:rPr/>
        <w:t>预付款项账龄的说明 预付款项说明：主要是预付合作开发款和货款等相关款项。</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3"/>
        <w:spacing w:line="240" w:lineRule="auto"/>
        <w:ind w:right="1121"/>
        <w:jc w:val="left"/>
        <w:rPr>
          <w:b w:val="0"/>
          <w:bCs w:val="0"/>
        </w:rPr>
      </w:pPr>
      <w:r>
        <w:rPr/>
        <w:t>（</w:t>
      </w:r>
      <w:r>
        <w:rPr>
          <w:rFonts w:ascii="Arial" w:hAnsi="Arial" w:cs="Arial" w:eastAsia="Arial" w:hint="default"/>
        </w:rPr>
        <w:t>2</w:t>
      </w:r>
      <w:r>
        <w:rPr/>
        <w:t>）预付款项金额前五名单位情况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6"/>
        <w:gridCol w:w="1913"/>
        <w:gridCol w:w="1916"/>
        <w:gridCol w:w="1913"/>
        <w:gridCol w:w="1917"/>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6,285,500.00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预付的合作开发款</w:t>
            </w:r>
          </w:p>
        </w:tc>
      </w:tr>
      <w:tr>
        <w:trPr>
          <w:trHeight w:val="400" w:hRule="exact"/>
        </w:trPr>
        <w:tc>
          <w:tcPr>
            <w:tcW w:w="191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08"/>
              <w:jc w:val="right"/>
              <w:rPr>
                <w:rFonts w:ascii="Arial" w:hAnsi="Arial" w:cs="Arial" w:eastAsia="Arial" w:hint="default"/>
                <w:sz w:val="18"/>
                <w:szCs w:val="18"/>
              </w:rPr>
            </w:pPr>
            <w:r>
              <w:rPr>
                <w:rFonts w:ascii="Arial"/>
                <w:spacing w:val="-1"/>
                <w:sz w:val="18"/>
              </w:rPr>
              <w:t>3,727,487.13</w:t>
            </w:r>
          </w:p>
        </w:tc>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1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预付的货款</w:t>
            </w:r>
          </w:p>
        </w:tc>
      </w:tr>
      <w:tr>
        <w:trPr>
          <w:trHeight w:val="392"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8"/>
              <w:jc w:val="right"/>
              <w:rPr>
                <w:rFonts w:ascii="Arial" w:hAnsi="Arial" w:cs="Arial" w:eastAsia="Arial" w:hint="default"/>
                <w:sz w:val="18"/>
                <w:szCs w:val="18"/>
              </w:rPr>
            </w:pPr>
            <w:r>
              <w:rPr>
                <w:rFonts w:ascii="Arial"/>
                <w:spacing w:val="-1"/>
                <w:sz w:val="18"/>
              </w:rPr>
              <w:t>1,660,000.00</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预付的工程款</w:t>
            </w:r>
          </w:p>
        </w:tc>
      </w:tr>
      <w:tr>
        <w:trPr>
          <w:trHeight w:val="392"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Arial" w:hAnsi="Arial" w:cs="Arial" w:eastAsia="Arial" w:hint="default"/>
                <w:sz w:val="18"/>
                <w:szCs w:val="18"/>
              </w:rPr>
            </w:pPr>
            <w:r>
              <w:rPr>
                <w:rFonts w:ascii="Arial"/>
                <w:spacing w:val="-1"/>
                <w:sz w:val="18"/>
              </w:rPr>
              <w:t>200,000.00</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预付的广告款</w:t>
            </w:r>
          </w:p>
        </w:tc>
      </w:tr>
      <w:tr>
        <w:trPr>
          <w:trHeight w:val="393" w:hRule="exact"/>
        </w:trPr>
        <w:tc>
          <w:tcPr>
            <w:tcW w:w="1916"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7"/>
              <w:jc w:val="right"/>
              <w:rPr>
                <w:rFonts w:ascii="Arial" w:hAnsi="Arial" w:cs="Arial" w:eastAsia="Arial" w:hint="default"/>
                <w:sz w:val="18"/>
                <w:szCs w:val="18"/>
              </w:rPr>
            </w:pPr>
            <w:r>
              <w:rPr>
                <w:rFonts w:ascii="Arial"/>
                <w:spacing w:val="-1"/>
                <w:sz w:val="18"/>
              </w:rPr>
              <w:t>176,971.53</w:t>
            </w:r>
          </w:p>
        </w:tc>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17"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预付的认证款</w:t>
            </w:r>
          </w:p>
        </w:tc>
      </w:tr>
      <w:tr>
        <w:trPr>
          <w:trHeight w:val="40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Arial" w:hAnsi="Arial" w:cs="Arial" w:eastAsia="Arial" w:hint="default"/>
                <w:sz w:val="18"/>
                <w:szCs w:val="18"/>
              </w:rPr>
            </w:pPr>
            <w:r>
              <w:rPr>
                <w:rFonts w:ascii="Arial"/>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2"/>
              <w:jc w:val="right"/>
              <w:rPr>
                <w:rFonts w:ascii="Arial" w:hAnsi="Arial" w:cs="Arial" w:eastAsia="Arial" w:hint="default"/>
                <w:sz w:val="18"/>
                <w:szCs w:val="18"/>
              </w:rPr>
            </w:pPr>
            <w:r>
              <w:rPr>
                <w:rFonts w:ascii="Arial"/>
                <w:spacing w:val="-1"/>
                <w:sz w:val="18"/>
              </w:rPr>
              <w:t>12,049,958.66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r>
    </w:tbl>
    <w:p>
      <w:pPr>
        <w:pStyle w:val="BodyText"/>
        <w:spacing w:line="240" w:lineRule="auto" w:before="46"/>
        <w:ind w:right="1121"/>
        <w:jc w:val="left"/>
      </w:pPr>
      <w:r>
        <w:rPr/>
        <w:t>预付款项主要单位的说明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3"/>
        <w:spacing w:line="240" w:lineRule="auto"/>
        <w:ind w:right="1121"/>
        <w:jc w:val="left"/>
        <w:rPr>
          <w:b w:val="0"/>
          <w:bCs w:val="0"/>
        </w:rPr>
      </w:pPr>
      <w:r>
        <w:rPr/>
        <w:t>（</w:t>
      </w:r>
      <w:r>
        <w:rPr>
          <w:rFonts w:ascii="Arial" w:hAnsi="Arial" w:cs="Arial" w:eastAsia="Arial" w:hint="default"/>
        </w:rPr>
        <w:t>3</w:t>
      </w:r>
      <w:r>
        <w:rPr/>
        <w:t>）预付款项的说明</w:t>
      </w:r>
      <w:r>
        <w:rPr>
          <w:b w:val="0"/>
          <w:bCs w:val="0"/>
        </w:rPr>
      </w:r>
    </w:p>
    <w:p>
      <w:pPr>
        <w:spacing w:line="240" w:lineRule="auto" w:before="5"/>
        <w:rPr>
          <w:rFonts w:ascii="宋体" w:hAnsi="宋体" w:cs="宋体" w:eastAsia="宋体" w:hint="default"/>
          <w:b/>
          <w:bCs/>
          <w:sz w:val="26"/>
          <w:szCs w:val="26"/>
        </w:rPr>
      </w:pPr>
    </w:p>
    <w:p>
      <w:pPr>
        <w:pStyle w:val="BodyText"/>
        <w:spacing w:line="302" w:lineRule="auto"/>
        <w:ind w:left="470" w:right="3136" w:firstLine="24"/>
        <w:jc w:val="left"/>
      </w:pPr>
      <w:r>
        <w:rPr/>
        <w:t>预付款项年末前五名合计人民币</w:t>
      </w:r>
      <w:r>
        <w:rPr>
          <w:rFonts w:ascii="Arial" w:hAnsi="Arial" w:cs="Arial" w:eastAsia="Arial" w:hint="default"/>
        </w:rPr>
        <w:t>12,049,958.66</w:t>
      </w:r>
      <w:r>
        <w:rPr/>
        <w:t>元，占预付款项的</w:t>
      </w:r>
      <w:r>
        <w:rPr>
          <w:rFonts w:ascii="Arial" w:hAnsi="Arial" w:cs="Arial" w:eastAsia="Arial" w:hint="default"/>
        </w:rPr>
        <w:t>92.17%</w:t>
      </w:r>
      <w:r>
        <w:rPr/>
        <w:t>。 年末预付款余额中无持有公司</w:t>
      </w:r>
      <w:r>
        <w:rPr>
          <w:rFonts w:ascii="Arial" w:hAnsi="Arial" w:cs="Arial" w:eastAsia="Arial" w:hint="default"/>
        </w:rPr>
        <w:t>5%(</w:t>
      </w:r>
      <w:r>
        <w:rPr/>
        <w:t>含</w:t>
      </w:r>
      <w:r>
        <w:rPr>
          <w:rFonts w:ascii="Arial" w:hAnsi="Arial" w:cs="Arial" w:eastAsia="Arial" w:hint="default"/>
        </w:rPr>
        <w:t>5%)</w:t>
      </w:r>
      <w:r>
        <w:rPr/>
        <w:t>以上表决权股份的股东单位及其他关联单位的款项。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1"/>
        <w:ind w:right="1121"/>
        <w:jc w:val="left"/>
        <w:rPr>
          <w:b w:val="0"/>
          <w:bCs w:val="0"/>
        </w:rPr>
      </w:pPr>
      <w:r>
        <w:rPr>
          <w:rFonts w:ascii="Arial" w:hAnsi="Arial" w:cs="Arial" w:eastAsia="Arial" w:hint="default"/>
        </w:rPr>
        <w:t>8</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）存货分类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6"/>
        <w:gridCol w:w="1473"/>
        <w:gridCol w:w="1193"/>
        <w:gridCol w:w="1330"/>
        <w:gridCol w:w="1327"/>
        <w:gridCol w:w="1330"/>
        <w:gridCol w:w="1327"/>
      </w:tblGrid>
      <w:tr>
        <w:trPr>
          <w:trHeight w:val="206" w:hRule="exact"/>
        </w:trPr>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76"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25,131,289.19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25,131,289.19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29,516,908.85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29,516,908.85</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2"/>
                <w:sz w:val="18"/>
              </w:rPr>
              <w:t>11,251,961.31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2"/>
                <w:sz w:val="18"/>
              </w:rPr>
              <w:t>11,251,961.31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8,580,919.35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8,580,919.35</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39,723,703.61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39,723,703.61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41,450,928.62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41,450,928.62</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6,644,677.01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6,644,677.01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5,510,812.57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5,510,812.57</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82,751,631.12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82,751,631.12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85,059,569.39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85,059,569.39</w:t>
            </w:r>
          </w:p>
        </w:tc>
      </w:tr>
    </w:tbl>
    <w:p>
      <w:pPr>
        <w:spacing w:after="0" w:line="240" w:lineRule="auto"/>
        <w:jc w:val="right"/>
        <w:rPr>
          <w:rFonts w:ascii="Arial" w:hAnsi="Arial" w:cs="Arial" w:eastAsia="Arial" w:hint="default"/>
          <w:sz w:val="18"/>
          <w:szCs w:val="18"/>
        </w:rPr>
        <w:sectPr>
          <w:footerReference w:type="default" r:id="rId67"/>
          <w:pgSz w:w="11910" w:h="16840"/>
          <w:pgMar w:footer="0" w:header="877" w:top="1060" w:bottom="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1"/>
        <w:jc w:val="left"/>
        <w:rPr>
          <w:b w:val="0"/>
          <w:bCs w:val="0"/>
        </w:rPr>
      </w:pPr>
      <w:r>
        <w:rPr>
          <w:rFonts w:ascii="Arial" w:hAnsi="Arial" w:cs="Arial" w:eastAsia="Arial" w:hint="default"/>
        </w:rPr>
        <w:t>9</w:t>
      </w:r>
      <w:r>
        <w:rPr/>
        <w:t>、长期股权投资</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）长期股权投资明细情况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5"/>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Arial" w:hAnsi="Arial" w:cs="Arial" w:eastAsia="Arial" w:hint="default"/>
                <w:sz w:val="18"/>
                <w:szCs w:val="18"/>
              </w:rPr>
            </w:pPr>
            <w:r>
              <w:rPr>
                <w:rFonts w:ascii="宋体" w:hAnsi="宋体" w:cs="宋体" w:eastAsia="宋体" w:hint="default"/>
                <w:sz w:val="18"/>
                <w:szCs w:val="18"/>
              </w:rPr>
              <w:t>在被投资 单位持股 比例</w:t>
            </w:r>
            <w:r>
              <w:rPr>
                <w:rFonts w:ascii="Arial" w:hAnsi="Arial" w:cs="Arial" w:eastAsia="Arial"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Arial" w:hAnsi="Arial" w:cs="Arial" w:eastAsia="Arial" w:hint="default"/>
                <w:sz w:val="18"/>
                <w:szCs w:val="18"/>
              </w:rPr>
            </w:pPr>
            <w:r>
              <w:rPr>
                <w:rFonts w:ascii="宋体" w:hAnsi="宋体" w:cs="宋体" w:eastAsia="宋体" w:hint="default"/>
                <w:sz w:val="18"/>
                <w:szCs w:val="18"/>
              </w:rPr>
              <w:t>在被投资 单位表决 权比例 </w:t>
            </w:r>
            <w:r>
              <w:rPr>
                <w:rFonts w:ascii="Arial" w:hAnsi="Arial" w:cs="Arial" w:eastAsia="Arial"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652"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佛山市南 海区联合 广东新光 源产业创 新中心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4" w:right="0"/>
              <w:jc w:val="left"/>
              <w:rPr>
                <w:rFonts w:ascii="Arial" w:hAnsi="Arial" w:cs="Arial" w:eastAsia="Arial" w:hint="default"/>
                <w:sz w:val="18"/>
                <w:szCs w:val="18"/>
              </w:rPr>
            </w:pPr>
            <w:r>
              <w:rPr>
                <w:rFonts w:ascii="Arial"/>
                <w:sz w:val="18"/>
              </w:rPr>
              <w:t>3,000,00</w:t>
            </w:r>
          </w:p>
          <w:p>
            <w:pPr>
              <w:pStyle w:val="TableParagraph"/>
              <w:spacing w:line="240" w:lineRule="auto" w:before="105"/>
              <w:ind w:left="415" w:right="0"/>
              <w:jc w:val="left"/>
              <w:rPr>
                <w:rFonts w:ascii="Arial" w:hAnsi="Arial" w:cs="Arial" w:eastAsia="Arial" w:hint="default"/>
                <w:sz w:val="18"/>
                <w:szCs w:val="18"/>
              </w:rPr>
            </w:pPr>
            <w:r>
              <w:rPr>
                <w:rFonts w:ascii="Arial"/>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4" w:right="0"/>
              <w:jc w:val="left"/>
              <w:rPr>
                <w:rFonts w:ascii="Arial" w:hAnsi="Arial" w:cs="Arial" w:eastAsia="Arial" w:hint="default"/>
                <w:sz w:val="18"/>
                <w:szCs w:val="18"/>
              </w:rPr>
            </w:pPr>
            <w:r>
              <w:rPr>
                <w:rFonts w:ascii="Arial"/>
                <w:sz w:val="18"/>
              </w:rPr>
              <w:t>3,000,00</w:t>
            </w:r>
          </w:p>
          <w:p>
            <w:pPr>
              <w:pStyle w:val="TableParagraph"/>
              <w:spacing w:line="240" w:lineRule="auto" w:before="105"/>
              <w:ind w:left="415" w:right="0"/>
              <w:jc w:val="left"/>
              <w:rPr>
                <w:rFonts w:ascii="Arial" w:hAnsi="Arial" w:cs="Arial" w:eastAsia="Arial" w:hint="default"/>
                <w:sz w:val="18"/>
                <w:szCs w:val="18"/>
              </w:rPr>
            </w:pPr>
            <w:r>
              <w:rPr>
                <w:rFonts w:ascii="Arial"/>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4" w:right="0"/>
              <w:jc w:val="left"/>
              <w:rPr>
                <w:rFonts w:ascii="Arial" w:hAnsi="Arial" w:cs="Arial" w:eastAsia="Arial" w:hint="default"/>
                <w:sz w:val="18"/>
                <w:szCs w:val="18"/>
              </w:rPr>
            </w:pPr>
            <w:r>
              <w:rPr>
                <w:rFonts w:ascii="Arial"/>
                <w:sz w:val="18"/>
              </w:rPr>
              <w:t>3,000,00</w:t>
            </w:r>
          </w:p>
          <w:p>
            <w:pPr>
              <w:pStyle w:val="TableParagraph"/>
              <w:spacing w:line="240" w:lineRule="auto" w:before="105"/>
              <w:ind w:left="415" w:right="0"/>
              <w:jc w:val="left"/>
              <w:rPr>
                <w:rFonts w:ascii="Arial" w:hAnsi="Arial" w:cs="Arial" w:eastAsia="Arial" w:hint="default"/>
                <w:sz w:val="18"/>
                <w:szCs w:val="18"/>
              </w:rPr>
            </w:pPr>
            <w:r>
              <w:rPr>
                <w:rFonts w:ascii="Arial"/>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06" w:right="0"/>
              <w:jc w:val="left"/>
              <w:rPr>
                <w:rFonts w:ascii="Arial" w:hAnsi="Arial" w:cs="Arial" w:eastAsia="Arial" w:hint="default"/>
                <w:sz w:val="18"/>
                <w:szCs w:val="18"/>
              </w:rPr>
            </w:pPr>
            <w:r>
              <w:rPr>
                <w:rFonts w:ascii="Arial"/>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06" w:right="0"/>
              <w:jc w:val="left"/>
              <w:rPr>
                <w:rFonts w:ascii="Arial" w:hAnsi="Arial" w:cs="Arial" w:eastAsia="Arial" w:hint="default"/>
                <w:sz w:val="18"/>
                <w:szCs w:val="18"/>
              </w:rPr>
            </w:pPr>
            <w:r>
              <w:rPr>
                <w:rFonts w:ascii="Arial"/>
                <w:sz w:val="18"/>
              </w:rPr>
              <w:t>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3,000,00</w:t>
            </w:r>
          </w:p>
          <w:p>
            <w:pPr>
              <w:pStyle w:val="TableParagraph"/>
              <w:spacing w:line="240" w:lineRule="auto" w:before="105"/>
              <w:ind w:left="415" w:right="0"/>
              <w:jc w:val="left"/>
              <w:rPr>
                <w:rFonts w:ascii="Arial" w:hAnsi="Arial" w:cs="Arial" w:eastAsia="Arial" w:hint="default"/>
                <w:sz w:val="18"/>
                <w:szCs w:val="18"/>
              </w:rPr>
            </w:pPr>
            <w:r>
              <w:rPr>
                <w:rFonts w:ascii="Arial"/>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3,000,00</w:t>
            </w:r>
          </w:p>
          <w:p>
            <w:pPr>
              <w:pStyle w:val="TableParagraph"/>
              <w:spacing w:line="240" w:lineRule="auto" w:before="105"/>
              <w:ind w:left="415" w:right="0"/>
              <w:jc w:val="left"/>
              <w:rPr>
                <w:rFonts w:ascii="Arial" w:hAnsi="Arial" w:cs="Arial" w:eastAsia="Arial" w:hint="default"/>
                <w:sz w:val="18"/>
                <w:szCs w:val="18"/>
              </w:rPr>
            </w:pPr>
            <w:r>
              <w:rPr>
                <w:rFonts w:ascii="Arial"/>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3,000,00</w:t>
            </w:r>
          </w:p>
          <w:p>
            <w:pPr>
              <w:pStyle w:val="TableParagraph"/>
              <w:spacing w:line="240" w:lineRule="auto" w:before="105"/>
              <w:ind w:left="415" w:right="0"/>
              <w:jc w:val="left"/>
              <w:rPr>
                <w:rFonts w:ascii="Arial" w:hAnsi="Arial" w:cs="Arial" w:eastAsia="Arial" w:hint="default"/>
                <w:sz w:val="18"/>
                <w:szCs w:val="18"/>
              </w:rPr>
            </w:pPr>
            <w:r>
              <w:rPr>
                <w:rFonts w:ascii="Arial"/>
                <w:sz w:val="18"/>
              </w:rPr>
              <w:t>0.00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rFonts w:ascii="Arial" w:hAnsi="Arial" w:cs="Arial" w:eastAsia="Arial" w:hint="default"/>
        </w:rPr>
        <w:t>10</w:t>
      </w:r>
      <w:r>
        <w:rPr/>
        <w:t>、固定资产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）固定资产情况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17"/>
        <w:gridCol w:w="1462"/>
        <w:gridCol w:w="1327"/>
        <w:gridCol w:w="1594"/>
        <w:gridCol w:w="1597"/>
        <w:gridCol w:w="1459"/>
      </w:tblGrid>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39,280,213.85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38" w:right="0"/>
              <w:jc w:val="left"/>
              <w:rPr>
                <w:rFonts w:ascii="Arial" w:hAnsi="Arial" w:cs="Arial" w:eastAsia="Arial" w:hint="default"/>
                <w:sz w:val="18"/>
                <w:szCs w:val="18"/>
              </w:rPr>
            </w:pPr>
            <w:r>
              <w:rPr>
                <w:rFonts w:ascii="Arial"/>
                <w:sz w:val="18"/>
              </w:rPr>
              <w:t>5,510,743.44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612,645.00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44,178,312.29</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14,100,090.87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733,301.83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28,282.00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14,805,110.70</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2,157,057.92</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372,354.19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485,835.00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2,043,577.11</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17,698,470.39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38" w:right="0"/>
              <w:jc w:val="left"/>
              <w:rPr>
                <w:rFonts w:ascii="Arial" w:hAnsi="Arial" w:cs="Arial" w:eastAsia="Arial" w:hint="default"/>
                <w:sz w:val="18"/>
                <w:szCs w:val="18"/>
              </w:rPr>
            </w:pPr>
            <w:r>
              <w:rPr>
                <w:rFonts w:ascii="Arial"/>
                <w:sz w:val="18"/>
              </w:rPr>
              <w:t>2,956,230.58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98,528.00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20,556,172.97</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5,324,594.67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38" w:right="0"/>
              <w:jc w:val="left"/>
              <w:rPr>
                <w:rFonts w:ascii="Arial" w:hAnsi="Arial" w:cs="Arial" w:eastAsia="Arial" w:hint="default"/>
                <w:sz w:val="18"/>
                <w:szCs w:val="18"/>
              </w:rPr>
            </w:pPr>
            <w:r>
              <w:rPr>
                <w:rFonts w:ascii="Arial"/>
                <w:sz w:val="18"/>
              </w:rPr>
              <w:t>1,448,856.84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677,345,151.00</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7"/>
              <w:jc w:val="center"/>
              <w:rPr>
                <w:rFonts w:ascii="Arial" w:hAnsi="Arial" w:cs="Arial" w:eastAsia="Arial" w:hint="default"/>
                <w:sz w:val="18"/>
                <w:szCs w:val="18"/>
              </w:rPr>
            </w:pPr>
            <w:r>
              <w:rPr>
                <w:rFonts w:ascii="Arial"/>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4"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14,286,748.74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5,534,163.47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248,452.62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19,572,459.59</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3,161,357.02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1,385,148.24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24,607.36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4,521,897.90</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550,192.33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411,257.22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170,941.66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790,507.89</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7,868,455.42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3,042,414.89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52,903.60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10,857,966.71</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2,706,743.97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695,343.12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3,402,087.09</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7"/>
              <w:jc w:val="center"/>
              <w:rPr>
                <w:rFonts w:ascii="Arial" w:hAnsi="Arial" w:cs="Arial" w:eastAsia="Arial" w:hint="default"/>
                <w:sz w:val="18"/>
                <w:szCs w:val="18"/>
              </w:rPr>
            </w:pPr>
            <w:r>
              <w:rPr>
                <w:rFonts w:ascii="Arial"/>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bl>
    <w:p>
      <w:pPr>
        <w:spacing w:after="0" w:line="240" w:lineRule="auto"/>
        <w:jc w:val="left"/>
        <w:rPr>
          <w:rFonts w:ascii="宋体" w:hAnsi="宋体" w:cs="宋体" w:eastAsia="宋体" w:hint="default"/>
          <w:sz w:val="18"/>
          <w:szCs w:val="18"/>
        </w:rPr>
        <w:sectPr>
          <w:footerReference w:type="default" r:id="rId68"/>
          <w:pgSz w:w="11910" w:h="16840"/>
          <w:pgMar w:footer="1330" w:header="877" w:top="1060" w:bottom="1520" w:left="980" w:right="0"/>
          <w:pgNumType w:start="122"/>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4506"/>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24,993,465.11</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24,605,852.70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10,938,733.85</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10,283,212.80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1,606,865.59</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1,253,069.22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9,830,014.97</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9,698,206.26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2,617,850.70</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3,371,364.42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24,993,465.11</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24,605,852.70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10,938,733.85</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10,283,212.80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1,606,865.59</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1,253,069.22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9,830,014.97</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9,698,206.26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2,617,850.70</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
              <w:jc w:val="center"/>
              <w:rPr>
                <w:rFonts w:ascii="Arial" w:hAnsi="Arial" w:cs="Arial" w:eastAsia="Arial" w:hint="default"/>
                <w:sz w:val="18"/>
                <w:szCs w:val="18"/>
              </w:rPr>
            </w:pPr>
            <w:r>
              <w:rPr>
                <w:rFonts w:ascii="Arial"/>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3,371,364.42</w:t>
            </w:r>
          </w:p>
        </w:tc>
      </w:tr>
    </w:tbl>
    <w:p>
      <w:pPr>
        <w:pStyle w:val="BodyText"/>
        <w:spacing w:line="240" w:lineRule="auto" w:before="49"/>
        <w:ind w:right="1121"/>
        <w:jc w:val="left"/>
      </w:pPr>
      <w:r>
        <w:rPr/>
        <w:t>本期折旧额</w:t>
      </w:r>
      <w:r>
        <w:rPr>
          <w:spacing w:val="-47"/>
        </w:rPr>
        <w:t> </w:t>
      </w:r>
      <w:r>
        <w:rPr>
          <w:rFonts w:ascii="Arial" w:hAnsi="Arial" w:cs="Arial" w:eastAsia="Arial" w:hint="default"/>
        </w:rPr>
        <w:t>5,534,163.47</w:t>
      </w:r>
      <w:r>
        <w:rPr>
          <w:rFonts w:ascii="Arial" w:hAnsi="Arial" w:cs="Arial" w:eastAsia="Arial" w:hint="default"/>
          <w:spacing w:val="-6"/>
        </w:rPr>
        <w:t> </w:t>
      </w:r>
      <w:r>
        <w:rPr/>
        <w:t>元；本期由在建工程转入固定资产原价为</w:t>
      </w:r>
      <w:r>
        <w:rPr>
          <w:spacing w:val="-47"/>
        </w:rPr>
        <w:t> </w:t>
      </w:r>
      <w:r>
        <w:rPr>
          <w:rFonts w:ascii="Arial" w:hAnsi="Arial" w:cs="Arial" w:eastAsia="Arial" w:hint="default"/>
        </w:rPr>
        <w:t>0.00</w:t>
      </w:r>
      <w:r>
        <w:rPr>
          <w:rFonts w:ascii="Arial" w:hAnsi="Arial" w:cs="Arial" w:eastAsia="Arial" w:hint="default"/>
          <w:spacing w:val="-7"/>
        </w:rPr>
        <w:t> </w:t>
      </w:r>
      <w:r>
        <w:rPr/>
        <w:t>元。</w:t>
      </w:r>
    </w:p>
    <w:p>
      <w:pPr>
        <w:spacing w:line="240" w:lineRule="auto" w:before="0"/>
        <w:rPr>
          <w:rFonts w:ascii="宋体" w:hAnsi="宋体" w:cs="宋体" w:eastAsia="宋体" w:hint="default"/>
          <w:sz w:val="26"/>
          <w:szCs w:val="26"/>
        </w:rPr>
      </w:pPr>
    </w:p>
    <w:p>
      <w:pPr>
        <w:pStyle w:val="Heading3"/>
        <w:spacing w:line="240" w:lineRule="auto"/>
        <w:ind w:right="1121"/>
        <w:jc w:val="left"/>
        <w:rPr>
          <w:b w:val="0"/>
          <w:bCs w:val="0"/>
        </w:rPr>
      </w:pPr>
      <w:r>
        <w:rPr>
          <w:rFonts w:ascii="Arial" w:hAnsi="Arial" w:cs="Arial" w:eastAsia="Arial" w:hint="default"/>
        </w:rPr>
        <w:t>11</w:t>
      </w:r>
      <w:r>
        <w:rPr/>
        <w:t>、在建工程</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）在建工程情况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3"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惠州茂硕产业基地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70,814,791.8</w:t>
            </w:r>
          </w:p>
          <w:p>
            <w:pPr>
              <w:pStyle w:val="TableParagraph"/>
              <w:spacing w:line="240" w:lineRule="auto" w:before="105"/>
              <w:ind w:right="20"/>
              <w:jc w:val="right"/>
              <w:rPr>
                <w:rFonts w:ascii="Arial" w:hAnsi="Arial" w:cs="Arial" w:eastAsia="Arial" w:hint="default"/>
                <w:sz w:val="18"/>
                <w:szCs w:val="18"/>
              </w:rPr>
            </w:pPr>
            <w:r>
              <w:rPr>
                <w:rFonts w:ascii="Arial"/>
                <w:w w:val="99"/>
                <w:sz w:val="18"/>
              </w:rPr>
              <w:t>4</w:t>
            </w:r>
            <w:r>
              <w:rPr>
                <w:rFonts w:ascii="Arial"/>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70,814,791.8</w:t>
            </w:r>
          </w:p>
          <w:p>
            <w:pPr>
              <w:pStyle w:val="TableParagraph"/>
              <w:spacing w:line="240" w:lineRule="auto" w:before="105"/>
              <w:ind w:right="22"/>
              <w:jc w:val="right"/>
              <w:rPr>
                <w:rFonts w:ascii="Arial" w:hAnsi="Arial" w:cs="Arial" w:eastAsia="Arial" w:hint="default"/>
                <w:sz w:val="18"/>
                <w:szCs w:val="18"/>
              </w:rPr>
            </w:pPr>
            <w:r>
              <w:rPr>
                <w:rFonts w:ascii="Arial"/>
                <w:w w:val="99"/>
                <w:sz w:val="18"/>
              </w:rPr>
              <w:t>4</w:t>
            </w:r>
            <w:r>
              <w:rPr>
                <w:rFonts w:ascii="Arial"/>
                <w:sz w:val="18"/>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spacing w:val="-1"/>
                <w:sz w:val="18"/>
              </w:rPr>
              <w:t>389,736.00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Arial" w:hAnsi="Arial" w:cs="Arial" w:eastAsia="Arial" w:hint="default"/>
                <w:sz w:val="18"/>
                <w:szCs w:val="18"/>
              </w:rPr>
            </w:pPr>
            <w:r>
              <w:rPr>
                <w:rFonts w:ascii="Arial"/>
                <w:w w:val="95"/>
                <w:sz w:val="18"/>
              </w:rPr>
              <w:t>0.00</w:t>
            </w:r>
            <w:r>
              <w:rPr>
                <w:rFonts w:ascii="Arial"/>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389,736.00</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自动线设备</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1,615,384.63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6" w:right="0"/>
              <w:jc w:val="center"/>
              <w:rPr>
                <w:rFonts w:ascii="Arial" w:hAnsi="Arial" w:cs="Arial" w:eastAsia="Arial" w:hint="default"/>
                <w:sz w:val="18"/>
                <w:szCs w:val="18"/>
              </w:rPr>
            </w:pPr>
            <w:r>
              <w:rPr>
                <w:rFonts w:ascii="Arial"/>
                <w:sz w:val="18"/>
              </w:rPr>
              <w:t>1,615,384.63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Arial" w:hAnsi="Arial" w:cs="Arial" w:eastAsia="Arial" w:hint="default"/>
                <w:sz w:val="18"/>
                <w:szCs w:val="18"/>
              </w:rPr>
            </w:pPr>
            <w:r>
              <w:rPr>
                <w:rFonts w:ascii="Arial"/>
                <w:spacing w:val="-1"/>
                <w:sz w:val="18"/>
              </w:rPr>
              <w:t>72,430,176.4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center"/>
              <w:rPr>
                <w:rFonts w:ascii="Arial" w:hAnsi="Arial" w:cs="Arial" w:eastAsia="Arial" w:hint="default"/>
                <w:sz w:val="18"/>
                <w:szCs w:val="18"/>
              </w:rPr>
            </w:pPr>
            <w:r>
              <w:rPr>
                <w:rFonts w:ascii="Arial"/>
                <w:sz w:val="18"/>
              </w:rPr>
              <w:t>72,430,176.4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389,736.00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389,736.00</w:t>
            </w:r>
          </w:p>
        </w:tc>
      </w:tr>
    </w:tbl>
    <w:p>
      <w:pPr>
        <w:spacing w:after="0" w:line="240" w:lineRule="auto"/>
        <w:jc w:val="right"/>
        <w:rPr>
          <w:rFonts w:ascii="Arial" w:hAnsi="Arial" w:cs="Arial" w:eastAsia="Arial" w:hint="default"/>
          <w:sz w:val="18"/>
          <w:szCs w:val="18"/>
        </w:rPr>
        <w:sectPr>
          <w:pgSz w:w="11910" w:h="16840"/>
          <w:pgMar w:header="877" w:footer="133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5"/>
        <w:gridCol w:w="1196"/>
        <w:gridCol w:w="1195"/>
        <w:gridCol w:w="1196"/>
        <w:gridCol w:w="1193"/>
        <w:gridCol w:w="1196"/>
        <w:gridCol w:w="1330"/>
      </w:tblGrid>
      <w:tr>
        <w:trPr>
          <w:trHeight w:val="363"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7</w:t>
            </w:r>
            <w:r>
              <w:rPr>
                <w:rFonts w:ascii="Arial"/>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Arial" w:hAnsi="Arial" w:cs="Arial" w:eastAsia="Arial" w:hint="default"/>
                <w:sz w:val="18"/>
                <w:szCs w:val="18"/>
              </w:rPr>
            </w:pPr>
            <w:r>
              <w:rPr>
                <w:rFonts w:ascii="Arial"/>
                <w:w w:val="99"/>
                <w:sz w:val="18"/>
              </w:rPr>
              <w:t>7</w:t>
            </w:r>
            <w:r>
              <w:rPr>
                <w:rFonts w:ascii="Arial"/>
                <w:sz w:val="18"/>
              </w:rPr>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2</w:t>
      </w:r>
      <w:r>
        <w:rPr/>
        <w:t>）重大在建工程项目变动情况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9"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Arial" w:hAnsi="Arial" w:cs="Arial" w:eastAsia="Arial" w:hint="default"/>
                <w:sz w:val="18"/>
                <w:szCs w:val="18"/>
              </w:rPr>
            </w:pPr>
            <w:r>
              <w:rPr>
                <w:rFonts w:ascii="宋体" w:hAnsi="宋体" w:cs="宋体" w:eastAsia="宋体" w:hint="default"/>
                <w:sz w:val="18"/>
                <w:szCs w:val="18"/>
              </w:rPr>
              <w:t>工程投 入占预 算比例 </w:t>
            </w:r>
            <w:r>
              <w:rPr>
                <w:rFonts w:ascii="Arial" w:hAnsi="Arial" w:cs="Arial" w:eastAsia="Arial"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38" w:firstLine="50"/>
              <w:jc w:val="both"/>
              <w:rPr>
                <w:rFonts w:ascii="Arial" w:hAnsi="Arial" w:cs="Arial" w:eastAsia="Arial" w:hint="default"/>
                <w:sz w:val="18"/>
                <w:szCs w:val="18"/>
              </w:rPr>
            </w:pPr>
            <w:r>
              <w:rPr>
                <w:rFonts w:ascii="宋体" w:hAnsi="宋体" w:cs="宋体" w:eastAsia="宋体" w:hint="default"/>
                <w:sz w:val="18"/>
                <w:szCs w:val="18"/>
              </w:rPr>
              <w:t>本期利 息资本 化率</w:t>
            </w:r>
            <w:r>
              <w:rPr>
                <w:rFonts w:ascii="Arial" w:hAnsi="Arial" w:cs="Arial" w:eastAsia="Arial"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02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惠州茂 硕产业 基地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Arial" w:hAnsi="Arial" w:cs="Arial" w:eastAsia="Arial" w:hint="default"/>
                <w:sz w:val="18"/>
                <w:szCs w:val="18"/>
              </w:rPr>
            </w:pPr>
            <w:r>
              <w:rPr>
                <w:rFonts w:ascii="Arial"/>
                <w:sz w:val="18"/>
              </w:rPr>
              <w:t>95,860,</w:t>
            </w:r>
          </w:p>
          <w:p>
            <w:pPr>
              <w:pStyle w:val="TableParagraph"/>
              <w:spacing w:line="240" w:lineRule="auto" w:before="105"/>
              <w:ind w:left="153" w:right="0"/>
              <w:jc w:val="left"/>
              <w:rPr>
                <w:rFonts w:ascii="Arial" w:hAnsi="Arial" w:cs="Arial" w:eastAsia="Arial" w:hint="default"/>
                <w:sz w:val="18"/>
                <w:szCs w:val="18"/>
              </w:rPr>
            </w:pPr>
            <w:r>
              <w:rPr>
                <w:rFonts w:ascii="Arial"/>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 w:right="0"/>
              <w:jc w:val="left"/>
              <w:rPr>
                <w:rFonts w:ascii="Arial" w:hAnsi="Arial" w:cs="Arial" w:eastAsia="Arial" w:hint="default"/>
                <w:sz w:val="18"/>
                <w:szCs w:val="18"/>
              </w:rPr>
            </w:pPr>
            <w:r>
              <w:rPr>
                <w:rFonts w:ascii="Arial"/>
                <w:sz w:val="18"/>
              </w:rPr>
              <w:t>389,736</w:t>
            </w:r>
          </w:p>
          <w:p>
            <w:pPr>
              <w:pStyle w:val="TableParagraph"/>
              <w:spacing w:line="240" w:lineRule="auto" w:before="105"/>
              <w:ind w:left="453" w:right="0"/>
              <w:jc w:val="left"/>
              <w:rPr>
                <w:rFonts w:ascii="Arial" w:hAnsi="Arial" w:cs="Arial" w:eastAsia="Arial" w:hint="default"/>
                <w:sz w:val="18"/>
                <w:szCs w:val="18"/>
              </w:rPr>
            </w:pPr>
            <w:r>
              <w:rPr>
                <w:rFonts w:ascii="Arial"/>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Arial" w:hAnsi="Arial" w:cs="Arial" w:eastAsia="Arial" w:hint="default"/>
                <w:sz w:val="18"/>
                <w:szCs w:val="18"/>
              </w:rPr>
            </w:pPr>
            <w:r>
              <w:rPr>
                <w:rFonts w:ascii="Arial"/>
                <w:sz w:val="18"/>
              </w:rPr>
              <w:t>70,425,</w:t>
            </w:r>
          </w:p>
          <w:p>
            <w:pPr>
              <w:pStyle w:val="TableParagraph"/>
              <w:spacing w:line="240" w:lineRule="auto" w:before="105"/>
              <w:ind w:left="153" w:right="0"/>
              <w:jc w:val="left"/>
              <w:rPr>
                <w:rFonts w:ascii="Arial" w:hAnsi="Arial" w:cs="Arial" w:eastAsia="Arial" w:hint="default"/>
                <w:sz w:val="18"/>
                <w:szCs w:val="18"/>
              </w:rPr>
            </w:pPr>
            <w:r>
              <w:rPr>
                <w:rFonts w:ascii="Arial"/>
                <w:sz w:val="18"/>
              </w:rPr>
              <w:t>055.84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center"/>
              <w:rPr>
                <w:rFonts w:ascii="Arial" w:hAnsi="Arial" w:cs="Arial" w:eastAsia="Arial" w:hint="default"/>
                <w:sz w:val="18"/>
                <w:szCs w:val="18"/>
              </w:rPr>
            </w:pPr>
            <w:r>
              <w:rPr>
                <w:rFonts w:ascii="Arial"/>
                <w:sz w:val="18"/>
              </w:rPr>
              <w:t>73.87%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3"/>
              <w:jc w:val="center"/>
              <w:rPr>
                <w:rFonts w:ascii="Arial" w:hAnsi="Arial" w:cs="Arial" w:eastAsia="Arial" w:hint="default"/>
                <w:sz w:val="18"/>
                <w:szCs w:val="18"/>
              </w:rPr>
            </w:pPr>
            <w:r>
              <w:rPr>
                <w:rFonts w:ascii="Arial"/>
                <w:sz w:val="18"/>
              </w:rPr>
              <w:t>73.87%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4" w:right="0"/>
              <w:jc w:val="left"/>
              <w:rPr>
                <w:rFonts w:ascii="Arial" w:hAnsi="Arial" w:cs="Arial" w:eastAsia="Arial" w:hint="default"/>
                <w:sz w:val="18"/>
                <w:szCs w:val="18"/>
              </w:rPr>
            </w:pPr>
            <w:r>
              <w:rPr>
                <w:rFonts w:ascii="Arial"/>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5" w:right="0"/>
              <w:jc w:val="left"/>
              <w:rPr>
                <w:rFonts w:ascii="Arial" w:hAnsi="Arial" w:cs="Arial" w:eastAsia="Arial" w:hint="default"/>
                <w:sz w:val="18"/>
                <w:szCs w:val="18"/>
              </w:rPr>
            </w:pPr>
            <w:r>
              <w:rPr>
                <w:rFonts w:ascii="Arial"/>
                <w:sz w:val="18"/>
              </w:rPr>
              <w:t>70,814,</w:t>
            </w:r>
          </w:p>
          <w:p>
            <w:pPr>
              <w:pStyle w:val="TableParagraph"/>
              <w:spacing w:line="240" w:lineRule="auto" w:before="105"/>
              <w:ind w:left="155" w:right="0"/>
              <w:jc w:val="left"/>
              <w:rPr>
                <w:rFonts w:ascii="Arial" w:hAnsi="Arial" w:cs="Arial" w:eastAsia="Arial" w:hint="default"/>
                <w:sz w:val="18"/>
                <w:szCs w:val="18"/>
              </w:rPr>
            </w:pPr>
            <w:r>
              <w:rPr>
                <w:rFonts w:ascii="Arial"/>
                <w:sz w:val="18"/>
              </w:rPr>
              <w:t>791.84</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Arial" w:hAnsi="Arial" w:cs="Arial" w:eastAsia="Arial" w:hint="default"/>
                <w:sz w:val="18"/>
                <w:szCs w:val="18"/>
              </w:rPr>
            </w:pPr>
            <w:r>
              <w:rPr>
                <w:rFonts w:ascii="Arial"/>
                <w:sz w:val="18"/>
              </w:rPr>
              <w:t>95,860,</w:t>
            </w:r>
          </w:p>
          <w:p>
            <w:pPr>
              <w:pStyle w:val="TableParagraph"/>
              <w:spacing w:line="240" w:lineRule="auto" w:before="105"/>
              <w:ind w:left="153" w:right="0"/>
              <w:jc w:val="left"/>
              <w:rPr>
                <w:rFonts w:ascii="Arial" w:hAnsi="Arial" w:cs="Arial" w:eastAsia="Arial" w:hint="default"/>
                <w:sz w:val="18"/>
                <w:szCs w:val="18"/>
              </w:rPr>
            </w:pPr>
            <w:r>
              <w:rPr>
                <w:rFonts w:ascii="Arial"/>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2" w:right="0"/>
              <w:jc w:val="left"/>
              <w:rPr>
                <w:rFonts w:ascii="Arial" w:hAnsi="Arial" w:cs="Arial" w:eastAsia="Arial" w:hint="default"/>
                <w:sz w:val="18"/>
                <w:szCs w:val="18"/>
              </w:rPr>
            </w:pPr>
            <w:r>
              <w:rPr>
                <w:rFonts w:ascii="Arial"/>
                <w:sz w:val="18"/>
              </w:rPr>
              <w:t>389,736</w:t>
            </w:r>
          </w:p>
          <w:p>
            <w:pPr>
              <w:pStyle w:val="TableParagraph"/>
              <w:spacing w:line="240" w:lineRule="auto" w:before="105"/>
              <w:ind w:left="453" w:right="0"/>
              <w:jc w:val="left"/>
              <w:rPr>
                <w:rFonts w:ascii="Arial" w:hAnsi="Arial" w:cs="Arial" w:eastAsia="Arial" w:hint="default"/>
                <w:sz w:val="18"/>
                <w:szCs w:val="18"/>
              </w:rPr>
            </w:pPr>
            <w:r>
              <w:rPr>
                <w:rFonts w:ascii="Arial"/>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Arial" w:hAnsi="Arial" w:cs="Arial" w:eastAsia="Arial" w:hint="default"/>
                <w:sz w:val="18"/>
                <w:szCs w:val="18"/>
              </w:rPr>
            </w:pPr>
            <w:r>
              <w:rPr>
                <w:rFonts w:ascii="Arial"/>
                <w:sz w:val="18"/>
              </w:rPr>
              <w:t>70,425,</w:t>
            </w:r>
          </w:p>
          <w:p>
            <w:pPr>
              <w:pStyle w:val="TableParagraph"/>
              <w:spacing w:line="240" w:lineRule="auto" w:before="105"/>
              <w:ind w:left="153" w:right="0"/>
              <w:jc w:val="left"/>
              <w:rPr>
                <w:rFonts w:ascii="Arial" w:hAnsi="Arial" w:cs="Arial" w:eastAsia="Arial" w:hint="default"/>
                <w:sz w:val="18"/>
                <w:szCs w:val="18"/>
              </w:rPr>
            </w:pPr>
            <w:r>
              <w:rPr>
                <w:rFonts w:ascii="Arial"/>
                <w:sz w:val="18"/>
              </w:rPr>
              <w:t>055.84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Arial" w:hAnsi="Arial" w:cs="Arial" w:eastAsia="Arial" w:hint="default"/>
                <w:sz w:val="18"/>
                <w:szCs w:val="18"/>
              </w:rPr>
            </w:pPr>
            <w:r>
              <w:rPr>
                <w:rFonts w:ascii="Arial"/>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left"/>
              <w:rPr>
                <w:rFonts w:ascii="Arial" w:hAnsi="Arial" w:cs="Arial" w:eastAsia="Arial" w:hint="default"/>
                <w:sz w:val="18"/>
                <w:szCs w:val="18"/>
              </w:rPr>
            </w:pPr>
            <w:r>
              <w:rPr>
                <w:rFonts w:ascii="Arial"/>
                <w:sz w:val="18"/>
              </w:rPr>
              <w:t>70,814,</w:t>
            </w:r>
          </w:p>
          <w:p>
            <w:pPr>
              <w:pStyle w:val="TableParagraph"/>
              <w:spacing w:line="240" w:lineRule="auto" w:before="105"/>
              <w:ind w:left="155" w:right="0"/>
              <w:jc w:val="left"/>
              <w:rPr>
                <w:rFonts w:ascii="Arial" w:hAnsi="Arial" w:cs="Arial" w:eastAsia="Arial" w:hint="default"/>
                <w:sz w:val="18"/>
                <w:szCs w:val="18"/>
              </w:rPr>
            </w:pPr>
            <w:r>
              <w:rPr>
                <w:rFonts w:ascii="Arial"/>
                <w:sz w:val="18"/>
              </w:rPr>
              <w:t>791.84</w:t>
            </w:r>
          </w:p>
        </w:tc>
      </w:tr>
    </w:tbl>
    <w:p>
      <w:pPr>
        <w:pStyle w:val="BodyText"/>
        <w:spacing w:line="240" w:lineRule="auto" w:before="49"/>
        <w:ind w:right="1121"/>
        <w:jc w:val="left"/>
      </w:pPr>
      <w:r>
        <w:rPr/>
        <w:t>在建工程项目变动情况的说明</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t>（</w:t>
      </w:r>
      <w:r>
        <w:rPr>
          <w:rFonts w:ascii="Arial" w:hAnsi="Arial" w:cs="Arial" w:eastAsia="Arial" w:hint="default"/>
        </w:rPr>
        <w:t>3</w:t>
      </w:r>
      <w:r>
        <w:rPr/>
        <w:t>）重大在建工程的工程进度情况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惠州茂硕产业基地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73.87%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按照工程投入占预算的比重计算</w:t>
            </w:r>
          </w:p>
        </w:tc>
      </w:tr>
    </w:tbl>
    <w:p>
      <w:pPr>
        <w:spacing w:line="240" w:lineRule="auto" w:before="3"/>
        <w:rPr>
          <w:rFonts w:ascii="宋体" w:hAnsi="宋体" w:cs="宋体" w:eastAsia="宋体" w:hint="default"/>
          <w:b/>
          <w:bCs/>
          <w:sz w:val="19"/>
          <w:szCs w:val="19"/>
        </w:rPr>
      </w:pPr>
    </w:p>
    <w:p>
      <w:pPr>
        <w:pStyle w:val="Heading3"/>
        <w:spacing w:line="240" w:lineRule="auto" w:before="36"/>
        <w:ind w:right="1121"/>
        <w:jc w:val="left"/>
        <w:rPr>
          <w:b w:val="0"/>
          <w:bCs w:val="0"/>
        </w:rPr>
      </w:pPr>
      <w:r>
        <w:rPr>
          <w:rFonts w:ascii="Arial" w:hAnsi="Arial" w:cs="Arial" w:eastAsia="Arial" w:hint="default"/>
        </w:rPr>
        <w:t>12</w:t>
      </w:r>
      <w:r>
        <w:rPr/>
        <w:t>、无形资产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）无形资产情况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12,770,101.95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3,833,389.12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w:t>
            </w:r>
            <w:r>
              <w:rPr>
                <w:rFonts w:ascii="Arial"/>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16,603,491.07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9,684,021.77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Arial" w:hAnsi="Arial" w:cs="Arial" w:eastAsia="Arial" w:hint="default"/>
                <w:sz w:val="18"/>
                <w:szCs w:val="18"/>
              </w:rPr>
            </w:pPr>
            <w:r>
              <w:rPr>
                <w:rFonts w:ascii="Arial"/>
                <w:w w:val="95"/>
                <w:sz w:val="18"/>
              </w:rPr>
              <w:t>0.00</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9,684,021.77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2,926,080.18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3,833,389.12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6,759,469.30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160,000.00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Arial" w:hAnsi="Arial" w:cs="Arial" w:eastAsia="Arial" w:hint="default"/>
                <w:sz w:val="18"/>
                <w:szCs w:val="18"/>
              </w:rPr>
            </w:pPr>
            <w:r>
              <w:rPr>
                <w:rFonts w:ascii="Arial"/>
                <w:w w:val="95"/>
                <w:sz w:val="18"/>
              </w:rPr>
              <w:t>0.00</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160,000.00</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2"/>
                <w:sz w:val="18"/>
              </w:rPr>
              <w:t>1,679,721.11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1,605,048.27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3,284,769.38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251,364.50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197,313.94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448,678.44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1,409,689.92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1,375,734.33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2,785,424.25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18,666.69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32,000.00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50,666.69</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三、无形资产账面净值合 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2"/>
                <w:sz w:val="18"/>
              </w:rPr>
              <w:t>11,090,380.84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13,318,721.69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9,432,657.27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9,235,343.33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1,516,390.26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3,974,045.05</w:t>
            </w:r>
          </w:p>
        </w:tc>
      </w:tr>
    </w:tbl>
    <w:p>
      <w:pPr>
        <w:spacing w:after="0" w:line="240" w:lineRule="auto"/>
        <w:jc w:val="right"/>
        <w:rPr>
          <w:rFonts w:ascii="Arial" w:hAnsi="Arial" w:cs="Arial" w:eastAsia="Arial" w:hint="default"/>
          <w:sz w:val="18"/>
          <w:szCs w:val="18"/>
        </w:rPr>
        <w:sectPr>
          <w:pgSz w:w="11910" w:h="16840"/>
          <w:pgMar w:header="877" w:footer="133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141,333.31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109,333.31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2"/>
                <w:sz w:val="18"/>
              </w:rPr>
              <w:t>11,090,380.84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13,318,721.69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9,432,657.27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9,235,343.33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1,516,390.26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3,974,045.05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141,333.31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109,333.31</w:t>
            </w:r>
          </w:p>
        </w:tc>
      </w:tr>
    </w:tbl>
    <w:p>
      <w:pPr>
        <w:pStyle w:val="BodyText"/>
        <w:spacing w:line="240" w:lineRule="auto" w:before="49"/>
        <w:ind w:right="1121"/>
        <w:jc w:val="left"/>
      </w:pPr>
      <w:r>
        <w:rPr/>
        <w:t>本期摊销额</w:t>
      </w:r>
      <w:r>
        <w:rPr>
          <w:spacing w:val="-48"/>
        </w:rPr>
        <w:t> </w:t>
      </w:r>
      <w:r>
        <w:rPr>
          <w:rFonts w:ascii="Arial" w:hAnsi="Arial" w:cs="Arial" w:eastAsia="Arial" w:hint="default"/>
        </w:rPr>
        <w:t>1,605,048.27</w:t>
      </w:r>
      <w:r>
        <w:rPr>
          <w:rFonts w:ascii="Arial" w:hAnsi="Arial" w:cs="Arial" w:eastAsia="Arial" w:hint="default"/>
          <w:spacing w:val="-7"/>
        </w:rPr>
        <w:t> </w:t>
      </w:r>
      <w:r>
        <w:rPr/>
        <w:t>元。</w:t>
      </w:r>
    </w:p>
    <w:p>
      <w:pPr>
        <w:spacing w:line="240" w:lineRule="auto" w:before="1"/>
        <w:rPr>
          <w:rFonts w:ascii="宋体" w:hAnsi="宋体" w:cs="宋体" w:eastAsia="宋体" w:hint="default"/>
          <w:sz w:val="26"/>
          <w:szCs w:val="26"/>
        </w:rPr>
      </w:pPr>
    </w:p>
    <w:p>
      <w:pPr>
        <w:pStyle w:val="Heading3"/>
        <w:spacing w:line="240" w:lineRule="auto"/>
        <w:ind w:right="1121"/>
        <w:jc w:val="left"/>
        <w:rPr>
          <w:b w:val="0"/>
          <w:bCs w:val="0"/>
        </w:rPr>
      </w:pPr>
      <w:r>
        <w:rPr>
          <w:rFonts w:ascii="Arial" w:hAnsi="Arial" w:cs="Arial" w:eastAsia="Arial" w:hint="default"/>
        </w:rPr>
        <w:t>13</w:t>
      </w:r>
      <w:r>
        <w:rPr/>
        <w:t>、商誉</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收购华智测控公司股权</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195,610.67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195,610.67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195,610.67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195,610.67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bl>
    <w:p>
      <w:pPr>
        <w:pStyle w:val="BodyText"/>
        <w:spacing w:line="360" w:lineRule="auto" w:before="49"/>
        <w:ind w:left="573" w:right="2773" w:hanging="421"/>
        <w:jc w:val="left"/>
      </w:pPr>
      <w:r>
        <w:rPr/>
        <w:t>说明商誉的减值测试方法和减值准备计提方法 根据华智测控目前研发成果及未来的使用价值，收购华智测控公司股权形成的商誉不存在减值。</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3"/>
        <w:spacing w:line="240" w:lineRule="auto"/>
        <w:ind w:right="1121"/>
        <w:jc w:val="left"/>
        <w:rPr>
          <w:b w:val="0"/>
          <w:bCs w:val="0"/>
        </w:rPr>
      </w:pPr>
      <w:r>
        <w:rPr>
          <w:rFonts w:ascii="Arial" w:hAnsi="Arial" w:cs="Arial" w:eastAsia="Arial" w:hint="default"/>
        </w:rPr>
        <w:t>14</w:t>
      </w:r>
      <w:r>
        <w:rPr/>
        <w:t>、长期待摊费用</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4,626,241.21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1,018,834.00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154,876.00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5,490,199.21</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减：转一年内到 期的非流动资产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1,083,282.34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980,120.00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2,763,489.59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1,125,733.75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154,876.00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3,734,347.34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779,469.28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w w:val="99"/>
                <w:sz w:val="18"/>
              </w:rPr>
              <w:t>-</w:t>
            </w:r>
            <w:r>
              <w:rPr>
                <w:rFonts w:ascii="Arial"/>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w w:val="99"/>
                <w:sz w:val="18"/>
              </w:rPr>
              <w:t>-</w:t>
            </w:r>
            <w:r>
              <w:rPr>
                <w:rFonts w:ascii="Arial"/>
                <w:sz w:val="18"/>
              </w:rPr>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Arial" w:hAnsi="Arial" w:cs="Arial" w:eastAsia="Arial" w:hint="default"/>
                <w:sz w:val="18"/>
                <w:szCs w:val="18"/>
              </w:rPr>
            </w:pPr>
            <w:r>
              <w:rPr>
                <w:rFonts w:ascii="Arial"/>
                <w:spacing w:val="-1"/>
                <w:sz w:val="18"/>
              </w:rPr>
              <w:t>775,731.87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r>
    </w:tbl>
    <w:p>
      <w:pPr>
        <w:pStyle w:val="BodyText"/>
        <w:spacing w:line="360" w:lineRule="auto" w:before="49"/>
        <w:ind w:left="578" w:right="1121" w:hanging="426"/>
        <w:jc w:val="left"/>
      </w:pPr>
      <w:r>
        <w:rPr/>
        <w:t>长期待摊费用的说明 </w:t>
      </w:r>
      <w:r>
        <w:rPr>
          <w:spacing w:val="-2"/>
        </w:rPr>
        <w:t>长期待摊费用主要为租赁厂房装修费用，</w:t>
      </w:r>
      <w:r>
        <w:rPr>
          <w:rFonts w:ascii="Arial" w:hAnsi="Arial" w:cs="Arial" w:eastAsia="Arial" w:hint="default"/>
          <w:spacing w:val="-2"/>
        </w:rPr>
        <w:t>2012</w:t>
      </w:r>
      <w:r>
        <w:rPr>
          <w:spacing w:val="-2"/>
        </w:rPr>
        <w:t>年度新增的装修费用共</w:t>
      </w:r>
      <w:r>
        <w:rPr>
          <w:rFonts w:ascii="Arial" w:hAnsi="Arial" w:cs="Arial" w:eastAsia="Arial" w:hint="default"/>
          <w:spacing w:val="-2"/>
        </w:rPr>
        <w:t>1,018,834.00</w:t>
      </w:r>
      <w:r>
        <w:rPr>
          <w:spacing w:val="-2"/>
        </w:rPr>
        <w:t>元；对于在未来</w:t>
      </w:r>
      <w:r>
        <w:rPr>
          <w:rFonts w:ascii="Arial" w:hAnsi="Arial" w:cs="Arial" w:eastAsia="Arial" w:hint="default"/>
          <w:spacing w:val="-2"/>
        </w:rPr>
        <w:t>1</w:t>
      </w:r>
      <w:r>
        <w:rPr>
          <w:spacing w:val="-2"/>
        </w:rPr>
        <w:t>年内应摊销的金额</w:t>
      </w:r>
    </w:p>
    <w:p>
      <w:pPr>
        <w:pStyle w:val="BodyText"/>
        <w:spacing w:line="211" w:lineRule="exact"/>
        <w:ind w:right="1121"/>
        <w:jc w:val="left"/>
      </w:pPr>
      <w:r>
        <w:rPr/>
        <w:t>转入</w:t>
      </w:r>
      <w:r>
        <w:rPr>
          <w:rFonts w:ascii="Arial" w:hAnsi="Arial" w:cs="Arial" w:eastAsia="Arial" w:hint="default"/>
        </w:rPr>
        <w:t>“</w:t>
      </w:r>
      <w:r>
        <w:rPr/>
        <w:t>一年内到期的非流动资产</w:t>
      </w:r>
      <w:r>
        <w:rPr>
          <w:rFonts w:ascii="Arial" w:hAnsi="Arial" w:cs="Arial" w:eastAsia="Arial" w:hint="default"/>
        </w:rPr>
        <w:t>”</w:t>
      </w:r>
      <w:r>
        <w:rPr/>
        <w:t>科目。</w:t>
      </w:r>
    </w:p>
    <w:p>
      <w:pPr>
        <w:spacing w:after="0" w:line="211" w:lineRule="exact"/>
        <w:jc w:val="left"/>
        <w:sectPr>
          <w:pgSz w:w="11910" w:h="16840"/>
          <w:pgMar w:header="877" w:footer="133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1"/>
        <w:jc w:val="left"/>
        <w:rPr>
          <w:b w:val="0"/>
          <w:bCs w:val="0"/>
        </w:rPr>
      </w:pPr>
      <w:r>
        <w:rPr>
          <w:rFonts w:ascii="Arial" w:hAnsi="Arial" w:cs="Arial" w:eastAsia="Arial" w:hint="default"/>
        </w:rPr>
        <w:t>15</w:t>
      </w:r>
      <w:r>
        <w:rPr/>
        <w:t>、递延所得税资产和递延所得税负债</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）递延所得税资产和递延所得税负债不以抵销后的净额列示</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right="1121"/>
        <w:jc w:val="left"/>
      </w:pPr>
      <w:r>
        <w:rPr/>
        <w:t>已确认的递延所得税资产和递延所得税负债</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408"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1,136,177.83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402,400.52</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1,848,638.16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1,408,301.81</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345,801.36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304,279.01</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3,330,617.35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2,114,981.34</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交易性金融工具、衍生金融工具的估值</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13,827.01</w:t>
            </w:r>
          </w:p>
        </w:tc>
      </w:tr>
      <w:tr>
        <w:trPr>
          <w:trHeight w:val="71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7"/>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 动</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tcPr>
          <w:p>
            <w:pP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13,827.01</w:t>
            </w:r>
          </w:p>
        </w:tc>
      </w:tr>
    </w:tbl>
    <w:p>
      <w:pPr>
        <w:pStyle w:val="BodyText"/>
        <w:spacing w:line="240" w:lineRule="auto" w:before="49"/>
        <w:ind w:right="1121"/>
        <w:jc w:val="left"/>
      </w:pPr>
      <w:r>
        <w:rPr/>
        <w:t>未确认递延所得税资产明细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924"/>
        <w:gridCol w:w="2921"/>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112,138.63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86,233.80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198,372.43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bl>
    <w:p>
      <w:pPr>
        <w:pStyle w:val="BodyText"/>
        <w:spacing w:line="240" w:lineRule="auto" w:before="49"/>
        <w:ind w:right="1121"/>
        <w:jc w:val="left"/>
      </w:pPr>
      <w:r>
        <w:rPr/>
        <w:t>未确认递延所得税资产的可抵扣亏损将于以下年度到期</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2259"/>
        <w:gridCol w:w="1995"/>
        <w:gridCol w:w="3320"/>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Arial" w:hAnsi="Arial" w:cs="Arial" w:eastAsia="Arial" w:hint="default"/>
                <w:sz w:val="18"/>
                <w:szCs w:val="18"/>
              </w:rPr>
            </w:pPr>
            <w:r>
              <w:rPr>
                <w:rFonts w:ascii="Arial"/>
                <w:sz w:val="18"/>
              </w:rPr>
              <w:t>2017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2"/>
                <w:sz w:val="18"/>
              </w:rPr>
              <w:t>112,138.63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5"/>
                <w:sz w:val="18"/>
              </w:rPr>
              <w:t>0.00</w:t>
            </w:r>
            <w:r>
              <w:rPr>
                <w:rFonts w:ascii="Arial"/>
                <w:sz w:val="18"/>
              </w:rPr>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112,138.63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Arial" w:hAnsi="Arial" w:cs="Arial" w:eastAsia="Arial" w:hint="default"/>
                <w:sz w:val="18"/>
                <w:szCs w:val="18"/>
              </w:rPr>
            </w:pPr>
            <w:r>
              <w:rPr>
                <w:rFonts w:ascii="Arial"/>
                <w:sz w:val="18"/>
              </w:rPr>
              <w:t>--</w:t>
            </w:r>
          </w:p>
        </w:tc>
      </w:tr>
    </w:tbl>
    <w:p>
      <w:pPr>
        <w:pStyle w:val="BodyText"/>
        <w:spacing w:line="240" w:lineRule="auto" w:before="49"/>
        <w:ind w:right="1121"/>
        <w:jc w:val="left"/>
      </w:pPr>
      <w:r>
        <w:rPr/>
        <w:t>应纳税差异和可抵扣差异项目明细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7"/>
      </w:tblGrid>
      <w:tr>
        <w:trPr>
          <w:trHeight w:val="402"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bl>
    <w:p>
      <w:pPr>
        <w:spacing w:after="0" w:line="240" w:lineRule="auto"/>
        <w:jc w:val="left"/>
        <w:rPr>
          <w:rFonts w:ascii="宋体" w:hAnsi="宋体" w:cs="宋体" w:eastAsia="宋体" w:hint="default"/>
          <w:sz w:val="18"/>
          <w:szCs w:val="18"/>
        </w:rPr>
        <w:sectPr>
          <w:pgSz w:w="11910" w:h="16840"/>
          <w:pgMar w:header="877" w:footer="133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计提坏账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7,407,069.75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2,653,843.31</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7,394,552.62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6,571,441.20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2,305,342.40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1,217,116.04</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17,106,964.77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10,442,400.55</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2</w:t>
      </w:r>
      <w:r>
        <w:rPr/>
        <w:t>）递延所得税资产和递延所得税负债以抵销后的净额列示</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right="1121"/>
        <w:jc w:val="left"/>
      </w:pPr>
      <w:r>
        <w:rPr/>
        <w:t>互抵后的递延所得税资产及负债的组成项目</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5"/>
        <w:gridCol w:w="1628"/>
        <w:gridCol w:w="1628"/>
        <w:gridCol w:w="1630"/>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3,330,617.35</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2,114,981.34</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0.00</w:t>
            </w:r>
            <w:r>
              <w:rPr>
                <w:rFonts w:ascii="Arial"/>
                <w:sz w:val="18"/>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13,827.01</w:t>
            </w:r>
          </w:p>
        </w:tc>
        <w:tc>
          <w:tcPr>
            <w:tcW w:w="16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1"/>
        <w:jc w:val="left"/>
      </w:pPr>
      <w:r>
        <w:rPr/>
        <w:t>递延所得税资产和递延所得税负债互抵明细</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pStyle w:val="BodyText"/>
        <w:spacing w:line="357" w:lineRule="auto" w:before="49"/>
        <w:ind w:left="470" w:right="1365" w:hanging="318"/>
        <w:jc w:val="left"/>
      </w:pPr>
      <w:r>
        <w:rPr/>
        <w:t>递延所得税资产和递延所得税负债的说明 递延所得税资产期末余额比期初余额增加</w:t>
      </w:r>
      <w:r>
        <w:rPr>
          <w:rFonts w:ascii="Arial" w:hAnsi="Arial" w:cs="Arial" w:eastAsia="Arial" w:hint="default"/>
        </w:rPr>
        <w:t>57.48%</w:t>
      </w:r>
      <w:r>
        <w:rPr/>
        <w:t>，主要系本公司应收账款余额增加，资产减值准备相应增加所致。</w:t>
      </w:r>
    </w:p>
    <w:p>
      <w:pPr>
        <w:spacing w:line="240" w:lineRule="auto" w:before="9"/>
        <w:rPr>
          <w:rFonts w:ascii="宋体" w:hAnsi="宋体" w:cs="宋体" w:eastAsia="宋体" w:hint="default"/>
          <w:sz w:val="18"/>
          <w:szCs w:val="18"/>
        </w:rPr>
      </w:pPr>
    </w:p>
    <w:p>
      <w:pPr>
        <w:pStyle w:val="Heading3"/>
        <w:spacing w:line="240" w:lineRule="auto"/>
        <w:ind w:right="1121"/>
        <w:jc w:val="left"/>
        <w:rPr>
          <w:b w:val="0"/>
          <w:bCs w:val="0"/>
        </w:rPr>
      </w:pPr>
      <w:r>
        <w:rPr>
          <w:rFonts w:ascii="Arial" w:hAnsi="Arial" w:cs="Arial" w:eastAsia="Arial" w:hint="default"/>
        </w:rPr>
        <w:t>16</w:t>
      </w:r>
      <w:r>
        <w:rPr/>
        <w:t>、资产减值准备明细</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2,653,843.31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4,839,460.24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7,493,303.55</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4"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w w:val="95"/>
                <w:sz w:val="18"/>
              </w:rPr>
              <w:t>0.00</w:t>
            </w:r>
            <w:r>
              <w:rPr>
                <w:rFonts w:ascii="Arial"/>
                <w:sz w:val="18"/>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2,653,843.31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4,839,460.24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7,493,303.55</w:t>
            </w:r>
          </w:p>
        </w:tc>
      </w:tr>
    </w:tbl>
    <w:p>
      <w:pPr>
        <w:pStyle w:val="BodyText"/>
        <w:spacing w:line="240" w:lineRule="auto" w:before="49"/>
        <w:ind w:right="1121"/>
        <w:jc w:val="left"/>
      </w:pPr>
      <w:r>
        <w:rPr/>
        <w:t>资产减值明细情况的说明</w:t>
      </w:r>
    </w:p>
    <w:p>
      <w:pPr>
        <w:spacing w:after="0" w:line="240" w:lineRule="auto"/>
        <w:jc w:val="left"/>
        <w:sectPr>
          <w:pgSz w:w="11910" w:h="16840"/>
          <w:pgMar w:header="877" w:footer="133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1"/>
        <w:jc w:val="left"/>
        <w:rPr>
          <w:b w:val="0"/>
          <w:bCs w:val="0"/>
        </w:rPr>
      </w:pPr>
      <w:r>
        <w:rPr>
          <w:rFonts w:ascii="Arial" w:hAnsi="Arial" w:cs="Arial" w:eastAsia="Arial" w:hint="default"/>
        </w:rPr>
        <w:t>17</w:t>
      </w:r>
      <w:r>
        <w:rPr/>
        <w:t>、短期借款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）短期借款分类</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6,405,038.12</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5,740,000.00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5,740,000.00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16,405,038.12</w:t>
            </w:r>
          </w:p>
        </w:tc>
      </w:tr>
    </w:tbl>
    <w:p>
      <w:pPr>
        <w:pStyle w:val="BodyText"/>
        <w:spacing w:line="240" w:lineRule="auto" w:before="49"/>
        <w:ind w:right="1121"/>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rFonts w:ascii="Arial" w:hAnsi="Arial" w:cs="Arial" w:eastAsia="Arial" w:hint="default"/>
        </w:rPr>
        <w:t>18</w:t>
      </w:r>
      <w:r>
        <w:rPr/>
        <w:t>、应付票据</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56,582,864.62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79,008,190.04</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56,582,864.62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79,008,190.04</w:t>
            </w:r>
          </w:p>
        </w:tc>
      </w:tr>
    </w:tbl>
    <w:p>
      <w:pPr>
        <w:pStyle w:val="BodyText"/>
        <w:spacing w:line="340" w:lineRule="auto" w:before="49"/>
        <w:ind w:right="6995"/>
        <w:jc w:val="left"/>
      </w:pPr>
      <w:r>
        <w:rPr/>
        <w:t>下一会计期间将到期的金额</w:t>
      </w:r>
      <w:r>
        <w:rPr>
          <w:spacing w:val="-47"/>
        </w:rPr>
        <w:t> </w:t>
      </w:r>
      <w:r>
        <w:rPr>
          <w:rFonts w:ascii="Arial" w:hAnsi="Arial" w:cs="Arial" w:eastAsia="Arial" w:hint="default"/>
        </w:rPr>
        <w:t>56,582,864.62</w:t>
      </w:r>
      <w:r>
        <w:rPr>
          <w:rFonts w:ascii="Arial" w:hAnsi="Arial" w:cs="Arial" w:eastAsia="Arial" w:hint="default"/>
          <w:spacing w:val="-5"/>
        </w:rPr>
        <w:t> </w:t>
      </w:r>
      <w:r>
        <w:rPr/>
        <w:t>元。 应付票据的说明</w:t>
      </w:r>
    </w:p>
    <w:p>
      <w:pPr>
        <w:pStyle w:val="BodyText"/>
        <w:spacing w:line="302" w:lineRule="auto" w:before="39"/>
        <w:ind w:right="0" w:firstLine="341"/>
        <w:jc w:val="left"/>
      </w:pPr>
      <w:r>
        <w:rPr>
          <w:spacing w:val="-4"/>
        </w:rPr>
        <w:t>（</w:t>
      </w:r>
      <w:r>
        <w:rPr>
          <w:rFonts w:ascii="Arial" w:hAnsi="Arial" w:cs="Arial" w:eastAsia="Arial" w:hint="default"/>
          <w:spacing w:val="-4"/>
        </w:rPr>
        <w:t>1</w:t>
      </w:r>
      <w:r>
        <w:rPr>
          <w:spacing w:val="-4"/>
        </w:rPr>
        <w:t>）年末应付票据中</w:t>
      </w:r>
      <w:r>
        <w:rPr>
          <w:rFonts w:ascii="Arial" w:hAnsi="Arial" w:cs="Arial" w:eastAsia="Arial" w:hint="default"/>
          <w:spacing w:val="-4"/>
        </w:rPr>
        <w:t>15,159,020.63</w:t>
      </w:r>
      <w:r>
        <w:rPr>
          <w:spacing w:val="-4"/>
        </w:rPr>
        <w:t>元由兴业银行股份有限公司深圳高新区支行承兑，根据兴银深高新区授信字（</w:t>
      </w:r>
      <w:r>
        <w:rPr>
          <w:rFonts w:ascii="Arial" w:hAnsi="Arial" w:cs="Arial" w:eastAsia="Arial" w:hint="default"/>
          <w:spacing w:val="-4"/>
        </w:rPr>
        <w:t>2012</w:t>
      </w:r>
      <w:r>
        <w:rPr>
          <w:spacing w:val="-4"/>
        </w:rPr>
        <w:t>）</w:t>
      </w:r>
      <w:r>
        <w:rPr/>
        <w:t> 第</w:t>
      </w:r>
      <w:r>
        <w:rPr>
          <w:rFonts w:ascii="Arial" w:hAnsi="Arial" w:cs="Arial" w:eastAsia="Arial" w:hint="default"/>
        </w:rPr>
        <w:t>005</w:t>
      </w:r>
      <w:r>
        <w:rPr/>
        <w:t>号合同由银行承兑汇票保证金担保；</w:t>
      </w:r>
      <w:r>
        <w:rPr>
          <w:rFonts w:ascii="Arial" w:hAnsi="Arial" w:cs="Arial" w:eastAsia="Arial" w:hint="default"/>
        </w:rPr>
        <w:t>41,423,843.99</w:t>
      </w:r>
      <w:r>
        <w:rPr/>
        <w:t>元由兴业银行股份有限公司深圳高新区支行承兑，根据兴银深高</w:t>
      </w:r>
      <w:r>
        <w:rPr>
          <w:spacing w:val="-21"/>
        </w:rPr>
        <w:t> </w:t>
      </w:r>
      <w:r>
        <w:rPr>
          <w:spacing w:val="-21"/>
        </w:rPr>
      </w:r>
      <w:r>
        <w:rPr/>
        <w:t>新区授信字（</w:t>
      </w:r>
      <w:r>
        <w:rPr>
          <w:rFonts w:ascii="Arial" w:hAnsi="Arial" w:cs="Arial" w:eastAsia="Arial" w:hint="default"/>
        </w:rPr>
        <w:t>2012</w:t>
      </w:r>
      <w:r>
        <w:rPr/>
        <w:t>）第</w:t>
      </w:r>
      <w:r>
        <w:rPr>
          <w:rFonts w:ascii="Arial" w:hAnsi="Arial" w:cs="Arial" w:eastAsia="Arial" w:hint="default"/>
        </w:rPr>
        <w:t>004</w:t>
      </w:r>
      <w:r>
        <w:rPr/>
        <w:t>号合同由银行承兑汇票保证金担保。</w:t>
      </w:r>
    </w:p>
    <w:p>
      <w:pPr>
        <w:pStyle w:val="BodyText"/>
        <w:spacing w:line="240" w:lineRule="auto" w:before="11"/>
        <w:ind w:left="470" w:right="1121"/>
        <w:jc w:val="left"/>
      </w:pPr>
      <w:r>
        <w:rPr/>
        <w:t>（</w:t>
      </w:r>
      <w:r>
        <w:rPr>
          <w:rFonts w:ascii="Arial" w:hAnsi="Arial" w:cs="Arial" w:eastAsia="Arial" w:hint="default"/>
        </w:rPr>
        <w:t>2</w:t>
      </w:r>
      <w:r>
        <w:rPr/>
        <w:t>）应付票据年末余额中无持本公司</w:t>
      </w:r>
      <w:r>
        <w:rPr>
          <w:rFonts w:ascii="Arial" w:hAnsi="Arial" w:cs="Arial" w:eastAsia="Arial" w:hint="default"/>
        </w:rPr>
        <w:t>5%</w:t>
      </w:r>
      <w:r>
        <w:rPr/>
        <w:t>（含</w:t>
      </w:r>
      <w:r>
        <w:rPr>
          <w:rFonts w:ascii="Arial" w:hAnsi="Arial" w:cs="Arial" w:eastAsia="Arial" w:hint="default"/>
        </w:rPr>
        <w:t>5%</w:t>
      </w:r>
      <w:r>
        <w:rPr/>
        <w:t>）以上股份的股东单位的款项及其他关联单位款项。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3"/>
        <w:spacing w:line="240" w:lineRule="auto"/>
        <w:ind w:right="1121"/>
        <w:jc w:val="left"/>
        <w:rPr>
          <w:b w:val="0"/>
          <w:bCs w:val="0"/>
        </w:rPr>
      </w:pPr>
      <w:r>
        <w:rPr>
          <w:rFonts w:ascii="Arial" w:hAnsi="Arial" w:cs="Arial" w:eastAsia="Arial" w:hint="default"/>
        </w:rPr>
        <w:t>19</w:t>
      </w:r>
      <w:r>
        <w:rPr/>
        <w:t>、应付账款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）应付账款情况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133,286,352.83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69,542,937.77</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124,932.19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433,293.84</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253,436.33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274,524.61</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133,664,721.35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70,250,756.22</w:t>
            </w:r>
          </w:p>
        </w:tc>
      </w:tr>
    </w:tbl>
    <w:p>
      <w:pPr>
        <w:spacing w:after="0" w:line="240" w:lineRule="auto"/>
        <w:jc w:val="right"/>
        <w:rPr>
          <w:rFonts w:ascii="Arial" w:hAnsi="Arial" w:cs="Arial" w:eastAsia="Arial" w:hint="default"/>
          <w:sz w:val="18"/>
          <w:szCs w:val="18"/>
        </w:rPr>
        <w:sectPr>
          <w:pgSz w:w="11910" w:h="16840"/>
          <w:pgMar w:header="877" w:footer="133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1"/>
        <w:jc w:val="left"/>
        <w:rPr>
          <w:b w:val="0"/>
          <w:bCs w:val="0"/>
        </w:rPr>
      </w:pPr>
      <w:r>
        <w:rPr>
          <w:rFonts w:ascii="Arial" w:hAnsi="Arial" w:cs="Arial" w:eastAsia="Arial" w:hint="default"/>
        </w:rPr>
        <w:t>20</w:t>
      </w:r>
      <w:r>
        <w:rPr/>
        <w:t>、预收账款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）预收账款情况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年以下</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6,931,993.56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5,768,275.77</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26,789.99</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131,768.52</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6,931,993.56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5,926,834.28</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rFonts w:ascii="Arial" w:hAnsi="Arial" w:cs="Arial" w:eastAsia="Arial" w:hint="default"/>
        </w:rPr>
        <w:t>21</w:t>
      </w:r>
      <w:r>
        <w:rPr/>
        <w:t>、应付职工薪酬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7,130,477.34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87,785,818.85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85,269,925.03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9,646,371.16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2,971,298.47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2,971,298.47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6,640,278.76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6,640,278.76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医疗保险费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267,671.29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267,671.29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养老保险费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5,901,266.20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5,901,266.20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257,466.19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257,466.19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196,366.62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196,366.62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17,508.46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17,508.46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2,382,804.66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2,382,804.66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164,916.00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164,916.00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7,130,477.34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99,945,116.74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97,429,222.92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9,646,371.16</w:t>
            </w:r>
          </w:p>
        </w:tc>
      </w:tr>
    </w:tbl>
    <w:p>
      <w:pPr>
        <w:pStyle w:val="BodyText"/>
        <w:spacing w:line="240" w:lineRule="auto" w:before="49"/>
        <w:ind w:right="1121"/>
        <w:jc w:val="left"/>
      </w:pPr>
      <w:r>
        <w:rPr/>
        <w:t>应付职工薪酬中属于拖欠性质的金额</w:t>
      </w:r>
      <w:r>
        <w:rPr>
          <w:spacing w:val="-44"/>
        </w:rPr>
        <w:t> </w:t>
      </w:r>
      <w:r>
        <w:rPr>
          <w:rFonts w:ascii="Arial" w:hAnsi="Arial" w:cs="Arial" w:eastAsia="Arial" w:hint="default"/>
        </w:rPr>
        <w:t>0.00</w:t>
      </w:r>
      <w:r>
        <w:rPr>
          <w:rFonts w:ascii="Arial" w:hAnsi="Arial" w:cs="Arial" w:eastAsia="Arial" w:hint="default"/>
          <w:spacing w:val="-4"/>
        </w:rPr>
        <w:t> </w:t>
      </w:r>
      <w:r>
        <w:rPr/>
        <w:t>元。</w:t>
      </w:r>
    </w:p>
    <w:p>
      <w:pPr>
        <w:pStyle w:val="BodyText"/>
        <w:spacing w:line="340" w:lineRule="auto" w:before="102"/>
        <w:ind w:right="2601"/>
        <w:jc w:val="left"/>
      </w:pPr>
      <w:r>
        <w:rPr/>
        <w:t>工会经费和职工教育经费金额</w:t>
      </w:r>
      <w:r>
        <w:rPr>
          <w:spacing w:val="-46"/>
        </w:rPr>
        <w:t> </w:t>
      </w:r>
      <w:r>
        <w:rPr>
          <w:rFonts w:ascii="Arial" w:hAnsi="Arial" w:cs="Arial" w:eastAsia="Arial" w:hint="default"/>
        </w:rPr>
        <w:t>0.00</w:t>
      </w:r>
      <w:r>
        <w:rPr>
          <w:rFonts w:ascii="Arial" w:hAnsi="Arial" w:cs="Arial" w:eastAsia="Arial" w:hint="default"/>
          <w:spacing w:val="-5"/>
        </w:rPr>
        <w:t> </w:t>
      </w:r>
      <w:r>
        <w:rPr/>
        <w:t>元，非货币性福利金额</w:t>
      </w:r>
      <w:r>
        <w:rPr>
          <w:spacing w:val="-49"/>
        </w:rPr>
        <w:t> </w:t>
      </w:r>
      <w:r>
        <w:rPr>
          <w:rFonts w:ascii="Arial" w:hAnsi="Arial" w:cs="Arial" w:eastAsia="Arial" w:hint="default"/>
        </w:rPr>
        <w:t>0.00</w:t>
      </w:r>
      <w:r>
        <w:rPr>
          <w:rFonts w:ascii="Arial" w:hAnsi="Arial" w:cs="Arial" w:eastAsia="Arial" w:hint="default"/>
          <w:spacing w:val="-6"/>
        </w:rPr>
        <w:t> </w:t>
      </w:r>
      <w:r>
        <w:rPr/>
        <w:t>元，因解除劳动关系给予补偿</w:t>
      </w:r>
      <w:r>
        <w:rPr>
          <w:spacing w:val="-47"/>
        </w:rPr>
        <w:t> </w:t>
      </w:r>
      <w:r>
        <w:rPr>
          <w:rFonts w:ascii="Arial" w:hAnsi="Arial" w:cs="Arial" w:eastAsia="Arial" w:hint="default"/>
        </w:rPr>
        <w:t>0.00</w:t>
      </w:r>
      <w:r>
        <w:rPr>
          <w:rFonts w:ascii="Arial" w:hAnsi="Arial" w:cs="Arial" w:eastAsia="Arial" w:hint="default"/>
          <w:spacing w:val="-5"/>
        </w:rPr>
        <w:t> </w:t>
      </w:r>
      <w:r>
        <w:rPr/>
        <w:t>元。 应付职工薪酬预计发放时间、金额等安排</w:t>
      </w:r>
    </w:p>
    <w:p>
      <w:pPr>
        <w:pStyle w:val="BodyText"/>
        <w:spacing w:line="240" w:lineRule="auto" w:before="40"/>
        <w:ind w:left="494" w:right="1121"/>
        <w:jc w:val="left"/>
      </w:pPr>
      <w:r>
        <w:rPr/>
        <w:t>应付职工薪酬的核算为当月计提并在下月发放。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1121"/>
        <w:jc w:val="left"/>
        <w:rPr>
          <w:b w:val="0"/>
          <w:bCs w:val="0"/>
        </w:rPr>
      </w:pPr>
      <w:r>
        <w:rPr>
          <w:rFonts w:ascii="Arial" w:hAnsi="Arial" w:cs="Arial" w:eastAsia="Arial" w:hint="default"/>
        </w:rPr>
        <w:t>22</w:t>
      </w:r>
      <w:r>
        <w:rPr/>
        <w:t>、应交税费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left="1605" w:right="0"/>
              <w:jc w:val="left"/>
              <w:rPr>
                <w:rFonts w:ascii="Arial" w:hAnsi="Arial" w:cs="Arial" w:eastAsia="Arial" w:hint="default"/>
                <w:sz w:val="18"/>
                <w:szCs w:val="18"/>
              </w:rPr>
            </w:pPr>
            <w:r>
              <w:rPr>
                <w:rFonts w:ascii="Arial"/>
                <w:sz w:val="18"/>
              </w:rPr>
              <w:t>10,026,799.49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15" w:right="0"/>
              <w:jc w:val="left"/>
              <w:rPr>
                <w:rFonts w:ascii="Arial" w:hAnsi="Arial" w:cs="Arial" w:eastAsia="Arial" w:hint="default"/>
                <w:sz w:val="18"/>
                <w:szCs w:val="18"/>
              </w:rPr>
            </w:pPr>
            <w:r>
              <w:rPr>
                <w:rFonts w:ascii="Arial"/>
                <w:sz w:val="18"/>
              </w:rPr>
              <w:t>-7,539,739.85</w:t>
            </w:r>
          </w:p>
        </w:tc>
      </w:tr>
    </w:tbl>
    <w:p>
      <w:pPr>
        <w:spacing w:after="0" w:line="240" w:lineRule="auto"/>
        <w:jc w:val="left"/>
        <w:rPr>
          <w:rFonts w:ascii="Arial" w:hAnsi="Arial" w:cs="Arial" w:eastAsia="Arial" w:hint="default"/>
          <w:sz w:val="18"/>
          <w:szCs w:val="18"/>
        </w:rPr>
        <w:sectPr>
          <w:pgSz w:w="11910" w:h="16840"/>
          <w:pgMar w:header="877" w:footer="133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1,151,467.37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3,249,322.88</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152,805.73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74,851.88</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171,355.55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235,235.41</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54,251.40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73,438.08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100,616.31</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48,958.72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62,753.55</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51,426.99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14,835.51</w:t>
            </w:r>
          </w:p>
        </w:tc>
      </w:tr>
      <w:tr>
        <w:trPr>
          <w:trHeight w:val="40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12,800.06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7,869.53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11,689,051.99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-3,740,003.38</w:t>
            </w:r>
          </w:p>
        </w:tc>
      </w:tr>
    </w:tbl>
    <w:p>
      <w:pPr>
        <w:pStyle w:val="BodyText"/>
        <w:spacing w:line="240" w:lineRule="auto" w:before="49"/>
        <w:ind w:right="1121"/>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rFonts w:ascii="Arial" w:hAnsi="Arial" w:cs="Arial" w:eastAsia="Arial" w:hint="default"/>
        </w:rPr>
        <w:t>23</w:t>
      </w:r>
      <w:r>
        <w:rPr/>
        <w:t>、其他应付款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）其他应付款情况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3,097,959.99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416,503.18</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141,940.98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272,754.04</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226,732.96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186,586.24</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168,463.52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43,125.00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38,125.00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3,673,222.45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918,968.46</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2</w:t>
      </w:r>
      <w:r>
        <w:rPr/>
        <w:t>）账龄超过一年的大额其他应付款情况的说明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451" w:right="6374"/>
        <w:jc w:val="center"/>
      </w:pPr>
      <w:r>
        <w:rPr/>
        <w:t>账龄超过</w:t>
      </w:r>
      <w:r>
        <w:rPr>
          <w:rFonts w:ascii="Arial" w:hAnsi="Arial" w:cs="Arial" w:eastAsia="Arial" w:hint="default"/>
        </w:rPr>
        <w:t>1</w:t>
      </w:r>
      <w:r>
        <w:rPr/>
        <w:t>年的其他应付款主要为模具款及保证金。</w:t>
      </w:r>
    </w:p>
    <w:p>
      <w:pPr>
        <w:spacing w:line="240" w:lineRule="auto" w:before="3"/>
        <w:rPr>
          <w:rFonts w:ascii="宋体" w:hAnsi="宋体" w:cs="宋体" w:eastAsia="宋体" w:hint="default"/>
          <w:sz w:val="26"/>
          <w:szCs w:val="26"/>
        </w:rPr>
      </w:pPr>
    </w:p>
    <w:p>
      <w:pPr>
        <w:pStyle w:val="Heading3"/>
        <w:spacing w:line="240" w:lineRule="auto"/>
        <w:ind w:right="1121"/>
        <w:jc w:val="left"/>
        <w:rPr>
          <w:b w:val="0"/>
          <w:bCs w:val="0"/>
        </w:rPr>
      </w:pPr>
      <w:r>
        <w:rPr>
          <w:rFonts w:ascii="Arial" w:hAnsi="Arial" w:cs="Arial" w:eastAsia="Arial" w:hint="default"/>
        </w:rPr>
        <w:t>24</w:t>
      </w:r>
      <w:r>
        <w:rPr/>
        <w:t>、长期借款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）长期借款分类</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133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30,000,000.00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30,000,000.00</w:t>
            </w:r>
          </w:p>
        </w:tc>
      </w:tr>
    </w:tbl>
    <w:p>
      <w:pPr>
        <w:pStyle w:val="BodyText"/>
        <w:spacing w:line="240" w:lineRule="auto" w:before="49"/>
        <w:ind w:right="1121"/>
        <w:jc w:val="left"/>
      </w:pPr>
      <w:r>
        <w:rPr/>
        <w:t>长期借款分类的说明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t>（</w:t>
      </w:r>
      <w:r>
        <w:rPr>
          <w:rFonts w:ascii="Arial" w:hAnsi="Arial" w:cs="Arial" w:eastAsia="Arial" w:hint="default"/>
        </w:rPr>
        <w:t>2</w:t>
      </w:r>
      <w:r>
        <w:rPr/>
        <w:t>）金额前五名的长期借款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6"/>
        <w:gridCol w:w="1063"/>
        <w:gridCol w:w="1063"/>
        <w:gridCol w:w="1066"/>
        <w:gridCol w:w="1056"/>
      </w:tblGrid>
      <w:tr>
        <w:trPr>
          <w:trHeight w:val="401"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Arial" w:hAnsi="Arial" w:cs="Arial" w:eastAsia="Arial"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357" w:lineRule="auto" w:before="49"/>
        <w:ind w:right="2114"/>
        <w:jc w:val="left"/>
      </w:pPr>
      <w:r>
        <w:rPr/>
        <w:t>长期借款说明，因逾期借款获得展期形成的长期借款，应说明获得展期的条件、本金、利息、预计还款安排等 不适用</w:t>
      </w:r>
    </w:p>
    <w:p>
      <w:pPr>
        <w:spacing w:line="240" w:lineRule="auto" w:before="6"/>
        <w:rPr>
          <w:rFonts w:ascii="宋体" w:hAnsi="宋体" w:cs="宋体" w:eastAsia="宋体" w:hint="default"/>
          <w:sz w:val="20"/>
          <w:szCs w:val="20"/>
        </w:rPr>
      </w:pPr>
    </w:p>
    <w:p>
      <w:pPr>
        <w:pStyle w:val="Heading3"/>
        <w:spacing w:line="240" w:lineRule="auto"/>
        <w:ind w:right="1121"/>
        <w:jc w:val="left"/>
        <w:rPr>
          <w:b w:val="0"/>
          <w:bCs w:val="0"/>
        </w:rPr>
      </w:pPr>
      <w:r>
        <w:rPr>
          <w:rFonts w:ascii="Arial" w:hAnsi="Arial" w:cs="Arial" w:eastAsia="Arial" w:hint="default"/>
        </w:rPr>
        <w:t>25</w:t>
      </w:r>
      <w:r>
        <w:rPr/>
        <w:t>、其他非流动负债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LED</w:t>
            </w:r>
            <w:r>
              <w:rPr>
                <w:rFonts w:ascii="Arial" w:hAnsi="Arial" w:cs="Arial" w:eastAsia="Arial" w:hint="default"/>
                <w:spacing w:val="-6"/>
                <w:sz w:val="18"/>
                <w:szCs w:val="18"/>
              </w:rPr>
              <w:t> </w:t>
            </w:r>
            <w:r>
              <w:rPr>
                <w:rFonts w:ascii="宋体" w:hAnsi="宋体" w:cs="宋体" w:eastAsia="宋体" w:hint="default"/>
                <w:sz w:val="18"/>
                <w:szCs w:val="18"/>
              </w:rPr>
              <w:t>产业发展专项资金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1,666,666.59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4,333,333.31</w:t>
            </w:r>
          </w:p>
        </w:tc>
      </w:tr>
      <w:tr>
        <w:trPr>
          <w:trHeight w:val="7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4" w:right="58"/>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高可靠</w:t>
            </w:r>
            <w:r>
              <w:rPr>
                <w:rFonts w:ascii="宋体" w:hAnsi="宋体" w:cs="宋体" w:eastAsia="宋体" w:hint="default"/>
                <w:spacing w:val="-46"/>
                <w:sz w:val="18"/>
                <w:szCs w:val="18"/>
              </w:rPr>
              <w:t> </w:t>
            </w:r>
            <w:r>
              <w:rPr>
                <w:rFonts w:ascii="Arial" w:hAnsi="Arial" w:cs="Arial" w:eastAsia="Arial" w:hint="default"/>
                <w:sz w:val="18"/>
                <w:szCs w:val="18"/>
              </w:rPr>
              <w:t>LED</w:t>
            </w:r>
            <w:r>
              <w:rPr>
                <w:rFonts w:ascii="Arial" w:hAnsi="Arial" w:cs="Arial" w:eastAsia="Arial" w:hint="default"/>
                <w:spacing w:val="-7"/>
                <w:sz w:val="18"/>
                <w:szCs w:val="18"/>
              </w:rPr>
              <w:t> </w:t>
            </w:r>
            <w:r>
              <w:rPr>
                <w:rFonts w:ascii="宋体" w:hAnsi="宋体" w:cs="宋体" w:eastAsia="宋体" w:hint="default"/>
                <w:sz w:val="18"/>
                <w:szCs w:val="18"/>
              </w:rPr>
              <w:t>驱动电源技术开发及可靠性研究</w:t>
            </w:r>
            <w:r>
              <w:rPr>
                <w:rFonts w:ascii="Arial" w:hAnsi="Arial" w:cs="Arial" w:eastAsia="Arial" w:hint="default"/>
                <w:sz w:val="18"/>
                <w:szCs w:val="18"/>
              </w:rPr>
              <w:t>" </w:t>
            </w:r>
            <w:r>
              <w:rPr>
                <w:rFonts w:ascii="宋体" w:hAnsi="宋体" w:cs="宋体" w:eastAsia="宋体" w:hint="default"/>
                <w:sz w:val="18"/>
                <w:szCs w:val="18"/>
              </w:rPr>
              <w:t>专项资金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313,600.00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367,200.00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茂硕技术中心</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3,000,000.00</w:t>
            </w:r>
          </w:p>
        </w:tc>
      </w:tr>
      <w:tr>
        <w:trPr>
          <w:trHeight w:val="7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4" w:right="122"/>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高导热高绝缘纳米涂层技术在</w:t>
            </w:r>
            <w:r>
              <w:rPr>
                <w:rFonts w:ascii="宋体" w:hAnsi="宋体" w:cs="宋体" w:eastAsia="宋体" w:hint="default"/>
                <w:spacing w:val="-47"/>
                <w:sz w:val="18"/>
                <w:szCs w:val="18"/>
              </w:rPr>
              <w:t> </w:t>
            </w:r>
            <w:r>
              <w:rPr>
                <w:rFonts w:ascii="Arial" w:hAnsi="Arial" w:cs="Arial" w:eastAsia="Arial" w:hint="default"/>
                <w:sz w:val="18"/>
                <w:szCs w:val="18"/>
              </w:rPr>
              <w:t>LED</w:t>
            </w:r>
            <w:r>
              <w:rPr>
                <w:rFonts w:ascii="Arial" w:hAnsi="Arial" w:cs="Arial" w:eastAsia="Arial" w:hint="default"/>
                <w:spacing w:val="-5"/>
                <w:sz w:val="18"/>
                <w:szCs w:val="18"/>
              </w:rPr>
              <w:t> </w:t>
            </w:r>
            <w:r>
              <w:rPr>
                <w:rFonts w:ascii="宋体" w:hAnsi="宋体" w:cs="宋体" w:eastAsia="宋体" w:hint="default"/>
                <w:sz w:val="18"/>
                <w:szCs w:val="18"/>
              </w:rPr>
              <w:t>系统集成 模组产品上的应用及产业化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750,000.00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5,730,266.59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7,700,533.31</w:t>
            </w:r>
          </w:p>
        </w:tc>
      </w:tr>
    </w:tbl>
    <w:p>
      <w:pPr>
        <w:pStyle w:val="BodyText"/>
        <w:spacing w:line="360" w:lineRule="auto" w:before="49"/>
        <w:ind w:left="578" w:right="1121" w:hanging="426"/>
        <w:jc w:val="left"/>
      </w:pPr>
      <w:r>
        <w:rPr/>
        <w:t>其他非流动负债说明，包括本报告期取得的各类与资产相关、与收益相关的政府补助及其期末金额 </w:t>
      </w:r>
      <w:r>
        <w:rPr>
          <w:spacing w:val="-2"/>
        </w:rPr>
        <w:t>子公司惠州茂硕牵头与本公司、东莞勤上光电股份有限公司三方联合申报广东省科技计划项目</w:t>
      </w:r>
      <w:r>
        <w:rPr>
          <w:rFonts w:ascii="Arial" w:hAnsi="Arial" w:cs="Arial" w:eastAsia="Arial" w:hint="default"/>
          <w:spacing w:val="-2"/>
        </w:rPr>
        <w:t>“2011</w:t>
      </w:r>
      <w:r>
        <w:rPr>
          <w:spacing w:val="-2"/>
        </w:rPr>
        <w:t>年广东省战略性新</w:t>
      </w:r>
    </w:p>
    <w:p>
      <w:pPr>
        <w:pStyle w:val="BodyText"/>
        <w:spacing w:line="211" w:lineRule="exact"/>
        <w:ind w:right="0"/>
        <w:jc w:val="both"/>
      </w:pPr>
      <w:r>
        <w:rPr/>
        <w:t>兴产业专项资金</w:t>
      </w:r>
      <w:r>
        <w:rPr>
          <w:rFonts w:ascii="Arial" w:hAnsi="Arial" w:cs="Arial" w:eastAsia="Arial" w:hint="default"/>
        </w:rPr>
        <w:t>LED</w:t>
      </w:r>
      <w:r>
        <w:rPr/>
        <w:t>产业项目</w:t>
      </w:r>
      <w:r>
        <w:rPr>
          <w:rFonts w:ascii="Arial" w:hAnsi="Arial" w:cs="Arial" w:eastAsia="Arial" w:hint="default"/>
        </w:rPr>
        <w:t>”</w:t>
      </w:r>
      <w:r>
        <w:rPr/>
        <w:t>。根据广东省科学技术厅、广东东省财政厅联合下发的粤科规划字（</w:t>
      </w:r>
      <w:r>
        <w:rPr>
          <w:rFonts w:ascii="Arial" w:hAnsi="Arial" w:cs="Arial" w:eastAsia="Arial" w:hint="default"/>
        </w:rPr>
        <w:t>2010</w:t>
      </w:r>
      <w:r>
        <w:rPr/>
        <w:t>）</w:t>
      </w:r>
      <w:r>
        <w:rPr>
          <w:rFonts w:ascii="Arial" w:hAnsi="Arial" w:cs="Arial" w:eastAsia="Arial" w:hint="default"/>
        </w:rPr>
        <w:t>205</w:t>
      </w:r>
      <w:r>
        <w:rPr/>
        <w:t>号文件《关</w:t>
      </w:r>
    </w:p>
    <w:p>
      <w:pPr>
        <w:pStyle w:val="BodyText"/>
        <w:spacing w:line="302" w:lineRule="auto" w:before="63"/>
        <w:ind w:right="1127"/>
        <w:jc w:val="both"/>
      </w:pPr>
      <w:r>
        <w:rPr>
          <w:spacing w:val="-1"/>
        </w:rPr>
        <w:t>于下达广东省战略性新兴产业发展专项资金（</w:t>
      </w:r>
      <w:r>
        <w:rPr>
          <w:rFonts w:ascii="Arial" w:hAnsi="Arial" w:cs="Arial" w:eastAsia="Arial" w:hint="default"/>
          <w:spacing w:val="-1"/>
        </w:rPr>
        <w:t>LED</w:t>
      </w:r>
      <w:r>
        <w:rPr>
          <w:spacing w:val="-1"/>
        </w:rPr>
        <w:t>产业）推进类计划项目的通知》及广东省财政厅粤财工（</w:t>
      </w:r>
      <w:r>
        <w:rPr>
          <w:rFonts w:ascii="Arial" w:hAnsi="Arial" w:cs="Arial" w:eastAsia="Arial" w:hint="default"/>
          <w:spacing w:val="-1"/>
        </w:rPr>
        <w:t>2010</w:t>
      </w:r>
      <w:r>
        <w:rPr>
          <w:spacing w:val="-1"/>
        </w:rPr>
        <w:t>）</w:t>
      </w:r>
      <w:r>
        <w:rPr>
          <w:rFonts w:ascii="Arial" w:hAnsi="Arial" w:cs="Arial" w:eastAsia="Arial" w:hint="default"/>
          <w:spacing w:val="-1"/>
        </w:rPr>
        <w:t>642</w:t>
      </w:r>
      <w:r>
        <w:rPr>
          <w:spacing w:val="-1"/>
        </w:rPr>
        <w:t>号文</w:t>
      </w:r>
      <w:r>
        <w:rPr/>
        <w:t> </w:t>
      </w:r>
      <w:r>
        <w:rPr>
          <w:spacing w:val="-2"/>
        </w:rPr>
        <w:t>件《关于下达广东省战略性新兴产业发展专项资金（</w:t>
      </w:r>
      <w:r>
        <w:rPr>
          <w:rFonts w:ascii="Arial" w:hAnsi="Arial" w:cs="Arial" w:eastAsia="Arial" w:hint="default"/>
          <w:spacing w:val="-2"/>
        </w:rPr>
        <w:t>LED</w:t>
      </w:r>
      <w:r>
        <w:rPr>
          <w:spacing w:val="-2"/>
        </w:rPr>
        <w:t>产业）推进类项目资金的通知》，该项目共获得惠州市科学技术局</w:t>
      </w:r>
      <w:r>
        <w:rPr>
          <w:spacing w:val="-56"/>
        </w:rPr>
        <w:t> </w:t>
      </w:r>
      <w:r>
        <w:rPr>
          <w:spacing w:val="-56"/>
        </w:rPr>
      </w:r>
      <w:r>
        <w:rPr/>
        <w:t>的资金</w:t>
      </w:r>
      <w:r>
        <w:rPr>
          <w:rFonts w:ascii="Arial" w:hAnsi="Arial" w:cs="Arial" w:eastAsia="Arial" w:hint="default"/>
        </w:rPr>
        <w:t>1000</w:t>
      </w:r>
      <w:r>
        <w:rPr/>
        <w:t>万元，按照协议约定，本公司享受</w:t>
      </w:r>
      <w:r>
        <w:rPr>
          <w:rFonts w:ascii="Arial" w:hAnsi="Arial" w:cs="Arial" w:eastAsia="Arial" w:hint="default"/>
        </w:rPr>
        <w:t>200</w:t>
      </w:r>
      <w:r>
        <w:rPr/>
        <w:t>万的经费、惠州茂硕享受</w:t>
      </w:r>
      <w:r>
        <w:rPr>
          <w:rFonts w:ascii="Arial" w:hAnsi="Arial" w:cs="Arial" w:eastAsia="Arial" w:hint="default"/>
        </w:rPr>
        <w:t>300</w:t>
      </w:r>
      <w:r>
        <w:rPr/>
        <w:t>万的经费。该项目期间为</w:t>
      </w:r>
      <w:r>
        <w:rPr>
          <w:rFonts w:ascii="Arial" w:hAnsi="Arial" w:cs="Arial" w:eastAsia="Arial" w:hint="default"/>
        </w:rPr>
        <w:t>2011</w:t>
      </w:r>
      <w:r>
        <w:rPr/>
        <w:t>年</w:t>
      </w:r>
      <w:r>
        <w:rPr>
          <w:rFonts w:ascii="Arial" w:hAnsi="Arial" w:cs="Arial" w:eastAsia="Arial" w:hint="default"/>
        </w:rPr>
        <w:t>1</w:t>
      </w:r>
      <w:r>
        <w:rPr/>
        <w:t>月至</w:t>
      </w:r>
      <w:r>
        <w:rPr>
          <w:rFonts w:ascii="Arial" w:hAnsi="Arial" w:cs="Arial" w:eastAsia="Arial" w:hint="default"/>
        </w:rPr>
        <w:t>2013</w:t>
      </w:r>
      <w:r>
        <w:rPr>
          <w:rFonts w:ascii="Arial" w:hAnsi="Arial" w:cs="Arial" w:eastAsia="Arial" w:hint="default"/>
          <w:w w:val="99"/>
        </w:rPr>
        <w:t> </w:t>
      </w:r>
      <w:r>
        <w:rPr/>
        <w:t>年</w:t>
      </w:r>
      <w:r>
        <w:rPr>
          <w:rFonts w:ascii="Arial" w:hAnsi="Arial" w:cs="Arial" w:eastAsia="Arial" w:hint="default"/>
        </w:rPr>
        <w:t>12</w:t>
      </w:r>
      <w:r>
        <w:rPr/>
        <w:t>月，按照项目时间进度本公司</w:t>
      </w:r>
      <w:r>
        <w:rPr>
          <w:rFonts w:ascii="Arial" w:hAnsi="Arial" w:cs="Arial" w:eastAsia="Arial" w:hint="default"/>
        </w:rPr>
        <w:t>2012</w:t>
      </w:r>
      <w:r>
        <w:rPr/>
        <w:t>年度计入补贴收入计</w:t>
      </w:r>
      <w:r>
        <w:rPr>
          <w:rFonts w:ascii="Arial" w:hAnsi="Arial" w:cs="Arial" w:eastAsia="Arial" w:hint="default"/>
        </w:rPr>
        <w:t>2,666,666.72</w:t>
      </w:r>
      <w:r>
        <w:rPr/>
        <w:t>元。</w:t>
      </w:r>
    </w:p>
    <w:p>
      <w:pPr>
        <w:pStyle w:val="BodyText"/>
        <w:spacing w:line="302" w:lineRule="auto" w:before="12"/>
        <w:ind w:right="1131" w:firstLine="425"/>
        <w:jc w:val="right"/>
        <w:rPr>
          <w:rFonts w:ascii="Arial" w:hAnsi="Arial" w:cs="Arial" w:eastAsia="Arial" w:hint="default"/>
        </w:rPr>
      </w:pPr>
      <w:r>
        <w:rPr>
          <w:w w:val="95"/>
        </w:rPr>
        <w:t>由浙江英飞特节能技术有限公司牵头，本公司及其它</w:t>
      </w:r>
      <w:r>
        <w:rPr>
          <w:rFonts w:ascii="Arial" w:hAnsi="Arial" w:cs="Arial" w:eastAsia="Arial" w:hint="default"/>
          <w:w w:val="95"/>
        </w:rPr>
        <w:t>7</w:t>
      </w:r>
      <w:r>
        <w:rPr>
          <w:w w:val="95"/>
        </w:rPr>
        <w:t>家公司联合成立了</w:t>
      </w:r>
      <w:r>
        <w:rPr>
          <w:rFonts w:ascii="Arial" w:hAnsi="Arial" w:cs="Arial" w:eastAsia="Arial" w:hint="default"/>
          <w:w w:val="95"/>
        </w:rPr>
        <w:t>“</w:t>
      </w:r>
      <w:r>
        <w:rPr>
          <w:w w:val="95"/>
        </w:rPr>
        <w:t>高可靠</w:t>
      </w:r>
      <w:r>
        <w:rPr>
          <w:rFonts w:ascii="Arial" w:hAnsi="Arial" w:cs="Arial" w:eastAsia="Arial" w:hint="default"/>
          <w:w w:val="95"/>
        </w:rPr>
        <w:t>LED</w:t>
      </w:r>
      <w:r>
        <w:rPr>
          <w:w w:val="95"/>
        </w:rPr>
        <w:t>驱动电源技术开发及可靠性研究</w:t>
      </w:r>
      <w:r>
        <w:rPr>
          <w:rFonts w:ascii="Arial" w:hAnsi="Arial" w:cs="Arial" w:eastAsia="Arial" w:hint="default"/>
          <w:w w:val="95"/>
        </w:rPr>
        <w:t>”</w:t>
      </w:r>
      <w:r>
        <w:rPr>
          <w:rFonts w:ascii="Arial" w:hAnsi="Arial" w:cs="Arial" w:eastAsia="Arial" w:hint="default"/>
          <w:spacing w:val="-26"/>
          <w:w w:val="95"/>
        </w:rPr>
        <w:t> </w:t>
      </w:r>
      <w:r>
        <w:rPr/>
        <w:t>课题工作组，获科学技术部国科发财【</w:t>
      </w:r>
      <w:r>
        <w:rPr>
          <w:rFonts w:ascii="Arial" w:hAnsi="Arial" w:cs="Arial" w:eastAsia="Arial" w:hint="default"/>
        </w:rPr>
        <w:t>2011</w:t>
      </w:r>
      <w:r>
        <w:rPr/>
        <w:t>】</w:t>
      </w:r>
      <w:r>
        <w:rPr>
          <w:rFonts w:ascii="Arial" w:hAnsi="Arial" w:cs="Arial" w:eastAsia="Arial" w:hint="default"/>
        </w:rPr>
        <w:t>105</w:t>
      </w:r>
      <w:r>
        <w:rPr/>
        <w:t>号《关于</w:t>
      </w:r>
      <w:r>
        <w:rPr>
          <w:rFonts w:ascii="Arial" w:hAnsi="Arial" w:cs="Arial" w:eastAsia="Arial" w:hint="default"/>
        </w:rPr>
        <w:t>2011</w:t>
      </w:r>
      <w:r>
        <w:rPr/>
        <w:t>年国家科技支撑计划项目课题经费预算的通知》批复。该</w:t>
      </w:r>
      <w:r>
        <w:rPr>
          <w:spacing w:val="-47"/>
        </w:rPr>
        <w:t> </w:t>
      </w:r>
      <w:r>
        <w:rPr>
          <w:spacing w:val="-47"/>
        </w:rPr>
      </w:r>
      <w:r>
        <w:rPr>
          <w:spacing w:val="-2"/>
        </w:rPr>
        <w:t>课题经费</w:t>
      </w:r>
      <w:r>
        <w:rPr>
          <w:rFonts w:ascii="Arial" w:hAnsi="Arial" w:cs="Arial" w:eastAsia="Arial" w:hint="default"/>
          <w:spacing w:val="-2"/>
        </w:rPr>
        <w:t>1120</w:t>
      </w:r>
      <w:r>
        <w:rPr>
          <w:spacing w:val="-2"/>
        </w:rPr>
        <w:t>万元，本公司于</w:t>
      </w:r>
      <w:r>
        <w:rPr>
          <w:rFonts w:ascii="Arial" w:hAnsi="Arial" w:cs="Arial" w:eastAsia="Arial" w:hint="default"/>
          <w:spacing w:val="-2"/>
        </w:rPr>
        <w:t>2011</w:t>
      </w:r>
      <w:r>
        <w:rPr>
          <w:spacing w:val="-2"/>
        </w:rPr>
        <w:t>年</w:t>
      </w:r>
      <w:r>
        <w:rPr>
          <w:rFonts w:ascii="Arial" w:hAnsi="Arial" w:cs="Arial" w:eastAsia="Arial" w:hint="default"/>
          <w:spacing w:val="-2"/>
        </w:rPr>
        <w:t>6</w:t>
      </w:r>
      <w:r>
        <w:rPr>
          <w:spacing w:val="-2"/>
        </w:rPr>
        <w:t>月</w:t>
      </w:r>
      <w:r>
        <w:rPr>
          <w:rFonts w:ascii="Arial" w:hAnsi="Arial" w:cs="Arial" w:eastAsia="Arial" w:hint="default"/>
          <w:spacing w:val="-2"/>
        </w:rPr>
        <w:t>14</w:t>
      </w:r>
      <w:r>
        <w:rPr>
          <w:spacing w:val="-2"/>
        </w:rPr>
        <w:t>日收到该国家支撑项目经费</w:t>
      </w:r>
      <w:r>
        <w:rPr>
          <w:rFonts w:ascii="Arial" w:hAnsi="Arial" w:cs="Arial" w:eastAsia="Arial" w:hint="default"/>
          <w:spacing w:val="-2"/>
        </w:rPr>
        <w:t>550,800.00</w:t>
      </w:r>
      <w:r>
        <w:rPr>
          <w:spacing w:val="-2"/>
        </w:rPr>
        <w:t>元，</w:t>
      </w:r>
      <w:r>
        <w:rPr>
          <w:rFonts w:ascii="Arial" w:hAnsi="Arial" w:cs="Arial" w:eastAsia="Arial" w:hint="default"/>
          <w:spacing w:val="-2"/>
        </w:rPr>
        <w:t>2012</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9</w:t>
      </w:r>
      <w:r>
        <w:rPr>
          <w:spacing w:val="-2"/>
        </w:rPr>
        <w:t>日收到该国家支撑项目</w:t>
      </w:r>
      <w:r>
        <w:rPr>
          <w:spacing w:val="-3"/>
        </w:rPr>
        <w:t> </w:t>
      </w:r>
      <w:r>
        <w:rPr>
          <w:spacing w:val="-1"/>
        </w:rPr>
        <w:t>经费</w:t>
      </w:r>
      <w:r>
        <w:rPr>
          <w:rFonts w:ascii="Arial" w:hAnsi="Arial" w:cs="Arial" w:eastAsia="Arial" w:hint="default"/>
          <w:spacing w:val="-1"/>
        </w:rPr>
        <w:t>390,000.00</w:t>
      </w:r>
      <w:r>
        <w:rPr>
          <w:spacing w:val="-1"/>
        </w:rPr>
        <w:t>元；该项目期间为</w:t>
      </w:r>
      <w:r>
        <w:rPr>
          <w:rFonts w:ascii="Arial" w:hAnsi="Arial" w:cs="Arial" w:eastAsia="Arial" w:hint="default"/>
          <w:spacing w:val="-1"/>
        </w:rPr>
        <w:t>2011</w:t>
      </w:r>
      <w:r>
        <w:rPr>
          <w:spacing w:val="-1"/>
        </w:rPr>
        <w:t>年</w:t>
      </w:r>
      <w:r>
        <w:rPr>
          <w:rFonts w:ascii="Arial" w:hAnsi="Arial" w:cs="Arial" w:eastAsia="Arial" w:hint="default"/>
          <w:spacing w:val="-1"/>
        </w:rPr>
        <w:t>1</w:t>
      </w:r>
      <w:r>
        <w:rPr>
          <w:spacing w:val="-1"/>
        </w:rPr>
        <w:t>月至</w:t>
      </w:r>
      <w:r>
        <w:rPr>
          <w:rFonts w:ascii="Arial" w:hAnsi="Arial" w:cs="Arial" w:eastAsia="Arial" w:hint="default"/>
          <w:spacing w:val="-1"/>
        </w:rPr>
        <w:t>2013</w:t>
      </w:r>
      <w:r>
        <w:rPr>
          <w:spacing w:val="-1"/>
        </w:rPr>
        <w:t>年</w:t>
      </w:r>
      <w:r>
        <w:rPr>
          <w:rFonts w:ascii="Arial" w:hAnsi="Arial" w:cs="Arial" w:eastAsia="Arial" w:hint="default"/>
          <w:spacing w:val="-1"/>
        </w:rPr>
        <w:t>12</w:t>
      </w:r>
      <w:r>
        <w:rPr>
          <w:spacing w:val="-1"/>
        </w:rPr>
        <w:t>月，按照项目时间进度</w:t>
      </w:r>
      <w:r>
        <w:rPr>
          <w:rFonts w:ascii="Arial" w:hAnsi="Arial" w:cs="Arial" w:eastAsia="Arial" w:hint="default"/>
          <w:spacing w:val="-1"/>
        </w:rPr>
        <w:t>2012</w:t>
      </w:r>
      <w:r>
        <w:rPr>
          <w:spacing w:val="-1"/>
        </w:rPr>
        <w:t>年度计入补贴收入计</w:t>
      </w:r>
      <w:r>
        <w:rPr>
          <w:rFonts w:ascii="Arial" w:hAnsi="Arial" w:cs="Arial" w:eastAsia="Arial" w:hint="default"/>
          <w:spacing w:val="-1"/>
        </w:rPr>
        <w:t>443,600.00</w:t>
      </w:r>
      <w:r>
        <w:rPr>
          <w:spacing w:val="-1"/>
        </w:rPr>
        <w:t>元。</w:t>
      </w:r>
      <w:r>
        <w:rPr>
          <w:spacing w:val="-3"/>
        </w:rPr>
        <w:t> 深圳市科技工贸和信息化委员会发表《</w:t>
      </w:r>
      <w:r>
        <w:rPr>
          <w:rFonts w:ascii="Arial" w:hAnsi="Arial" w:cs="Arial" w:eastAsia="Arial" w:hint="default"/>
          <w:spacing w:val="-3"/>
        </w:rPr>
        <w:t>2011</w:t>
      </w:r>
      <w:r>
        <w:rPr>
          <w:spacing w:val="-3"/>
        </w:rPr>
        <w:t>年度深圳市研究开发中心（技术中心类）建设资助资金公示》，拟安排</w:t>
      </w:r>
      <w:r>
        <w:rPr>
          <w:rFonts w:ascii="Arial" w:hAnsi="Arial" w:cs="Arial" w:eastAsia="Arial" w:hint="default"/>
          <w:spacing w:val="-3"/>
        </w:rPr>
        <w:t>300</w:t>
      </w:r>
    </w:p>
    <w:p>
      <w:pPr>
        <w:pStyle w:val="BodyText"/>
        <w:spacing w:line="302" w:lineRule="auto" w:before="11"/>
        <w:ind w:right="1129"/>
        <w:jc w:val="both"/>
      </w:pPr>
      <w:r>
        <w:rPr/>
        <w:t>万元资助茂硕电源公司技术中心，该款项用于购置</w:t>
      </w:r>
      <w:r>
        <w:rPr>
          <w:rFonts w:ascii="Arial" w:hAnsi="Arial" w:cs="Arial" w:eastAsia="Arial" w:hint="default"/>
        </w:rPr>
        <w:t>Halt</w:t>
      </w:r>
      <w:r>
        <w:rPr/>
        <w:t>试验箱、扫描电镜、热成像仪、泰克示波器等研发仪器设备。</w:t>
      </w:r>
      <w:r>
        <w:rPr>
          <w:rFonts w:ascii="Arial" w:hAnsi="Arial" w:cs="Arial" w:eastAsia="Arial" w:hint="default"/>
        </w:rPr>
        <w:t>2011</w:t>
      </w:r>
      <w:r>
        <w:rPr>
          <w:rFonts w:ascii="Arial" w:hAnsi="Arial" w:cs="Arial" w:eastAsia="Arial" w:hint="default"/>
          <w:spacing w:val="37"/>
        </w:rPr>
        <w:t> </w:t>
      </w:r>
      <w:r>
        <w:rPr>
          <w:rFonts w:ascii="Arial" w:hAnsi="Arial" w:cs="Arial" w:eastAsia="Arial" w:hint="default"/>
          <w:spacing w:val="37"/>
        </w:rPr>
      </w:r>
      <w:r>
        <w:rPr/>
        <w:t>年</w:t>
      </w:r>
      <w:r>
        <w:rPr>
          <w:rFonts w:ascii="Arial" w:hAnsi="Arial" w:cs="Arial" w:eastAsia="Arial" w:hint="default"/>
        </w:rPr>
        <w:t>12</w:t>
      </w:r>
      <w:r>
        <w:rPr/>
        <w:t>月</w:t>
      </w:r>
      <w:r>
        <w:rPr>
          <w:rFonts w:ascii="Arial" w:hAnsi="Arial" w:cs="Arial" w:eastAsia="Arial" w:hint="default"/>
        </w:rPr>
        <w:t>27</w:t>
      </w:r>
      <w:r>
        <w:rPr/>
        <w:t>日，收到该资助资金</w:t>
      </w:r>
      <w:r>
        <w:rPr>
          <w:rFonts w:ascii="Arial" w:hAnsi="Arial" w:cs="Arial" w:eastAsia="Arial" w:hint="default"/>
        </w:rPr>
        <w:t>300</w:t>
      </w:r>
      <w:r>
        <w:rPr/>
        <w:t>万元。</w:t>
      </w:r>
    </w:p>
    <w:p>
      <w:pPr>
        <w:pStyle w:val="BodyText"/>
        <w:spacing w:line="302" w:lineRule="auto" w:before="11"/>
        <w:ind w:right="1128" w:firstLine="425"/>
        <w:jc w:val="right"/>
      </w:pPr>
      <w:r>
        <w:rPr>
          <w:spacing w:val="-2"/>
        </w:rPr>
        <w:t>由中山市鸿宝电业有限公司牵头与本公司、华南理工大学、暨南大学四方联合申报广东省科技计划项目</w:t>
      </w:r>
      <w:r>
        <w:rPr>
          <w:rFonts w:ascii="Arial" w:hAnsi="Arial" w:cs="Arial" w:eastAsia="Arial" w:hint="default"/>
          <w:spacing w:val="-2"/>
        </w:rPr>
        <w:t>“2011</w:t>
      </w:r>
      <w:r>
        <w:rPr>
          <w:spacing w:val="-2"/>
        </w:rPr>
        <w:t>年广东省</w:t>
      </w:r>
      <w:r>
        <w:rPr/>
        <w:t> 战略性新兴产业专项资金</w:t>
      </w:r>
      <w:r>
        <w:rPr>
          <w:rFonts w:ascii="Arial" w:hAnsi="Arial" w:cs="Arial" w:eastAsia="Arial" w:hint="default"/>
        </w:rPr>
        <w:t>LED</w:t>
      </w:r>
      <w:r>
        <w:rPr/>
        <w:t>产业项目</w:t>
      </w:r>
      <w:r>
        <w:rPr>
          <w:rFonts w:ascii="Arial" w:hAnsi="Arial" w:cs="Arial" w:eastAsia="Arial" w:hint="default"/>
        </w:rPr>
        <w:t>”</w:t>
      </w:r>
      <w:r>
        <w:rPr>
          <w:rFonts w:ascii="Arial" w:hAnsi="Arial" w:cs="Arial" w:eastAsia="Arial" w:hint="default"/>
          <w:spacing w:val="11"/>
        </w:rPr>
        <w:t> </w:t>
      </w:r>
      <w:r>
        <w:rPr/>
        <w:t>。根据广东省科学技术厅、广东东省财政厅联合下发的粤科规划字（</w:t>
      </w:r>
      <w:r>
        <w:rPr>
          <w:rFonts w:ascii="Arial" w:hAnsi="Arial" w:cs="Arial" w:eastAsia="Arial" w:hint="default"/>
        </w:rPr>
        <w:t>2011</w:t>
      </w:r>
      <w:r>
        <w:rPr/>
        <w:t>）</w:t>
      </w:r>
      <w:r>
        <w:rPr>
          <w:rFonts w:ascii="Arial" w:hAnsi="Arial" w:cs="Arial" w:eastAsia="Arial" w:hint="default"/>
        </w:rPr>
        <w:t>170</w:t>
      </w:r>
      <w:r>
        <w:rPr/>
        <w:t>号</w:t>
      </w:r>
    </w:p>
    <w:p>
      <w:pPr>
        <w:spacing w:after="0" w:line="302" w:lineRule="auto"/>
        <w:jc w:val="right"/>
        <w:sectPr>
          <w:pgSz w:w="11910" w:h="16840"/>
          <w:pgMar w:header="877" w:footer="1330" w:top="1060" w:bottom="1540" w:left="980" w:right="0"/>
        </w:sectPr>
      </w:pPr>
    </w:p>
    <w:p>
      <w:pPr>
        <w:spacing w:line="240" w:lineRule="auto" w:before="9"/>
        <w:rPr>
          <w:rFonts w:ascii="宋体" w:hAnsi="宋体" w:cs="宋体" w:eastAsia="宋体" w:hint="default"/>
          <w:sz w:val="25"/>
          <w:szCs w:val="25"/>
        </w:rPr>
      </w:pPr>
    </w:p>
    <w:p>
      <w:pPr>
        <w:pStyle w:val="BodyText"/>
        <w:spacing w:line="302" w:lineRule="auto" w:before="44"/>
        <w:ind w:right="0"/>
        <w:jc w:val="left"/>
      </w:pPr>
      <w:r>
        <w:rPr/>
        <w:t>文件《关于下达广东省战略性新兴产业发展专项资金（</w:t>
      </w:r>
      <w:r>
        <w:rPr>
          <w:rFonts w:ascii="Arial" w:hAnsi="Arial" w:cs="Arial" w:eastAsia="Arial" w:hint="default"/>
        </w:rPr>
        <w:t>LED</w:t>
      </w:r>
      <w:r>
        <w:rPr/>
        <w:t>产业）推进类计划项目的通知》该项目共获得资金</w:t>
      </w:r>
      <w:r>
        <w:rPr>
          <w:rFonts w:ascii="Arial" w:hAnsi="Arial" w:cs="Arial" w:eastAsia="Arial" w:hint="default"/>
        </w:rPr>
        <w:t>1000</w:t>
      </w:r>
      <w:r>
        <w:rPr/>
        <w:t>万元， </w:t>
      </w:r>
      <w:r>
        <w:rPr>
          <w:spacing w:val="-3"/>
        </w:rPr>
        <w:t>按照协议约定，本公司享受</w:t>
      </w:r>
      <w:r>
        <w:rPr>
          <w:rFonts w:ascii="Arial" w:hAnsi="Arial" w:cs="Arial" w:eastAsia="Arial" w:hint="default"/>
          <w:spacing w:val="-3"/>
        </w:rPr>
        <w:t>250</w:t>
      </w:r>
      <w:r>
        <w:rPr>
          <w:spacing w:val="-3"/>
        </w:rPr>
        <w:t>万的经费，</w:t>
      </w:r>
      <w:r>
        <w:rPr>
          <w:rFonts w:ascii="Arial" w:hAnsi="Arial" w:cs="Arial" w:eastAsia="Arial" w:hint="default"/>
          <w:spacing w:val="-3"/>
        </w:rPr>
        <w:t>2012</w:t>
      </w:r>
      <w:r>
        <w:rPr>
          <w:spacing w:val="-3"/>
        </w:rPr>
        <w:t>年共收到该资助款</w:t>
      </w:r>
      <w:r>
        <w:rPr>
          <w:rFonts w:ascii="Arial" w:hAnsi="Arial" w:cs="Arial" w:eastAsia="Arial" w:hint="default"/>
          <w:spacing w:val="-3"/>
        </w:rPr>
        <w:t>225</w:t>
      </w:r>
      <w:r>
        <w:rPr>
          <w:spacing w:val="-3"/>
        </w:rPr>
        <w:t>万。该项目共获得惠州市科学技术局的资金</w:t>
      </w:r>
      <w:r>
        <w:rPr>
          <w:rFonts w:ascii="Arial" w:hAnsi="Arial" w:cs="Arial" w:eastAsia="Arial" w:hint="default"/>
          <w:spacing w:val="-3"/>
        </w:rPr>
        <w:t>1000</w:t>
      </w:r>
      <w:r>
        <w:rPr>
          <w:spacing w:val="-3"/>
        </w:rPr>
        <w:t>万元，</w:t>
      </w:r>
      <w:r>
        <w:rPr>
          <w:spacing w:val="-50"/>
        </w:rPr>
        <w:t> </w:t>
      </w:r>
      <w:r>
        <w:rPr>
          <w:spacing w:val="-50"/>
        </w:rPr>
      </w:r>
      <w:r>
        <w:rPr/>
        <w:t>按照协议约定，本公司享受</w:t>
      </w:r>
      <w:r>
        <w:rPr>
          <w:rFonts w:ascii="Arial" w:hAnsi="Arial" w:cs="Arial" w:eastAsia="Arial" w:hint="default"/>
        </w:rPr>
        <w:t>250</w:t>
      </w:r>
      <w:r>
        <w:rPr/>
        <w:t>万的经费。该项目期间为</w:t>
      </w:r>
      <w:r>
        <w:rPr>
          <w:rFonts w:ascii="Arial" w:hAnsi="Arial" w:cs="Arial" w:eastAsia="Arial" w:hint="default"/>
        </w:rPr>
        <w:t>2011</w:t>
      </w:r>
      <w:r>
        <w:rPr/>
        <w:t>年</w:t>
      </w:r>
      <w:r>
        <w:rPr>
          <w:rFonts w:ascii="Arial" w:hAnsi="Arial" w:cs="Arial" w:eastAsia="Arial" w:hint="default"/>
        </w:rPr>
        <w:t>9</w:t>
      </w:r>
      <w:r>
        <w:rPr/>
        <w:t>月至</w:t>
      </w:r>
      <w:r>
        <w:rPr>
          <w:rFonts w:ascii="Arial" w:hAnsi="Arial" w:cs="Arial" w:eastAsia="Arial" w:hint="default"/>
        </w:rPr>
        <w:t>2013</w:t>
      </w:r>
      <w:r>
        <w:rPr/>
        <w:t>年</w:t>
      </w:r>
      <w:r>
        <w:rPr>
          <w:rFonts w:ascii="Arial" w:hAnsi="Arial" w:cs="Arial" w:eastAsia="Arial" w:hint="default"/>
        </w:rPr>
        <w:t>8</w:t>
      </w:r>
      <w:r>
        <w:rPr/>
        <w:t>月，按照项目时间进度本公司</w:t>
      </w:r>
      <w:r>
        <w:rPr>
          <w:rFonts w:ascii="Arial" w:hAnsi="Arial" w:cs="Arial" w:eastAsia="Arial" w:hint="default"/>
        </w:rPr>
        <w:t>2012</w:t>
      </w:r>
      <w:r>
        <w:rPr/>
        <w:t>年度计入 补贴收入计</w:t>
      </w:r>
      <w:r>
        <w:rPr>
          <w:rFonts w:ascii="Arial" w:hAnsi="Arial" w:cs="Arial" w:eastAsia="Arial" w:hint="default"/>
        </w:rPr>
        <w:t>1,500,000.00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1"/>
        <w:ind w:right="1121"/>
        <w:jc w:val="left"/>
        <w:rPr>
          <w:b w:val="0"/>
          <w:bCs w:val="0"/>
        </w:rPr>
      </w:pPr>
      <w:r>
        <w:rPr>
          <w:rFonts w:ascii="Arial" w:hAnsi="Arial" w:cs="Arial" w:eastAsia="Arial" w:hint="default"/>
        </w:rPr>
        <w:t>26</w:t>
      </w:r>
      <w:r>
        <w:rPr/>
        <w:t>、股本</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72,800,000.0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25,988,800.0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25,988,800.0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98,788,800.0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both"/>
        <w:rPr>
          <w:rFonts w:ascii="Arial" w:hAnsi="Arial" w:cs="Arial" w:eastAsia="Arial" w:hint="default"/>
        </w:rPr>
      </w:pPr>
      <w:r>
        <w:rPr/>
        <w:t>股本变动情况说明，本报告期内有增资或减资行为的，应披露执行验资的会计师事务所名称和验资报告文号；运行不足</w:t>
      </w:r>
      <w:r>
        <w:rPr>
          <w:spacing w:val="-43"/>
        </w:rPr>
        <w:t> </w:t>
      </w:r>
      <w:r>
        <w:rPr>
          <w:rFonts w:ascii="Arial" w:hAnsi="Arial" w:cs="Arial" w:eastAsia="Arial" w:hint="default"/>
        </w:rPr>
        <w:t>3</w:t>
      </w:r>
    </w:p>
    <w:p>
      <w:pPr>
        <w:pStyle w:val="BodyText"/>
        <w:spacing w:line="357" w:lineRule="auto" w:before="63"/>
        <w:ind w:left="573" w:right="1132" w:hanging="421"/>
        <w:jc w:val="left"/>
      </w:pPr>
      <w:r>
        <w:rPr/>
        <w:t>年的股份有限公司，设立前的年份只需说明净资产情况；有限责任公司整体变更为股份公司应说明公司设立时的验资情况 根据中国证券监督管理委员会</w:t>
      </w:r>
      <w:r>
        <w:rPr>
          <w:rFonts w:ascii="Arial" w:hAnsi="Arial" w:cs="Arial" w:eastAsia="Arial" w:hint="default"/>
        </w:rPr>
        <w:t>“</w:t>
      </w:r>
      <w:r>
        <w:rPr/>
        <w:t>证监许可</w:t>
      </w:r>
      <w:r>
        <w:rPr>
          <w:rFonts w:ascii="Arial" w:hAnsi="Arial" w:cs="Arial" w:eastAsia="Arial" w:hint="default"/>
        </w:rPr>
        <w:t>[2012]186</w:t>
      </w:r>
      <w:r>
        <w:rPr/>
        <w:t>号</w:t>
      </w:r>
      <w:r>
        <w:rPr>
          <w:rFonts w:ascii="Arial" w:hAnsi="Arial" w:cs="Arial" w:eastAsia="Arial" w:hint="default"/>
        </w:rPr>
        <w:t>”</w:t>
      </w:r>
      <w:r>
        <w:rPr/>
        <w:t>文《关于核准深圳茂硕电源科技股份有限公司首次公开发行股票</w:t>
      </w:r>
    </w:p>
    <w:p>
      <w:pPr>
        <w:pStyle w:val="BodyText"/>
        <w:spacing w:line="213" w:lineRule="exact"/>
        <w:ind w:right="0"/>
        <w:jc w:val="both"/>
      </w:pPr>
      <w:r>
        <w:rPr/>
        <w:t>的批复》，茂硕电源向社会公开发行人民币普通股</w:t>
      </w:r>
      <w:r>
        <w:rPr>
          <w:rFonts w:ascii="Arial" w:hAnsi="Arial" w:cs="Arial" w:eastAsia="Arial" w:hint="default"/>
        </w:rPr>
        <w:t>2,428</w:t>
      </w:r>
      <w:r>
        <w:rPr/>
        <w:t>万股（每股面值</w:t>
      </w:r>
      <w:r>
        <w:rPr>
          <w:rFonts w:ascii="Arial" w:hAnsi="Arial" w:cs="Arial" w:eastAsia="Arial" w:hint="default"/>
        </w:rPr>
        <w:t>1</w:t>
      </w:r>
      <w:r>
        <w:rPr/>
        <w:t>元），募集资金总额人民币</w:t>
      </w:r>
      <w:r>
        <w:rPr>
          <w:rFonts w:ascii="Arial" w:hAnsi="Arial" w:cs="Arial" w:eastAsia="Arial" w:hint="default"/>
        </w:rPr>
        <w:t>414,185</w:t>
      </w:r>
      <w:r>
        <w:rPr/>
        <w:t>，</w:t>
      </w:r>
      <w:r>
        <w:rPr>
          <w:rFonts w:ascii="Arial" w:hAnsi="Arial" w:cs="Arial" w:eastAsia="Arial" w:hint="default"/>
        </w:rPr>
        <w:t>470.00</w:t>
      </w:r>
      <w:r>
        <w:rPr/>
        <w:t>元，</w:t>
      </w:r>
    </w:p>
    <w:p>
      <w:pPr>
        <w:pStyle w:val="BodyText"/>
        <w:spacing w:line="302" w:lineRule="auto" w:before="63"/>
        <w:ind w:right="1130"/>
        <w:jc w:val="both"/>
      </w:pPr>
      <w:r>
        <w:rPr/>
        <w:t>其中新增注册资本人民币</w:t>
      </w:r>
      <w:r>
        <w:rPr>
          <w:rFonts w:ascii="Arial" w:hAnsi="Arial" w:cs="Arial" w:eastAsia="Arial" w:hint="default"/>
        </w:rPr>
        <w:t>24,280,000.00</w:t>
      </w:r>
      <w:r>
        <w:rPr/>
        <w:t>元，增加资本公积人民币</w:t>
      </w:r>
      <w:r>
        <w:rPr>
          <w:rFonts w:ascii="Arial" w:hAnsi="Arial" w:cs="Arial" w:eastAsia="Arial" w:hint="default"/>
        </w:rPr>
        <w:t>389,905,470.00</w:t>
      </w:r>
      <w:r>
        <w:rPr/>
        <w:t>元。</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16</w:t>
      </w:r>
      <w:r>
        <w:rPr/>
        <w:t>日，公司股票在深圳证</w:t>
      </w:r>
      <w:r>
        <w:rPr>
          <w:spacing w:val="-52"/>
        </w:rPr>
        <w:t> </w:t>
      </w:r>
      <w:r>
        <w:rPr>
          <w:spacing w:val="-52"/>
        </w:rPr>
      </w:r>
      <w:r>
        <w:rPr/>
        <w:t>券交易所挂牌交易。本次增资业经深圳鹏城出具的深鹏所验字</w:t>
      </w:r>
      <w:r>
        <w:rPr>
          <w:rFonts w:ascii="Arial" w:hAnsi="Arial" w:cs="Arial" w:eastAsia="Arial" w:hint="default"/>
        </w:rPr>
        <w:t>[2012]0051</w:t>
      </w:r>
      <w:r>
        <w:rPr/>
        <w:t>号验资报告验证。</w:t>
      </w:r>
    </w:p>
    <w:p>
      <w:pPr>
        <w:pStyle w:val="BodyText"/>
        <w:spacing w:line="240" w:lineRule="auto" w:before="11"/>
        <w:ind w:left="0" w:right="1132"/>
        <w:jc w:val="right"/>
      </w:pPr>
      <w:r>
        <w:rPr>
          <w:rFonts w:ascii="Arial" w:hAnsi="Arial" w:cs="Arial" w:eastAsia="Arial" w:hint="default"/>
          <w:spacing w:val="-1"/>
        </w:rPr>
        <w:t>2012</w:t>
      </w:r>
      <w:r>
        <w:rPr>
          <w:spacing w:val="-1"/>
        </w:rPr>
        <w:t>年</w:t>
      </w:r>
      <w:r>
        <w:rPr>
          <w:rFonts w:ascii="Arial" w:hAnsi="Arial" w:cs="Arial" w:eastAsia="Arial" w:hint="default"/>
          <w:spacing w:val="-1"/>
        </w:rPr>
        <w:t>11</w:t>
      </w:r>
      <w:r>
        <w:rPr>
          <w:spacing w:val="-1"/>
        </w:rPr>
        <w:t>月</w:t>
      </w:r>
      <w:r>
        <w:rPr>
          <w:rFonts w:ascii="Arial" w:hAnsi="Arial" w:cs="Arial" w:eastAsia="Arial" w:hint="default"/>
          <w:spacing w:val="-1"/>
        </w:rPr>
        <w:t>13</w:t>
      </w:r>
      <w:r>
        <w:rPr>
          <w:spacing w:val="-1"/>
        </w:rPr>
        <w:t>日，公司</w:t>
      </w:r>
      <w:r>
        <w:rPr>
          <w:rFonts w:ascii="Arial" w:hAnsi="Arial" w:cs="Arial" w:eastAsia="Arial" w:hint="default"/>
          <w:spacing w:val="-1"/>
        </w:rPr>
        <w:t>2012</w:t>
      </w:r>
      <w:r>
        <w:rPr>
          <w:spacing w:val="-1"/>
        </w:rPr>
        <w:t>年第</w:t>
      </w:r>
      <w:r>
        <w:rPr>
          <w:rFonts w:ascii="Arial" w:hAnsi="Arial" w:cs="Arial" w:eastAsia="Arial" w:hint="default"/>
          <w:spacing w:val="-1"/>
        </w:rPr>
        <w:t>6</w:t>
      </w:r>
      <w:r>
        <w:rPr>
          <w:spacing w:val="-1"/>
        </w:rPr>
        <w:t>次临时股东大会审议通过了《关于茂硕电源科技股份有限公司限制性股票激励计划</w:t>
      </w:r>
    </w:p>
    <w:p>
      <w:pPr>
        <w:pStyle w:val="BodyText"/>
        <w:spacing w:line="302" w:lineRule="auto" w:before="63"/>
        <w:ind w:right="1131"/>
        <w:jc w:val="both"/>
      </w:pPr>
      <w:r>
        <w:rPr>
          <w:spacing w:val="-1"/>
        </w:rPr>
        <w:t>（修订案）及其摘要的议案》，公司以</w:t>
      </w:r>
      <w:r>
        <w:rPr>
          <w:rFonts w:ascii="Arial" w:hAnsi="Arial" w:cs="Arial" w:eastAsia="Arial" w:hint="default"/>
          <w:spacing w:val="-1"/>
        </w:rPr>
        <w:t>9.2</w:t>
      </w:r>
      <w:r>
        <w:rPr>
          <w:spacing w:val="-1"/>
        </w:rPr>
        <w:t>元</w:t>
      </w:r>
      <w:r>
        <w:rPr>
          <w:rFonts w:ascii="Arial" w:hAnsi="Arial" w:cs="Arial" w:eastAsia="Arial" w:hint="default"/>
          <w:spacing w:val="-1"/>
        </w:rPr>
        <w:t>/</w:t>
      </w:r>
      <w:r>
        <w:rPr>
          <w:spacing w:val="-1"/>
        </w:rPr>
        <w:t>股的价格授予</w:t>
      </w:r>
      <w:r>
        <w:rPr>
          <w:rFonts w:ascii="Arial" w:hAnsi="Arial" w:cs="Arial" w:eastAsia="Arial" w:hint="default"/>
          <w:spacing w:val="-1"/>
        </w:rPr>
        <w:t>33</w:t>
      </w:r>
      <w:r>
        <w:rPr>
          <w:spacing w:val="-1"/>
        </w:rPr>
        <w:t>位激励对象</w:t>
      </w:r>
      <w:r>
        <w:rPr>
          <w:rFonts w:ascii="Arial" w:hAnsi="Arial" w:cs="Arial" w:eastAsia="Arial" w:hint="default"/>
          <w:spacing w:val="-1"/>
        </w:rPr>
        <w:t>1,708,800</w:t>
      </w:r>
      <w:r>
        <w:rPr>
          <w:spacing w:val="-1"/>
        </w:rPr>
        <w:t>股限制性股票，每股面值</w:t>
      </w:r>
      <w:r>
        <w:rPr>
          <w:rFonts w:ascii="Arial" w:hAnsi="Arial" w:cs="Arial" w:eastAsia="Arial" w:hint="default"/>
          <w:spacing w:val="-1"/>
        </w:rPr>
        <w:t>1</w:t>
      </w:r>
      <w:r>
        <w:rPr>
          <w:spacing w:val="-1"/>
        </w:rPr>
        <w:t>元。本次增加</w:t>
      </w:r>
      <w:r>
        <w:rPr>
          <w:spacing w:val="-82"/>
        </w:rPr>
        <w:t> </w:t>
      </w:r>
      <w:r>
        <w:rPr>
          <w:spacing w:val="-82"/>
        </w:rPr>
      </w:r>
      <w:r>
        <w:rPr/>
        <w:t>股本人民币</w:t>
      </w:r>
      <w:r>
        <w:rPr>
          <w:rFonts w:ascii="Arial" w:hAnsi="Arial" w:cs="Arial" w:eastAsia="Arial" w:hint="default"/>
        </w:rPr>
        <w:t>1,708,800.00</w:t>
      </w:r>
      <w:r>
        <w:rPr/>
        <w:t>元，增加资本公积人民币</w:t>
      </w:r>
      <w:r>
        <w:rPr>
          <w:rFonts w:ascii="Arial" w:hAnsi="Arial" w:cs="Arial" w:eastAsia="Arial" w:hint="default"/>
        </w:rPr>
        <w:t>14,012,160.00</w:t>
      </w:r>
      <w:r>
        <w:rPr/>
        <w:t>，变更后的累计注册资本为人民币</w:t>
      </w:r>
      <w:r>
        <w:rPr>
          <w:rFonts w:ascii="Arial" w:hAnsi="Arial" w:cs="Arial" w:eastAsia="Arial" w:hint="default"/>
        </w:rPr>
        <w:t>9,878.88</w:t>
      </w:r>
      <w:r>
        <w:rPr/>
        <w:t>万元。本次增</w:t>
      </w:r>
      <w:r>
        <w:rPr>
          <w:spacing w:val="-34"/>
        </w:rPr>
        <w:t> </w:t>
      </w:r>
      <w:r>
        <w:rPr>
          <w:spacing w:val="-34"/>
        </w:rPr>
      </w:r>
      <w:r>
        <w:rPr/>
        <w:t>资业经国富浩华会计师事务所（特殊普通合伙）出具的国浩验字</w:t>
      </w:r>
      <w:r>
        <w:rPr>
          <w:rFonts w:ascii="Arial" w:hAnsi="Arial" w:cs="Arial" w:eastAsia="Arial" w:hint="default"/>
        </w:rPr>
        <w:t>[2012]817A263</w:t>
      </w:r>
      <w:r>
        <w:rPr/>
        <w:t>号验资报告审验在案。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2"/>
        <w:ind w:right="0"/>
        <w:jc w:val="both"/>
        <w:rPr>
          <w:b w:val="0"/>
          <w:bCs w:val="0"/>
        </w:rPr>
      </w:pPr>
      <w:r>
        <w:rPr>
          <w:rFonts w:ascii="Arial" w:hAnsi="Arial" w:cs="Arial" w:eastAsia="Arial" w:hint="default"/>
        </w:rPr>
        <w:t>27</w:t>
      </w:r>
      <w:r>
        <w:rPr/>
        <w:t>、资本公积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6"/>
        <w:gridCol w:w="1861"/>
        <w:gridCol w:w="1992"/>
        <w:gridCol w:w="1729"/>
        <w:gridCol w:w="1594"/>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23,961,300.67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403,917,630.00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427,878,930.67</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持有子公司股权变动影响</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-194,817.87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296,045.48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101,227.61</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147,341.09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147,341.09</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9,401,000.00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9,401,000.00</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33,167,482.80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404,361,016.57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437,528,499.37</w:t>
            </w:r>
          </w:p>
        </w:tc>
      </w:tr>
    </w:tbl>
    <w:p>
      <w:pPr>
        <w:pStyle w:val="BodyText"/>
        <w:spacing w:line="357" w:lineRule="auto" w:before="49"/>
        <w:ind w:left="453" w:right="1130" w:hanging="301"/>
        <w:jc w:val="left"/>
      </w:pPr>
      <w:r>
        <w:rPr/>
        <w:t>资本公积说明 </w:t>
      </w:r>
      <w:r>
        <w:rPr>
          <w:spacing w:val="-1"/>
        </w:rPr>
        <w:t>根据中国证券监督管理委员会</w:t>
      </w:r>
      <w:r>
        <w:rPr>
          <w:rFonts w:ascii="Arial" w:hAnsi="Arial" w:cs="Arial" w:eastAsia="Arial" w:hint="default"/>
          <w:spacing w:val="-1"/>
        </w:rPr>
        <w:t>“</w:t>
      </w:r>
      <w:r>
        <w:rPr>
          <w:spacing w:val="-1"/>
        </w:rPr>
        <w:t>证监许可</w:t>
      </w:r>
      <w:r>
        <w:rPr>
          <w:rFonts w:ascii="Arial" w:hAnsi="Arial" w:cs="Arial" w:eastAsia="Arial" w:hint="default"/>
          <w:spacing w:val="-1"/>
        </w:rPr>
        <w:t>[2012]186</w:t>
      </w:r>
      <w:r>
        <w:rPr>
          <w:spacing w:val="-1"/>
        </w:rPr>
        <w:t>号</w:t>
      </w:r>
      <w:r>
        <w:rPr>
          <w:rFonts w:ascii="Arial" w:hAnsi="Arial" w:cs="Arial" w:eastAsia="Arial" w:hint="default"/>
          <w:spacing w:val="-1"/>
        </w:rPr>
        <w:t>”</w:t>
      </w:r>
      <w:r>
        <w:rPr>
          <w:spacing w:val="-1"/>
        </w:rPr>
        <w:t>文《关于核准深圳茂硕电源科技股份有限公司首次公开发行股票的</w:t>
      </w:r>
    </w:p>
    <w:p>
      <w:pPr>
        <w:pStyle w:val="BodyText"/>
        <w:spacing w:line="213" w:lineRule="exact"/>
        <w:ind w:right="0"/>
        <w:jc w:val="left"/>
      </w:pPr>
      <w:r>
        <w:rPr/>
        <w:t>批复》，茂硕电源向社会公开发行人民币普通股</w:t>
      </w:r>
      <w:r>
        <w:rPr>
          <w:rFonts w:ascii="Arial" w:hAnsi="Arial" w:cs="Arial" w:eastAsia="Arial" w:hint="default"/>
        </w:rPr>
        <w:t>2,428</w:t>
      </w:r>
      <w:r>
        <w:rPr/>
        <w:t>万股（每股面值</w:t>
      </w:r>
      <w:r>
        <w:rPr>
          <w:rFonts w:ascii="Arial" w:hAnsi="Arial" w:cs="Arial" w:eastAsia="Arial" w:hint="default"/>
        </w:rPr>
        <w:t>1</w:t>
      </w:r>
      <w:r>
        <w:rPr/>
        <w:t>元），募集资金总人民币</w:t>
      </w:r>
      <w:r>
        <w:rPr>
          <w:rFonts w:ascii="Arial" w:hAnsi="Arial" w:cs="Arial" w:eastAsia="Arial" w:hint="default"/>
        </w:rPr>
        <w:t>414,185</w:t>
      </w:r>
      <w:r>
        <w:rPr/>
        <w:t>，</w:t>
      </w:r>
      <w:r>
        <w:rPr>
          <w:rFonts w:ascii="Arial" w:hAnsi="Arial" w:cs="Arial" w:eastAsia="Arial" w:hint="default"/>
        </w:rPr>
        <w:t>470.00</w:t>
      </w:r>
      <w:r>
        <w:rPr/>
        <w:t>元，其中</w:t>
      </w:r>
    </w:p>
    <w:p>
      <w:pPr>
        <w:pStyle w:val="BodyText"/>
        <w:spacing w:line="302" w:lineRule="auto" w:before="63"/>
        <w:ind w:right="1121"/>
        <w:jc w:val="left"/>
      </w:pPr>
      <w:r>
        <w:rPr/>
        <w:t>新增注册资本人民币</w:t>
      </w:r>
      <w:r>
        <w:rPr>
          <w:rFonts w:ascii="Arial" w:hAnsi="Arial" w:cs="Arial" w:eastAsia="Arial" w:hint="default"/>
        </w:rPr>
        <w:t>24,280,000.00</w:t>
      </w:r>
      <w:r>
        <w:rPr/>
        <w:t>元，增加资本公积人民币</w:t>
      </w:r>
      <w:r>
        <w:rPr>
          <w:rFonts w:ascii="Arial" w:hAnsi="Arial" w:cs="Arial" w:eastAsia="Arial" w:hint="default"/>
        </w:rPr>
        <w:t>389,905,470.00</w:t>
      </w:r>
      <w:r>
        <w:rPr/>
        <w:t>元。</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16</w:t>
      </w:r>
      <w:r>
        <w:rPr/>
        <w:t>日，公司股票在深圳证券交</w:t>
      </w:r>
      <w:r>
        <w:rPr>
          <w:spacing w:val="-52"/>
        </w:rPr>
        <w:t> </w:t>
      </w:r>
      <w:r>
        <w:rPr>
          <w:spacing w:val="-52"/>
        </w:rPr>
      </w:r>
      <w:r>
        <w:rPr/>
        <w:t>易所挂牌交易。本次增资业经深圳鹏城出具的深鹏所验字</w:t>
      </w:r>
      <w:r>
        <w:rPr>
          <w:rFonts w:ascii="Arial" w:hAnsi="Arial" w:cs="Arial" w:eastAsia="Arial" w:hint="default"/>
        </w:rPr>
        <w:t>[2012]0051</w:t>
      </w:r>
      <w:r>
        <w:rPr/>
        <w:t>号验资报告验证。</w:t>
      </w:r>
    </w:p>
    <w:p>
      <w:pPr>
        <w:pStyle w:val="BodyText"/>
        <w:spacing w:line="240" w:lineRule="auto" w:before="11"/>
        <w:ind w:left="453" w:right="0"/>
        <w:jc w:val="left"/>
      </w:pPr>
      <w:r>
        <w:rPr>
          <w:rFonts w:ascii="Arial" w:hAnsi="Arial" w:cs="Arial" w:eastAsia="Arial" w:hint="default"/>
          <w:w w:val="99"/>
        </w:rPr>
        <w:t>2012</w:t>
      </w:r>
      <w:r>
        <w:rPr/>
        <w:t>年</w:t>
      </w:r>
      <w:r>
        <w:rPr>
          <w:rFonts w:ascii="Arial" w:hAnsi="Arial" w:cs="Arial" w:eastAsia="Arial" w:hint="default"/>
          <w:spacing w:val="-2"/>
          <w:w w:val="99"/>
        </w:rPr>
        <w:t>1</w:t>
      </w:r>
      <w:r>
        <w:rPr>
          <w:rFonts w:ascii="Arial" w:hAnsi="Arial" w:cs="Arial" w:eastAsia="Arial" w:hint="default"/>
          <w:w w:val="99"/>
        </w:rPr>
        <w:t>1</w:t>
      </w:r>
      <w:r>
        <w:rPr/>
        <w:t>月</w:t>
      </w:r>
      <w:r>
        <w:rPr>
          <w:rFonts w:ascii="Arial" w:hAnsi="Arial" w:cs="Arial" w:eastAsia="Arial" w:hint="default"/>
          <w:w w:val="99"/>
        </w:rPr>
        <w:t>13</w:t>
      </w:r>
      <w:r>
        <w:rPr/>
        <w:t>日</w:t>
      </w:r>
      <w:r>
        <w:rPr>
          <w:spacing w:val="-82"/>
        </w:rPr>
        <w:t>，</w:t>
      </w:r>
      <w:r>
        <w:rPr/>
        <w:t>公司</w:t>
      </w:r>
      <w:r>
        <w:rPr>
          <w:rFonts w:ascii="Arial" w:hAnsi="Arial" w:cs="Arial" w:eastAsia="Arial" w:hint="default"/>
          <w:spacing w:val="-2"/>
          <w:w w:val="99"/>
        </w:rPr>
        <w:t>2</w:t>
      </w:r>
      <w:r>
        <w:rPr>
          <w:rFonts w:ascii="Arial" w:hAnsi="Arial" w:cs="Arial" w:eastAsia="Arial" w:hint="default"/>
          <w:w w:val="99"/>
        </w:rPr>
        <w:t>012</w:t>
      </w:r>
      <w:r>
        <w:rPr>
          <w:spacing w:val="-3"/>
        </w:rPr>
        <w:t>年</w:t>
      </w:r>
      <w:r>
        <w:rPr/>
        <w:t>第</w:t>
      </w:r>
      <w:r>
        <w:rPr>
          <w:rFonts w:ascii="Arial" w:hAnsi="Arial" w:cs="Arial" w:eastAsia="Arial" w:hint="default"/>
          <w:w w:val="99"/>
        </w:rPr>
        <w:t>6</w:t>
      </w:r>
      <w:r>
        <w:rPr/>
        <w:t>次临时股东大会审议通过</w:t>
      </w:r>
      <w:r>
        <w:rPr>
          <w:spacing w:val="-82"/>
        </w:rPr>
        <w:t>了</w:t>
      </w:r>
      <w:r>
        <w:rPr/>
        <w:t>《关于茂硕电源科技股份有限公司限制性股票激励计</w:t>
      </w:r>
      <w:r>
        <w:rPr>
          <w:spacing w:val="-82"/>
        </w:rPr>
        <w:t>划</w:t>
      </w:r>
      <w:r>
        <w:rPr/>
        <w:t>（修</w:t>
      </w:r>
    </w:p>
    <w:p>
      <w:pPr>
        <w:spacing w:after="0" w:line="240" w:lineRule="auto"/>
        <w:jc w:val="left"/>
        <w:sectPr>
          <w:pgSz w:w="11910" w:h="16840"/>
          <w:pgMar w:header="877" w:footer="1330" w:top="1060" w:bottom="1520" w:left="980" w:right="0"/>
        </w:sectPr>
      </w:pPr>
    </w:p>
    <w:p>
      <w:pPr>
        <w:spacing w:line="240" w:lineRule="auto" w:before="9"/>
        <w:rPr>
          <w:rFonts w:ascii="宋体" w:hAnsi="宋体" w:cs="宋体" w:eastAsia="宋体" w:hint="default"/>
          <w:sz w:val="25"/>
          <w:szCs w:val="25"/>
        </w:rPr>
      </w:pPr>
    </w:p>
    <w:p>
      <w:pPr>
        <w:pStyle w:val="BodyText"/>
        <w:spacing w:line="302" w:lineRule="auto" w:before="44"/>
        <w:ind w:right="1130"/>
        <w:jc w:val="both"/>
      </w:pPr>
      <w:r>
        <w:rPr>
          <w:spacing w:val="-1"/>
        </w:rPr>
        <w:t>订案）及其摘要的议案》，公司以</w:t>
      </w:r>
      <w:r>
        <w:rPr>
          <w:rFonts w:ascii="Arial" w:hAnsi="Arial" w:cs="Arial" w:eastAsia="Arial" w:hint="default"/>
          <w:spacing w:val="-1"/>
        </w:rPr>
        <w:t>9.2</w:t>
      </w:r>
      <w:r>
        <w:rPr>
          <w:spacing w:val="-1"/>
        </w:rPr>
        <w:t>元</w:t>
      </w:r>
      <w:r>
        <w:rPr>
          <w:rFonts w:ascii="Arial" w:hAnsi="Arial" w:cs="Arial" w:eastAsia="Arial" w:hint="default"/>
          <w:spacing w:val="-1"/>
        </w:rPr>
        <w:t>/</w:t>
      </w:r>
      <w:r>
        <w:rPr>
          <w:spacing w:val="-1"/>
        </w:rPr>
        <w:t>股的价格授予</w:t>
      </w:r>
      <w:r>
        <w:rPr>
          <w:rFonts w:ascii="Arial" w:hAnsi="Arial" w:cs="Arial" w:eastAsia="Arial" w:hint="default"/>
          <w:spacing w:val="-1"/>
        </w:rPr>
        <w:t>33</w:t>
      </w:r>
      <w:r>
        <w:rPr>
          <w:spacing w:val="-1"/>
        </w:rPr>
        <w:t>位激励对象</w:t>
      </w:r>
      <w:r>
        <w:rPr>
          <w:rFonts w:ascii="Arial" w:hAnsi="Arial" w:cs="Arial" w:eastAsia="Arial" w:hint="default"/>
          <w:spacing w:val="-1"/>
        </w:rPr>
        <w:t>1,708,800</w:t>
      </w:r>
      <w:r>
        <w:rPr>
          <w:spacing w:val="-1"/>
        </w:rPr>
        <w:t>股限制性股票，每股面值</w:t>
      </w:r>
      <w:r>
        <w:rPr>
          <w:rFonts w:ascii="Arial" w:hAnsi="Arial" w:cs="Arial" w:eastAsia="Arial" w:hint="default"/>
          <w:spacing w:val="-1"/>
        </w:rPr>
        <w:t>1</w:t>
      </w:r>
      <w:r>
        <w:rPr>
          <w:spacing w:val="-1"/>
        </w:rPr>
        <w:t>元。本次增加股本</w:t>
      </w:r>
      <w:r>
        <w:rPr>
          <w:spacing w:val="-80"/>
        </w:rPr>
        <w:t> </w:t>
      </w:r>
      <w:r>
        <w:rPr>
          <w:spacing w:val="-80"/>
        </w:rPr>
      </w:r>
      <w:r>
        <w:rPr>
          <w:spacing w:val="-1"/>
        </w:rPr>
        <w:t>人民币</w:t>
      </w:r>
      <w:r>
        <w:rPr>
          <w:rFonts w:ascii="Arial" w:hAnsi="Arial" w:cs="Arial" w:eastAsia="Arial" w:hint="default"/>
          <w:spacing w:val="-1"/>
        </w:rPr>
        <w:t>1,708,800.00</w:t>
      </w:r>
      <w:r>
        <w:rPr>
          <w:spacing w:val="-1"/>
        </w:rPr>
        <w:t>元，变更后的累计注册资本为人民币</w:t>
      </w:r>
      <w:r>
        <w:rPr>
          <w:rFonts w:ascii="Arial" w:hAnsi="Arial" w:cs="Arial" w:eastAsia="Arial" w:hint="default"/>
          <w:spacing w:val="-1"/>
        </w:rPr>
        <w:t>9,878.88</w:t>
      </w:r>
      <w:r>
        <w:rPr>
          <w:spacing w:val="-1"/>
        </w:rPr>
        <w:t>万元。本次增资业经国富浩华会计师事务所（特殊普通合</w:t>
      </w:r>
      <w:r>
        <w:rPr>
          <w:spacing w:val="-76"/>
        </w:rPr>
        <w:t> </w:t>
      </w:r>
      <w:r>
        <w:rPr>
          <w:spacing w:val="-76"/>
        </w:rPr>
      </w:r>
      <w:r>
        <w:rPr/>
        <w:t>伙）出具的国浩验字</w:t>
      </w:r>
      <w:r>
        <w:rPr>
          <w:rFonts w:ascii="Arial" w:hAnsi="Arial" w:cs="Arial" w:eastAsia="Arial" w:hint="default"/>
        </w:rPr>
        <w:t>[2012]817A263</w:t>
      </w:r>
      <w:r>
        <w:rPr/>
        <w:t>号验资报告审验在案。</w:t>
      </w:r>
    </w:p>
    <w:p>
      <w:pPr>
        <w:pStyle w:val="BodyText"/>
        <w:spacing w:line="302" w:lineRule="auto" w:before="11"/>
        <w:ind w:right="1135" w:firstLine="300"/>
        <w:jc w:val="both"/>
      </w:pPr>
      <w:r>
        <w:rPr>
          <w:rFonts w:ascii="Arial" w:hAnsi="Arial" w:cs="Arial" w:eastAsia="Arial" w:hint="default"/>
        </w:rPr>
        <w:t>2011</w:t>
      </w:r>
      <w:r>
        <w:rPr/>
        <w:t>年</w:t>
      </w:r>
      <w:r>
        <w:rPr>
          <w:rFonts w:ascii="Arial" w:hAnsi="Arial" w:cs="Arial" w:eastAsia="Arial" w:hint="default"/>
        </w:rPr>
        <w:t>2</w:t>
      </w:r>
      <w:r>
        <w:rPr/>
        <w:t>月</w:t>
      </w:r>
      <w:r>
        <w:rPr>
          <w:rFonts w:ascii="Arial" w:hAnsi="Arial" w:cs="Arial" w:eastAsia="Arial" w:hint="default"/>
        </w:rPr>
        <w:t>24</w:t>
      </w:r>
      <w:r>
        <w:rPr/>
        <w:t>日，本公司以</w:t>
      </w:r>
      <w:r>
        <w:rPr>
          <w:rFonts w:ascii="Arial" w:hAnsi="Arial" w:cs="Arial" w:eastAsia="Arial" w:hint="default"/>
        </w:rPr>
        <w:t>1</w:t>
      </w:r>
      <w:r>
        <w:rPr/>
        <w:t>元价格将全资子公司华智测控</w:t>
      </w:r>
      <w:r>
        <w:rPr>
          <w:rFonts w:ascii="Arial" w:hAnsi="Arial" w:cs="Arial" w:eastAsia="Arial" w:hint="default"/>
        </w:rPr>
        <w:t>13%</w:t>
      </w:r>
      <w:r>
        <w:rPr/>
        <w:t>的股份转让给深圳市北科投资发展有限公司。转让价格 与华智测控</w:t>
      </w:r>
      <w:r>
        <w:rPr>
          <w:rFonts w:ascii="Arial" w:hAnsi="Arial" w:cs="Arial" w:eastAsia="Arial" w:hint="default"/>
        </w:rPr>
        <w:t>13%</w:t>
      </w:r>
      <w:r>
        <w:rPr/>
        <w:t>的权益金额的差额</w:t>
      </w:r>
      <w:r>
        <w:rPr>
          <w:rFonts w:ascii="Arial" w:hAnsi="Arial" w:cs="Arial" w:eastAsia="Arial" w:hint="default"/>
        </w:rPr>
        <w:t>126,687.36</w:t>
      </w:r>
      <w:r>
        <w:rPr/>
        <w:t>元调减了合并母公司所有者的资本公积，少数股东增加了相应的其他综合收</w:t>
      </w:r>
      <w:r>
        <w:rPr>
          <w:spacing w:val="-14"/>
        </w:rPr>
        <w:t> </w:t>
      </w:r>
      <w:r>
        <w:rPr>
          <w:spacing w:val="-14"/>
        </w:rPr>
      </w:r>
      <w:r>
        <w:rPr/>
        <w:t>益。</w:t>
      </w:r>
    </w:p>
    <w:p>
      <w:pPr>
        <w:pStyle w:val="BodyText"/>
        <w:spacing w:line="302" w:lineRule="auto" w:before="29"/>
        <w:ind w:right="1131" w:firstLine="300"/>
        <w:jc w:val="both"/>
      </w:pPr>
      <w:r>
        <w:rPr>
          <w:rFonts w:ascii="Arial" w:hAnsi="Arial" w:cs="Arial" w:eastAsia="Arial" w:hint="default"/>
          <w:spacing w:val="-1"/>
        </w:rPr>
        <w:t>2011</w:t>
      </w:r>
      <w:r>
        <w:rPr>
          <w:spacing w:val="-1"/>
        </w:rPr>
        <w:t>年</w:t>
      </w:r>
      <w:r>
        <w:rPr>
          <w:rFonts w:ascii="Arial" w:hAnsi="Arial" w:cs="Arial" w:eastAsia="Arial" w:hint="default"/>
          <w:spacing w:val="-1"/>
        </w:rPr>
        <w:t>6</w:t>
      </w:r>
      <w:r>
        <w:rPr>
          <w:spacing w:val="-1"/>
        </w:rPr>
        <w:t>月</w:t>
      </w:r>
      <w:r>
        <w:rPr>
          <w:rFonts w:ascii="Arial" w:hAnsi="Arial" w:cs="Arial" w:eastAsia="Arial" w:hint="default"/>
          <w:spacing w:val="-1"/>
        </w:rPr>
        <w:t>29</w:t>
      </w:r>
      <w:r>
        <w:rPr>
          <w:spacing w:val="-1"/>
        </w:rPr>
        <w:t>日，控制子公司华智测控增加注册资本金人民币</w:t>
      </w:r>
      <w:r>
        <w:rPr>
          <w:rFonts w:ascii="Arial" w:hAnsi="Arial" w:cs="Arial" w:eastAsia="Arial" w:hint="default"/>
          <w:spacing w:val="-1"/>
        </w:rPr>
        <w:t>50</w:t>
      </w:r>
      <w:r>
        <w:rPr>
          <w:spacing w:val="-1"/>
        </w:rPr>
        <w:t>万元，增资额由自然人由毛周明认缴。增资前后母公司</w:t>
      </w:r>
      <w:r>
        <w:rPr/>
        <w:t> 享有华智测控的权益增加了</w:t>
      </w:r>
      <w:r>
        <w:rPr>
          <w:rFonts w:ascii="Arial" w:hAnsi="Arial" w:cs="Arial" w:eastAsia="Arial" w:hint="default"/>
        </w:rPr>
        <w:t>237,182.47</w:t>
      </w:r>
      <w:r>
        <w:rPr/>
        <w:t>元，相应增加了合并母公司所有者的资本公积，减少了少数股东的其他综合收益。</w:t>
      </w:r>
    </w:p>
    <w:p>
      <w:pPr>
        <w:pStyle w:val="BodyText"/>
        <w:spacing w:line="302" w:lineRule="auto" w:before="11"/>
        <w:ind w:right="1132" w:firstLine="396"/>
        <w:jc w:val="both"/>
      </w:pPr>
      <w:r>
        <w:rPr>
          <w:rFonts w:ascii="Arial" w:hAnsi="Arial" w:cs="Arial" w:eastAsia="Arial" w:hint="default"/>
          <w:spacing w:val="-1"/>
        </w:rPr>
        <w:t>2012</w:t>
      </w:r>
      <w:r>
        <w:rPr>
          <w:spacing w:val="-1"/>
        </w:rPr>
        <w:t>年</w:t>
      </w:r>
      <w:r>
        <w:rPr>
          <w:rFonts w:ascii="Arial" w:hAnsi="Arial" w:cs="Arial" w:eastAsia="Arial" w:hint="default"/>
          <w:spacing w:val="-1"/>
        </w:rPr>
        <w:t>4</w:t>
      </w:r>
      <w:r>
        <w:rPr>
          <w:spacing w:val="-1"/>
        </w:rPr>
        <w:t>月，控股子公司华智测控的增加注册资本</w:t>
      </w:r>
      <w:r>
        <w:rPr>
          <w:rFonts w:ascii="Arial" w:hAnsi="Arial" w:cs="Arial" w:eastAsia="Arial" w:hint="default"/>
          <w:spacing w:val="-1"/>
        </w:rPr>
        <w:t>110</w:t>
      </w:r>
      <w:r>
        <w:rPr>
          <w:spacing w:val="-1"/>
        </w:rPr>
        <w:t>万元，增资由自然人毛周明、金鹏认缴，增资前后母公司享有华</w:t>
      </w:r>
      <w:r>
        <w:rPr/>
        <w:t> 智测控的权益增加了</w:t>
      </w:r>
      <w:r>
        <w:rPr>
          <w:rFonts w:ascii="Arial" w:hAnsi="Arial" w:cs="Arial" w:eastAsia="Arial" w:hint="default"/>
        </w:rPr>
        <w:t>296,045.48</w:t>
      </w:r>
      <w:r>
        <w:rPr/>
        <w:t>元，相应增加了合并母公司所有者的资本公积，减少了少数股东的其他综合收益。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2"/>
        <w:ind w:right="0"/>
        <w:jc w:val="both"/>
        <w:rPr>
          <w:b w:val="0"/>
          <w:bCs w:val="0"/>
        </w:rPr>
      </w:pPr>
      <w:r>
        <w:rPr>
          <w:rFonts w:ascii="Arial" w:hAnsi="Arial" w:cs="Arial" w:eastAsia="Arial" w:hint="default"/>
        </w:rPr>
        <w:t>28</w:t>
      </w:r>
      <w:r>
        <w:rPr/>
        <w:t>、盈余公积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14,076,785.46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2,787,478.78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16,864,264.24</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14,076,785.46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2,787,478.78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16,864,264.24</w:t>
            </w:r>
          </w:p>
        </w:tc>
      </w:tr>
    </w:tbl>
    <w:p>
      <w:pPr>
        <w:pStyle w:val="BodyText"/>
        <w:spacing w:line="357" w:lineRule="auto" w:before="49"/>
        <w:ind w:left="508" w:right="4454" w:hanging="356"/>
        <w:jc w:val="left"/>
      </w:pPr>
      <w:r>
        <w:rPr/>
        <w:t>盈余公积说明，用盈余公积转增股本、弥补亏损、分派股利的，应说明有关决议 按母公司的净利润提取</w:t>
      </w:r>
      <w:r>
        <w:rPr>
          <w:rFonts w:ascii="Arial" w:hAnsi="Arial" w:cs="Arial" w:eastAsia="Arial" w:hint="default"/>
        </w:rPr>
        <w:t>10%</w:t>
      </w:r>
      <w:r>
        <w:rPr/>
        <w:t>的法定盈余公积金。</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pStyle w:val="Heading3"/>
        <w:spacing w:line="240" w:lineRule="auto"/>
        <w:ind w:right="1121"/>
        <w:jc w:val="left"/>
        <w:rPr>
          <w:b w:val="0"/>
          <w:bCs w:val="0"/>
        </w:rPr>
      </w:pPr>
      <w:r>
        <w:rPr>
          <w:rFonts w:ascii="Arial" w:hAnsi="Arial" w:cs="Arial" w:eastAsia="Arial" w:hint="default"/>
        </w:rPr>
        <w:t>29</w:t>
      </w:r>
      <w:r>
        <w:rPr/>
        <w:t>、未分配利润</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0"/>
              <w:ind w:right="14"/>
              <w:jc w:val="right"/>
              <w:rPr>
                <w:rFonts w:ascii="Arial" w:hAnsi="Arial" w:cs="Arial" w:eastAsia="Arial" w:hint="default"/>
                <w:sz w:val="18"/>
                <w:szCs w:val="18"/>
              </w:rPr>
            </w:pPr>
            <w:r>
              <w:rPr>
                <w:rFonts w:ascii="Arial"/>
                <w:spacing w:val="-1"/>
                <w:sz w:val="18"/>
              </w:rPr>
              <w:t>103,849,514.96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Arial" w:hAnsi="Arial" w:cs="Arial" w:eastAsia="Arial" w:hint="default"/>
                <w:sz w:val="18"/>
                <w:szCs w:val="18"/>
              </w:rPr>
              <w:t>+</w:t>
            </w:r>
            <w:r>
              <w:rPr>
                <w:rFonts w:ascii="宋体" w:hAnsi="宋体" w:cs="宋体" w:eastAsia="宋体" w:hint="default"/>
                <w:sz w:val="18"/>
                <w:szCs w:val="18"/>
              </w:rPr>
              <w:t>，调减</w:t>
            </w:r>
            <w:r>
              <w:rPr>
                <w:rFonts w:ascii="Arial" w:hAnsi="Arial" w:cs="Arial" w:eastAsia="Arial" w:hint="default"/>
                <w:sz w:val="18"/>
                <w:szCs w:val="18"/>
              </w:rPr>
              <w:t>-</w:t>
            </w:r>
            <w:r>
              <w:rPr>
                <w:rFonts w:ascii="宋体" w:hAnsi="宋体" w:cs="宋体" w:eastAsia="宋体" w:hint="default"/>
                <w:sz w:val="18"/>
                <w:szCs w:val="18"/>
              </w:rPr>
              <w:t>）</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3"/>
              <w:jc w:val="right"/>
              <w:rPr>
                <w:rFonts w:ascii="Arial" w:hAnsi="Arial" w:cs="Arial" w:eastAsia="Arial" w:hint="default"/>
                <w:sz w:val="18"/>
                <w:szCs w:val="18"/>
              </w:rPr>
            </w:pPr>
            <w:r>
              <w:rPr>
                <w:rFonts w:ascii="Arial"/>
                <w:w w:val="95"/>
                <w:sz w:val="18"/>
              </w:rPr>
              <w:t>0.00</w:t>
            </w:r>
            <w:r>
              <w:rPr>
                <w:rFonts w:ascii="Arial"/>
                <w:sz w:val="18"/>
              </w:rPr>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Arial" w:hAnsi="Arial" w:cs="Arial" w:eastAsia="Arial" w:hint="default"/>
                <w:sz w:val="18"/>
                <w:szCs w:val="18"/>
              </w:rPr>
            </w:pPr>
            <w:r>
              <w:rPr>
                <w:rFonts w:ascii="Arial"/>
                <w:spacing w:val="-1"/>
                <w:sz w:val="18"/>
              </w:rPr>
              <w:t>103,849,514.96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Arial" w:hAnsi="Arial" w:cs="Arial" w:eastAsia="Arial" w:hint="default"/>
                <w:sz w:val="18"/>
                <w:szCs w:val="18"/>
              </w:rPr>
            </w:pPr>
            <w:r>
              <w:rPr>
                <w:rFonts w:ascii="Arial"/>
                <w:spacing w:val="-1"/>
                <w:sz w:val="18"/>
              </w:rPr>
              <w:t>47,516,095.88</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2,787,478.78</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10%</w:t>
            </w:r>
            <w:r>
              <w:rPr>
                <w:rFonts w:ascii="Arial"/>
                <w:sz w:val="18"/>
              </w:rPr>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5"/>
                <w:sz w:val="18"/>
              </w:rPr>
              <w:t>0.00</w:t>
            </w:r>
            <w:r>
              <w:rPr>
                <w:rFonts w:ascii="Arial"/>
                <w:sz w:val="18"/>
              </w:rPr>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19,416,000.00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21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0" w:top="1060" w:bottom="152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720"/>
        <w:gridCol w:w="3730"/>
        <w:gridCol w:w="2110"/>
      </w:tblGrid>
      <w:tr>
        <w:trPr>
          <w:trHeight w:val="404"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46" w:right="0"/>
              <w:jc w:val="left"/>
              <w:rPr>
                <w:rFonts w:ascii="Arial" w:hAnsi="Arial" w:cs="Arial" w:eastAsia="Arial" w:hint="default"/>
                <w:sz w:val="18"/>
                <w:szCs w:val="18"/>
              </w:rPr>
            </w:pPr>
            <w:r>
              <w:rPr>
                <w:rFonts w:ascii="Arial"/>
                <w:sz w:val="18"/>
              </w:rPr>
              <w:t>129,162,132.06</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2" w:right="0"/>
              <w:jc w:val="center"/>
              <w:rPr>
                <w:rFonts w:ascii="Arial" w:hAnsi="Arial" w:cs="Arial" w:eastAsia="Arial" w:hint="default"/>
                <w:sz w:val="18"/>
                <w:szCs w:val="18"/>
              </w:rPr>
            </w:pPr>
            <w:r>
              <w:rPr>
                <w:rFonts w:ascii="Arial"/>
                <w:sz w:val="18"/>
              </w:rPr>
              <w:t>--</w:t>
            </w:r>
          </w:p>
        </w:tc>
      </w:tr>
    </w:tbl>
    <w:p>
      <w:pPr>
        <w:pStyle w:val="BodyText"/>
        <w:spacing w:line="240" w:lineRule="auto" w:before="49"/>
        <w:ind w:right="1121"/>
        <w:jc w:val="left"/>
      </w:pPr>
      <w:r>
        <w:rPr/>
        <w:t>调整年初未分配利润明细：</w:t>
      </w:r>
    </w:p>
    <w:p>
      <w:pPr>
        <w:pStyle w:val="BodyText"/>
        <w:spacing w:line="240" w:lineRule="auto" w:before="115"/>
        <w:ind w:right="1121"/>
        <w:jc w:val="left"/>
      </w:pPr>
      <w:r>
        <w:rPr>
          <w:rFonts w:ascii="Arial" w:hAnsi="Arial" w:cs="Arial" w:eastAsia="Arial" w:hint="default"/>
        </w:rPr>
        <w:t>1)</w:t>
      </w:r>
      <w:r>
        <w:rPr/>
        <w:t>、由于《企业会计准则》及其相关新规定进行追溯调整，影响年初未分配利润</w:t>
      </w:r>
      <w:r>
        <w:rPr>
          <w:spacing w:val="-45"/>
        </w:rPr>
        <w:t> </w:t>
      </w:r>
      <w:r>
        <w:rPr>
          <w:rFonts w:ascii="Arial" w:hAnsi="Arial" w:cs="Arial" w:eastAsia="Arial" w:hint="default"/>
        </w:rPr>
        <w:t>0.00</w:t>
      </w:r>
      <w:r>
        <w:rPr>
          <w:rFonts w:ascii="Arial" w:hAnsi="Arial" w:cs="Arial" w:eastAsia="Arial" w:hint="default"/>
          <w:spacing w:val="-5"/>
        </w:rPr>
        <w:t> </w:t>
      </w:r>
      <w:r>
        <w:rPr/>
        <w:t>元。</w:t>
      </w:r>
    </w:p>
    <w:p>
      <w:pPr>
        <w:pStyle w:val="BodyText"/>
        <w:spacing w:line="240" w:lineRule="auto" w:before="104"/>
        <w:ind w:right="1121"/>
        <w:jc w:val="left"/>
      </w:pPr>
      <w:r>
        <w:rPr>
          <w:rFonts w:ascii="Arial" w:hAnsi="Arial" w:cs="Arial" w:eastAsia="Arial" w:hint="default"/>
        </w:rPr>
        <w:t>2)</w:t>
      </w:r>
      <w:r>
        <w:rPr/>
        <w:t>、由于会计政策变更，影响年初未分配利润</w:t>
      </w:r>
      <w:r>
        <w:rPr>
          <w:spacing w:val="-45"/>
        </w:rPr>
        <w:t> </w:t>
      </w:r>
      <w:r>
        <w:rPr>
          <w:rFonts w:ascii="Arial" w:hAnsi="Arial" w:cs="Arial" w:eastAsia="Arial" w:hint="default"/>
        </w:rPr>
        <w:t>0.00</w:t>
      </w:r>
      <w:r>
        <w:rPr>
          <w:rFonts w:ascii="Arial" w:hAnsi="Arial" w:cs="Arial" w:eastAsia="Arial" w:hint="default"/>
          <w:spacing w:val="-5"/>
        </w:rPr>
        <w:t> </w:t>
      </w:r>
      <w:r>
        <w:rPr/>
        <w:t>元。</w:t>
      </w:r>
    </w:p>
    <w:p>
      <w:pPr>
        <w:pStyle w:val="BodyText"/>
        <w:spacing w:line="240" w:lineRule="auto" w:before="102"/>
        <w:ind w:right="1121"/>
        <w:jc w:val="left"/>
      </w:pPr>
      <w:r>
        <w:rPr>
          <w:rFonts w:ascii="Arial" w:hAnsi="Arial" w:cs="Arial" w:eastAsia="Arial" w:hint="default"/>
        </w:rPr>
        <w:t>3)</w:t>
      </w:r>
      <w:r>
        <w:rPr/>
        <w:t>、由于重大会计差错更正，影响年初未分配利润</w:t>
      </w:r>
      <w:r>
        <w:rPr>
          <w:spacing w:val="-45"/>
        </w:rPr>
        <w:t> </w:t>
      </w:r>
      <w:r>
        <w:rPr>
          <w:rFonts w:ascii="Arial" w:hAnsi="Arial" w:cs="Arial" w:eastAsia="Arial" w:hint="default"/>
        </w:rPr>
        <w:t>0.00</w:t>
      </w:r>
      <w:r>
        <w:rPr>
          <w:rFonts w:ascii="Arial" w:hAnsi="Arial" w:cs="Arial" w:eastAsia="Arial" w:hint="default"/>
          <w:spacing w:val="-5"/>
        </w:rPr>
        <w:t> </w:t>
      </w:r>
      <w:r>
        <w:rPr/>
        <w:t>元。</w:t>
      </w:r>
    </w:p>
    <w:p>
      <w:pPr>
        <w:pStyle w:val="BodyText"/>
        <w:spacing w:line="240" w:lineRule="auto" w:before="104"/>
        <w:ind w:right="1121"/>
        <w:jc w:val="left"/>
      </w:pPr>
      <w:r>
        <w:rPr>
          <w:rFonts w:ascii="Arial" w:hAnsi="Arial" w:cs="Arial" w:eastAsia="Arial" w:hint="default"/>
        </w:rPr>
        <w:t>4)</w:t>
      </w:r>
      <w:r>
        <w:rPr/>
        <w:t>、由于同一控制导致的合并范围变更，影响年初未分配利润</w:t>
      </w:r>
      <w:r>
        <w:rPr>
          <w:spacing w:val="-46"/>
        </w:rPr>
        <w:t> </w:t>
      </w:r>
      <w:r>
        <w:rPr>
          <w:rFonts w:ascii="Arial" w:hAnsi="Arial" w:cs="Arial" w:eastAsia="Arial" w:hint="default"/>
        </w:rPr>
        <w:t>0.00</w:t>
      </w:r>
      <w:r>
        <w:rPr>
          <w:rFonts w:ascii="Arial" w:hAnsi="Arial" w:cs="Arial" w:eastAsia="Arial" w:hint="default"/>
          <w:spacing w:val="-6"/>
        </w:rPr>
        <w:t> </w:t>
      </w:r>
      <w:r>
        <w:rPr/>
        <w:t>元。</w:t>
      </w:r>
    </w:p>
    <w:p>
      <w:pPr>
        <w:pStyle w:val="BodyText"/>
        <w:spacing w:line="324" w:lineRule="auto" w:before="104"/>
        <w:ind w:right="1121"/>
        <w:jc w:val="left"/>
      </w:pPr>
      <w:r>
        <w:rPr>
          <w:rFonts w:ascii="Arial" w:hAnsi="Arial" w:cs="Arial" w:eastAsia="Arial" w:hint="default"/>
        </w:rPr>
        <w:t>5)</w:t>
      </w:r>
      <w:r>
        <w:rPr/>
        <w:t>、其他调整合计影响年初未分配利润</w:t>
      </w:r>
      <w:r>
        <w:rPr>
          <w:spacing w:val="-44"/>
        </w:rPr>
        <w:t> </w:t>
      </w:r>
      <w:r>
        <w:rPr>
          <w:rFonts w:ascii="Arial" w:hAnsi="Arial" w:cs="Arial" w:eastAsia="Arial" w:hint="default"/>
        </w:rPr>
        <w:t>0.00</w:t>
      </w:r>
      <w:r>
        <w:rPr>
          <w:rFonts w:ascii="Arial" w:hAnsi="Arial" w:cs="Arial" w:eastAsia="Arial" w:hint="default"/>
          <w:spacing w:val="-4"/>
        </w:rPr>
        <w:t> </w:t>
      </w:r>
      <w:r>
        <w:rPr/>
        <w:t>元。 </w:t>
      </w:r>
      <w:r>
        <w:rPr>
          <w:spacing w:val="-2"/>
        </w:rPr>
        <w:t>未分配利润说明，对于首次公开发行证券的公司，如果发行前的滚存利润经股东大会决议由新老股东共同享有，应明确予以</w:t>
      </w:r>
      <w:r>
        <w:rPr>
          <w:spacing w:val="-63"/>
        </w:rPr>
        <w:t> </w:t>
      </w:r>
      <w:r>
        <w:rPr>
          <w:spacing w:val="-63"/>
        </w:rPr>
      </w:r>
      <w:r>
        <w:rPr>
          <w:spacing w:val="-2"/>
        </w:rPr>
        <w:t>说明；如果发行前的滚存利润经股东大会决议在发行前进行分配并由老股东享有，公司应明确披露应付股利中老股东享有的</w:t>
      </w:r>
      <w:r>
        <w:rPr>
          <w:spacing w:val="-63"/>
        </w:rPr>
        <w:t> </w:t>
      </w:r>
      <w:r>
        <w:rPr>
          <w:spacing w:val="-63"/>
        </w:rPr>
      </w:r>
      <w:r>
        <w:rPr/>
        <w:t>经审计的利润数</w:t>
      </w:r>
    </w:p>
    <w:p>
      <w:pPr>
        <w:pStyle w:val="BodyText"/>
        <w:spacing w:line="302" w:lineRule="auto" w:before="54"/>
        <w:ind w:right="1271" w:firstLine="420"/>
        <w:jc w:val="left"/>
      </w:pPr>
      <w:r>
        <w:rPr>
          <w:rFonts w:ascii="Arial" w:hAnsi="Arial" w:cs="Arial" w:eastAsia="Arial" w:hint="default"/>
        </w:rPr>
        <w:t>2012</w:t>
      </w:r>
      <w:r>
        <w:rPr/>
        <w:t>年</w:t>
      </w:r>
      <w:r>
        <w:rPr>
          <w:rFonts w:ascii="Arial" w:hAnsi="Arial" w:cs="Arial" w:eastAsia="Arial" w:hint="default"/>
        </w:rPr>
        <w:t>5</w:t>
      </w:r>
      <w:r>
        <w:rPr/>
        <w:t>月</w:t>
      </w:r>
      <w:r>
        <w:rPr>
          <w:rFonts w:ascii="Arial" w:hAnsi="Arial" w:cs="Arial" w:eastAsia="Arial" w:hint="default"/>
        </w:rPr>
        <w:t>29</w:t>
      </w:r>
      <w:r>
        <w:rPr/>
        <w:t>日召开的</w:t>
      </w:r>
      <w:r>
        <w:rPr>
          <w:rFonts w:ascii="Arial" w:hAnsi="Arial" w:cs="Arial" w:eastAsia="Arial" w:hint="default"/>
        </w:rPr>
        <w:t>2011</w:t>
      </w:r>
      <w:r>
        <w:rPr/>
        <w:t>年度股东大会审议通过</w:t>
      </w:r>
      <w:r>
        <w:rPr>
          <w:rFonts w:ascii="Arial" w:hAnsi="Arial" w:cs="Arial" w:eastAsia="Arial" w:hint="default"/>
        </w:rPr>
        <w:t>2011</w:t>
      </w:r>
      <w:r>
        <w:rPr/>
        <w:t>年年度权益分派方案：以公司现有总股本</w:t>
      </w:r>
      <w:r>
        <w:rPr>
          <w:rFonts w:ascii="Arial" w:hAnsi="Arial" w:cs="Arial" w:eastAsia="Arial" w:hint="default"/>
        </w:rPr>
        <w:t>97,080,000</w:t>
      </w:r>
      <w:r>
        <w:rPr/>
        <w:t>股为基 数，向全体股东每</w:t>
      </w:r>
      <w:r>
        <w:rPr>
          <w:rFonts w:ascii="Arial" w:hAnsi="Arial" w:cs="Arial" w:eastAsia="Arial" w:hint="default"/>
        </w:rPr>
        <w:t>10</w:t>
      </w:r>
      <w:r>
        <w:rPr/>
        <w:t>股派</w:t>
      </w:r>
      <w:r>
        <w:rPr>
          <w:rFonts w:ascii="Arial" w:hAnsi="Arial" w:cs="Arial" w:eastAsia="Arial" w:hint="default"/>
        </w:rPr>
        <w:t>2.00</w:t>
      </w:r>
      <w:r>
        <w:rPr/>
        <w:t>元人民币现金。共派发现金股利</w:t>
      </w:r>
      <w:r>
        <w:rPr>
          <w:rFonts w:ascii="Arial" w:hAnsi="Arial" w:cs="Arial" w:eastAsia="Arial" w:hint="default"/>
        </w:rPr>
        <w:t>19,416,000.00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1"/>
        <w:ind w:right="1121"/>
        <w:jc w:val="left"/>
        <w:rPr>
          <w:b w:val="0"/>
          <w:bCs w:val="0"/>
        </w:rPr>
      </w:pPr>
      <w:r>
        <w:rPr>
          <w:rFonts w:ascii="Arial" w:hAnsi="Arial" w:cs="Arial" w:eastAsia="Arial" w:hint="default"/>
        </w:rPr>
        <w:t>30</w:t>
      </w:r>
      <w:r>
        <w:rPr/>
        <w:t>、营业收入、营业成本</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）营业收入、营业成本</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549,577,597.96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552,423,043.87</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453,074.63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2,148,667.56</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428,643,049.00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402,480,411.72</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2</w:t>
      </w:r>
      <w:r>
        <w:rPr/>
        <w:t>）主营业务（分行业）</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7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计算机、通信和其他电子设备制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造业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549,577,597.96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78" w:right="0"/>
              <w:jc w:val="left"/>
              <w:rPr>
                <w:rFonts w:ascii="Arial" w:hAnsi="Arial" w:cs="Arial" w:eastAsia="Arial" w:hint="default"/>
                <w:sz w:val="18"/>
                <w:szCs w:val="18"/>
              </w:rPr>
            </w:pPr>
            <w:r>
              <w:rPr>
                <w:rFonts w:ascii="Arial"/>
                <w:sz w:val="18"/>
              </w:rPr>
              <w:t>428,323,591.10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43" w:right="0"/>
              <w:jc w:val="left"/>
              <w:rPr>
                <w:rFonts w:ascii="Arial" w:hAnsi="Arial" w:cs="Arial" w:eastAsia="Arial" w:hint="default"/>
                <w:sz w:val="18"/>
                <w:szCs w:val="18"/>
              </w:rPr>
            </w:pPr>
            <w:r>
              <w:rPr>
                <w:rFonts w:ascii="Arial"/>
                <w:sz w:val="18"/>
              </w:rPr>
              <w:t>552,423,043.87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5" w:right="0"/>
              <w:jc w:val="left"/>
              <w:rPr>
                <w:rFonts w:ascii="Arial" w:hAnsi="Arial" w:cs="Arial" w:eastAsia="Arial" w:hint="default"/>
                <w:sz w:val="18"/>
                <w:szCs w:val="18"/>
              </w:rPr>
            </w:pPr>
            <w:r>
              <w:rPr>
                <w:rFonts w:ascii="Arial"/>
                <w:sz w:val="18"/>
              </w:rPr>
              <w:t>401,752,119.14</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549,577,597.96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78" w:right="0"/>
              <w:jc w:val="left"/>
              <w:rPr>
                <w:rFonts w:ascii="Arial" w:hAnsi="Arial" w:cs="Arial" w:eastAsia="Arial" w:hint="default"/>
                <w:sz w:val="18"/>
                <w:szCs w:val="18"/>
              </w:rPr>
            </w:pPr>
            <w:r>
              <w:rPr>
                <w:rFonts w:ascii="Arial"/>
                <w:sz w:val="18"/>
              </w:rPr>
              <w:t>428,323,591.10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3" w:right="0"/>
              <w:jc w:val="left"/>
              <w:rPr>
                <w:rFonts w:ascii="Arial" w:hAnsi="Arial" w:cs="Arial" w:eastAsia="Arial" w:hint="default"/>
                <w:sz w:val="18"/>
                <w:szCs w:val="18"/>
              </w:rPr>
            </w:pPr>
            <w:r>
              <w:rPr>
                <w:rFonts w:ascii="Arial"/>
                <w:sz w:val="18"/>
              </w:rPr>
              <w:t>552,423,043.87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55" w:right="0"/>
              <w:jc w:val="left"/>
              <w:rPr>
                <w:rFonts w:ascii="Arial" w:hAnsi="Arial" w:cs="Arial" w:eastAsia="Arial" w:hint="default"/>
                <w:sz w:val="18"/>
                <w:szCs w:val="18"/>
              </w:rPr>
            </w:pPr>
            <w:r>
              <w:rPr>
                <w:rFonts w:ascii="Arial"/>
                <w:sz w:val="18"/>
              </w:rPr>
              <w:t>401,752,119.14</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3</w:t>
      </w:r>
      <w:r>
        <w:rPr/>
        <w:t>）主营业务（分产品）</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26"/>
      </w:tblGrid>
      <w:tr>
        <w:trPr>
          <w:trHeight w:val="402"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消费电子类电源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4" w:right="0"/>
              <w:jc w:val="left"/>
              <w:rPr>
                <w:rFonts w:ascii="Arial" w:hAnsi="Arial" w:cs="Arial" w:eastAsia="Arial" w:hint="default"/>
                <w:sz w:val="18"/>
                <w:szCs w:val="18"/>
              </w:rPr>
            </w:pPr>
            <w:r>
              <w:rPr>
                <w:rFonts w:ascii="Arial"/>
                <w:sz w:val="18"/>
              </w:rPr>
              <w:t>349,407,854.78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8" w:right="0"/>
              <w:jc w:val="left"/>
              <w:rPr>
                <w:rFonts w:ascii="Arial" w:hAnsi="Arial" w:cs="Arial" w:eastAsia="Arial" w:hint="default"/>
                <w:sz w:val="18"/>
                <w:szCs w:val="18"/>
              </w:rPr>
            </w:pPr>
            <w:r>
              <w:rPr>
                <w:rFonts w:ascii="Arial"/>
                <w:sz w:val="18"/>
              </w:rPr>
              <w:t>295,966,624.81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3" w:right="0"/>
              <w:jc w:val="left"/>
              <w:rPr>
                <w:rFonts w:ascii="Arial" w:hAnsi="Arial" w:cs="Arial" w:eastAsia="Arial" w:hint="default"/>
                <w:sz w:val="18"/>
                <w:szCs w:val="18"/>
              </w:rPr>
            </w:pPr>
            <w:r>
              <w:rPr>
                <w:rFonts w:ascii="Arial"/>
                <w:sz w:val="18"/>
              </w:rPr>
              <w:t>400,063,208.80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3" w:right="0"/>
              <w:jc w:val="left"/>
              <w:rPr>
                <w:rFonts w:ascii="Arial" w:hAnsi="Arial" w:cs="Arial" w:eastAsia="Arial" w:hint="default"/>
                <w:sz w:val="18"/>
                <w:szCs w:val="18"/>
              </w:rPr>
            </w:pPr>
            <w:r>
              <w:rPr>
                <w:rFonts w:ascii="Arial"/>
                <w:sz w:val="18"/>
              </w:rPr>
              <w:t>304,171,005.85</w:t>
            </w:r>
          </w:p>
        </w:tc>
      </w:tr>
    </w:tbl>
    <w:p>
      <w:pPr>
        <w:spacing w:after="0" w:line="240" w:lineRule="auto"/>
        <w:jc w:val="left"/>
        <w:rPr>
          <w:rFonts w:ascii="Arial" w:hAnsi="Arial" w:cs="Arial" w:eastAsia="Arial" w:hint="default"/>
          <w:sz w:val="18"/>
          <w:szCs w:val="18"/>
        </w:rPr>
        <w:sectPr>
          <w:pgSz w:w="11910" w:h="16840"/>
          <w:pgMar w:header="877" w:footer="1330"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LED</w:t>
            </w:r>
            <w:r>
              <w:rPr>
                <w:rFonts w:ascii="Arial" w:hAnsi="Arial" w:cs="Arial" w:eastAsia="Arial" w:hint="default"/>
                <w:spacing w:val="-6"/>
                <w:sz w:val="18"/>
                <w:szCs w:val="18"/>
              </w:rPr>
              <w:t> </w:t>
            </w:r>
            <w:r>
              <w:rPr>
                <w:rFonts w:ascii="宋体" w:hAnsi="宋体" w:cs="宋体" w:eastAsia="宋体" w:hint="default"/>
                <w:sz w:val="18"/>
                <w:szCs w:val="18"/>
              </w:rPr>
              <w:t>驱动电源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185,262,247.43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124,517,200.75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148,816,285.02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94,836,584.97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智能模块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6,468,615.41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1,311,872.70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8,438,880.34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6,527,892.84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3,543,550.05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2,744,528.32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549,577,597.96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428,323,591.10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552,423,043.87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401,752,119.14</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4</w:t>
      </w:r>
      <w:r>
        <w:rPr/>
        <w:t>）主营业务（分地区）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327,788,928.71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8" w:right="0"/>
              <w:jc w:val="left"/>
              <w:rPr>
                <w:rFonts w:ascii="Arial" w:hAnsi="Arial" w:cs="Arial" w:eastAsia="Arial" w:hint="default"/>
                <w:sz w:val="18"/>
                <w:szCs w:val="18"/>
              </w:rPr>
            </w:pPr>
            <w:r>
              <w:rPr>
                <w:rFonts w:ascii="Arial"/>
                <w:sz w:val="18"/>
              </w:rPr>
              <w:t>248,463,909.39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3" w:right="0"/>
              <w:jc w:val="left"/>
              <w:rPr>
                <w:rFonts w:ascii="Arial" w:hAnsi="Arial" w:cs="Arial" w:eastAsia="Arial" w:hint="default"/>
                <w:sz w:val="18"/>
                <w:szCs w:val="18"/>
              </w:rPr>
            </w:pPr>
            <w:r>
              <w:rPr>
                <w:rFonts w:ascii="Arial"/>
                <w:sz w:val="18"/>
              </w:rPr>
              <w:t>287,519,013.54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3" w:right="0"/>
              <w:jc w:val="left"/>
              <w:rPr>
                <w:rFonts w:ascii="Arial" w:hAnsi="Arial" w:cs="Arial" w:eastAsia="Arial" w:hint="default"/>
                <w:sz w:val="18"/>
                <w:szCs w:val="18"/>
              </w:rPr>
            </w:pPr>
            <w:r>
              <w:rPr>
                <w:rFonts w:ascii="Arial"/>
                <w:sz w:val="18"/>
              </w:rPr>
              <w:t>213,486,645.44</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221,788,669.25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78" w:right="0"/>
              <w:jc w:val="left"/>
              <w:rPr>
                <w:rFonts w:ascii="Arial" w:hAnsi="Arial" w:cs="Arial" w:eastAsia="Arial" w:hint="default"/>
                <w:sz w:val="18"/>
                <w:szCs w:val="18"/>
              </w:rPr>
            </w:pPr>
            <w:r>
              <w:rPr>
                <w:rFonts w:ascii="Arial"/>
                <w:sz w:val="18"/>
              </w:rPr>
              <w:t>179,859,681.71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3" w:right="0"/>
              <w:jc w:val="left"/>
              <w:rPr>
                <w:rFonts w:ascii="Arial" w:hAnsi="Arial" w:cs="Arial" w:eastAsia="Arial" w:hint="default"/>
                <w:sz w:val="18"/>
                <w:szCs w:val="18"/>
              </w:rPr>
            </w:pPr>
            <w:r>
              <w:rPr>
                <w:rFonts w:ascii="Arial"/>
                <w:sz w:val="18"/>
              </w:rPr>
              <w:t>264,904,030.33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3" w:right="0"/>
              <w:jc w:val="left"/>
              <w:rPr>
                <w:rFonts w:ascii="Arial" w:hAnsi="Arial" w:cs="Arial" w:eastAsia="Arial" w:hint="default"/>
                <w:sz w:val="18"/>
                <w:szCs w:val="18"/>
              </w:rPr>
            </w:pPr>
            <w:r>
              <w:rPr>
                <w:rFonts w:ascii="Arial"/>
                <w:sz w:val="18"/>
              </w:rPr>
              <w:t>188,265,473.70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549,577,597.96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8" w:right="0"/>
              <w:jc w:val="left"/>
              <w:rPr>
                <w:rFonts w:ascii="Arial" w:hAnsi="Arial" w:cs="Arial" w:eastAsia="Arial" w:hint="default"/>
                <w:sz w:val="18"/>
                <w:szCs w:val="18"/>
              </w:rPr>
            </w:pPr>
            <w:r>
              <w:rPr>
                <w:rFonts w:ascii="Arial"/>
                <w:sz w:val="18"/>
              </w:rPr>
              <w:t>428,323,591.10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3" w:right="0"/>
              <w:jc w:val="left"/>
              <w:rPr>
                <w:rFonts w:ascii="Arial" w:hAnsi="Arial" w:cs="Arial" w:eastAsia="Arial" w:hint="default"/>
                <w:sz w:val="18"/>
                <w:szCs w:val="18"/>
              </w:rPr>
            </w:pPr>
            <w:r>
              <w:rPr>
                <w:rFonts w:ascii="Arial"/>
                <w:sz w:val="18"/>
              </w:rPr>
              <w:t>552,423,043.87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5" w:right="0"/>
              <w:jc w:val="left"/>
              <w:rPr>
                <w:rFonts w:ascii="Arial" w:hAnsi="Arial" w:cs="Arial" w:eastAsia="Arial" w:hint="default"/>
                <w:sz w:val="18"/>
                <w:szCs w:val="18"/>
              </w:rPr>
            </w:pPr>
            <w:r>
              <w:rPr>
                <w:rFonts w:ascii="Arial"/>
                <w:sz w:val="18"/>
              </w:rPr>
              <w:t>401,752,119.14</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5</w:t>
      </w:r>
      <w:r>
        <w:rPr/>
        <w:t>）公司前五名客户的营业收入情况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7" w:right="0"/>
              <w:jc w:val="left"/>
              <w:rPr>
                <w:rFonts w:ascii="Arial" w:hAnsi="Arial" w:cs="Arial" w:eastAsia="Arial" w:hint="default"/>
                <w:sz w:val="18"/>
                <w:szCs w:val="18"/>
              </w:rPr>
            </w:pPr>
            <w:r>
              <w:rPr>
                <w:rFonts w:ascii="宋体" w:hAnsi="宋体" w:cs="宋体" w:eastAsia="宋体" w:hint="default"/>
                <w:sz w:val="18"/>
                <w:szCs w:val="18"/>
              </w:rPr>
              <w:t>占公司全部营业收入的比例</w:t>
            </w:r>
            <w:r>
              <w:rPr>
                <w:rFonts w:ascii="Arial" w:hAnsi="Arial" w:cs="Arial" w:eastAsia="Arial" w:hint="default"/>
                <w:sz w:val="18"/>
                <w:szCs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93,690,069.61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17.03%</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24,813,432.76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4.51%</w:t>
            </w:r>
            <w:r>
              <w:rPr>
                <w:rFonts w:ascii="Arial"/>
                <w:sz w:val="18"/>
              </w:rPr>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24,392,251.00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4.43%</w:t>
            </w:r>
            <w:r>
              <w:rPr>
                <w:rFonts w:ascii="Arial"/>
                <w:sz w:val="18"/>
              </w:rPr>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19,621,962.31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3.57%</w:t>
            </w:r>
            <w:r>
              <w:rPr>
                <w:rFonts w:ascii="Arial"/>
                <w:sz w:val="18"/>
              </w:rPr>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19,047,073.25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3.46%</w:t>
            </w:r>
            <w:r>
              <w:rPr>
                <w:rFonts w:ascii="Arial"/>
                <w:sz w:val="18"/>
              </w:rPr>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181,564,788.93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33.01%</w:t>
            </w:r>
          </w:p>
        </w:tc>
      </w:tr>
    </w:tbl>
    <w:p>
      <w:pPr>
        <w:pStyle w:val="BodyText"/>
        <w:spacing w:line="240" w:lineRule="auto" w:before="49"/>
        <w:ind w:right="1121"/>
        <w:jc w:val="left"/>
      </w:pPr>
      <w:r>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rFonts w:ascii="Arial" w:hAnsi="Arial" w:cs="Arial" w:eastAsia="Arial" w:hint="default"/>
        </w:rPr>
        <w:t>31</w:t>
      </w:r>
      <w:r>
        <w:rPr/>
        <w:t>、营业税金及附加</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4"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2,440,144.35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1,436,166.21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5%</w:t>
            </w:r>
            <w:r>
              <w:rPr>
                <w:rFonts w:ascii="宋体" w:hAnsi="宋体" w:cs="宋体" w:eastAsia="宋体" w:hint="default"/>
                <w:sz w:val="18"/>
                <w:szCs w:val="18"/>
              </w:rPr>
              <w:t>、</w:t>
            </w:r>
            <w:r>
              <w:rPr>
                <w:rFonts w:ascii="Arial" w:hAnsi="Arial" w:cs="Arial" w:eastAsia="Arial" w:hint="default"/>
                <w:sz w:val="18"/>
                <w:szCs w:val="18"/>
              </w:rPr>
              <w:t>7%</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1,045,985.35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426,440.76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3%</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697,323.57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586,638.23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2%</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4,183,453.27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2,449,245.20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Arial" w:hAnsi="Arial" w:cs="Arial" w:eastAsia="Arial" w:hint="default"/>
                <w:sz w:val="18"/>
                <w:szCs w:val="18"/>
              </w:rPr>
            </w:pPr>
            <w:r>
              <w:rPr>
                <w:rFonts w:ascii="Arial"/>
                <w:sz w:val="18"/>
              </w:rPr>
              <w:t>--</w:t>
            </w:r>
          </w:p>
        </w:tc>
      </w:tr>
    </w:tbl>
    <w:p>
      <w:pPr>
        <w:pStyle w:val="BodyText"/>
        <w:spacing w:line="240" w:lineRule="auto" w:before="49"/>
        <w:ind w:right="1121"/>
        <w:jc w:val="left"/>
      </w:pPr>
      <w:r>
        <w:rPr/>
        <w:t>营业税金及附加的说明</w:t>
      </w:r>
    </w:p>
    <w:p>
      <w:pPr>
        <w:spacing w:after="0" w:line="240" w:lineRule="auto"/>
        <w:jc w:val="left"/>
        <w:sectPr>
          <w:pgSz w:w="11910" w:h="16840"/>
          <w:pgMar w:header="877" w:footer="1330" w:top="1060" w:bottom="152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1033048"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136</w:t>
                    </w:r>
                  </w:p>
                </w:txbxContent>
              </v:textbox>
              <w10:wrap type="none"/>
            </v:shape>
            <w10:wrap type="none"/>
          </v:group>
        </w:pict>
      </w:r>
    </w:p>
    <w:p>
      <w:pPr>
        <w:pStyle w:val="Heading3"/>
        <w:spacing w:line="240" w:lineRule="auto" w:before="36"/>
        <w:ind w:right="1121"/>
        <w:jc w:val="left"/>
        <w:rPr>
          <w:b w:val="0"/>
          <w:bCs w:val="0"/>
        </w:rPr>
      </w:pPr>
      <w:r>
        <w:rPr>
          <w:rFonts w:ascii="Arial" w:hAnsi="Arial" w:cs="Arial" w:eastAsia="Arial" w:hint="default"/>
        </w:rPr>
        <w:t>32</w:t>
      </w:r>
      <w:r>
        <w:rPr/>
        <w:t>、销售费用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11,144,000.04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16,151,895.63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社会保险费及住房公积金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441,096.47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355,899.30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46,999.69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228,772.05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2,405,731.07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4,110,603.88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1,801,452.65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791,490.54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4,163,936.72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4,364,656.71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44,478.42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51,040.44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1,038,842.61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371,368.13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1,946,427.62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1,594,977.48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68,035.17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32,220.99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238,780.59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255,285.69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33,266.86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23,520.69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2,713,097.50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1,746,431.06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26,086,145.41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30,078,162.59</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rFonts w:ascii="Arial" w:hAnsi="Arial" w:cs="Arial" w:eastAsia="Arial" w:hint="default"/>
        </w:rPr>
        <w:t>33</w:t>
      </w:r>
      <w:r>
        <w:rPr/>
        <w:t>、管理费用</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10,674,238.16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10,861,939.70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147,341.09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社会保险费及住房公积金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1,277,416.35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1,214,344.58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603,858.25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562,876.54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414,900.00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460,719.16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1,218,317.47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1,115,977.09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2,799,962.42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2,595,838.78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929,391.82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1,252,326.00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2,211,280.02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1,178,609.12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1,522,558.91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801,650.00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1,121,422.38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829,488.46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17,366,877.67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24,105,476.29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6,621,342.69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5,982,724.57</w:t>
            </w:r>
          </w:p>
        </w:tc>
      </w:tr>
    </w:tbl>
    <w:p>
      <w:pPr>
        <w:spacing w:after="0" w:line="240" w:lineRule="auto"/>
        <w:jc w:val="right"/>
        <w:rPr>
          <w:rFonts w:ascii="Arial" w:hAnsi="Arial" w:cs="Arial" w:eastAsia="Arial" w:hint="default"/>
          <w:sz w:val="18"/>
          <w:szCs w:val="18"/>
        </w:rPr>
        <w:sectPr>
          <w:headerReference w:type="default" r:id="rId69"/>
          <w:footerReference w:type="default" r:id="rId70"/>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033000"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137</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06" w:right="0"/>
              <w:jc w:val="left"/>
              <w:rPr>
                <w:rFonts w:ascii="Arial" w:hAnsi="Arial" w:cs="Arial" w:eastAsia="Arial" w:hint="default"/>
                <w:sz w:val="18"/>
                <w:szCs w:val="18"/>
              </w:rPr>
            </w:pPr>
            <w:r>
              <w:rPr>
                <w:rFonts w:ascii="Arial"/>
                <w:sz w:val="18"/>
              </w:rPr>
              <w:t>46,908,907.23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06" w:right="0"/>
              <w:jc w:val="left"/>
              <w:rPr>
                <w:rFonts w:ascii="Arial" w:hAnsi="Arial" w:cs="Arial" w:eastAsia="Arial" w:hint="default"/>
                <w:sz w:val="18"/>
                <w:szCs w:val="18"/>
              </w:rPr>
            </w:pPr>
            <w:r>
              <w:rPr>
                <w:rFonts w:ascii="Arial"/>
                <w:sz w:val="18"/>
              </w:rPr>
              <w:t>50,961,970.29</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rFonts w:ascii="Arial" w:hAnsi="Arial" w:cs="Arial" w:eastAsia="Arial" w:hint="default"/>
        </w:rPr>
        <w:t>34</w:t>
      </w:r>
      <w:r>
        <w:rPr/>
        <w:t>、财务费用</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1,265,484.69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3,355,970.96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9,352,853.20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796,610.07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222,157.41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4,197,463.98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-683,509.07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-904,647.45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2"/>
                <w:sz w:val="18"/>
              </w:rPr>
              <w:t>93,113.05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537,347.05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-8,455,607.12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6,389,524.47</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rFonts w:ascii="Arial" w:hAnsi="Arial" w:cs="Arial" w:eastAsia="Arial" w:hint="default"/>
        </w:rPr>
        <w:t>35</w:t>
      </w:r>
      <w:r>
        <w:rPr/>
        <w:t>、公允价值变动收益</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-92,180.09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92,180.09</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-92,180.09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92,180.09</w:t>
            </w:r>
          </w:p>
        </w:tc>
      </w:tr>
    </w:tbl>
    <w:p>
      <w:pPr>
        <w:pStyle w:val="BodyText"/>
        <w:spacing w:line="240" w:lineRule="auto" w:before="49"/>
        <w:ind w:right="1121"/>
        <w:jc w:val="left"/>
      </w:pPr>
      <w:r>
        <w:rPr/>
        <w:t>公允价值变动收益的说明</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rFonts w:ascii="Arial" w:hAnsi="Arial" w:cs="Arial" w:eastAsia="Arial" w:hint="default"/>
        </w:rPr>
        <w:t>36</w:t>
      </w:r>
      <w:r>
        <w:rPr/>
        <w:t>、投资收益</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）投资收益明细情况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5"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1"/>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 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bl>
    <w:p>
      <w:pPr>
        <w:spacing w:after="0" w:line="240" w:lineRule="auto"/>
        <w:jc w:val="right"/>
        <w:rPr>
          <w:rFonts w:ascii="Arial" w:hAnsi="Arial" w:cs="Arial" w:eastAsia="Arial" w:hint="default"/>
          <w:sz w:val="18"/>
          <w:szCs w:val="18"/>
        </w:rPr>
        <w:sectPr>
          <w:headerReference w:type="default" r:id="rId71"/>
          <w:footerReference w:type="default" r:id="rId72"/>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032952"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138</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846"/>
        <w:gridCol w:w="2800"/>
        <w:gridCol w:w="2921"/>
      </w:tblGrid>
      <w:tr>
        <w:trPr>
          <w:trHeight w:val="402" w:hRule="exact"/>
        </w:trPr>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-92,544.61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-92,544.61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rFonts w:ascii="Arial" w:hAnsi="Arial" w:cs="Arial" w:eastAsia="Arial" w:hint="default"/>
        </w:rPr>
        <w:t>37</w:t>
      </w:r>
      <w:r>
        <w:rPr/>
        <w:t>、资产减值损失</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4,839,460.24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563,708.46</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4,839,460.24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563,708.46</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rFonts w:ascii="Arial" w:hAnsi="Arial" w:cs="Arial" w:eastAsia="Arial" w:hint="default"/>
        </w:rPr>
        <w:t>38</w:t>
      </w:r>
      <w:r>
        <w:rPr/>
        <w:t>、营业外收入</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）营业外收入情况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1"/>
        <w:gridCol w:w="1967"/>
        <w:gridCol w:w="2160"/>
        <w:gridCol w:w="2161"/>
      </w:tblGrid>
      <w:tr>
        <w:trPr>
          <w:trHeight w:val="161" w:hRule="exact"/>
        </w:trPr>
        <w:tc>
          <w:tcPr>
            <w:tcW w:w="32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67"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30,607.28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2,245.68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30,607.28</w:t>
            </w: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30,607.28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2,245.68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30,607.28</w:t>
            </w: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0.00</w:t>
            </w:r>
            <w:r>
              <w:rPr>
                <w:rFonts w:ascii="Arial"/>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0.00</w:t>
            </w:r>
            <w:r>
              <w:rPr>
                <w:rFonts w:ascii="Arial"/>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bl>
    <w:p>
      <w:pPr>
        <w:spacing w:after="0" w:line="240" w:lineRule="auto"/>
        <w:jc w:val="right"/>
        <w:rPr>
          <w:rFonts w:ascii="Arial" w:hAnsi="Arial" w:cs="Arial" w:eastAsia="Arial" w:hint="default"/>
          <w:sz w:val="18"/>
          <w:szCs w:val="18"/>
        </w:rPr>
        <w:sectPr>
          <w:headerReference w:type="default" r:id="rId73"/>
          <w:footerReference w:type="default" r:id="rId74"/>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0.00</w:t>
            </w:r>
            <w:r>
              <w:rPr>
                <w:rFonts w:ascii="Arial"/>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w w:val="95"/>
                <w:sz w:val="18"/>
              </w:rPr>
              <w:t>0.00</w:t>
            </w:r>
            <w:r>
              <w:rPr>
                <w:rFonts w:ascii="Arial"/>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6,826,165.72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2,667,489.69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6,826,165.72</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赞助费收入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353,493.51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223,336.18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353,493.51</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28,352.58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30,376.37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28,352.58</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7,238,619.09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2,923,447.92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7,238,619.09</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2</w:t>
      </w:r>
      <w:r>
        <w:rPr/>
        <w:t>）政府补助明细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33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战略性新兴产业发展专项资金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spacing w:val="-1"/>
                <w:sz w:val="18"/>
              </w:rPr>
              <w:t>2,666,666.72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spacing w:val="-1"/>
                <w:sz w:val="18"/>
              </w:rPr>
              <w:t>845,906.69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年收到广东省战略性新兴产业</w:t>
            </w:r>
          </w:p>
          <w:p>
            <w:pPr>
              <w:pStyle w:val="TableParagraph"/>
              <w:spacing w:line="240" w:lineRule="auto" w:before="63"/>
              <w:ind w:left="23" w:right="0"/>
              <w:jc w:val="left"/>
              <w:rPr>
                <w:rFonts w:ascii="Arial" w:hAnsi="Arial" w:cs="Arial" w:eastAsia="Arial" w:hint="default"/>
                <w:sz w:val="18"/>
                <w:szCs w:val="18"/>
              </w:rPr>
            </w:pPr>
            <w:r>
              <w:rPr>
                <w:rFonts w:ascii="宋体" w:hAnsi="宋体" w:cs="宋体" w:eastAsia="宋体" w:hint="default"/>
                <w:sz w:val="18"/>
                <w:szCs w:val="18"/>
              </w:rPr>
              <w:t>发展专项资金（</w:t>
            </w:r>
            <w:r>
              <w:rPr>
                <w:rFonts w:ascii="Arial" w:hAnsi="Arial" w:cs="Arial" w:eastAsia="Arial" w:hint="default"/>
                <w:sz w:val="18"/>
                <w:szCs w:val="18"/>
              </w:rPr>
              <w:t>LED </w:t>
            </w:r>
            <w:r>
              <w:rPr>
                <w:rFonts w:ascii="宋体" w:hAnsi="宋体" w:cs="宋体" w:eastAsia="宋体" w:hint="default"/>
                <w:spacing w:val="-4"/>
                <w:sz w:val="18"/>
                <w:szCs w:val="18"/>
              </w:rPr>
              <w:t>产业）资助</w:t>
            </w:r>
            <w:r>
              <w:rPr>
                <w:rFonts w:ascii="宋体" w:hAnsi="宋体" w:cs="宋体" w:eastAsia="宋体" w:hint="default"/>
                <w:spacing w:val="-68"/>
                <w:sz w:val="18"/>
                <w:szCs w:val="18"/>
              </w:rPr>
              <w:t> </w:t>
            </w:r>
            <w:r>
              <w:rPr>
                <w:rFonts w:ascii="Arial" w:hAnsi="Arial" w:cs="Arial" w:eastAsia="Arial" w:hint="default"/>
                <w:sz w:val="18"/>
                <w:szCs w:val="18"/>
              </w:rPr>
              <w:t>500</w:t>
            </w:r>
          </w:p>
          <w:p>
            <w:pPr>
              <w:pStyle w:val="TableParagraph"/>
              <w:spacing w:line="302" w:lineRule="auto" w:before="63"/>
              <w:ind w:left="23" w:right="57"/>
              <w:jc w:val="left"/>
              <w:rPr>
                <w:rFonts w:ascii="宋体" w:hAnsi="宋体" w:cs="宋体" w:eastAsia="宋体" w:hint="default"/>
                <w:sz w:val="18"/>
                <w:szCs w:val="18"/>
              </w:rPr>
            </w:pPr>
            <w:r>
              <w:rPr>
                <w:rFonts w:ascii="宋体" w:hAnsi="宋体" w:cs="宋体" w:eastAsia="宋体" w:hint="default"/>
                <w:sz w:val="18"/>
                <w:szCs w:val="18"/>
              </w:rPr>
              <w:t>万元，自</w:t>
            </w:r>
            <w:r>
              <w:rPr>
                <w:rFonts w:ascii="宋体" w:hAnsi="宋体" w:cs="宋体" w:eastAsia="宋体" w:hint="default"/>
                <w:spacing w:val="-46"/>
                <w:sz w:val="18"/>
                <w:szCs w:val="18"/>
              </w:rPr>
              <w:t> </w:t>
            </w: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月开始摊销计入 营业外收入</w:t>
            </w:r>
          </w:p>
        </w:tc>
      </w:tr>
      <w:tr>
        <w:trPr>
          <w:trHeight w:val="1339"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科技研发资助资金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spacing w:val="-1"/>
                <w:sz w:val="18"/>
              </w:rPr>
              <w:t>443,600.00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spacing w:val="-1"/>
                <w:sz w:val="18"/>
              </w:rPr>
              <w:t>348,600.00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1"/>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高可靠</w:t>
            </w:r>
            <w:r>
              <w:rPr>
                <w:rFonts w:ascii="宋体" w:hAnsi="宋体" w:cs="宋体" w:eastAsia="宋体" w:hint="default"/>
                <w:spacing w:val="-47"/>
                <w:sz w:val="18"/>
                <w:szCs w:val="18"/>
              </w:rPr>
              <w:t> </w:t>
            </w:r>
            <w:r>
              <w:rPr>
                <w:rFonts w:ascii="Arial" w:hAnsi="Arial" w:cs="Arial" w:eastAsia="Arial" w:hint="default"/>
                <w:sz w:val="18"/>
                <w:szCs w:val="18"/>
              </w:rPr>
              <w:t>LED</w:t>
            </w:r>
            <w:r>
              <w:rPr>
                <w:rFonts w:ascii="Arial" w:hAnsi="Arial" w:cs="Arial" w:eastAsia="Arial" w:hint="default"/>
                <w:spacing w:val="-7"/>
                <w:sz w:val="18"/>
                <w:szCs w:val="18"/>
              </w:rPr>
              <w:t> </w:t>
            </w:r>
            <w:r>
              <w:rPr>
                <w:rFonts w:ascii="宋体" w:hAnsi="宋体" w:cs="宋体" w:eastAsia="宋体" w:hint="default"/>
                <w:sz w:val="18"/>
                <w:szCs w:val="18"/>
              </w:rPr>
              <w:t>驱动电源技术开发及可 靠性研究</w:t>
            </w:r>
            <w:r>
              <w:rPr>
                <w:rFonts w:ascii="Arial" w:hAnsi="Arial" w:cs="Arial" w:eastAsia="Arial" w:hint="default"/>
                <w:sz w:val="18"/>
                <w:szCs w:val="18"/>
              </w:rPr>
              <w:t>"</w:t>
            </w:r>
            <w:r>
              <w:rPr>
                <w:rFonts w:ascii="宋体" w:hAnsi="宋体" w:cs="宋体" w:eastAsia="宋体" w:hint="default"/>
                <w:sz w:val="18"/>
                <w:szCs w:val="18"/>
              </w:rPr>
              <w:t>课题工作组课题经费，自 </w:t>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月开始摊销计入营业外收 入</w:t>
            </w:r>
          </w:p>
        </w:tc>
      </w:tr>
      <w:tr>
        <w:trPr>
          <w:trHeight w:val="1649"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专利资助费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31,800.00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宋体" w:hAnsi="宋体" w:cs="宋体" w:eastAsia="宋体" w:hint="default"/>
                <w:sz w:val="18"/>
                <w:szCs w:val="18"/>
              </w:rPr>
              <w:t>分别收到：市场监督局</w:t>
            </w:r>
            <w:r>
              <w:rPr>
                <w:rFonts w:ascii="宋体" w:hAnsi="宋体" w:cs="宋体" w:eastAsia="宋体" w:hint="default"/>
                <w:spacing w:val="-47"/>
                <w:sz w:val="18"/>
                <w:szCs w:val="18"/>
              </w:rPr>
              <w:t> </w:t>
            </w:r>
            <w:r>
              <w:rPr>
                <w:rFonts w:ascii="Arial" w:hAnsi="Arial" w:cs="Arial" w:eastAsia="Arial" w:hint="default"/>
                <w:spacing w:val="-4"/>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Arial" w:hAnsi="Arial" w:cs="Arial" w:eastAsia="Arial" w:hint="default"/>
                <w:spacing w:val="-14"/>
                <w:sz w:val="18"/>
                <w:szCs w:val="18"/>
              </w:rPr>
              <w:t>11</w:t>
            </w:r>
            <w:r>
              <w:rPr>
                <w:rFonts w:ascii="Arial" w:hAnsi="Arial" w:cs="Arial" w:eastAsia="Arial"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批专利资助费</w:t>
            </w:r>
            <w:r>
              <w:rPr>
                <w:rFonts w:ascii="宋体" w:hAnsi="宋体" w:cs="宋体" w:eastAsia="宋体" w:hint="default"/>
                <w:spacing w:val="1"/>
                <w:sz w:val="18"/>
                <w:szCs w:val="18"/>
              </w:rPr>
              <w:t> </w:t>
            </w:r>
            <w:r>
              <w:rPr>
                <w:rFonts w:ascii="宋体" w:hAnsi="宋体" w:cs="宋体" w:eastAsia="宋体" w:hint="default"/>
                <w:spacing w:val="-10"/>
                <w:sz w:val="18"/>
                <w:szCs w:val="18"/>
              </w:rPr>
              <w:t>；市场监督局</w:t>
            </w:r>
            <w:r>
              <w:rPr>
                <w:rFonts w:ascii="宋体" w:hAnsi="宋体" w:cs="宋体" w:eastAsia="宋体" w:hint="default"/>
                <w:spacing w:val="-45"/>
                <w:sz w:val="18"/>
                <w:szCs w:val="18"/>
              </w:rPr>
              <w:t> </w:t>
            </w:r>
            <w:r>
              <w:rPr>
                <w:rFonts w:ascii="Arial" w:hAnsi="Arial" w:cs="Arial" w:eastAsia="Arial" w:hint="default"/>
                <w:sz w:val="18"/>
                <w:szCs w:val="18"/>
              </w:rPr>
              <w:t>2012</w:t>
            </w:r>
            <w:r>
              <w:rPr>
                <w:rFonts w:ascii="Arial" w:hAnsi="Arial" w:cs="Arial" w:eastAsia="Arial" w:hint="default"/>
                <w:spacing w:val="-4"/>
                <w:sz w:val="18"/>
                <w:szCs w:val="18"/>
              </w:rPr>
              <w:t> </w:t>
            </w:r>
            <w:r>
              <w:rPr>
                <w:rFonts w:ascii="宋体" w:hAnsi="宋体" w:cs="宋体" w:eastAsia="宋体" w:hint="default"/>
                <w:sz w:val="18"/>
                <w:szCs w:val="18"/>
              </w:rPr>
              <w:t>年</w:t>
            </w:r>
          </w:p>
          <w:p>
            <w:pPr>
              <w:pStyle w:val="TableParagraph"/>
              <w:spacing w:line="240" w:lineRule="auto" w:before="64"/>
              <w:ind w:left="23" w:right="0"/>
              <w:jc w:val="left"/>
              <w:rPr>
                <w:rFonts w:ascii="Arial" w:hAnsi="Arial" w:cs="Arial" w:eastAsia="Arial" w:hint="default"/>
                <w:sz w:val="18"/>
                <w:szCs w:val="18"/>
              </w:rPr>
            </w:pPr>
            <w:r>
              <w:rPr>
                <w:rFonts w:ascii="宋体" w:hAnsi="宋体" w:cs="宋体" w:eastAsia="宋体" w:hint="default"/>
                <w:sz w:val="18"/>
                <w:szCs w:val="18"/>
              </w:rPr>
              <w:t>第</w:t>
            </w:r>
            <w:r>
              <w:rPr>
                <w:rFonts w:ascii="宋体" w:hAnsi="宋体" w:cs="宋体" w:eastAsia="宋体" w:hint="default"/>
                <w:spacing w:val="-52"/>
                <w:sz w:val="18"/>
                <w:szCs w:val="18"/>
              </w:rPr>
              <w:t> </w:t>
            </w:r>
            <w:r>
              <w:rPr>
                <w:rFonts w:ascii="Arial" w:hAnsi="Arial" w:cs="Arial" w:eastAsia="Arial" w:hint="default"/>
                <w:w w:val="99"/>
                <w:sz w:val="18"/>
                <w:szCs w:val="18"/>
              </w:rPr>
              <w:t>1</w:t>
            </w:r>
            <w:r>
              <w:rPr>
                <w:rFonts w:ascii="Arial" w:hAnsi="Arial" w:cs="Arial" w:eastAsia="Arial" w:hint="default"/>
                <w:spacing w:val="-11"/>
                <w:sz w:val="18"/>
                <w:szCs w:val="18"/>
              </w:rPr>
              <w:t> </w:t>
            </w:r>
            <w:r>
              <w:rPr>
                <w:rFonts w:ascii="宋体" w:hAnsi="宋体" w:cs="宋体" w:eastAsia="宋体" w:hint="default"/>
                <w:sz w:val="18"/>
                <w:szCs w:val="18"/>
              </w:rPr>
              <w:t>批专利资助费</w:t>
            </w:r>
            <w:r>
              <w:rPr>
                <w:rFonts w:ascii="宋体" w:hAnsi="宋体" w:cs="宋体" w:eastAsia="宋体" w:hint="default"/>
                <w:spacing w:val="-92"/>
                <w:sz w:val="18"/>
                <w:szCs w:val="18"/>
              </w:rPr>
              <w:t>；</w:t>
            </w:r>
            <w:r>
              <w:rPr>
                <w:rFonts w:ascii="宋体" w:hAnsi="宋体" w:cs="宋体" w:eastAsia="宋体" w:hint="default"/>
                <w:sz w:val="18"/>
                <w:szCs w:val="18"/>
              </w:rPr>
              <w:t>市场监督局</w:t>
            </w:r>
            <w:r>
              <w:rPr>
                <w:rFonts w:ascii="宋体" w:hAnsi="宋体" w:cs="宋体" w:eastAsia="宋体" w:hint="default"/>
                <w:spacing w:val="-51"/>
                <w:sz w:val="18"/>
                <w:szCs w:val="18"/>
              </w:rPr>
              <w:t> </w:t>
            </w:r>
            <w:r>
              <w:rPr>
                <w:rFonts w:ascii="Arial" w:hAnsi="Arial" w:cs="Arial" w:eastAsia="Arial" w:hint="default"/>
                <w:w w:val="99"/>
                <w:sz w:val="18"/>
                <w:szCs w:val="18"/>
              </w:rPr>
              <w:t>2012</w:t>
            </w:r>
            <w:r>
              <w:rPr>
                <w:rFonts w:ascii="Arial" w:hAnsi="Arial" w:cs="Arial" w:eastAsia="Arial"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6"/>
                <w:sz w:val="18"/>
                <w:szCs w:val="18"/>
              </w:rPr>
              <w:t> </w:t>
            </w:r>
            <w:r>
              <w:rPr>
                <w:rFonts w:ascii="宋体" w:hAnsi="宋体" w:cs="宋体" w:eastAsia="宋体" w:hint="default"/>
                <w:sz w:val="18"/>
                <w:szCs w:val="18"/>
              </w:rPr>
              <w:t>批专利资助费；市场监督局</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w:hAnsi="Arial" w:cs="Arial" w:eastAsia="Arial" w:hint="default"/>
                <w:sz w:val="18"/>
                <w:szCs w:val="18"/>
              </w:rPr>
              <w:t>8</w:t>
            </w:r>
            <w:r>
              <w:rPr>
                <w:rFonts w:ascii="Arial" w:hAnsi="Arial" w:cs="Arial" w:eastAsia="Arial" w:hint="default"/>
                <w:spacing w:val="-4"/>
                <w:sz w:val="18"/>
                <w:szCs w:val="18"/>
              </w:rPr>
              <w:t> </w:t>
            </w:r>
            <w:r>
              <w:rPr>
                <w:rFonts w:ascii="宋体" w:hAnsi="宋体" w:cs="宋体" w:eastAsia="宋体" w:hint="default"/>
                <w:sz w:val="18"/>
                <w:szCs w:val="18"/>
              </w:rPr>
              <w:t>批专利资助费</w:t>
            </w:r>
          </w:p>
        </w:tc>
      </w:tr>
      <w:tr>
        <w:trPr>
          <w:trHeight w:val="1339"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境外展览拨款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109,779.00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收到财政委员会</w:t>
            </w:r>
            <w:r>
              <w:rPr>
                <w:rFonts w:ascii="宋体" w:hAnsi="宋体" w:cs="宋体" w:eastAsia="宋体" w:hint="default"/>
                <w:spacing w:val="-45"/>
                <w:sz w:val="18"/>
                <w:szCs w:val="18"/>
              </w:rPr>
              <w:t> </w:t>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年年开拓资金</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9"/>
                <w:sz w:val="18"/>
                <w:szCs w:val="18"/>
              </w:rPr>
              <w:t> </w:t>
            </w:r>
            <w:r>
              <w:rPr>
                <w:rFonts w:ascii="Arial" w:hAnsi="Arial" w:cs="Arial" w:eastAsia="Arial" w:hint="default"/>
                <w:sz w:val="18"/>
                <w:szCs w:val="18"/>
              </w:rPr>
              <w:t>2</w:t>
            </w:r>
            <w:r>
              <w:rPr>
                <w:rFonts w:ascii="Arial" w:hAnsi="Arial" w:cs="Arial" w:eastAsia="Arial" w:hint="default"/>
                <w:spacing w:val="-18"/>
                <w:sz w:val="18"/>
                <w:szCs w:val="18"/>
              </w:rPr>
              <w:t> </w:t>
            </w:r>
            <w:r>
              <w:rPr>
                <w:rFonts w:ascii="宋体" w:hAnsi="宋体" w:cs="宋体" w:eastAsia="宋体" w:hint="default"/>
                <w:sz w:val="18"/>
                <w:szCs w:val="18"/>
              </w:rPr>
              <w:t>批境外展览拔款；收到财政委员</w:t>
            </w:r>
          </w:p>
          <w:p>
            <w:pPr>
              <w:pStyle w:val="TableParagraph"/>
              <w:spacing w:line="302"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62"/>
                <w:sz w:val="18"/>
                <w:szCs w:val="18"/>
              </w:rPr>
              <w:t> </w:t>
            </w:r>
            <w:r>
              <w:rPr>
                <w:rFonts w:ascii="Arial" w:hAnsi="Arial" w:cs="Arial" w:eastAsia="Arial" w:hint="default"/>
                <w:spacing w:val="-4"/>
                <w:sz w:val="18"/>
                <w:szCs w:val="18"/>
              </w:rPr>
              <w:t>2011</w:t>
            </w:r>
            <w:r>
              <w:rPr>
                <w:rFonts w:ascii="Arial" w:hAnsi="Arial" w:cs="Arial" w:eastAsia="Arial" w:hint="default"/>
                <w:spacing w:val="-21"/>
                <w:sz w:val="18"/>
                <w:szCs w:val="18"/>
              </w:rPr>
              <w:t> </w:t>
            </w:r>
            <w:r>
              <w:rPr>
                <w:rFonts w:ascii="宋体" w:hAnsi="宋体" w:cs="宋体" w:eastAsia="宋体" w:hint="default"/>
                <w:sz w:val="18"/>
                <w:szCs w:val="18"/>
              </w:rPr>
              <w:t>年开拓资金第</w:t>
            </w:r>
            <w:r>
              <w:rPr>
                <w:rFonts w:ascii="宋体" w:hAnsi="宋体" w:cs="宋体" w:eastAsia="宋体" w:hint="default"/>
                <w:spacing w:val="-61"/>
                <w:sz w:val="18"/>
                <w:szCs w:val="18"/>
              </w:rPr>
              <w:t> </w:t>
            </w:r>
            <w:r>
              <w:rPr>
                <w:rFonts w:ascii="Arial" w:hAnsi="Arial" w:cs="Arial" w:eastAsia="Arial" w:hint="default"/>
                <w:sz w:val="18"/>
                <w:szCs w:val="18"/>
              </w:rPr>
              <w:t>10</w:t>
            </w:r>
            <w:r>
              <w:rPr>
                <w:rFonts w:ascii="Arial" w:hAnsi="Arial" w:cs="Arial" w:eastAsia="Arial" w:hint="default"/>
                <w:spacing w:val="-21"/>
                <w:sz w:val="18"/>
                <w:szCs w:val="18"/>
              </w:rPr>
              <w:t> </w:t>
            </w:r>
            <w:r>
              <w:rPr>
                <w:rFonts w:ascii="宋体" w:hAnsi="宋体" w:cs="宋体" w:eastAsia="宋体" w:hint="default"/>
                <w:sz w:val="18"/>
                <w:szCs w:val="18"/>
              </w:rPr>
              <w:t>批境外展览 拨款</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经济发展资金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收到财政局</w:t>
            </w:r>
            <w:r>
              <w:rPr>
                <w:rFonts w:ascii="宋体" w:hAnsi="宋体" w:cs="宋体" w:eastAsia="宋体" w:hint="default"/>
                <w:spacing w:val="-46"/>
                <w:sz w:val="18"/>
                <w:szCs w:val="18"/>
              </w:rPr>
              <w:t> </w:t>
            </w:r>
            <w:r>
              <w:rPr>
                <w:rFonts w:ascii="Arial" w:hAnsi="Arial" w:cs="Arial" w:eastAsia="Arial" w:hint="default"/>
                <w:spacing w:val="-4"/>
                <w:sz w:val="18"/>
                <w:szCs w:val="18"/>
              </w:rPr>
              <w:t>2011 </w:t>
            </w:r>
            <w:r>
              <w:rPr>
                <w:rFonts w:ascii="宋体" w:hAnsi="宋体" w:cs="宋体" w:eastAsia="宋体" w:hint="default"/>
                <w:sz w:val="18"/>
                <w:szCs w:val="18"/>
              </w:rPr>
              <w:t>年经济发展资金</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市场开拓资助款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75,070.00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收到国库</w:t>
            </w:r>
            <w:r>
              <w:rPr>
                <w:rFonts w:ascii="宋体" w:hAnsi="宋体" w:cs="宋体" w:eastAsia="宋体" w:hint="default"/>
                <w:spacing w:val="-47"/>
                <w:sz w:val="18"/>
                <w:szCs w:val="18"/>
              </w:rPr>
              <w:t> </w:t>
            </w:r>
            <w:r>
              <w:rPr>
                <w:rFonts w:ascii="Arial" w:hAnsi="Arial" w:cs="Arial" w:eastAsia="Arial" w:hint="default"/>
                <w:spacing w:val="-7"/>
                <w:sz w:val="18"/>
                <w:szCs w:val="18"/>
              </w:rPr>
              <w:t>11</w:t>
            </w:r>
            <w:r>
              <w:rPr>
                <w:rFonts w:ascii="Arial" w:hAnsi="Arial" w:cs="Arial" w:eastAsia="Arial" w:hint="default"/>
                <w:spacing w:val="-6"/>
                <w:sz w:val="18"/>
                <w:szCs w:val="18"/>
              </w:rPr>
              <w:t> </w:t>
            </w:r>
            <w:r>
              <w:rPr>
                <w:rFonts w:ascii="宋体" w:hAnsi="宋体" w:cs="宋体" w:eastAsia="宋体" w:hint="default"/>
                <w:sz w:val="18"/>
                <w:szCs w:val="18"/>
              </w:rPr>
              <w:t>年中小企业发展专项国 内市场开拓资助款</w:t>
            </w: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认证款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收到财政委员会</w:t>
            </w:r>
            <w:r>
              <w:rPr>
                <w:rFonts w:ascii="宋体" w:hAnsi="宋体" w:cs="宋体" w:eastAsia="宋体" w:hint="default"/>
                <w:spacing w:val="-45"/>
                <w:sz w:val="18"/>
                <w:szCs w:val="18"/>
              </w:rPr>
              <w:t> </w:t>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年开拓资金第</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批产品认证款</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财政委员会拨款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29,250.00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收到深圳市财政委员会拨款</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社保局补贴款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收到社保局项目补贴款</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财政局拨款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收到南山财政局拨款</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财政委拨款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420,000.00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收到深圳市财政委拨款</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科技研发资金补助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450,000.00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收到市科技研发资金补助</w:t>
            </w:r>
          </w:p>
        </w:tc>
      </w:tr>
    </w:tbl>
    <w:p>
      <w:pPr>
        <w:spacing w:after="0" w:line="240" w:lineRule="auto"/>
        <w:jc w:val="left"/>
        <w:rPr>
          <w:rFonts w:ascii="宋体" w:hAnsi="宋体" w:cs="宋体" w:eastAsia="宋体" w:hint="default"/>
          <w:sz w:val="18"/>
          <w:szCs w:val="18"/>
        </w:rPr>
        <w:sectPr>
          <w:footerReference w:type="default" r:id="rId75"/>
          <w:pgSz w:w="11910" w:h="16840"/>
          <w:pgMar w:footer="1338" w:header="877" w:top="1060" w:bottom="1520" w:left="980" w:right="0"/>
          <w:pgNumType w:start="139"/>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10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中山鸿宝项目款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22"/>
              <w:jc w:val="both"/>
              <w:rPr>
                <w:rFonts w:ascii="宋体" w:hAnsi="宋体" w:cs="宋体" w:eastAsia="宋体" w:hint="default"/>
                <w:sz w:val="18"/>
                <w:szCs w:val="18"/>
              </w:rPr>
            </w:pPr>
            <w:r>
              <w:rPr>
                <w:rFonts w:ascii="宋体" w:hAnsi="宋体" w:cs="宋体" w:eastAsia="宋体" w:hint="default"/>
                <w:sz w:val="18"/>
                <w:szCs w:val="18"/>
              </w:rPr>
              <w:t>高导热高绝缘纳米涂层技术在</w:t>
            </w:r>
            <w:r>
              <w:rPr>
                <w:rFonts w:ascii="宋体" w:hAnsi="宋体" w:cs="宋体" w:eastAsia="宋体" w:hint="default"/>
                <w:spacing w:val="-44"/>
                <w:sz w:val="18"/>
                <w:szCs w:val="18"/>
              </w:rPr>
              <w:t> </w:t>
            </w:r>
            <w:r>
              <w:rPr>
                <w:rFonts w:ascii="Arial" w:hAnsi="Arial" w:cs="Arial" w:eastAsia="Arial" w:hint="default"/>
                <w:sz w:val="18"/>
                <w:szCs w:val="18"/>
              </w:rPr>
              <w:t>LED</w:t>
            </w:r>
            <w:r>
              <w:rPr>
                <w:rFonts w:ascii="Arial" w:hAnsi="Arial" w:cs="Arial" w:eastAsia="Arial" w:hint="default"/>
                <w:w w:val="99"/>
                <w:sz w:val="18"/>
                <w:szCs w:val="18"/>
              </w:rPr>
              <w:t> </w:t>
            </w:r>
            <w:r>
              <w:rPr>
                <w:rFonts w:ascii="宋体" w:hAnsi="宋体" w:cs="宋体" w:eastAsia="宋体" w:hint="default"/>
                <w:sz w:val="18"/>
                <w:szCs w:val="18"/>
              </w:rPr>
              <w:t>系统集成模组产品上的应用及产业 化</w:t>
            </w:r>
            <w:r>
              <w:rPr>
                <w:rFonts w:ascii="Arial" w:hAnsi="Arial" w:cs="Arial" w:eastAsia="Arial" w:hint="default"/>
                <w:sz w:val="18"/>
                <w:szCs w:val="18"/>
              </w:rPr>
              <w:t>"</w:t>
            </w:r>
            <w:r>
              <w:rPr>
                <w:rFonts w:ascii="宋体" w:hAnsi="宋体" w:cs="宋体" w:eastAsia="宋体" w:hint="default"/>
                <w:sz w:val="18"/>
                <w:szCs w:val="18"/>
              </w:rPr>
              <w:t>专项资金，递延收益转当期损益</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科技发展资金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日收到南山区财政</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局转入的科技发展资金</w:t>
            </w:r>
            <w:r>
              <w:rPr>
                <w:rFonts w:ascii="宋体" w:hAnsi="宋体" w:cs="宋体" w:eastAsia="宋体" w:hint="default"/>
                <w:spacing w:val="-46"/>
                <w:sz w:val="18"/>
                <w:szCs w:val="18"/>
              </w:rPr>
              <w:t> </w:t>
            </w:r>
            <w:r>
              <w:rPr>
                <w:rFonts w:ascii="Arial" w:hAnsi="Arial" w:cs="Arial" w:eastAsia="Arial" w:hint="default"/>
                <w:sz w:val="18"/>
                <w:szCs w:val="18"/>
              </w:rPr>
              <w:t>10000</w:t>
            </w:r>
            <w:r>
              <w:rPr>
                <w:rFonts w:ascii="Arial" w:hAnsi="Arial" w:cs="Arial" w:eastAsia="Arial" w:hint="default"/>
                <w:spacing w:val="-8"/>
                <w:sz w:val="18"/>
                <w:szCs w:val="18"/>
              </w:rPr>
              <w:t> </w:t>
            </w:r>
            <w:r>
              <w:rPr>
                <w:rFonts w:ascii="宋体" w:hAnsi="宋体" w:cs="宋体" w:eastAsia="宋体" w:hint="default"/>
                <w:sz w:val="18"/>
                <w:szCs w:val="18"/>
              </w:rPr>
              <w:t>元</w:t>
            </w: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来深建设者职业技能培训和鉴定 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171,600.00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来深建设者职业技能培训和鉴定补 贴</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专利申请资助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0.00</w:t>
            </w:r>
            <w:r>
              <w:rPr>
                <w:rFonts w:ascii="Arial"/>
                <w:sz w:val="18"/>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22,000.00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专利申请资助</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增值税税款返还</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379,383.00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增值税税款返还</w:t>
            </w:r>
          </w:p>
        </w:tc>
      </w:tr>
      <w:tr>
        <w:trPr>
          <w:trHeight w:val="71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国家重点新产品及火炬计划资助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国家重点新产品及火炬计划资助</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骨干企业加快发展财政奖励资金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骨干企业加快发展财政奖励资金</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6,826,165.72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2,667,489.69</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Arial" w:hAnsi="Arial" w:cs="Arial" w:eastAsia="Arial" w:hint="default"/>
                <w:sz w:val="18"/>
                <w:szCs w:val="18"/>
              </w:rPr>
            </w:pPr>
            <w:r>
              <w:rPr>
                <w:rFonts w:ascii="Arial"/>
                <w:sz w:val="18"/>
              </w:rPr>
              <w:t>--</w:t>
            </w:r>
          </w:p>
        </w:tc>
      </w:tr>
    </w:tbl>
    <w:p>
      <w:pPr>
        <w:pStyle w:val="BodyText"/>
        <w:spacing w:line="357" w:lineRule="auto" w:before="49"/>
        <w:ind w:left="470" w:right="5936" w:hanging="318"/>
        <w:jc w:val="left"/>
      </w:pPr>
      <w:r>
        <w:rPr/>
        <w:t>营业外收入说明 上述各期的营业外收入的金额均计入各期非经常性损益。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3"/>
        <w:spacing w:line="240" w:lineRule="auto"/>
        <w:ind w:right="1121"/>
        <w:jc w:val="left"/>
        <w:rPr>
          <w:b w:val="0"/>
          <w:bCs w:val="0"/>
        </w:rPr>
      </w:pPr>
      <w:r>
        <w:rPr>
          <w:rFonts w:ascii="Arial" w:hAnsi="Arial" w:cs="Arial" w:eastAsia="Arial" w:hint="default"/>
        </w:rPr>
        <w:t>39</w:t>
      </w:r>
      <w:r>
        <w:rPr/>
        <w:t>、营业外支出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673"/>
              <w:jc w:val="right"/>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60,159.66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2,237.65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60,159.66</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60,159.66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2,237.65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60,159.66</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02"/>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505,000.00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505,000.00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赞助费支出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3,880.00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15,135.87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3,880.00</w:t>
            </w:r>
          </w:p>
        </w:tc>
      </w:tr>
      <w:tr>
        <w:trPr>
          <w:trHeight w:val="404"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110,144.73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28,586.51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2"/>
                <w:sz w:val="18"/>
              </w:rPr>
              <w:t>110,144.73</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679,184.39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45,960.03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679,184.39</w:t>
            </w:r>
          </w:p>
        </w:tc>
      </w:tr>
    </w:tbl>
    <w:p>
      <w:pPr>
        <w:pStyle w:val="BodyText"/>
        <w:spacing w:line="360" w:lineRule="auto" w:before="49"/>
        <w:ind w:left="522" w:right="6604" w:hanging="371"/>
        <w:jc w:val="left"/>
      </w:pPr>
      <w:r>
        <w:rPr/>
        <w:t>营业外支出说明 上述营业外支出均计入相应各期非经常性损益。</w:t>
      </w:r>
    </w:p>
    <w:p>
      <w:pPr>
        <w:spacing w:after="0" w:line="360" w:lineRule="auto"/>
        <w:jc w:val="left"/>
        <w:sectPr>
          <w:pgSz w:w="11910" w:h="16840"/>
          <w:pgMar w:header="877" w:footer="1338"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212" w:right="1192"/>
        <w:jc w:val="left"/>
        <w:rPr>
          <w:b w:val="0"/>
          <w:bCs w:val="0"/>
        </w:rPr>
      </w:pPr>
      <w:r>
        <w:rPr>
          <w:rFonts w:ascii="Arial" w:hAnsi="Arial" w:cs="Arial" w:eastAsia="Arial" w:hint="default"/>
        </w:rPr>
        <w:t>40</w:t>
      </w:r>
      <w:r>
        <w:rPr/>
        <w:t>、所得税费用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8,210,049.40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11,898,324.22</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-1,229,463.02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-1,070,126.13</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6,980,586.38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10,828,198.09</w:t>
            </w:r>
          </w:p>
        </w:tc>
      </w:tr>
    </w:tbl>
    <w:p>
      <w:pPr>
        <w:spacing w:line="240" w:lineRule="auto" w:before="3"/>
        <w:rPr>
          <w:rFonts w:ascii="宋体" w:hAnsi="宋体" w:cs="宋体" w:eastAsia="宋体" w:hint="default"/>
          <w:sz w:val="19"/>
          <w:szCs w:val="19"/>
        </w:rPr>
      </w:pPr>
    </w:p>
    <w:p>
      <w:pPr>
        <w:pStyle w:val="Heading3"/>
        <w:spacing w:line="240" w:lineRule="auto" w:before="36"/>
        <w:ind w:left="212" w:right="1192"/>
        <w:jc w:val="left"/>
        <w:rPr>
          <w:b w:val="0"/>
          <w:bCs w:val="0"/>
        </w:rPr>
      </w:pPr>
      <w:r>
        <w:rPr>
          <w:rFonts w:ascii="Arial" w:hAnsi="Arial" w:cs="Arial" w:eastAsia="Arial" w:hint="default"/>
        </w:rPr>
        <w:t>41</w:t>
      </w:r>
      <w:r>
        <w:rPr/>
        <w:t>、基本每股收益和稀释每股收益的计算过程</w:t>
      </w:r>
      <w:r>
        <w:rPr>
          <w:b w:val="0"/>
          <w:bCs w:val="0"/>
        </w:rPr>
      </w:r>
    </w:p>
    <w:p>
      <w:pPr>
        <w:spacing w:line="240" w:lineRule="auto" w:before="10"/>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4928"/>
        <w:gridCol w:w="1985"/>
        <w:gridCol w:w="1472"/>
        <w:gridCol w:w="1474"/>
      </w:tblGrid>
      <w:tr>
        <w:trPr>
          <w:trHeight w:val="526"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4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535"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P0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47,516,095.88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53,725,493.21</w:t>
            </w:r>
          </w:p>
        </w:tc>
      </w:tr>
      <w:tr>
        <w:trPr>
          <w:trHeight w:val="529"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5,869,883.07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2,582,980.37</w:t>
            </w:r>
          </w:p>
        </w:tc>
      </w:tr>
      <w:tr>
        <w:trPr>
          <w:trHeight w:val="529"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P0'=P0-F</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41,646,212.81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51,142,512.84</w:t>
            </w:r>
          </w:p>
        </w:tc>
      </w:tr>
      <w:tr>
        <w:trPr>
          <w:trHeight w:val="530"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w w:val="99"/>
                <w:sz w:val="18"/>
              </w:rPr>
              <w:t>V</w:t>
            </w:r>
            <w:r>
              <w:rPr>
                <w:rFonts w:ascii="Times New Roman"/>
                <w:sz w:val="18"/>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30"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103" w:right="12"/>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归属于公司普通股股东的净利润，并考虑稀释性潜在普通股对</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其影响，按《企业会计准则》及有关规定进行调整。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P1=P0+V</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47,516,095.88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53,725,493.21</w:t>
            </w:r>
          </w:p>
        </w:tc>
      </w:tr>
      <w:tr>
        <w:trPr>
          <w:trHeight w:val="831"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9" w:lineRule="auto"/>
              <w:ind w:left="103" w:right="6"/>
              <w:jc w:val="left"/>
              <w:rPr>
                <w:rFonts w:ascii="宋体" w:hAnsi="宋体" w:cs="宋体" w:eastAsia="宋体" w:hint="default"/>
                <w:sz w:val="18"/>
                <w:szCs w:val="18"/>
              </w:rPr>
            </w:pPr>
            <w:r>
              <w:rPr>
                <w:rFonts w:ascii="宋体" w:hAnsi="宋体" w:cs="宋体" w:eastAsia="宋体" w:hint="default"/>
                <w:spacing w:val="4"/>
                <w:sz w:val="18"/>
                <w:szCs w:val="18"/>
              </w:rPr>
              <w:t>稀释事项对扣除非经常性损益后归属于公司普通股股东的净 </w:t>
            </w:r>
            <w:r>
              <w:rPr>
                <w:rFonts w:ascii="宋体" w:hAnsi="宋体" w:cs="宋体" w:eastAsia="宋体" w:hint="default"/>
                <w:sz w:val="18"/>
                <w:szCs w:val="18"/>
              </w:rPr>
              <w:t>利润的影响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6" w:right="0"/>
              <w:jc w:val="center"/>
              <w:rPr>
                <w:rFonts w:ascii="Times New Roman" w:hAnsi="Times New Roman" w:cs="Times New Roman" w:eastAsia="Times New Roman" w:hint="default"/>
                <w:sz w:val="18"/>
                <w:szCs w:val="18"/>
              </w:rPr>
            </w:pPr>
            <w:r>
              <w:rPr>
                <w:rFonts w:ascii="Times New Roman"/>
                <w:sz w:val="18"/>
              </w:rPr>
              <w:t>V'</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142"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103" w:right="12"/>
              <w:jc w:val="both"/>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扣除非经常性损益后归属于公司普通股股东的净利润，并考虑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稀释性潜在普通股对其影响，按《企业会计准则》及有关规定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进行调整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P1'=P0'+V'</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pacing w:val="-1"/>
                <w:sz w:val="18"/>
              </w:rPr>
              <w:t>41,646,212.81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51,142,512.84</w:t>
            </w:r>
          </w:p>
        </w:tc>
      </w:tr>
      <w:tr>
        <w:trPr>
          <w:trHeight w:val="529"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S0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72,800,000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72,800,000</w:t>
            </w:r>
          </w:p>
        </w:tc>
      </w:tr>
      <w:tr>
        <w:trPr>
          <w:trHeight w:val="529"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S1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Si</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24,280,000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1"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Si</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1,708,800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Sj</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Sk</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9"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M0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w:t>
            </w:r>
          </w:p>
        </w:tc>
      </w:tr>
      <w:tr>
        <w:trPr>
          <w:trHeight w:val="529"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Mi</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Mi</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8" w:top="1060" w:bottom="1540" w:left="920" w:right="0"/>
        </w:sectPr>
      </w:pPr>
    </w:p>
    <w:p>
      <w:pPr>
        <w:spacing w:line="240" w:lineRule="auto" w:before="6"/>
        <w:rPr>
          <w:rFonts w:ascii="宋体" w:hAnsi="宋体" w:cs="宋体" w:eastAsia="宋体" w:hint="default"/>
          <w:b/>
          <w:bCs/>
          <w:sz w:val="28"/>
          <w:szCs w:val="28"/>
        </w:rPr>
      </w:pPr>
    </w:p>
    <w:tbl>
      <w:tblPr>
        <w:tblW w:w="0" w:type="auto"/>
        <w:jc w:val="left"/>
        <w:tblInd w:w="100" w:type="dxa"/>
        <w:tblLayout w:type="fixed"/>
        <w:tblCellMar>
          <w:top w:w="0" w:type="dxa"/>
          <w:left w:w="0" w:type="dxa"/>
          <w:bottom w:w="0" w:type="dxa"/>
          <w:right w:w="0" w:type="dxa"/>
        </w:tblCellMar>
        <w:tblLook w:val="01E0"/>
      </w:tblPr>
      <w:tblGrid>
        <w:gridCol w:w="4928"/>
        <w:gridCol w:w="1985"/>
        <w:gridCol w:w="1472"/>
        <w:gridCol w:w="1474"/>
      </w:tblGrid>
      <w:tr>
        <w:trPr>
          <w:trHeight w:val="526"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4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535"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Mj</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141"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40" w:lineRule="auto"/>
              <w:ind w:left="52" w:right="46" w:firstLine="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 </w:t>
            </w:r>
            <w:r>
              <w:rPr>
                <w:rFonts w:ascii="Times New Roman" w:hAnsi="Times New Roman" w:cs="Times New Roman" w:eastAsia="Times New Roman" w:hint="default"/>
                <w:sz w:val="18"/>
                <w:szCs w:val="18"/>
              </w:rPr>
              <w:t>Si×Mi÷M0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Sj×Mj÷M0-S</w:t>
            </w:r>
          </w:p>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Times New Roman"/>
                <w:sz w:val="18"/>
              </w:rPr>
              <w:t>k</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pacing w:val="-1"/>
                <w:sz w:val="18"/>
              </w:rPr>
              <w:t>91,010,000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72,800,000</w:t>
            </w:r>
          </w:p>
        </w:tc>
      </w:tr>
      <w:tr>
        <w:trPr>
          <w:trHeight w:val="829"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316" w:lineRule="auto"/>
              <w:ind w:left="103" w:right="11"/>
              <w:jc w:val="left"/>
              <w:rPr>
                <w:rFonts w:ascii="宋体" w:hAnsi="宋体" w:cs="宋体" w:eastAsia="宋体" w:hint="default"/>
                <w:sz w:val="18"/>
                <w:szCs w:val="18"/>
              </w:rPr>
            </w:pPr>
            <w:r>
              <w:rPr>
                <w:rFonts w:ascii="宋体" w:hAnsi="宋体" w:cs="宋体" w:eastAsia="宋体" w:hint="default"/>
                <w:spacing w:val="-3"/>
                <w:sz w:val="18"/>
                <w:szCs w:val="18"/>
              </w:rPr>
              <w:t>加：假定稀释性潜在普通股转换为已发行普通股而增加的普通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股加权平均数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 w:right="0"/>
              <w:jc w:val="center"/>
              <w:rPr>
                <w:rFonts w:ascii="Times New Roman" w:hAnsi="Times New Roman" w:cs="Times New Roman" w:eastAsia="Times New Roman" w:hint="default"/>
                <w:sz w:val="18"/>
                <w:szCs w:val="18"/>
              </w:rPr>
            </w:pPr>
            <w:r>
              <w:rPr>
                <w:rFonts w:ascii="Times New Roman"/>
                <w:sz w:val="18"/>
              </w:rPr>
              <w:t>X1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X2=S+X1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91,010,000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72,800,000</w:t>
            </w:r>
          </w:p>
        </w:tc>
      </w:tr>
      <w:tr>
        <w:trPr>
          <w:trHeight w:val="531"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98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98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98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9"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0.52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0.74</w:t>
            </w:r>
          </w:p>
        </w:tc>
      </w:tr>
      <w:tr>
        <w:trPr>
          <w:trHeight w:val="517"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0.46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0.70</w:t>
            </w:r>
          </w:p>
        </w:tc>
      </w:tr>
      <w:tr>
        <w:trPr>
          <w:trHeight w:val="590"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0.52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0.74</w:t>
            </w:r>
          </w:p>
        </w:tc>
      </w:tr>
      <w:tr>
        <w:trPr>
          <w:trHeight w:val="518" w:hRule="exact"/>
        </w:trPr>
        <w:tc>
          <w:tcPr>
            <w:tcW w:w="49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0.46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0.70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left="212" w:right="1192"/>
        <w:jc w:val="left"/>
        <w:rPr>
          <w:b w:val="0"/>
          <w:bCs w:val="0"/>
        </w:rPr>
      </w:pPr>
      <w:r>
        <w:rPr>
          <w:rFonts w:ascii="Arial" w:hAnsi="Arial" w:cs="Arial" w:eastAsia="Arial" w:hint="default"/>
        </w:rPr>
        <w:t>42</w:t>
      </w:r>
      <w:r>
        <w:rPr/>
        <w:t>、其他综合收益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4629"/>
        <w:gridCol w:w="2536"/>
        <w:gridCol w:w="2393"/>
      </w:tblGrid>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bl>
    <w:p>
      <w:pPr>
        <w:pStyle w:val="BodyText"/>
        <w:spacing w:line="240" w:lineRule="auto" w:before="49"/>
        <w:ind w:left="212" w:right="1192"/>
        <w:jc w:val="left"/>
      </w:pPr>
      <w:r>
        <w:rPr/>
        <w:t>其他综合收益说明</w:t>
      </w:r>
    </w:p>
    <w:p>
      <w:pPr>
        <w:spacing w:line="240" w:lineRule="auto" w:before="2"/>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4394"/>
        <w:gridCol w:w="3284"/>
        <w:gridCol w:w="1986"/>
      </w:tblGrid>
      <w:tr>
        <w:trPr>
          <w:trHeight w:val="593" w:hRule="exact"/>
        </w:trPr>
        <w:tc>
          <w:tcPr>
            <w:tcW w:w="4394" w:type="dxa"/>
            <w:tcBorders>
              <w:top w:val="single" w:sz="4" w:space="0" w:color="000000"/>
              <w:left w:val="single" w:sz="4" w:space="0" w:color="000000"/>
              <w:bottom w:val="nil" w:sz="6" w:space="0" w:color="auto"/>
              <w:right w:val="nil" w:sz="6" w:space="0" w:color="auto"/>
            </w:tcBorders>
            <w:shd w:val="clear" w:color="auto" w:fill="C0C0C0"/>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7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4" w:type="dxa"/>
            <w:tcBorders>
              <w:top w:val="single" w:sz="4" w:space="0" w:color="000000"/>
              <w:left w:val="nil" w:sz="6" w:space="0" w:color="auto"/>
              <w:bottom w:val="nil" w:sz="6" w:space="0" w:color="auto"/>
              <w:right w:val="nil" w:sz="6" w:space="0" w:color="auto"/>
            </w:tcBorders>
            <w:shd w:val="clear" w:color="auto" w:fill="C0C0C0"/>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986" w:type="dxa"/>
            <w:tcBorders>
              <w:top w:val="single" w:sz="4" w:space="0" w:color="000000"/>
              <w:left w:val="nil" w:sz="6" w:space="0" w:color="auto"/>
              <w:bottom w:val="nil" w:sz="6" w:space="0" w:color="auto"/>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722" w:hRule="exact"/>
        </w:trPr>
        <w:tc>
          <w:tcPr>
            <w:tcW w:w="4394"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子公司的股权比例变化的影响</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5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6"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8" w:hRule="exact"/>
        </w:trPr>
        <w:tc>
          <w:tcPr>
            <w:tcW w:w="4394"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其中：母公司享有的其他综合收益</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5"/>
              <w:jc w:val="right"/>
              <w:rPr>
                <w:rFonts w:ascii="Times New Roman" w:hAnsi="Times New Roman" w:cs="Times New Roman" w:eastAsia="Times New Roman" w:hint="default"/>
                <w:sz w:val="18"/>
                <w:szCs w:val="18"/>
              </w:rPr>
            </w:pPr>
            <w:r>
              <w:rPr>
                <w:rFonts w:ascii="Times New Roman"/>
                <w:spacing w:val="-1"/>
                <w:sz w:val="18"/>
              </w:rPr>
              <w:t>296,045.48</w:t>
            </w:r>
          </w:p>
        </w:tc>
        <w:tc>
          <w:tcPr>
            <w:tcW w:w="1986"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110,495.11</w:t>
            </w:r>
          </w:p>
        </w:tc>
      </w:tr>
      <w:tr>
        <w:trPr>
          <w:trHeight w:val="464" w:hRule="exact"/>
        </w:trPr>
        <w:tc>
          <w:tcPr>
            <w:tcW w:w="4394" w:type="dxa"/>
            <w:tcBorders>
              <w:top w:val="nil" w:sz="6" w:space="0" w:color="auto"/>
              <w:left w:val="single" w:sz="4" w:space="0" w:color="000000"/>
              <w:bottom w:val="single" w:sz="4" w:space="0" w:color="000000"/>
              <w:right w:val="nil" w:sz="6" w:space="0" w:color="auto"/>
            </w:tcBorders>
          </w:tcPr>
          <w:p>
            <w:pPr>
              <w:pStyle w:val="TableParagraph"/>
              <w:spacing w:line="240" w:lineRule="auto" w:before="124"/>
              <w:ind w:left="646" w:right="0"/>
              <w:jc w:val="left"/>
              <w:rPr>
                <w:rFonts w:ascii="宋体" w:hAnsi="宋体" w:cs="宋体" w:eastAsia="宋体" w:hint="default"/>
                <w:sz w:val="18"/>
                <w:szCs w:val="18"/>
              </w:rPr>
            </w:pPr>
            <w:r>
              <w:rPr>
                <w:rFonts w:ascii="宋体" w:hAnsi="宋体" w:cs="宋体" w:eastAsia="宋体" w:hint="default"/>
                <w:sz w:val="18"/>
                <w:szCs w:val="18"/>
              </w:rPr>
              <w:t>少数股东享有的其他综合收益</w:t>
            </w:r>
          </w:p>
        </w:tc>
        <w:tc>
          <w:tcPr>
            <w:tcW w:w="328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5"/>
              <w:jc w:val="right"/>
              <w:rPr>
                <w:rFonts w:ascii="Times New Roman" w:hAnsi="Times New Roman" w:cs="Times New Roman" w:eastAsia="Times New Roman" w:hint="default"/>
                <w:sz w:val="18"/>
                <w:szCs w:val="18"/>
              </w:rPr>
            </w:pPr>
            <w:r>
              <w:rPr>
                <w:rFonts w:ascii="Times New Roman"/>
                <w:spacing w:val="-1"/>
                <w:sz w:val="18"/>
              </w:rPr>
              <w:t>-296,045.48</w:t>
            </w:r>
          </w:p>
        </w:tc>
        <w:tc>
          <w:tcPr>
            <w:tcW w:w="1986"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-110,495.11</w:t>
            </w:r>
          </w:p>
        </w:tc>
      </w:tr>
    </w:tbl>
    <w:p>
      <w:pPr>
        <w:spacing w:line="240" w:lineRule="auto" w:before="1"/>
        <w:rPr>
          <w:rFonts w:ascii="宋体" w:hAnsi="宋体" w:cs="宋体" w:eastAsia="宋体" w:hint="default"/>
          <w:sz w:val="21"/>
          <w:szCs w:val="21"/>
        </w:rPr>
      </w:pPr>
    </w:p>
    <w:p>
      <w:pPr>
        <w:pStyle w:val="BodyText"/>
        <w:spacing w:line="302" w:lineRule="auto" w:before="44"/>
        <w:ind w:left="212" w:right="1131" w:firstLine="420"/>
        <w:jc w:val="both"/>
      </w:pPr>
      <w:r>
        <w:rPr>
          <w:rFonts w:ascii="Arial" w:hAnsi="Arial" w:cs="Arial" w:eastAsia="Arial" w:hint="default"/>
          <w:spacing w:val="-1"/>
        </w:rPr>
        <w:t>2011</w:t>
      </w:r>
      <w:r>
        <w:rPr>
          <w:spacing w:val="-1"/>
        </w:rPr>
        <w:t>年</w:t>
      </w:r>
      <w:r>
        <w:rPr>
          <w:rFonts w:ascii="Arial" w:hAnsi="Arial" w:cs="Arial" w:eastAsia="Arial" w:hint="default"/>
          <w:spacing w:val="-1"/>
        </w:rPr>
        <w:t>2</w:t>
      </w:r>
      <w:r>
        <w:rPr>
          <w:spacing w:val="-1"/>
        </w:rPr>
        <w:t>月</w:t>
      </w:r>
      <w:r>
        <w:rPr>
          <w:rFonts w:ascii="Arial" w:hAnsi="Arial" w:cs="Arial" w:eastAsia="Arial" w:hint="default"/>
          <w:spacing w:val="-1"/>
        </w:rPr>
        <w:t>24</w:t>
      </w:r>
      <w:r>
        <w:rPr>
          <w:spacing w:val="-1"/>
        </w:rPr>
        <w:t>日，本公司以</w:t>
      </w:r>
      <w:r>
        <w:rPr>
          <w:rFonts w:ascii="Arial" w:hAnsi="Arial" w:cs="Arial" w:eastAsia="Arial" w:hint="default"/>
          <w:spacing w:val="-1"/>
        </w:rPr>
        <w:t>1</w:t>
      </w:r>
      <w:r>
        <w:rPr>
          <w:spacing w:val="-1"/>
        </w:rPr>
        <w:t>元价格将全资子公司华智测控</w:t>
      </w:r>
      <w:r>
        <w:rPr>
          <w:rFonts w:ascii="Arial" w:hAnsi="Arial" w:cs="Arial" w:eastAsia="Arial" w:hint="default"/>
          <w:spacing w:val="-1"/>
        </w:rPr>
        <w:t>13%</w:t>
      </w:r>
      <w:r>
        <w:rPr>
          <w:spacing w:val="-1"/>
        </w:rPr>
        <w:t>的股份转让给深圳市北科投资发展有限公司。转让价格</w:t>
      </w:r>
      <w:r>
        <w:rPr/>
        <w:t> 与华智测控</w:t>
      </w:r>
      <w:r>
        <w:rPr>
          <w:rFonts w:ascii="Arial" w:hAnsi="Arial" w:cs="Arial" w:eastAsia="Arial" w:hint="default"/>
        </w:rPr>
        <w:t>13%</w:t>
      </w:r>
      <w:r>
        <w:rPr/>
        <w:t>的权益金额的差额</w:t>
      </w:r>
      <w:r>
        <w:rPr>
          <w:rFonts w:ascii="Arial" w:hAnsi="Arial" w:cs="Arial" w:eastAsia="Arial" w:hint="default"/>
        </w:rPr>
        <w:t>126,687.36</w:t>
      </w:r>
      <w:r>
        <w:rPr/>
        <w:t>元调减了合并母公司所有者的资本公积，少数股东增加了相应的其他综合收</w:t>
      </w:r>
      <w:r>
        <w:rPr>
          <w:spacing w:val="-14"/>
        </w:rPr>
        <w:t> </w:t>
      </w:r>
      <w:r>
        <w:rPr>
          <w:spacing w:val="-14"/>
        </w:rPr>
      </w:r>
      <w:r>
        <w:rPr/>
        <w:t>益。</w:t>
      </w:r>
    </w:p>
    <w:p>
      <w:pPr>
        <w:spacing w:after="0" w:line="302" w:lineRule="auto"/>
        <w:jc w:val="both"/>
        <w:sectPr>
          <w:pgSz w:w="11910" w:h="16840"/>
          <w:pgMar w:header="877" w:footer="1338" w:top="1060" w:bottom="1540" w:left="920" w:right="0"/>
        </w:sectPr>
      </w:pPr>
    </w:p>
    <w:p>
      <w:pPr>
        <w:spacing w:line="240" w:lineRule="auto" w:before="9"/>
        <w:rPr>
          <w:rFonts w:ascii="宋体" w:hAnsi="宋体" w:cs="宋体" w:eastAsia="宋体" w:hint="default"/>
          <w:sz w:val="25"/>
          <w:szCs w:val="25"/>
        </w:rPr>
      </w:pPr>
    </w:p>
    <w:p>
      <w:pPr>
        <w:pStyle w:val="BodyText"/>
        <w:spacing w:line="302" w:lineRule="auto" w:before="44"/>
        <w:ind w:right="1033" w:firstLine="420"/>
        <w:jc w:val="left"/>
      </w:pPr>
      <w:r>
        <w:rPr>
          <w:rFonts w:ascii="Arial" w:hAnsi="Arial" w:cs="Arial" w:eastAsia="Arial" w:hint="default"/>
        </w:rPr>
        <w:t>2011</w:t>
      </w:r>
      <w:r>
        <w:rPr/>
        <w:t>年</w:t>
      </w:r>
      <w:r>
        <w:rPr>
          <w:rFonts w:ascii="Arial" w:hAnsi="Arial" w:cs="Arial" w:eastAsia="Arial" w:hint="default"/>
        </w:rPr>
        <w:t>6</w:t>
      </w:r>
      <w:r>
        <w:rPr/>
        <w:t>月</w:t>
      </w:r>
      <w:r>
        <w:rPr>
          <w:rFonts w:ascii="Arial" w:hAnsi="Arial" w:cs="Arial" w:eastAsia="Arial" w:hint="default"/>
        </w:rPr>
        <w:t>29</w:t>
      </w:r>
      <w:r>
        <w:rPr/>
        <w:t>日，控制子公司华智测控增加注册资本金人民币</w:t>
      </w:r>
      <w:r>
        <w:rPr>
          <w:rFonts w:ascii="Arial" w:hAnsi="Arial" w:cs="Arial" w:eastAsia="Arial" w:hint="default"/>
        </w:rPr>
        <w:t>50</w:t>
      </w:r>
      <w:r>
        <w:rPr/>
        <w:t>万元，增资额由自然人由毛周明认缴。增资前后母公 司享有华智测控的权益增加了</w:t>
      </w:r>
      <w:r>
        <w:rPr>
          <w:rFonts w:ascii="Arial" w:hAnsi="Arial" w:cs="Arial" w:eastAsia="Arial" w:hint="default"/>
        </w:rPr>
        <w:t>237,182.47</w:t>
      </w:r>
      <w:r>
        <w:rPr/>
        <w:t>元，相应增加了合并母公司所有者的资本公积，减少了少数股东的其他综合收益。 </w:t>
      </w:r>
      <w:r>
        <w:rPr>
          <w:rFonts w:ascii="Arial" w:hAnsi="Arial" w:cs="Arial" w:eastAsia="Arial" w:hint="default"/>
        </w:rPr>
        <w:t>2012</w:t>
      </w:r>
      <w:r>
        <w:rPr/>
        <w:t>年</w:t>
      </w:r>
      <w:r>
        <w:rPr>
          <w:rFonts w:ascii="Arial" w:hAnsi="Arial" w:cs="Arial" w:eastAsia="Arial" w:hint="default"/>
        </w:rPr>
        <w:t>4</w:t>
      </w:r>
      <w:r>
        <w:rPr/>
        <w:t>月，控股子公司华智测控的增加注册资本</w:t>
      </w:r>
      <w:r>
        <w:rPr>
          <w:rFonts w:ascii="Arial" w:hAnsi="Arial" w:cs="Arial" w:eastAsia="Arial" w:hint="default"/>
        </w:rPr>
        <w:t>110</w:t>
      </w:r>
      <w:r>
        <w:rPr/>
        <w:t>万元，增资由自然人毛周明、金鹏认缴、增资前后母公司享有华智测 控的权益增加了</w:t>
      </w:r>
      <w:r>
        <w:rPr>
          <w:rFonts w:ascii="Arial" w:hAnsi="Arial" w:cs="Arial" w:eastAsia="Arial" w:hint="default"/>
        </w:rPr>
        <w:t>296,045.48</w:t>
      </w:r>
      <w:r>
        <w:rPr/>
        <w:t>元，相应增加了合并母公司所有者的资本公积，减少了少数股东的其他综合收益。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1"/>
        <w:ind w:right="1121"/>
        <w:jc w:val="left"/>
        <w:rPr>
          <w:b w:val="0"/>
          <w:bCs w:val="0"/>
        </w:rPr>
      </w:pPr>
      <w:r>
        <w:rPr>
          <w:rFonts w:ascii="Arial" w:hAnsi="Arial" w:cs="Arial" w:eastAsia="Arial" w:hint="default"/>
        </w:rPr>
        <w:t>43</w:t>
      </w:r>
      <w:r>
        <w:rPr/>
        <w:t>、现金流量表附注</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）收到的其他与经营活动有关的现金</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5,679,387.78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2,215,899.00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3,920,612.58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11,815,899.36</w:t>
            </w:r>
          </w:p>
        </w:tc>
      </w:tr>
    </w:tbl>
    <w:p>
      <w:pPr>
        <w:pStyle w:val="BodyText"/>
        <w:spacing w:line="240" w:lineRule="auto" w:before="49"/>
        <w:ind w:right="1121"/>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t>（</w:t>
      </w:r>
      <w:r>
        <w:rPr>
          <w:rFonts w:ascii="Arial" w:hAnsi="Arial" w:cs="Arial" w:eastAsia="Arial" w:hint="default"/>
        </w:rPr>
        <w:t>2</w:t>
      </w:r>
      <w:r>
        <w:rPr/>
        <w:t>）支付的其他与经营活动有关的现金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133,293.05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2,627,076.52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4,778,597.74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4,822,102.03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4,173,436.38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4,012,732.67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4,888,889.98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4,397,303.48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4,297,874.87</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2,234,609.57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514,300.00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18,808,848.05</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5,161,025.81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60,850,090.15</w:t>
            </w:r>
          </w:p>
        </w:tc>
      </w:tr>
    </w:tbl>
    <w:p>
      <w:pPr>
        <w:pStyle w:val="BodyText"/>
        <w:spacing w:line="240" w:lineRule="auto" w:before="49"/>
        <w:ind w:right="1121"/>
        <w:jc w:val="left"/>
      </w:pPr>
      <w:r>
        <w:rPr/>
        <w:t>支付的其他与经营活动有关的现金说明</w:t>
      </w:r>
    </w:p>
    <w:p>
      <w:pPr>
        <w:spacing w:after="0" w:line="240" w:lineRule="auto"/>
        <w:jc w:val="left"/>
        <w:sectPr>
          <w:pgSz w:w="11910" w:h="16840"/>
          <w:pgMar w:header="877" w:footer="1338"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1"/>
        <w:jc w:val="left"/>
        <w:rPr>
          <w:b w:val="0"/>
          <w:bCs w:val="0"/>
        </w:rPr>
      </w:pPr>
      <w:r>
        <w:rPr/>
        <w:t>（</w:t>
      </w:r>
      <w:r>
        <w:rPr>
          <w:rFonts w:ascii="Arial" w:hAnsi="Arial" w:cs="Arial" w:eastAsia="Arial" w:hint="default"/>
        </w:rPr>
        <w:t>3</w:t>
      </w:r>
      <w:r>
        <w:rPr/>
        <w:t>）收到的其他与筹资活动有关的现金</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43,032,716.88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43,032,716.88</w:t>
            </w:r>
          </w:p>
        </w:tc>
      </w:tr>
    </w:tbl>
    <w:p>
      <w:pPr>
        <w:pStyle w:val="BodyText"/>
        <w:spacing w:line="240" w:lineRule="auto" w:before="49"/>
        <w:ind w:right="1121"/>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t>（</w:t>
      </w:r>
      <w:r>
        <w:rPr>
          <w:rFonts w:ascii="Arial" w:hAnsi="Arial" w:cs="Arial" w:eastAsia="Arial" w:hint="default"/>
        </w:rPr>
        <w:t>4</w:t>
      </w:r>
      <w:r>
        <w:rPr/>
        <w:t>）支付的其他与筹资活动有关的现金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37,983,381.41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10,921,330.00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48,904,711.41</w:t>
            </w:r>
          </w:p>
        </w:tc>
      </w:tr>
    </w:tbl>
    <w:p>
      <w:pPr>
        <w:pStyle w:val="BodyText"/>
        <w:spacing w:line="240" w:lineRule="auto" w:before="49"/>
        <w:ind w:right="1121"/>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rFonts w:ascii="Arial" w:hAnsi="Arial" w:cs="Arial" w:eastAsia="Arial" w:hint="default"/>
        </w:rPr>
        <w:t>44</w:t>
      </w:r>
      <w:r>
        <w:rPr/>
        <w:t>、现金流量表补充资料</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）现金流量表补充资料</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3" w:right="0"/>
              <w:jc w:val="center"/>
              <w:rPr>
                <w:rFonts w:ascii="Arial" w:hAnsi="Arial" w:cs="Arial" w:eastAsia="Arial" w:hint="default"/>
                <w:sz w:val="18"/>
                <w:szCs w:val="18"/>
              </w:rPr>
            </w:pPr>
            <w:r>
              <w:rPr>
                <w:rFonts w:ascii="Arial"/>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47,219,388.18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53,790,158.59</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4,839,460.24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563,708.46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5,534,163.47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5,621,170.63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1,605,048.27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1,108,939.96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1,125,733.75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968,574.90</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29,552.38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-8.03</w:t>
            </w:r>
            <w:r>
              <w:rPr>
                <w:rFonts w:ascii="Arial"/>
                <w:sz w:val="18"/>
              </w:rPr>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92,180.09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-92,180.09</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1,265,484.69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3,355,970.96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92,544.61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-1,215,636.01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-1,083,953.14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-13,827.01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13,827.01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2,307,938.27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-7,286,258.69</w:t>
            </w:r>
          </w:p>
        </w:tc>
      </w:tr>
    </w:tbl>
    <w:p>
      <w:pPr>
        <w:spacing w:after="0" w:line="240" w:lineRule="auto"/>
        <w:jc w:val="right"/>
        <w:rPr>
          <w:rFonts w:ascii="Arial" w:hAnsi="Arial" w:cs="Arial" w:eastAsia="Arial" w:hint="default"/>
          <w:sz w:val="18"/>
          <w:szCs w:val="18"/>
        </w:rPr>
        <w:sectPr>
          <w:pgSz w:w="11910" w:h="16840"/>
          <w:pgMar w:header="877" w:footer="1338"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-118,412,606.33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15,075,961.29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60,206,356.85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-36,621,786.68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4,675,781.45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35,414,125.17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Arial" w:hAnsi="Arial" w:cs="Arial" w:eastAsia="Arial" w:hint="default"/>
                <w:sz w:val="18"/>
                <w:szCs w:val="18"/>
              </w:rPr>
            </w:pPr>
            <w:r>
              <w:rPr>
                <w:rFonts w:ascii="Arial"/>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Arial" w:hAnsi="Arial" w:cs="Arial" w:eastAsia="Arial" w:hint="default"/>
                <w:sz w:val="18"/>
                <w:szCs w:val="18"/>
              </w:rPr>
            </w:pPr>
            <w:r>
              <w:rPr>
                <w:rFonts w:ascii="Arial"/>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208" w:right="0"/>
              <w:jc w:val="left"/>
              <w:rPr>
                <w:rFonts w:ascii="Arial" w:hAnsi="Arial" w:cs="Arial" w:eastAsia="Arial" w:hint="default"/>
                <w:sz w:val="18"/>
                <w:szCs w:val="18"/>
              </w:rPr>
            </w:pPr>
            <w:r>
              <w:rPr>
                <w:rFonts w:ascii="Arial"/>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262" w:right="0"/>
              <w:jc w:val="left"/>
              <w:rPr>
                <w:rFonts w:ascii="Arial" w:hAnsi="Arial" w:cs="Arial" w:eastAsia="Arial" w:hint="default"/>
                <w:sz w:val="18"/>
                <w:szCs w:val="18"/>
              </w:rPr>
            </w:pPr>
            <w:r>
              <w:rPr>
                <w:rFonts w:ascii="Arial"/>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387,835,608.40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88,737,357.28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88,737,357.28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71,019,158.93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299,098,251.12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17,718,198.35</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2</w:t>
      </w:r>
      <w:r>
        <w:rPr/>
        <w:t>）本报告期取得或处置子公司及其他营业单位的相关信息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3" w:right="0"/>
              <w:jc w:val="center"/>
              <w:rPr>
                <w:rFonts w:ascii="Arial" w:hAnsi="Arial" w:cs="Arial" w:eastAsia="Arial" w:hint="default"/>
                <w:sz w:val="18"/>
                <w:szCs w:val="18"/>
              </w:rPr>
            </w:pPr>
            <w:r>
              <w:rPr>
                <w:rFonts w:ascii="Arial"/>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3" w:right="0"/>
              <w:jc w:val="center"/>
              <w:rPr>
                <w:rFonts w:ascii="Arial" w:hAnsi="Arial" w:cs="Arial" w:eastAsia="Arial" w:hint="default"/>
                <w:sz w:val="18"/>
                <w:szCs w:val="18"/>
              </w:rPr>
            </w:pPr>
            <w:r>
              <w:rPr>
                <w:rFonts w:ascii="Arial"/>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．处置子公司及其他营业单位收到的现金净额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5"/>
                <w:sz w:val="18"/>
              </w:rPr>
              <w:t>0.00</w:t>
            </w:r>
            <w:r>
              <w:rPr>
                <w:rFonts w:ascii="Arial"/>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3</w:t>
      </w:r>
      <w:r>
        <w:rPr/>
        <w:t>）现金和现金等价物的构成</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387,835,608.40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88,737,357.28</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10,720.16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124,745.57</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387,824,888.24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88,612,611.71</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387,835,608.40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88,737,357.28</w:t>
            </w:r>
          </w:p>
        </w:tc>
      </w:tr>
    </w:tbl>
    <w:p>
      <w:pPr>
        <w:pStyle w:val="BodyText"/>
        <w:spacing w:line="240" w:lineRule="auto" w:before="49"/>
        <w:ind w:right="1121"/>
        <w:jc w:val="left"/>
      </w:pPr>
      <w:r>
        <w:rPr/>
        <w:t>现金流量表补充资料的说明</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rFonts w:ascii="Arial" w:hAnsi="Arial" w:cs="Arial" w:eastAsia="Arial" w:hint="default"/>
        </w:rPr>
        <w:t>45</w:t>
      </w:r>
      <w:r>
        <w:rPr/>
        <w:t>、所有者权益变动表项目注释</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470" w:right="2354" w:hanging="318"/>
        <w:jc w:val="left"/>
      </w:pPr>
      <w:r>
        <w:rPr/>
        <w:t>说明对上年年末余额进行调整的</w:t>
      </w:r>
      <w:r>
        <w:rPr>
          <w:rFonts w:ascii="Arial" w:hAnsi="Arial" w:cs="Arial" w:eastAsia="Arial" w:hint="default"/>
        </w:rPr>
        <w:t>“</w:t>
      </w:r>
      <w:r>
        <w:rPr/>
        <w:t>其他</w:t>
      </w:r>
      <w:r>
        <w:rPr>
          <w:rFonts w:ascii="Arial" w:hAnsi="Arial" w:cs="Arial" w:eastAsia="Arial" w:hint="default"/>
        </w:rPr>
        <w:t>”</w:t>
      </w:r>
      <w:r>
        <w:rPr/>
        <w:t>项目名称及调整金额、由同一控制下企业合并产生的追溯调整等事项 不适用</w:t>
      </w:r>
    </w:p>
    <w:p>
      <w:pPr>
        <w:spacing w:line="240" w:lineRule="auto" w:before="6"/>
        <w:rPr>
          <w:rFonts w:ascii="宋体" w:hAnsi="宋体" w:cs="宋体" w:eastAsia="宋体" w:hint="default"/>
          <w:sz w:val="19"/>
          <w:szCs w:val="19"/>
        </w:rPr>
      </w:pPr>
    </w:p>
    <w:p>
      <w:pPr>
        <w:pStyle w:val="Heading2"/>
        <w:spacing w:line="240" w:lineRule="auto"/>
        <w:ind w:right="1121"/>
        <w:jc w:val="left"/>
        <w:rPr>
          <w:b w:val="0"/>
          <w:bCs w:val="0"/>
        </w:rPr>
      </w:pPr>
      <w:r>
        <w:rPr/>
        <w:t>八、关联方及关联交易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、本企业的母公司情况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38"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58"/>
              <w:ind w:left="2" w:right="0"/>
              <w:jc w:val="center"/>
              <w:rPr>
                <w:rFonts w:ascii="Arial" w:hAnsi="Arial" w:cs="Arial" w:eastAsia="Arial" w:hint="default"/>
                <w:sz w:val="18"/>
                <w:szCs w:val="18"/>
              </w:rPr>
            </w:pPr>
            <w:r>
              <w:rPr>
                <w:rFonts w:ascii="Arial"/>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0"/>
              <w:jc w:val="center"/>
              <w:rPr>
                <w:rFonts w:ascii="Arial" w:hAnsi="Arial" w:cs="Arial" w:eastAsia="Arial" w:hint="default"/>
                <w:sz w:val="18"/>
                <w:szCs w:val="18"/>
              </w:rPr>
            </w:pPr>
            <w:r>
              <w:rPr>
                <w:rFonts w:ascii="宋体" w:hAnsi="宋体" w:cs="宋体" w:eastAsia="宋体" w:hint="default"/>
                <w:sz w:val="18"/>
                <w:szCs w:val="18"/>
              </w:rPr>
              <w:t>母公司对 本企业的 表决权比 例</w:t>
            </w:r>
            <w:r>
              <w:rPr>
                <w:rFonts w:ascii="Arial" w:hAnsi="Arial" w:cs="Arial" w:eastAsia="Arial"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027"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深圳德旺 投资发展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个人独资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
              <w:jc w:val="center"/>
              <w:rPr>
                <w:rFonts w:ascii="Arial" w:hAnsi="Arial" w:cs="Arial" w:eastAsia="Arial" w:hint="default"/>
                <w:sz w:val="18"/>
                <w:szCs w:val="18"/>
              </w:rPr>
            </w:pPr>
            <w:r>
              <w:rPr>
                <w:rFonts w:ascii="Arial"/>
                <w:sz w:val="18"/>
              </w:rPr>
              <w:t>36000000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7" w:right="0"/>
              <w:jc w:val="left"/>
              <w:rPr>
                <w:rFonts w:ascii="Arial" w:hAnsi="Arial" w:cs="Arial" w:eastAsia="Arial" w:hint="default"/>
                <w:sz w:val="18"/>
                <w:szCs w:val="18"/>
              </w:rPr>
            </w:pPr>
            <w:r>
              <w:rPr>
                <w:rFonts w:ascii="Arial"/>
                <w:sz w:val="18"/>
              </w:rPr>
              <w:t>23.69%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8" w:right="0"/>
              <w:jc w:val="left"/>
              <w:rPr>
                <w:rFonts w:ascii="Arial" w:hAnsi="Arial" w:cs="Arial" w:eastAsia="Arial" w:hint="default"/>
                <w:sz w:val="18"/>
                <w:szCs w:val="18"/>
              </w:rPr>
            </w:pPr>
            <w:r>
              <w:rPr>
                <w:rFonts w:ascii="Arial"/>
                <w:sz w:val="18"/>
              </w:rPr>
              <w:t>23.69%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3" w:right="0"/>
              <w:jc w:val="left"/>
              <w:rPr>
                <w:rFonts w:ascii="Arial" w:hAnsi="Arial" w:cs="Arial" w:eastAsia="Arial" w:hint="default"/>
                <w:sz w:val="18"/>
                <w:szCs w:val="18"/>
              </w:rPr>
            </w:pPr>
            <w:r>
              <w:rPr>
                <w:rFonts w:ascii="Arial"/>
                <w:sz w:val="18"/>
              </w:rPr>
              <w:t>66102148</w:t>
            </w:r>
          </w:p>
          <w:p>
            <w:pPr>
              <w:pStyle w:val="TableParagraph"/>
              <w:spacing w:line="240" w:lineRule="auto" w:before="102"/>
              <w:ind w:left="23" w:right="0"/>
              <w:jc w:val="left"/>
              <w:rPr>
                <w:rFonts w:ascii="Arial" w:hAnsi="Arial" w:cs="Arial" w:eastAsia="Arial" w:hint="default"/>
                <w:sz w:val="18"/>
                <w:szCs w:val="18"/>
              </w:rPr>
            </w:pPr>
            <w:r>
              <w:rPr>
                <w:rFonts w:ascii="Arial"/>
                <w:sz w:val="18"/>
              </w:rPr>
              <w:t>-2</w:t>
            </w:r>
          </w:p>
        </w:tc>
      </w:tr>
    </w:tbl>
    <w:p>
      <w:pPr>
        <w:pStyle w:val="BodyText"/>
        <w:spacing w:line="338" w:lineRule="auto" w:before="49"/>
        <w:ind w:right="3374"/>
        <w:jc w:val="left"/>
      </w:pPr>
      <w:r>
        <w:rPr/>
        <w:t>本企业的母公司情况的说明 经营范围：投资兴办实业（具体项目另行申报）；国内贸易（不含专营、专控、专卖商品）； 经营期限：自</w:t>
      </w:r>
      <w:r>
        <w:rPr>
          <w:rFonts w:ascii="Arial" w:hAnsi="Arial" w:cs="Arial" w:eastAsia="Arial" w:hint="default"/>
        </w:rPr>
        <w:t>2007</w:t>
      </w:r>
      <w:r>
        <w:rPr/>
        <w:t>年</w:t>
      </w:r>
      <w:r>
        <w:rPr>
          <w:rFonts w:ascii="Arial" w:hAnsi="Arial" w:cs="Arial" w:eastAsia="Arial" w:hint="default"/>
        </w:rPr>
        <w:t>4</w:t>
      </w:r>
      <w:r>
        <w:rPr/>
        <w:t>月</w:t>
      </w:r>
      <w:r>
        <w:rPr>
          <w:rFonts w:ascii="Arial" w:hAnsi="Arial" w:cs="Arial" w:eastAsia="Arial" w:hint="default"/>
        </w:rPr>
        <w:t>9</w:t>
      </w:r>
      <w:r>
        <w:rPr/>
        <w:t>日起至</w:t>
      </w:r>
      <w:r>
        <w:rPr>
          <w:rFonts w:ascii="Arial" w:hAnsi="Arial" w:cs="Arial" w:eastAsia="Arial" w:hint="default"/>
        </w:rPr>
        <w:t>2017</w:t>
      </w:r>
      <w:r>
        <w:rPr/>
        <w:t>年</w:t>
      </w:r>
      <w:r>
        <w:rPr>
          <w:rFonts w:ascii="Arial" w:hAnsi="Arial" w:cs="Arial" w:eastAsia="Arial" w:hint="default"/>
        </w:rPr>
        <w:t>4</w:t>
      </w:r>
      <w:r>
        <w:rPr/>
        <w:t>月</w:t>
      </w:r>
      <w:r>
        <w:rPr>
          <w:rFonts w:ascii="Arial" w:hAnsi="Arial" w:cs="Arial" w:eastAsia="Arial" w:hint="default"/>
        </w:rPr>
        <w:t>9</w:t>
      </w:r>
      <w:r>
        <w:rPr/>
        <w:t>日止；</w:t>
      </w:r>
    </w:p>
    <w:p>
      <w:pPr>
        <w:pStyle w:val="BodyText"/>
        <w:spacing w:line="230" w:lineRule="exact"/>
        <w:ind w:right="0"/>
        <w:jc w:val="left"/>
      </w:pPr>
      <w:r>
        <w:rPr/>
        <w:t>顾永德持有德旺投资公司</w:t>
      </w:r>
      <w:r>
        <w:rPr>
          <w:rFonts w:ascii="Arial" w:hAnsi="Arial" w:cs="Arial" w:eastAsia="Arial" w:hint="default"/>
        </w:rPr>
        <w:t>100%</w:t>
      </w:r>
      <w:r>
        <w:rPr/>
        <w:t>的股份，顾永德同时直接持有本公司</w:t>
      </w:r>
      <w:r>
        <w:rPr>
          <w:rFonts w:ascii="Arial" w:hAnsi="Arial" w:cs="Arial" w:eastAsia="Arial" w:hint="default"/>
        </w:rPr>
        <w:t>13.22</w:t>
      </w:r>
      <w:r>
        <w:rPr>
          <w:rFonts w:ascii="Arial" w:hAnsi="Arial" w:cs="Arial" w:eastAsia="Arial" w:hint="default"/>
          <w:spacing w:val="-35"/>
        </w:rPr>
        <w:t> </w:t>
      </w:r>
      <w:r>
        <w:rPr>
          <w:rFonts w:ascii="Arial" w:hAnsi="Arial" w:cs="Arial" w:eastAsia="Arial" w:hint="default"/>
        </w:rPr>
        <w:t>%</w:t>
      </w:r>
      <w:r>
        <w:rPr/>
        <w:t>的股份，共计持有本公司</w:t>
      </w:r>
      <w:r>
        <w:rPr>
          <w:rFonts w:ascii="Arial" w:hAnsi="Arial" w:cs="Arial" w:eastAsia="Arial" w:hint="default"/>
        </w:rPr>
        <w:t>36.91</w:t>
      </w:r>
      <w:r>
        <w:rPr>
          <w:rFonts w:ascii="Arial" w:hAnsi="Arial" w:cs="Arial" w:eastAsia="Arial" w:hint="default"/>
          <w:spacing w:val="-35"/>
        </w:rPr>
        <w:t> </w:t>
      </w:r>
      <w:r>
        <w:rPr>
          <w:rFonts w:ascii="Arial" w:hAnsi="Arial" w:cs="Arial" w:eastAsia="Arial" w:hint="default"/>
        </w:rPr>
        <w:t>%</w:t>
      </w:r>
      <w:r>
        <w:rPr/>
        <w:t>的股份，为本</w:t>
      </w:r>
    </w:p>
    <w:p>
      <w:pPr>
        <w:pStyle w:val="BodyText"/>
        <w:spacing w:line="240" w:lineRule="auto" w:before="64"/>
        <w:ind w:right="1121"/>
        <w:jc w:val="left"/>
      </w:pPr>
      <w:r>
        <w:rPr/>
        <w:t>公司的实际控制人。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1121"/>
        <w:jc w:val="left"/>
        <w:rPr>
          <w:b w:val="0"/>
          <w:bCs w:val="0"/>
        </w:rPr>
      </w:pPr>
      <w:r>
        <w:rPr>
          <w:rFonts w:ascii="Arial" w:hAnsi="Arial" w:cs="Arial" w:eastAsia="Arial"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left="2" w:right="0"/>
              <w:jc w:val="center"/>
              <w:rPr>
                <w:rFonts w:ascii="Arial" w:hAnsi="Arial" w:cs="Arial" w:eastAsia="Arial" w:hint="default"/>
                <w:sz w:val="18"/>
                <w:szCs w:val="18"/>
              </w:rPr>
            </w:pPr>
            <w:r>
              <w:rPr>
                <w:rFonts w:ascii="Arial"/>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5" w:right="0"/>
              <w:jc w:val="center"/>
              <w:rPr>
                <w:rFonts w:ascii="Arial" w:hAnsi="Arial" w:cs="Arial" w:eastAsia="Arial" w:hint="default"/>
                <w:sz w:val="18"/>
                <w:szCs w:val="18"/>
              </w:rPr>
            </w:pPr>
            <w:r>
              <w:rPr>
                <w:rFonts w:ascii="Arial"/>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75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深圳茂硕新 能源技术研 究院有限公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程春金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提供新能源 和再生能源 的储能系统 解决方案； </w:t>
            </w:r>
            <w:r>
              <w:rPr>
                <w:rFonts w:ascii="Arial" w:hAnsi="Arial" w:cs="Arial" w:eastAsia="Arial" w:hint="default"/>
                <w:sz w:val="18"/>
                <w:szCs w:val="18"/>
              </w:rPr>
              <w:t>DC/DC</w:t>
            </w:r>
            <w:r>
              <w:rPr>
                <w:rFonts w:ascii="Arial" w:hAnsi="Arial" w:cs="Arial" w:eastAsia="Arial" w:hint="default"/>
                <w:spacing w:val="-6"/>
                <w:sz w:val="18"/>
                <w:szCs w:val="18"/>
              </w:rPr>
              <w:t> </w:t>
            </w:r>
            <w:r>
              <w:rPr>
                <w:rFonts w:ascii="宋体" w:hAnsi="宋体" w:cs="宋体" w:eastAsia="宋体" w:hint="default"/>
                <w:sz w:val="18"/>
                <w:szCs w:val="18"/>
              </w:rPr>
              <w:t>高</w:t>
            </w:r>
            <w:r>
              <w:rPr>
                <w:rFonts w:ascii="宋体" w:hAnsi="宋体" w:cs="宋体" w:eastAsia="宋体" w:hint="default"/>
                <w:w w:val="99"/>
                <w:sz w:val="18"/>
                <w:szCs w:val="18"/>
              </w:rPr>
              <w:t> </w:t>
            </w:r>
            <w:r>
              <w:rPr>
                <w:rFonts w:ascii="宋体" w:hAnsi="宋体" w:cs="宋体" w:eastAsia="宋体" w:hint="default"/>
                <w:sz w:val="18"/>
                <w:szCs w:val="18"/>
              </w:rPr>
              <w:t>效、高密度</w:t>
            </w:r>
            <w:r>
              <w:rPr>
                <w:rFonts w:ascii="宋体" w:hAnsi="宋体" w:cs="宋体" w:eastAsia="宋体" w:hint="default"/>
                <w:w w:val="99"/>
                <w:sz w:val="18"/>
                <w:szCs w:val="18"/>
              </w:rPr>
              <w:t> </w:t>
            </w:r>
            <w:r>
              <w:rPr>
                <w:rFonts w:ascii="宋体" w:hAnsi="宋体" w:cs="宋体" w:eastAsia="宋体" w:hint="default"/>
                <w:sz w:val="18"/>
                <w:szCs w:val="18"/>
              </w:rPr>
              <w:t>模块电源的</w:t>
            </w:r>
            <w:r>
              <w:rPr>
                <w:rFonts w:ascii="宋体" w:hAnsi="宋体" w:cs="宋体" w:eastAsia="宋体" w:hint="default"/>
                <w:w w:val="99"/>
                <w:sz w:val="18"/>
                <w:szCs w:val="18"/>
              </w:rPr>
              <w:t> </w:t>
            </w:r>
            <w:r>
              <w:rPr>
                <w:rFonts w:ascii="宋体" w:hAnsi="宋体" w:cs="宋体" w:eastAsia="宋体" w:hint="default"/>
                <w:sz w:val="18"/>
                <w:szCs w:val="18"/>
              </w:rPr>
              <w:t>设计；</w:t>
            </w:r>
            <w:r>
              <w:rPr>
                <w:rFonts w:ascii="Arial" w:hAnsi="Arial" w:cs="Arial" w:eastAsia="Arial" w:hint="default"/>
                <w:sz w:val="18"/>
                <w:szCs w:val="18"/>
              </w:rPr>
              <w:t>LED</w:t>
            </w:r>
            <w:r>
              <w:rPr>
                <w:rFonts w:ascii="Arial" w:hAnsi="Arial" w:cs="Arial" w:eastAsia="Arial" w:hint="default"/>
                <w:w w:val="99"/>
                <w:sz w:val="18"/>
                <w:szCs w:val="18"/>
              </w:rPr>
              <w:t> </w:t>
            </w:r>
            <w:r>
              <w:rPr>
                <w:rFonts w:ascii="宋体" w:hAnsi="宋体" w:cs="宋体" w:eastAsia="宋体" w:hint="default"/>
                <w:sz w:val="18"/>
                <w:szCs w:val="18"/>
              </w:rPr>
              <w:t>新一代数字 驱动智能化 电源的设 计；计算机 的辅助设 计、模拟、 仿真系统服 务平台及测 试系统的开 发、销售及 相应的技术 服务（以上 法律、行政 法规、国务 院决定禁止 的项目除</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19"/>
              <w:jc w:val="right"/>
              <w:rPr>
                <w:rFonts w:ascii="Arial" w:hAnsi="Arial" w:cs="Arial" w:eastAsia="Arial" w:hint="default"/>
                <w:sz w:val="18"/>
                <w:szCs w:val="18"/>
              </w:rPr>
            </w:pPr>
            <w:r>
              <w:rPr>
                <w:rFonts w:ascii="Arial"/>
                <w:spacing w:val="-1"/>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63" w:right="0"/>
              <w:jc w:val="left"/>
              <w:rPr>
                <w:rFonts w:ascii="Arial" w:hAnsi="Arial" w:cs="Arial" w:eastAsia="Arial" w:hint="default"/>
                <w:sz w:val="18"/>
                <w:szCs w:val="18"/>
              </w:rPr>
            </w:pPr>
            <w:r>
              <w:rPr>
                <w:rFonts w:ascii="Arial"/>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66" w:right="0"/>
              <w:jc w:val="left"/>
              <w:rPr>
                <w:rFonts w:ascii="Arial" w:hAnsi="Arial" w:cs="Arial" w:eastAsia="Arial" w:hint="default"/>
                <w:sz w:val="18"/>
                <w:szCs w:val="18"/>
              </w:rPr>
            </w:pPr>
            <w:r>
              <w:rPr>
                <w:rFonts w:ascii="Arial"/>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Arial" w:hAnsi="Arial" w:cs="Arial" w:eastAsia="Arial" w:hint="default"/>
                <w:sz w:val="18"/>
                <w:szCs w:val="18"/>
              </w:rPr>
            </w:pPr>
            <w:r>
              <w:rPr>
                <w:rFonts w:ascii="Arial"/>
                <w:sz w:val="18"/>
              </w:rPr>
              <w:t>67297205-</w:t>
            </w:r>
          </w:p>
          <w:p>
            <w:pPr>
              <w:pStyle w:val="TableParagraph"/>
              <w:spacing w:line="240" w:lineRule="auto" w:before="105"/>
              <w:ind w:left="23" w:right="0"/>
              <w:jc w:val="left"/>
              <w:rPr>
                <w:rFonts w:ascii="Arial" w:hAnsi="Arial" w:cs="Arial" w:eastAsia="Arial" w:hint="default"/>
                <w:sz w:val="18"/>
                <w:szCs w:val="18"/>
              </w:rPr>
            </w:pPr>
            <w:r>
              <w:rPr>
                <w:rFonts w:ascii="Arial"/>
                <w:w w:val="99"/>
                <w:sz w:val="18"/>
              </w:rPr>
              <w:t>6</w:t>
            </w:r>
            <w:r>
              <w:rPr>
                <w:rFonts w:ascii="Arial"/>
                <w:sz w:val="18"/>
              </w:rPr>
            </w:r>
          </w:p>
        </w:tc>
      </w:tr>
    </w:tbl>
    <w:p>
      <w:pPr>
        <w:spacing w:after="0" w:line="240" w:lineRule="auto"/>
        <w:jc w:val="left"/>
        <w:rPr>
          <w:rFonts w:ascii="Arial" w:hAnsi="Arial" w:cs="Arial" w:eastAsia="Arial" w:hint="default"/>
          <w:sz w:val="18"/>
          <w:szCs w:val="18"/>
        </w:rPr>
        <w:sectPr>
          <w:pgSz w:w="11910" w:h="16840"/>
          <w:pgMar w:header="877" w:footer="1338" w:top="1060" w:bottom="152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0.092987pt;margin-top:137.429977pt;width:71.55pt;height:132.65pt;mso-position-horizontal-relative:page;mso-position-vertical-relative:page;z-index:-1032904" type="#_x0000_t202" filled="false" stroked="false">
            <v:textbox inset="0,0,0,0">
              <w:txbxContent>
                <w:p>
                  <w:pPr>
                    <w:pStyle w:val="BodyText"/>
                    <w:spacing w:line="240" w:lineRule="auto" w:before="48"/>
                    <w:ind w:left="0" w:right="0"/>
                    <w:jc w:val="left"/>
                  </w:pPr>
                  <w:r>
                    <w:rPr/>
                    <w:t>销售：</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1299" w:hRule="exact"/>
        </w:trPr>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1"/>
              <w:jc w:val="both"/>
              <w:rPr>
                <w:rFonts w:ascii="宋体" w:hAnsi="宋体" w:cs="宋体" w:eastAsia="宋体" w:hint="default"/>
                <w:sz w:val="18"/>
                <w:szCs w:val="18"/>
              </w:rPr>
            </w:pPr>
            <w:r>
              <w:rPr>
                <w:rFonts w:ascii="宋体" w:hAnsi="宋体" w:cs="宋体" w:eastAsia="宋体" w:hint="default"/>
                <w:sz w:val="18"/>
                <w:szCs w:val="18"/>
              </w:rPr>
              <w:t>外，限制的 项目须取得 许可后方可 </w:t>
            </w:r>
            <w:r>
              <w:rPr>
                <w:rFonts w:ascii="宋体" w:hAnsi="宋体" w:cs="宋体" w:eastAsia="宋体" w:hint="default"/>
                <w:spacing w:val="-23"/>
                <w:sz w:val="18"/>
                <w:szCs w:val="18"/>
              </w:rPr>
              <w:t>经营）。</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570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4" w:right="22"/>
              <w:jc w:val="both"/>
              <w:rPr>
                <w:rFonts w:ascii="宋体" w:hAnsi="宋体" w:cs="宋体" w:eastAsia="宋体" w:hint="default"/>
                <w:sz w:val="18"/>
                <w:szCs w:val="18"/>
              </w:rPr>
            </w:pPr>
            <w:r>
              <w:rPr>
                <w:rFonts w:ascii="宋体" w:hAnsi="宋体" w:cs="宋体" w:eastAsia="宋体" w:hint="default"/>
                <w:sz w:val="18"/>
                <w:szCs w:val="18"/>
              </w:rPr>
              <w:t>惠州茂硕能 源科技有限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3"/>
              <w:jc w:val="left"/>
              <w:rPr>
                <w:rFonts w:ascii="宋体" w:hAnsi="宋体" w:cs="宋体" w:eastAsia="宋体" w:hint="default"/>
                <w:sz w:val="18"/>
                <w:szCs w:val="18"/>
              </w:rPr>
            </w:pPr>
            <w:r>
              <w:rPr>
                <w:rFonts w:ascii="宋体" w:hAnsi="宋体" w:cs="宋体" w:eastAsia="宋体" w:hint="default"/>
                <w:sz w:val="18"/>
                <w:szCs w:val="18"/>
              </w:rPr>
              <w:t>生产、 大功率 </w:t>
            </w:r>
            <w:r>
              <w:rPr>
                <w:rFonts w:ascii="Arial" w:hAnsi="Arial" w:cs="Arial" w:eastAsia="Arial" w:hint="default"/>
                <w:sz w:val="18"/>
                <w:szCs w:val="18"/>
              </w:rPr>
              <w:t>LED</w:t>
            </w:r>
            <w:r>
              <w:rPr>
                <w:rFonts w:ascii="Arial" w:hAnsi="Arial" w:cs="Arial" w:eastAsia="Arial" w:hint="default"/>
                <w:spacing w:val="-6"/>
                <w:sz w:val="18"/>
                <w:szCs w:val="18"/>
              </w:rPr>
              <w:t> </w:t>
            </w:r>
            <w:r>
              <w:rPr>
                <w:rFonts w:ascii="宋体" w:hAnsi="宋体" w:cs="宋体" w:eastAsia="宋体" w:hint="default"/>
                <w:sz w:val="18"/>
                <w:szCs w:val="18"/>
              </w:rPr>
              <w:t>路灯</w:t>
            </w: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电源、隧道 灯电源、汽 车充电器、 光伏并网逆 变器、开关 电源、变压 器、电子元 器件、五金 塑胶配件； 货物出口业 务（法律、 行政法规禁 止的、限制 的项目除 </w:t>
            </w:r>
            <w:r>
              <w:rPr>
                <w:rFonts w:ascii="宋体" w:hAnsi="宋体" w:cs="宋体" w:eastAsia="宋体" w:hint="default"/>
                <w:spacing w:val="-31"/>
                <w:sz w:val="18"/>
                <w:szCs w:val="18"/>
              </w:rPr>
              <w:t>外）。</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52"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pict>
                <v:group style="width:47.4pt;height:132.65pt;mso-position-horizontal-relative:char;mso-position-vertical-relative:line" coordorigin="0,0" coordsize="948,2653">
                  <v:group style="position:absolute;left:0;top:0;width:948;height:2653" coordorigin="0,0" coordsize="948,2653">
                    <v:shape style="position:absolute;left:0;top:0;width:948;height:2653" coordorigin="0,0" coordsize="948,2653" path="m0,2652l948,2652,948,0,0,0,0,2652xe" filled="true" fillcolor="#ffffff" stroked="false">
                      <v:path arrowok="t"/>
                      <v:fill type="solid"/>
                    </v:shape>
                  </v:group>
                </v:group>
              </w:pict>
            </w:r>
            <w:r>
              <w:rPr>
                <w:rFonts w:ascii="Times New Roman" w:hAnsi="Times New Roman" w:cs="Times New Roman" w:eastAsia="Times New Roman" w:hint="default"/>
                <w:position w:val="-52"/>
                <w:sz w:val="20"/>
                <w:szCs w:val="20"/>
              </w:rPr>
            </w:r>
          </w:p>
          <w:p>
            <w:pPr>
              <w:pStyle w:val="TableParagraph"/>
              <w:spacing w:line="240" w:lineRule="auto" w:before="90"/>
              <w:ind w:left="23" w:right="0"/>
              <w:jc w:val="left"/>
              <w:rPr>
                <w:rFonts w:ascii="Arial" w:hAnsi="Arial" w:cs="Arial" w:eastAsia="Arial" w:hint="default"/>
                <w:sz w:val="18"/>
                <w:szCs w:val="18"/>
              </w:rPr>
            </w:pPr>
            <w:r>
              <w:rPr>
                <w:rFonts w:ascii="Arial"/>
                <w:sz w:val="18"/>
              </w:rPr>
              <w:t>100000000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Arial" w:hAnsi="Arial" w:cs="Arial" w:eastAsia="Arial" w:hint="default"/>
                <w:sz w:val="18"/>
                <w:szCs w:val="18"/>
              </w:rPr>
            </w:pPr>
            <w:r>
              <w:rPr>
                <w:rFonts w:ascii="Arial"/>
                <w:sz w:val="18"/>
              </w:rPr>
              <w:t>69479593-</w:t>
            </w:r>
          </w:p>
          <w:p>
            <w:pPr>
              <w:pStyle w:val="TableParagraph"/>
              <w:spacing w:line="240" w:lineRule="auto" w:before="105"/>
              <w:ind w:left="23" w:right="0"/>
              <w:jc w:val="left"/>
              <w:rPr>
                <w:rFonts w:ascii="Arial" w:hAnsi="Arial" w:cs="Arial" w:eastAsia="Arial" w:hint="default"/>
                <w:sz w:val="18"/>
                <w:szCs w:val="18"/>
              </w:rPr>
            </w:pPr>
            <w:r>
              <w:rPr>
                <w:rFonts w:ascii="Arial"/>
                <w:w w:val="99"/>
                <w:sz w:val="18"/>
              </w:rPr>
              <w:t>5</w:t>
            </w:r>
            <w:r>
              <w:rPr>
                <w:rFonts w:ascii="Arial"/>
                <w:sz w:val="18"/>
              </w:rPr>
            </w:r>
          </w:p>
        </w:tc>
      </w:tr>
      <w:tr>
        <w:trPr>
          <w:trHeight w:val="477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深圳茂硕电 子科技有限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皮远军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开关电源、 变压器、电 感的设计、 技术开发、 生产和销 售；经营进 出口业务</w:t>
            </w:r>
          </w:p>
          <w:p>
            <w:pPr>
              <w:pStyle w:val="TableParagraph"/>
              <w:spacing w:line="316" w:lineRule="auto" w:before="19"/>
              <w:ind w:left="23" w:right="21"/>
              <w:jc w:val="both"/>
              <w:rPr>
                <w:rFonts w:ascii="宋体" w:hAnsi="宋体" w:cs="宋体" w:eastAsia="宋体" w:hint="default"/>
                <w:sz w:val="18"/>
                <w:szCs w:val="18"/>
              </w:rPr>
            </w:pPr>
            <w:r>
              <w:rPr>
                <w:rFonts w:ascii="宋体" w:hAnsi="宋体" w:cs="宋体" w:eastAsia="宋体" w:hint="default"/>
                <w:sz w:val="18"/>
                <w:szCs w:val="18"/>
              </w:rPr>
              <w:t>（法律、行 政法规、国 务院决定禁 止的项目除 外，限制的 项目须取得 许可后方可 </w:t>
            </w:r>
            <w:r>
              <w:rPr>
                <w:rFonts w:ascii="宋体" w:hAnsi="宋体" w:cs="宋体" w:eastAsia="宋体" w:hint="default"/>
                <w:spacing w:val="-23"/>
                <w:sz w:val="18"/>
                <w:szCs w:val="18"/>
              </w:rPr>
              <w:t>经营）。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Arial" w:hAnsi="Arial" w:cs="Arial" w:eastAsia="Arial" w:hint="default"/>
                <w:sz w:val="18"/>
                <w:szCs w:val="18"/>
              </w:rPr>
            </w:pPr>
            <w:r>
              <w:rPr>
                <w:rFonts w:ascii="Arial"/>
                <w:sz w:val="18"/>
              </w:rPr>
              <w:t>9800000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Arial" w:hAnsi="Arial" w:cs="Arial" w:eastAsia="Arial" w:hint="default"/>
                <w:sz w:val="18"/>
                <w:szCs w:val="18"/>
              </w:rPr>
            </w:pPr>
            <w:r>
              <w:rPr>
                <w:rFonts w:ascii="Arial"/>
                <w:sz w:val="18"/>
              </w:rPr>
              <w:t>69713886-</w:t>
            </w:r>
          </w:p>
          <w:p>
            <w:pPr>
              <w:pStyle w:val="TableParagraph"/>
              <w:spacing w:line="240" w:lineRule="auto" w:before="105"/>
              <w:ind w:left="23" w:right="0"/>
              <w:jc w:val="left"/>
              <w:rPr>
                <w:rFonts w:ascii="Arial" w:hAnsi="Arial" w:cs="Arial" w:eastAsia="Arial" w:hint="default"/>
                <w:sz w:val="18"/>
                <w:szCs w:val="18"/>
              </w:rPr>
            </w:pPr>
            <w:r>
              <w:rPr>
                <w:rFonts w:ascii="Arial"/>
                <w:w w:val="99"/>
                <w:sz w:val="18"/>
              </w:rPr>
              <w:t>9</w:t>
            </w:r>
            <w:r>
              <w:rPr>
                <w:rFonts w:ascii="Arial"/>
                <w:sz w:val="18"/>
              </w:rPr>
            </w:r>
          </w:p>
        </w:tc>
      </w:tr>
      <w:tr>
        <w:trPr>
          <w:trHeight w:val="192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深圳华智测 控技术有限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皮远军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远程测控系 统和设备产 品的研发、 设计、销售 及相关产品 的技术支持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Arial" w:hAnsi="Arial" w:cs="Arial" w:eastAsia="Arial" w:hint="default"/>
                <w:sz w:val="18"/>
                <w:szCs w:val="18"/>
              </w:rPr>
            </w:pPr>
            <w:r>
              <w:rPr>
                <w:rFonts w:ascii="Arial"/>
                <w:sz w:val="18"/>
              </w:rPr>
              <w:t>4100000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spacing w:val="-1"/>
                <w:sz w:val="18"/>
              </w:rPr>
              <w:t>50.93%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spacing w:val="-1"/>
                <w:sz w:val="18"/>
              </w:rPr>
              <w:t>50.93%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Arial" w:hAnsi="Arial" w:cs="Arial" w:eastAsia="Arial" w:hint="default"/>
                <w:sz w:val="18"/>
                <w:szCs w:val="18"/>
              </w:rPr>
            </w:pPr>
            <w:r>
              <w:rPr>
                <w:rFonts w:ascii="Arial"/>
                <w:sz w:val="18"/>
              </w:rPr>
              <w:t>69395912-</w:t>
            </w:r>
          </w:p>
          <w:p>
            <w:pPr>
              <w:pStyle w:val="TableParagraph"/>
              <w:spacing w:line="240" w:lineRule="auto" w:before="102"/>
              <w:ind w:left="23" w:right="0"/>
              <w:jc w:val="left"/>
              <w:rPr>
                <w:rFonts w:ascii="Arial" w:hAnsi="Arial" w:cs="Arial" w:eastAsia="Arial" w:hint="default"/>
                <w:sz w:val="18"/>
                <w:szCs w:val="18"/>
              </w:rPr>
            </w:pPr>
            <w:r>
              <w:rPr>
                <w:rFonts w:ascii="Arial"/>
                <w:w w:val="99"/>
                <w:sz w:val="18"/>
              </w:rPr>
              <w:t>5</w:t>
            </w:r>
            <w:r>
              <w:rPr>
                <w:rFonts w:ascii="Arial"/>
                <w:sz w:val="18"/>
              </w:rPr>
            </w:r>
          </w:p>
        </w:tc>
      </w:tr>
    </w:tbl>
    <w:p>
      <w:pPr>
        <w:spacing w:after="0" w:line="240" w:lineRule="auto"/>
        <w:jc w:val="left"/>
        <w:rPr>
          <w:rFonts w:ascii="Arial" w:hAnsi="Arial" w:cs="Arial" w:eastAsia="Arial" w:hint="default"/>
          <w:sz w:val="18"/>
          <w:szCs w:val="18"/>
        </w:rPr>
        <w:sectPr>
          <w:pgSz w:w="11910" w:h="16840"/>
          <w:pgMar w:header="877" w:footer="1338" w:top="1060" w:bottom="152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32856"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148</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2235" w:hRule="exact"/>
        </w:trPr>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1"/>
              <w:jc w:val="both"/>
              <w:rPr>
                <w:rFonts w:ascii="宋体" w:hAnsi="宋体" w:cs="宋体" w:eastAsia="宋体" w:hint="default"/>
                <w:sz w:val="18"/>
                <w:szCs w:val="18"/>
              </w:rPr>
            </w:pPr>
            <w:r>
              <w:rPr>
                <w:rFonts w:ascii="宋体" w:hAnsi="宋体" w:cs="宋体" w:eastAsia="宋体" w:hint="default"/>
                <w:sz w:val="18"/>
                <w:szCs w:val="18"/>
              </w:rPr>
              <w:t>与服务（法 律、行政法 规、国务院 决定规定在 登记前须经 批准的项目 </w:t>
            </w:r>
            <w:r>
              <w:rPr>
                <w:rFonts w:ascii="宋体" w:hAnsi="宋体" w:cs="宋体" w:eastAsia="宋体" w:hint="default"/>
                <w:spacing w:val="-23"/>
                <w:sz w:val="18"/>
                <w:szCs w:val="18"/>
              </w:rPr>
              <w:t>除外）。</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4" w:right="22"/>
              <w:jc w:val="both"/>
              <w:rPr>
                <w:rFonts w:ascii="宋体" w:hAnsi="宋体" w:cs="宋体" w:eastAsia="宋体" w:hint="default"/>
                <w:sz w:val="18"/>
                <w:szCs w:val="18"/>
              </w:rPr>
            </w:pPr>
            <w:r>
              <w:rPr>
                <w:rFonts w:ascii="宋体" w:hAnsi="宋体" w:cs="宋体" w:eastAsia="宋体" w:hint="default"/>
                <w:sz w:val="18"/>
                <w:szCs w:val="18"/>
              </w:rPr>
              <w:t>北京茂硕新 能源科技有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其他有限责 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技术推广服 务；应用软 件服务；销 售机械设备 五金交电、 家用电器、 计算机软件 及辅助设 备、通讯设 备、电子产 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Arial" w:hAnsi="Arial" w:cs="Arial" w:eastAsia="Arial" w:hint="default"/>
                <w:sz w:val="18"/>
                <w:szCs w:val="18"/>
              </w:rPr>
            </w:pPr>
            <w:r>
              <w:rPr>
                <w:rFonts w:ascii="Arial"/>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Arial" w:hAnsi="Arial" w:cs="Arial" w:eastAsia="Arial" w:hint="default"/>
                <w:sz w:val="18"/>
                <w:szCs w:val="18"/>
              </w:rPr>
            </w:pPr>
            <w:r>
              <w:rPr>
                <w:rFonts w:ascii="Arial"/>
                <w:sz w:val="18"/>
              </w:rPr>
              <w:t>55682320-</w:t>
            </w:r>
          </w:p>
          <w:p>
            <w:pPr>
              <w:pStyle w:val="TableParagraph"/>
              <w:spacing w:line="240" w:lineRule="auto" w:before="105"/>
              <w:ind w:left="23" w:right="0"/>
              <w:jc w:val="left"/>
              <w:rPr>
                <w:rFonts w:ascii="Arial" w:hAnsi="Arial" w:cs="Arial" w:eastAsia="Arial" w:hint="default"/>
                <w:sz w:val="18"/>
                <w:szCs w:val="18"/>
              </w:rPr>
            </w:pPr>
            <w:r>
              <w:rPr>
                <w:rFonts w:ascii="Arial"/>
                <w:w w:val="99"/>
                <w:sz w:val="18"/>
              </w:rPr>
              <w:t>5</w:t>
            </w:r>
            <w:r>
              <w:rPr>
                <w:rFonts w:ascii="Arial"/>
                <w:sz w:val="18"/>
              </w:rPr>
            </w:r>
          </w:p>
        </w:tc>
      </w:tr>
      <w:tr>
        <w:trPr>
          <w:trHeight w:val="414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4" w:right="22"/>
              <w:jc w:val="both"/>
              <w:rPr>
                <w:rFonts w:ascii="宋体" w:hAnsi="宋体" w:cs="宋体" w:eastAsia="宋体" w:hint="default"/>
                <w:sz w:val="18"/>
                <w:szCs w:val="18"/>
              </w:rPr>
            </w:pPr>
            <w:r>
              <w:rPr>
                <w:rFonts w:ascii="宋体" w:hAnsi="宋体" w:cs="宋体" w:eastAsia="宋体" w:hint="default"/>
                <w:sz w:val="18"/>
                <w:szCs w:val="18"/>
              </w:rPr>
              <w:t>茂硕能源科 技（香港） 国际有限公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大功率</w:t>
            </w:r>
          </w:p>
          <w:p>
            <w:pPr>
              <w:pStyle w:val="TableParagraph"/>
              <w:spacing w:line="316" w:lineRule="auto" w:before="76"/>
              <w:ind w:left="23" w:right="21"/>
              <w:jc w:val="left"/>
              <w:rPr>
                <w:rFonts w:ascii="宋体" w:hAnsi="宋体" w:cs="宋体" w:eastAsia="宋体" w:hint="default"/>
                <w:sz w:val="18"/>
                <w:szCs w:val="18"/>
              </w:rPr>
            </w:pPr>
            <w:r>
              <w:rPr>
                <w:rFonts w:ascii="Arial" w:hAnsi="Arial" w:cs="Arial" w:eastAsia="Arial" w:hint="default"/>
                <w:sz w:val="18"/>
                <w:szCs w:val="18"/>
              </w:rPr>
              <w:t>LED</w:t>
            </w:r>
            <w:r>
              <w:rPr>
                <w:rFonts w:ascii="Arial" w:hAnsi="Arial" w:cs="Arial" w:eastAsia="Arial" w:hint="default"/>
                <w:spacing w:val="-5"/>
                <w:sz w:val="18"/>
                <w:szCs w:val="18"/>
              </w:rPr>
              <w:t> </w:t>
            </w:r>
            <w:r>
              <w:rPr>
                <w:rFonts w:ascii="宋体" w:hAnsi="宋体" w:cs="宋体" w:eastAsia="宋体" w:hint="default"/>
                <w:sz w:val="18"/>
                <w:szCs w:val="18"/>
              </w:rPr>
              <w:t>路灯 电源、汽车 充电器、太 阳能逆变 器、开关电 源、变压器 的采购和销 售；电子元 器件、五金 塑胶配件的 采购和销售 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51"/>
              <w:ind w:left="23" w:right="40"/>
              <w:jc w:val="left"/>
              <w:rPr>
                <w:rFonts w:ascii="Arial" w:hAnsi="Arial" w:cs="Arial" w:eastAsia="Arial" w:hint="default"/>
                <w:sz w:val="18"/>
                <w:szCs w:val="18"/>
              </w:rPr>
            </w:pPr>
            <w:r>
              <w:rPr>
                <w:rFonts w:ascii="Arial"/>
                <w:sz w:val="18"/>
              </w:rPr>
              <w:t>HKD10000</w:t>
            </w:r>
            <w:r>
              <w:rPr>
                <w:rFonts w:ascii="Arial"/>
                <w:w w:val="99"/>
                <w:sz w:val="18"/>
              </w:rPr>
              <w:t> </w:t>
            </w:r>
            <w:r>
              <w:rPr>
                <w:rFonts w:ascii="Arial"/>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9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1"/>
        <w:jc w:val="left"/>
        <w:rPr>
          <w:b w:val="0"/>
          <w:bCs w:val="0"/>
        </w:rPr>
      </w:pPr>
      <w:r>
        <w:rPr>
          <w:rFonts w:ascii="Arial" w:hAnsi="Arial" w:cs="Arial" w:eastAsia="Arial" w:hint="default"/>
        </w:rPr>
        <w:t>3</w:t>
      </w:r>
      <w:r>
        <w:rPr/>
        <w:t>、本企业的其他关联方情况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浙江蓝石创业投资有限公司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股东，持有本公司</w:t>
            </w:r>
            <w:r>
              <w:rPr>
                <w:rFonts w:ascii="宋体" w:hAnsi="宋体" w:cs="宋体" w:eastAsia="宋体" w:hint="default"/>
                <w:spacing w:val="-50"/>
                <w:sz w:val="18"/>
                <w:szCs w:val="18"/>
              </w:rPr>
              <w:t> </w:t>
            </w:r>
            <w:r>
              <w:rPr>
                <w:rFonts w:ascii="Arial" w:hAnsi="Arial" w:cs="Arial" w:eastAsia="Arial" w:hint="default"/>
                <w:sz w:val="18"/>
                <w:szCs w:val="18"/>
              </w:rPr>
              <w:t>5.26%</w:t>
            </w:r>
            <w:r>
              <w:rPr>
                <w:rFonts w:ascii="宋体" w:hAnsi="宋体" w:cs="宋体" w:eastAsia="宋体" w:hint="default"/>
                <w:sz w:val="18"/>
                <w:szCs w:val="18"/>
              </w:rPr>
              <w:t>的股份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67478630-2</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深圳市南海成长创科投资合伙企业（有 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本公司董事丁宝玉为该公司的普通合伙 人、副总经理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3" w:right="0"/>
              <w:jc w:val="left"/>
              <w:rPr>
                <w:rFonts w:ascii="Arial" w:hAnsi="Arial" w:cs="Arial" w:eastAsia="Arial" w:hint="default"/>
                <w:sz w:val="18"/>
                <w:szCs w:val="18"/>
              </w:rPr>
            </w:pPr>
            <w:r>
              <w:rPr>
                <w:rFonts w:ascii="Arial"/>
                <w:sz w:val="18"/>
              </w:rPr>
              <w:t>69252675-8</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浙江泰银创业投资有限公司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股东，持有本公司</w:t>
            </w:r>
            <w:r>
              <w:rPr>
                <w:rFonts w:ascii="宋体" w:hAnsi="宋体" w:cs="宋体" w:eastAsia="宋体" w:hint="default"/>
                <w:spacing w:val="-48"/>
                <w:sz w:val="18"/>
                <w:szCs w:val="18"/>
              </w:rPr>
              <w:t> </w:t>
            </w:r>
            <w:r>
              <w:rPr>
                <w:rFonts w:ascii="Arial" w:hAnsi="Arial" w:cs="Arial" w:eastAsia="Arial" w:hint="default"/>
                <w:sz w:val="18"/>
                <w:szCs w:val="18"/>
              </w:rPr>
              <w:t>3.29%</w:t>
            </w:r>
            <w:r>
              <w:rPr>
                <w:rFonts w:ascii="宋体" w:hAnsi="宋体" w:cs="宋体" w:eastAsia="宋体" w:hint="default"/>
                <w:sz w:val="18"/>
                <w:szCs w:val="18"/>
              </w:rPr>
              <w:t>的股份，与浙 江蓝石创业投资有限公司为一致行动人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3" w:right="0"/>
              <w:jc w:val="left"/>
              <w:rPr>
                <w:rFonts w:ascii="Arial" w:hAnsi="Arial" w:cs="Arial" w:eastAsia="Arial" w:hint="default"/>
                <w:sz w:val="18"/>
                <w:szCs w:val="18"/>
              </w:rPr>
            </w:pPr>
            <w:r>
              <w:rPr>
                <w:rFonts w:ascii="Arial"/>
                <w:sz w:val="18"/>
              </w:rPr>
              <w:t>66830625-3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杭州远方光电信息股份有限公司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本公司董事康伟在该公司任董事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Arial" w:hAnsi="Arial" w:cs="Arial" w:eastAsia="Arial" w:hint="default"/>
                <w:sz w:val="18"/>
                <w:szCs w:val="18"/>
              </w:rPr>
            </w:pPr>
            <w:r>
              <w:rPr>
                <w:rFonts w:ascii="Arial"/>
                <w:sz w:val="18"/>
              </w:rPr>
              <w:t>14325832-4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大连路明发光科技股份有限公司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本公司董事丁宝玉在该公司任董事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70215338-6</w:t>
            </w:r>
          </w:p>
        </w:tc>
      </w:tr>
    </w:tbl>
    <w:p>
      <w:pPr>
        <w:spacing w:after="0" w:line="240" w:lineRule="auto"/>
        <w:jc w:val="left"/>
        <w:rPr>
          <w:rFonts w:ascii="Arial" w:hAnsi="Arial" w:cs="Arial" w:eastAsia="Arial" w:hint="default"/>
          <w:sz w:val="18"/>
          <w:szCs w:val="18"/>
        </w:rPr>
        <w:sectPr>
          <w:headerReference w:type="default" r:id="rId76"/>
          <w:footerReference w:type="default" r:id="rId77"/>
          <w:pgSz w:w="11910" w:h="16840"/>
          <w:pgMar w:header="877" w:footer="0" w:top="1060" w:bottom="0" w:left="980" w:right="0"/>
        </w:sectPr>
      </w:pPr>
    </w:p>
    <w:p>
      <w:pPr>
        <w:spacing w:line="240" w:lineRule="auto" w:before="6"/>
        <w:rPr>
          <w:rFonts w:ascii="宋体" w:hAnsi="宋体" w:cs="宋体" w:eastAsia="宋体" w:hint="default"/>
          <w:b/>
          <w:bCs/>
          <w:sz w:val="28"/>
          <w:szCs w:val="28"/>
        </w:rPr>
      </w:pPr>
      <w:r>
        <w:rPr/>
        <w:pict>
          <v:group style="position:absolute;margin-left:460.320007pt;margin-top:764.919983pt;width:135pt;height:77pt;mso-position-horizontal-relative:page;mso-position-vertical-relative:page;z-index:-1032784"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149</w:t>
                    </w:r>
                  </w:p>
                </w:txbxContent>
              </v:textbox>
              <w10:wrap type="none"/>
            </v:shape>
            <w10:wrap type="none"/>
          </v:group>
        </w:pict>
      </w:r>
    </w:p>
    <w:tbl>
      <w:tblPr>
        <w:tblW w:w="0" w:type="auto"/>
        <w:jc w:val="left"/>
        <w:tblInd w:w="167" w:type="dxa"/>
        <w:tblLayout w:type="fixed"/>
        <w:tblCellMar>
          <w:top w:w="0" w:type="dxa"/>
          <w:left w:w="0" w:type="dxa"/>
          <w:bottom w:w="0" w:type="dxa"/>
          <w:right w:w="0" w:type="dxa"/>
        </w:tblCellMar>
        <w:tblLook w:val="01E0"/>
      </w:tblPr>
      <w:tblGrid>
        <w:gridCol w:w="3188"/>
        <w:gridCol w:w="3192"/>
        <w:gridCol w:w="3190"/>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深圳市新纶科技股份有限公司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本公司独立董事张新明在该公司任独立 董事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3" w:right="0"/>
              <w:jc w:val="left"/>
              <w:rPr>
                <w:rFonts w:ascii="Arial" w:hAnsi="Arial" w:cs="Arial" w:eastAsia="Arial" w:hint="default"/>
                <w:sz w:val="18"/>
                <w:szCs w:val="18"/>
              </w:rPr>
            </w:pPr>
            <w:r>
              <w:rPr>
                <w:rFonts w:ascii="Arial"/>
                <w:sz w:val="18"/>
              </w:rPr>
              <w:t>74518349-7</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山西光宇半导体照明股份有限公司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本公司独立董事施伟力在该公司任独立 董事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3" w:right="0"/>
              <w:jc w:val="left"/>
              <w:rPr>
                <w:rFonts w:ascii="Arial" w:hAnsi="Arial" w:cs="Arial" w:eastAsia="Arial" w:hint="default"/>
                <w:sz w:val="18"/>
                <w:szCs w:val="18"/>
              </w:rPr>
            </w:pPr>
            <w:r>
              <w:rPr>
                <w:rFonts w:ascii="Arial"/>
                <w:sz w:val="18"/>
              </w:rPr>
              <w:t>68383283-3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皮远军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w w:val="99"/>
                <w:sz w:val="18"/>
              </w:rPr>
              <w:t>-</w:t>
            </w:r>
            <w:r>
              <w:rPr>
                <w:rFonts w:ascii="Arial"/>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程春金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Arial" w:hAnsi="Arial" w:cs="Arial" w:eastAsia="Arial" w:hint="default"/>
                <w:sz w:val="18"/>
                <w:szCs w:val="18"/>
              </w:rPr>
            </w:pPr>
            <w:r>
              <w:rPr>
                <w:rFonts w:ascii="Arial"/>
                <w:w w:val="99"/>
                <w:sz w:val="18"/>
              </w:rPr>
              <w:t>-</w:t>
            </w:r>
            <w:r>
              <w:rPr>
                <w:rFonts w:ascii="Arial"/>
                <w:sz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涂洪滨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w w:val="99"/>
                <w:sz w:val="18"/>
              </w:rPr>
              <w:t>-</w:t>
            </w:r>
            <w:r>
              <w:rPr>
                <w:rFonts w:ascii="Arial"/>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陈克峰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月离职）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Arial" w:hAnsi="Arial" w:cs="Arial" w:eastAsia="Arial" w:hint="default"/>
                <w:sz w:val="18"/>
                <w:szCs w:val="18"/>
              </w:rPr>
            </w:pPr>
            <w:r>
              <w:rPr>
                <w:rFonts w:ascii="Arial"/>
                <w:w w:val="99"/>
                <w:sz w:val="18"/>
              </w:rPr>
              <w:t>-</w:t>
            </w:r>
            <w:r>
              <w:rPr>
                <w:rFonts w:ascii="Arial"/>
                <w:sz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秦传君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董事、副总经理、财务总监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w w:val="99"/>
                <w:sz w:val="18"/>
              </w:rPr>
              <w:t>-</w:t>
            </w:r>
            <w:r>
              <w:rPr>
                <w:rFonts w:ascii="Arial"/>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Arial" w:hAnsi="Arial" w:cs="Arial" w:eastAsia="Arial" w:hint="default"/>
                <w:sz w:val="18"/>
                <w:szCs w:val="18"/>
              </w:rPr>
            </w:pPr>
            <w:r>
              <w:rPr>
                <w:rFonts w:ascii="Arial"/>
                <w:w w:val="99"/>
                <w:sz w:val="18"/>
              </w:rPr>
              <w:t>-</w:t>
            </w:r>
            <w:r>
              <w:rPr>
                <w:rFonts w:ascii="Arial"/>
                <w:sz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Arial" w:hAnsi="Arial" w:cs="Arial" w:eastAsia="Arial" w:hint="default"/>
                <w:sz w:val="18"/>
                <w:szCs w:val="18"/>
              </w:rPr>
            </w:pPr>
            <w:r>
              <w:rPr>
                <w:rFonts w:ascii="Arial"/>
                <w:w w:val="99"/>
                <w:sz w:val="18"/>
              </w:rPr>
              <w:t>-</w:t>
            </w:r>
            <w:r>
              <w:rPr>
                <w:rFonts w:ascii="Arial"/>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徐治国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月离职）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Arial" w:hAnsi="Arial" w:cs="Arial" w:eastAsia="Arial" w:hint="default"/>
                <w:sz w:val="18"/>
                <w:szCs w:val="18"/>
              </w:rPr>
            </w:pPr>
            <w:r>
              <w:rPr>
                <w:rFonts w:ascii="Arial"/>
                <w:w w:val="99"/>
                <w:sz w:val="18"/>
              </w:rPr>
              <w:t>-</w:t>
            </w:r>
            <w:r>
              <w:rPr>
                <w:rFonts w:ascii="Arial"/>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方向一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w w:val="99"/>
                <w:sz w:val="18"/>
              </w:rPr>
              <w:t>-</w:t>
            </w:r>
            <w:r>
              <w:rPr>
                <w:rFonts w:ascii="Arial"/>
                <w:sz w:val="18"/>
              </w:rPr>
            </w:r>
          </w:p>
        </w:tc>
      </w:tr>
    </w:tbl>
    <w:p>
      <w:pPr>
        <w:pStyle w:val="BodyText"/>
        <w:spacing w:line="240" w:lineRule="auto" w:before="49"/>
        <w:ind w:left="172" w:right="0"/>
        <w:jc w:val="left"/>
      </w:pPr>
      <w:r>
        <w:rPr/>
        <w:t>本企业的其他关联方情况的说明</w:t>
      </w:r>
    </w:p>
    <w:p>
      <w:pPr>
        <w:spacing w:line="240" w:lineRule="auto" w:before="0"/>
        <w:rPr>
          <w:rFonts w:ascii="宋体" w:hAnsi="宋体" w:cs="宋体" w:eastAsia="宋体" w:hint="default"/>
          <w:sz w:val="18"/>
          <w:szCs w:val="18"/>
        </w:rPr>
      </w:pPr>
    </w:p>
    <w:p>
      <w:pPr>
        <w:pStyle w:val="Heading3"/>
        <w:spacing w:line="240" w:lineRule="auto" w:before="118"/>
        <w:ind w:left="172" w:right="0"/>
        <w:jc w:val="left"/>
        <w:rPr>
          <w:b w:val="0"/>
          <w:bCs w:val="0"/>
        </w:rPr>
      </w:pPr>
      <w:r>
        <w:rPr>
          <w:rFonts w:ascii="Arial" w:hAnsi="Arial" w:cs="Arial" w:eastAsia="Arial" w:hint="default"/>
        </w:rPr>
        <w:t>4</w:t>
      </w:r>
      <w:r>
        <w:rPr/>
        <w:t>、关联方交易</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left="172" w:right="0"/>
        <w:jc w:val="left"/>
        <w:rPr>
          <w:b w:val="0"/>
          <w:bCs w:val="0"/>
        </w:rPr>
      </w:pPr>
      <w:r>
        <w:rPr/>
        <w:t>（</w:t>
      </w:r>
      <w:r>
        <w:rPr>
          <w:rFonts w:ascii="Arial" w:hAnsi="Arial" w:cs="Arial" w:eastAsia="Arial" w:hint="default"/>
        </w:rPr>
        <w:t>1</w:t>
      </w:r>
      <w:r>
        <w:rPr/>
        <w:t>）采购商品、接受劳务情况表</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38"/>
        <w:jc w:val="right"/>
      </w:pPr>
      <w:r>
        <w:rPr/>
        <w:pict>
          <v:shape style="position:absolute;margin-left:409.75pt;margin-top:3.831725pt;width:85.35pt;height:15.6pt;mso-position-horizontal-relative:page;mso-position-vertical-relative:paragraph;z-index:-1032832"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00002pt;margin-top:-51.988274pt;width:479.15pt;height:143.3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1594"/>
                    <w:gridCol w:w="797"/>
                  </w:tblGrid>
                  <w:tr>
                    <w:trPr>
                      <w:trHeight w:val="404"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Arial" w:hAnsi="Arial" w:cs="Arial" w:eastAsia="Arial"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3"/>
                            <w:sz w:val="18"/>
                            <w:szCs w:val="18"/>
                          </w:rPr>
                          <w:t>比例（</w:t>
                        </w:r>
                        <w:r>
                          <w:rPr>
                            <w:rFonts w:ascii="Arial" w:hAnsi="Arial" w:cs="Arial" w:eastAsia="Arial" w:hint="default"/>
                            <w:spacing w:val="-13"/>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Arial" w:hAnsi="Arial" w:cs="Arial" w:eastAsia="Arial"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3"/>
                            <w:sz w:val="18"/>
                            <w:szCs w:val="18"/>
                          </w:rPr>
                          <w:t>比例（</w:t>
                        </w:r>
                        <w:r>
                          <w:rPr>
                            <w:rFonts w:ascii="Arial" w:hAnsi="Arial" w:cs="Arial" w:eastAsia="Arial" w:hint="default"/>
                            <w:spacing w:val="-13"/>
                            <w:sz w:val="18"/>
                            <w:szCs w:val="18"/>
                          </w:rPr>
                          <w:t>%</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杭州远方光电信息 股份有限公司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12,222.22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0.22%</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w w:val="95"/>
                            <w:sz w:val="18"/>
                          </w:rPr>
                          <w:t>0%</w:t>
                        </w:r>
                        <w:r>
                          <w:rPr>
                            <w:rFonts w:ascii="Arial"/>
                            <w:sz w:val="18"/>
                          </w:rPr>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深圳市新纶科技股 份有限公司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777,756.41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3"/>
                            <w:sz w:val="18"/>
                          </w:rPr>
                          <w:t>14.11%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w w:val="95"/>
                            <w:sz w:val="18"/>
                          </w:rPr>
                          <w:t>0%</w:t>
                        </w:r>
                        <w:r>
                          <w:rPr>
                            <w:rFonts w:ascii="Arial"/>
                            <w:sz w:val="18"/>
                          </w:rPr>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left="172" w:right="0"/>
        <w:jc w:val="left"/>
      </w:pPr>
      <w:r>
        <w:rPr/>
        <w:t>出售商品、提供劳务情况表</w:t>
      </w:r>
    </w:p>
    <w:p>
      <w:pPr>
        <w:spacing w:line="240" w:lineRule="auto" w:before="12"/>
        <w:rPr>
          <w:rFonts w:ascii="宋体" w:hAnsi="宋体" w:cs="宋体" w:eastAsia="宋体"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1628"/>
        <w:gridCol w:w="1760"/>
        <w:gridCol w:w="1490"/>
        <w:gridCol w:w="1625"/>
        <w:gridCol w:w="814"/>
        <w:gridCol w:w="1625"/>
        <w:gridCol w:w="814"/>
      </w:tblGrid>
      <w:tr>
        <w:trPr>
          <w:trHeight w:val="404" w:hRule="exact"/>
        </w:trPr>
        <w:tc>
          <w:tcPr>
            <w:tcW w:w="1628"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6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9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199" w:right="108"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439"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76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39"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76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337" w:hRule="exact"/>
        </w:trPr>
        <w:tc>
          <w:tcPr>
            <w:tcW w:w="1628" w:type="dxa"/>
            <w:vMerge/>
            <w:tcBorders>
              <w:left w:val="single" w:sz="4" w:space="0" w:color="000000"/>
              <w:bottom w:val="single" w:sz="4" w:space="0" w:color="000000"/>
              <w:right w:val="single" w:sz="4" w:space="0" w:color="000000"/>
            </w:tcBorders>
            <w:shd w:val="clear" w:color="auto" w:fill="C0C0C0"/>
          </w:tcPr>
          <w:p>
            <w:pPr/>
          </w:p>
        </w:tc>
        <w:tc>
          <w:tcPr>
            <w:tcW w:w="1760" w:type="dxa"/>
            <w:vMerge/>
            <w:tcBorders>
              <w:left w:val="single" w:sz="4" w:space="0" w:color="000000"/>
              <w:bottom w:val="single" w:sz="4" w:space="0" w:color="000000"/>
              <w:right w:val="single" w:sz="4" w:space="0" w:color="000000"/>
            </w:tcBorders>
            <w:shd w:val="clear" w:color="auto" w:fill="C0C0C0"/>
          </w:tcPr>
          <w:p>
            <w:pPr/>
          </w:p>
        </w:tc>
        <w:tc>
          <w:tcPr>
            <w:tcW w:w="1490" w:type="dxa"/>
            <w:vMerge/>
            <w:tcBorders>
              <w:left w:val="single" w:sz="4" w:space="0" w:color="000000"/>
              <w:bottom w:val="single" w:sz="4" w:space="0" w:color="000000"/>
              <w:right w:val="single" w:sz="4" w:space="0" w:color="000000"/>
            </w:tcBorders>
            <w:shd w:val="clear" w:color="auto" w:fill="C0C0C0"/>
          </w:tcPr>
          <w:p>
            <w:pPr/>
          </w:p>
        </w:tc>
        <w:tc>
          <w:tcPr>
            <w:tcW w:w="16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49"/>
              <w:ind w:left="103" w:right="11" w:firstLine="28"/>
              <w:jc w:val="left"/>
              <w:rPr>
                <w:rFonts w:ascii="宋体" w:hAnsi="宋体" w:cs="宋体" w:eastAsia="宋体" w:hint="default"/>
                <w:sz w:val="18"/>
                <w:szCs w:val="18"/>
              </w:rPr>
            </w:pPr>
            <w:r>
              <w:rPr>
                <w:rFonts w:ascii="宋体" w:hAnsi="宋体" w:cs="宋体" w:eastAsia="宋体" w:hint="default"/>
                <w:sz w:val="18"/>
                <w:szCs w:val="18"/>
              </w:rPr>
              <w:t>占同类 交易金 额的比 </w:t>
            </w:r>
            <w:r>
              <w:rPr>
                <w:rFonts w:ascii="宋体" w:hAnsi="宋体" w:cs="宋体" w:eastAsia="宋体" w:hint="default"/>
                <w:spacing w:val="-3"/>
                <w:sz w:val="18"/>
                <w:szCs w:val="18"/>
              </w:rPr>
              <w:t>例（</w:t>
            </w:r>
            <w:r>
              <w:rPr>
                <w:rFonts w:ascii="Arial" w:hAnsi="Arial" w:cs="Arial" w:eastAsia="Arial" w:hint="default"/>
                <w:spacing w:val="-3"/>
                <w:sz w:val="18"/>
                <w:szCs w:val="18"/>
              </w:rPr>
              <w:t>%</w:t>
            </w:r>
            <w:r>
              <w:rPr>
                <w:rFonts w:ascii="宋体" w:hAnsi="宋体" w:cs="宋体" w:eastAsia="宋体" w:hint="default"/>
                <w:spacing w:val="-3"/>
                <w:sz w:val="18"/>
                <w:szCs w:val="18"/>
              </w:rPr>
              <w:t>）</w:t>
            </w:r>
          </w:p>
        </w:tc>
        <w:tc>
          <w:tcPr>
            <w:tcW w:w="16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8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49"/>
              <w:ind w:left="103" w:right="11" w:firstLine="28"/>
              <w:jc w:val="left"/>
              <w:rPr>
                <w:rFonts w:ascii="宋体" w:hAnsi="宋体" w:cs="宋体" w:eastAsia="宋体" w:hint="default"/>
                <w:sz w:val="18"/>
                <w:szCs w:val="18"/>
              </w:rPr>
            </w:pPr>
            <w:r>
              <w:rPr>
                <w:rFonts w:ascii="宋体" w:hAnsi="宋体" w:cs="宋体" w:eastAsia="宋体" w:hint="default"/>
                <w:sz w:val="18"/>
                <w:szCs w:val="18"/>
              </w:rPr>
              <w:t>占同类 交易金 额的比 </w:t>
            </w:r>
            <w:r>
              <w:rPr>
                <w:rFonts w:ascii="宋体" w:hAnsi="宋体" w:cs="宋体" w:eastAsia="宋体" w:hint="default"/>
                <w:spacing w:val="-3"/>
                <w:sz w:val="18"/>
                <w:szCs w:val="18"/>
              </w:rPr>
              <w:t>例（</w:t>
            </w:r>
            <w:r>
              <w:rPr>
                <w:rFonts w:ascii="Arial" w:hAnsi="Arial" w:cs="Arial" w:eastAsia="Arial" w:hint="default"/>
                <w:spacing w:val="-3"/>
                <w:sz w:val="18"/>
                <w:szCs w:val="18"/>
              </w:rPr>
              <w:t>%</w:t>
            </w:r>
            <w:r>
              <w:rPr>
                <w:rFonts w:ascii="宋体" w:hAnsi="宋体" w:cs="宋体" w:eastAsia="宋体" w:hint="default"/>
                <w:spacing w:val="-3"/>
                <w:sz w:val="18"/>
                <w:szCs w:val="18"/>
              </w:rPr>
              <w:t>）</w:t>
            </w:r>
          </w:p>
        </w:tc>
      </w:tr>
      <w:tr>
        <w:trPr>
          <w:trHeight w:val="715"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5"/>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z w:val="18"/>
                <w:szCs w:val="18"/>
              </w:rPr>
              <w:t>路</w:t>
            </w:r>
            <w:r>
              <w:rPr>
                <w:rFonts w:ascii="宋体" w:hAnsi="宋体" w:cs="宋体" w:eastAsia="宋体" w:hint="default"/>
                <w:spacing w:val="-64"/>
                <w:sz w:val="18"/>
                <w:szCs w:val="18"/>
              </w:rPr>
              <w:t> </w:t>
            </w:r>
            <w:r>
              <w:rPr>
                <w:rFonts w:ascii="宋体" w:hAnsi="宋体" w:cs="宋体" w:eastAsia="宋体" w:hint="default"/>
                <w:sz w:val="18"/>
                <w:szCs w:val="18"/>
              </w:rPr>
              <w:t>明</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4"/>
                <w:sz w:val="18"/>
                <w:szCs w:val="18"/>
              </w:rPr>
              <w:t> </w:t>
            </w:r>
            <w:r>
              <w:rPr>
                <w:rFonts w:ascii="宋体" w:hAnsi="宋体" w:cs="宋体" w:eastAsia="宋体" w:hint="default"/>
                <w:sz w:val="18"/>
                <w:szCs w:val="18"/>
              </w:rPr>
              <w:t>光</w:t>
            </w:r>
            <w:r>
              <w:rPr>
                <w:rFonts w:ascii="宋体" w:hAnsi="宋体" w:cs="宋体" w:eastAsia="宋体" w:hint="default"/>
                <w:spacing w:val="-67"/>
                <w:sz w:val="18"/>
                <w:szCs w:val="18"/>
              </w:rPr>
              <w:t> </w:t>
            </w:r>
            <w:r>
              <w:rPr>
                <w:rFonts w:ascii="宋体" w:hAnsi="宋体" w:cs="宋体" w:eastAsia="宋体" w:hint="default"/>
                <w:sz w:val="18"/>
                <w:szCs w:val="18"/>
              </w:rPr>
              <w:t>科</w:t>
            </w:r>
            <w:r>
              <w:rPr>
                <w:rFonts w:ascii="宋体" w:hAnsi="宋体" w:cs="宋体" w:eastAsia="宋体" w:hint="default"/>
                <w:sz w:val="18"/>
                <w:szCs w:val="18"/>
              </w:rPr>
              <w:t> 技股份有限公司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59,273.52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w w:val="95"/>
                <w:sz w:val="18"/>
              </w:rPr>
              <w:t>0.01%</w:t>
            </w:r>
            <w:r>
              <w:rPr>
                <w:rFonts w:ascii="Arial"/>
                <w:sz w:val="18"/>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Arial" w:hAnsi="Arial" w:cs="Arial" w:eastAsia="Arial" w:hint="default"/>
                <w:sz w:val="18"/>
                <w:szCs w:val="18"/>
              </w:rPr>
            </w:pPr>
            <w:r>
              <w:rPr>
                <w:rFonts w:ascii="Arial"/>
                <w:w w:val="95"/>
                <w:sz w:val="18"/>
              </w:rPr>
              <w:t>0.00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w w:val="95"/>
                <w:sz w:val="18"/>
              </w:rPr>
              <w:t>0%</w:t>
            </w:r>
            <w:r>
              <w:rPr>
                <w:rFonts w:ascii="Arial"/>
                <w:sz w:val="18"/>
              </w:rPr>
            </w:r>
          </w:p>
        </w:tc>
      </w:tr>
      <w:tr>
        <w:trPr>
          <w:trHeight w:val="674"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05"/>
              <w:jc w:val="left"/>
              <w:rPr>
                <w:rFonts w:ascii="宋体" w:hAnsi="宋体" w:cs="宋体" w:eastAsia="宋体" w:hint="default"/>
                <w:sz w:val="18"/>
                <w:szCs w:val="18"/>
              </w:rPr>
            </w:pPr>
            <w:r>
              <w:rPr>
                <w:rFonts w:ascii="宋体" w:hAnsi="宋体" w:cs="宋体" w:eastAsia="宋体" w:hint="default"/>
                <w:sz w:val="18"/>
                <w:szCs w:val="18"/>
              </w:rPr>
              <w:t>山</w:t>
            </w:r>
            <w:r>
              <w:rPr>
                <w:rFonts w:ascii="宋体" w:hAnsi="宋体" w:cs="宋体" w:eastAsia="宋体" w:hint="default"/>
                <w:spacing w:val="-67"/>
                <w:sz w:val="18"/>
                <w:szCs w:val="18"/>
              </w:rPr>
              <w:t> </w:t>
            </w:r>
            <w:r>
              <w:rPr>
                <w:rFonts w:ascii="宋体" w:hAnsi="宋体" w:cs="宋体" w:eastAsia="宋体" w:hint="default"/>
                <w:sz w:val="18"/>
                <w:szCs w:val="18"/>
              </w:rPr>
              <w:t>西</w:t>
            </w:r>
            <w:r>
              <w:rPr>
                <w:rFonts w:ascii="宋体" w:hAnsi="宋体" w:cs="宋体" w:eastAsia="宋体" w:hint="default"/>
                <w:spacing w:val="-67"/>
                <w:sz w:val="18"/>
                <w:szCs w:val="18"/>
              </w:rPr>
              <w:t> </w:t>
            </w:r>
            <w:r>
              <w:rPr>
                <w:rFonts w:ascii="宋体" w:hAnsi="宋体" w:cs="宋体" w:eastAsia="宋体" w:hint="default"/>
                <w:sz w:val="18"/>
                <w:szCs w:val="18"/>
              </w:rPr>
              <w:t>光</w:t>
            </w:r>
            <w:r>
              <w:rPr>
                <w:rFonts w:ascii="宋体" w:hAnsi="宋体" w:cs="宋体" w:eastAsia="宋体" w:hint="default"/>
                <w:spacing w:val="-64"/>
                <w:sz w:val="18"/>
                <w:szCs w:val="18"/>
              </w:rPr>
              <w:t> </w:t>
            </w:r>
            <w:r>
              <w:rPr>
                <w:rFonts w:ascii="宋体" w:hAnsi="宋体" w:cs="宋体" w:eastAsia="宋体" w:hint="default"/>
                <w:sz w:val="18"/>
                <w:szCs w:val="18"/>
              </w:rPr>
              <w:t>宇</w:t>
            </w:r>
            <w:r>
              <w:rPr>
                <w:rFonts w:ascii="宋体" w:hAnsi="宋体" w:cs="宋体" w:eastAsia="宋体" w:hint="default"/>
                <w:spacing w:val="-67"/>
                <w:sz w:val="18"/>
                <w:szCs w:val="18"/>
              </w:rPr>
              <w:t> </w:t>
            </w:r>
            <w:r>
              <w:rPr>
                <w:rFonts w:ascii="宋体" w:hAnsi="宋体" w:cs="宋体" w:eastAsia="宋体" w:hint="default"/>
                <w:sz w:val="18"/>
                <w:szCs w:val="18"/>
              </w:rPr>
              <w:t>半</w:t>
            </w:r>
            <w:r>
              <w:rPr>
                <w:rFonts w:ascii="宋体" w:hAnsi="宋体" w:cs="宋体" w:eastAsia="宋体" w:hint="default"/>
                <w:spacing w:val="-64"/>
                <w:sz w:val="18"/>
                <w:szCs w:val="18"/>
              </w:rPr>
              <w:t> </w:t>
            </w:r>
            <w:r>
              <w:rPr>
                <w:rFonts w:ascii="宋体" w:hAnsi="宋体" w:cs="宋体" w:eastAsia="宋体" w:hint="default"/>
                <w:sz w:val="18"/>
                <w:szCs w:val="18"/>
              </w:rPr>
              <w:t>导</w:t>
            </w:r>
            <w:r>
              <w:rPr>
                <w:rFonts w:ascii="宋体" w:hAnsi="宋体" w:cs="宋体" w:eastAsia="宋体" w:hint="default"/>
                <w:spacing w:val="-67"/>
                <w:sz w:val="18"/>
                <w:szCs w:val="18"/>
              </w:rPr>
              <w:t> </w:t>
            </w:r>
            <w:r>
              <w:rPr>
                <w:rFonts w:ascii="宋体" w:hAnsi="宋体" w:cs="宋体" w:eastAsia="宋体" w:hint="default"/>
                <w:sz w:val="18"/>
                <w:szCs w:val="18"/>
              </w:rPr>
              <w:t>体</w:t>
            </w:r>
            <w:r>
              <w:rPr>
                <w:rFonts w:ascii="宋体" w:hAnsi="宋体" w:cs="宋体" w:eastAsia="宋体" w:hint="default"/>
                <w:sz w:val="18"/>
                <w:szCs w:val="18"/>
              </w:rPr>
              <w:t> 照</w:t>
            </w:r>
            <w:r>
              <w:rPr>
                <w:rFonts w:ascii="宋体" w:hAnsi="宋体" w:cs="宋体" w:eastAsia="宋体" w:hint="default"/>
                <w:spacing w:val="-67"/>
                <w:sz w:val="18"/>
                <w:szCs w:val="18"/>
              </w:rPr>
              <w:t> </w:t>
            </w:r>
            <w:r>
              <w:rPr>
                <w:rFonts w:ascii="宋体" w:hAnsi="宋体" w:cs="宋体" w:eastAsia="宋体" w:hint="default"/>
                <w:sz w:val="18"/>
                <w:szCs w:val="18"/>
              </w:rPr>
              <w:t>明</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4"/>
                <w:sz w:val="18"/>
                <w:szCs w:val="18"/>
              </w:rPr>
              <w:t> </w:t>
            </w:r>
            <w:r>
              <w:rPr>
                <w:rFonts w:ascii="宋体" w:hAnsi="宋体" w:cs="宋体" w:eastAsia="宋体" w:hint="default"/>
                <w:sz w:val="18"/>
                <w:szCs w:val="18"/>
              </w:rPr>
              <w:t>份</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4"/>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361,380.34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w w:val="95"/>
                <w:sz w:val="18"/>
              </w:rPr>
              <w:t>0.07%</w:t>
            </w:r>
            <w:r>
              <w:rPr>
                <w:rFonts w:ascii="Arial"/>
                <w:sz w:val="18"/>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Arial" w:hAnsi="Arial" w:cs="Arial" w:eastAsia="Arial" w:hint="default"/>
                <w:sz w:val="18"/>
                <w:szCs w:val="18"/>
              </w:rPr>
            </w:pPr>
            <w:r>
              <w:rPr>
                <w:rFonts w:ascii="Arial"/>
                <w:w w:val="95"/>
                <w:sz w:val="18"/>
              </w:rPr>
              <w:t>0.00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w w:val="95"/>
                <w:sz w:val="18"/>
              </w:rPr>
              <w:t>0%</w:t>
            </w:r>
            <w:r>
              <w:rPr>
                <w:rFonts w:ascii="Arial"/>
                <w:sz w:val="18"/>
              </w:rPr>
            </w:r>
          </w:p>
        </w:tc>
      </w:tr>
    </w:tbl>
    <w:p>
      <w:pPr>
        <w:spacing w:after="0" w:line="240" w:lineRule="auto"/>
        <w:jc w:val="right"/>
        <w:rPr>
          <w:rFonts w:ascii="Arial" w:hAnsi="Arial" w:cs="Arial" w:eastAsia="Arial" w:hint="default"/>
          <w:sz w:val="18"/>
          <w:szCs w:val="18"/>
        </w:rPr>
        <w:sectPr>
          <w:headerReference w:type="default" r:id="rId78"/>
          <w:footerReference w:type="default" r:id="rId79"/>
          <w:pgSz w:w="11910" w:h="16840"/>
          <w:pgMar w:header="877" w:footer="0" w:top="1060" w:bottom="0" w:left="96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032712"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150</w:t>
                    </w:r>
                  </w:p>
                </w:txbxContent>
              </v:textbox>
              <w10:wrap type="none"/>
            </v:shape>
            <w10:wrap type="none"/>
          </v:group>
        </w:pict>
      </w:r>
    </w:p>
    <w:tbl>
      <w:tblPr>
        <w:tblW w:w="0" w:type="auto"/>
        <w:jc w:val="left"/>
        <w:tblInd w:w="112" w:type="dxa"/>
        <w:tblLayout w:type="fixed"/>
        <w:tblCellMar>
          <w:top w:w="0" w:type="dxa"/>
          <w:left w:w="0" w:type="dxa"/>
          <w:bottom w:w="0" w:type="dxa"/>
          <w:right w:w="0" w:type="dxa"/>
        </w:tblCellMar>
        <w:tblLook w:val="01E0"/>
      </w:tblPr>
      <w:tblGrid>
        <w:gridCol w:w="1628"/>
        <w:gridCol w:w="1760"/>
        <w:gridCol w:w="1490"/>
        <w:gridCol w:w="1625"/>
        <w:gridCol w:w="814"/>
        <w:gridCol w:w="1625"/>
        <w:gridCol w:w="814"/>
      </w:tblGrid>
      <w:tr>
        <w:trPr>
          <w:trHeight w:val="363"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6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1630"/>
        <w:gridCol w:w="1628"/>
        <w:gridCol w:w="1627"/>
        <w:gridCol w:w="1704"/>
        <w:gridCol w:w="1721"/>
        <w:gridCol w:w="1459"/>
      </w:tblGrid>
      <w:tr>
        <w:trPr>
          <w:trHeight w:val="713" w:hRule="exact"/>
        </w:trPr>
        <w:tc>
          <w:tcPr>
            <w:tcW w:w="163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6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62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45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49"/>
              <w:ind w:left="103" w:right="99"/>
              <w:jc w:val="left"/>
              <w:rPr>
                <w:rFonts w:ascii="宋体" w:hAnsi="宋体" w:cs="宋体" w:eastAsia="宋体" w:hint="default"/>
                <w:sz w:val="18"/>
                <w:szCs w:val="18"/>
              </w:rPr>
            </w:pPr>
            <w:r>
              <w:rPr>
                <w:rFonts w:ascii="宋体" w:hAnsi="宋体" w:cs="宋体" w:eastAsia="宋体" w:hint="default"/>
                <w:sz w:val="18"/>
                <w:szCs w:val="18"/>
              </w:rPr>
              <w:t>担</w:t>
            </w:r>
            <w:r>
              <w:rPr>
                <w:rFonts w:ascii="宋体" w:hAnsi="宋体" w:cs="宋体" w:eastAsia="宋体" w:hint="default"/>
                <w:spacing w:val="-57"/>
                <w:sz w:val="18"/>
                <w:szCs w:val="18"/>
              </w:rPr>
              <w:t> </w:t>
            </w:r>
            <w:r>
              <w:rPr>
                <w:rFonts w:ascii="宋体" w:hAnsi="宋体" w:cs="宋体" w:eastAsia="宋体" w:hint="default"/>
                <w:sz w:val="18"/>
                <w:szCs w:val="18"/>
              </w:rPr>
              <w:t>保</w:t>
            </w:r>
            <w:r>
              <w:rPr>
                <w:rFonts w:ascii="宋体" w:hAnsi="宋体" w:cs="宋体" w:eastAsia="宋体" w:hint="default"/>
                <w:spacing w:val="-57"/>
                <w:sz w:val="18"/>
                <w:szCs w:val="18"/>
              </w:rPr>
              <w:t> </w:t>
            </w:r>
            <w:r>
              <w:rPr>
                <w:rFonts w:ascii="宋体" w:hAnsi="宋体" w:cs="宋体" w:eastAsia="宋体" w:hint="default"/>
                <w:sz w:val="18"/>
                <w:szCs w:val="18"/>
              </w:rPr>
              <w:t>是</w:t>
            </w:r>
            <w:r>
              <w:rPr>
                <w:rFonts w:ascii="宋体" w:hAnsi="宋体" w:cs="宋体" w:eastAsia="宋体" w:hint="default"/>
                <w:spacing w:val="-57"/>
                <w:sz w:val="18"/>
                <w:szCs w:val="18"/>
              </w:rPr>
              <w:t> </w:t>
            </w:r>
            <w:r>
              <w:rPr>
                <w:rFonts w:ascii="宋体" w:hAnsi="宋体" w:cs="宋体" w:eastAsia="宋体" w:hint="default"/>
                <w:sz w:val="18"/>
                <w:szCs w:val="18"/>
              </w:rPr>
              <w:t>否</w:t>
            </w:r>
            <w:r>
              <w:rPr>
                <w:rFonts w:ascii="宋体" w:hAnsi="宋体" w:cs="宋体" w:eastAsia="宋体" w:hint="default"/>
                <w:spacing w:val="-60"/>
                <w:sz w:val="18"/>
                <w:szCs w:val="18"/>
              </w:rPr>
              <w:t> </w:t>
            </w:r>
            <w:r>
              <w:rPr>
                <w:rFonts w:ascii="宋体" w:hAnsi="宋体" w:cs="宋体" w:eastAsia="宋体" w:hint="default"/>
                <w:sz w:val="18"/>
                <w:szCs w:val="18"/>
              </w:rPr>
              <w:t>已</w:t>
            </w:r>
            <w:r>
              <w:rPr>
                <w:rFonts w:ascii="宋体" w:hAnsi="宋体" w:cs="宋体" w:eastAsia="宋体" w:hint="default"/>
                <w:spacing w:val="-57"/>
                <w:sz w:val="18"/>
                <w:szCs w:val="18"/>
              </w:rPr>
              <w:t> </w:t>
            </w:r>
            <w:r>
              <w:rPr>
                <w:rFonts w:ascii="宋体" w:hAnsi="宋体" w:cs="宋体" w:eastAsia="宋体" w:hint="default"/>
                <w:sz w:val="18"/>
                <w:szCs w:val="18"/>
              </w:rPr>
              <w:t>经</w:t>
            </w:r>
            <w:r>
              <w:rPr>
                <w:rFonts w:ascii="宋体" w:hAnsi="宋体" w:cs="宋体" w:eastAsia="宋体" w:hint="default"/>
                <w:sz w:val="18"/>
                <w:szCs w:val="18"/>
              </w:rPr>
              <w:t> 履行完毕</w:t>
            </w:r>
          </w:p>
        </w:tc>
      </w:tr>
      <w:tr>
        <w:trPr>
          <w:trHeight w:val="403"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德旺投资</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27"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70,000,000.00</w:t>
            </w:r>
          </w:p>
        </w:tc>
        <w:tc>
          <w:tcPr>
            <w:tcW w:w="1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21" w:type="dxa"/>
            <w:vMerge w:val="restart"/>
            <w:tcBorders>
              <w:top w:val="single" w:sz="4" w:space="0" w:color="000000"/>
              <w:left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3"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628" w:type="dxa"/>
            <w:vMerge/>
            <w:tcBorders>
              <w:left w:val="single" w:sz="4" w:space="0" w:color="000000"/>
              <w:bottom w:val="single" w:sz="4" w:space="0" w:color="000000"/>
              <w:right w:val="single" w:sz="4" w:space="0" w:color="000000"/>
            </w:tcBorders>
          </w:tcPr>
          <w:p>
            <w:pPr/>
          </w:p>
        </w:tc>
        <w:tc>
          <w:tcPr>
            <w:tcW w:w="1627" w:type="dxa"/>
            <w:vMerge/>
            <w:tcBorders>
              <w:left w:val="single" w:sz="4" w:space="0" w:color="000000"/>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721"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r>
      <w:tr>
        <w:trPr>
          <w:trHeight w:val="403"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70,000,000.00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德旺投资</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27"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100,000,000.00</w:t>
            </w:r>
          </w:p>
        </w:tc>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21" w:type="dxa"/>
            <w:vMerge w:val="restart"/>
            <w:tcBorders>
              <w:top w:val="single" w:sz="4" w:space="0" w:color="000000"/>
              <w:left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3"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628" w:type="dxa"/>
            <w:vMerge/>
            <w:tcBorders>
              <w:left w:val="single" w:sz="4" w:space="0" w:color="000000"/>
              <w:bottom w:val="single" w:sz="4" w:space="0" w:color="000000"/>
              <w:right w:val="single" w:sz="4" w:space="0" w:color="000000"/>
            </w:tcBorders>
          </w:tcPr>
          <w:p>
            <w:pPr/>
          </w:p>
        </w:tc>
        <w:tc>
          <w:tcPr>
            <w:tcW w:w="1627" w:type="dxa"/>
            <w:vMerge/>
            <w:tcBorders>
              <w:left w:val="single" w:sz="4" w:space="0" w:color="000000"/>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721"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r>
      <w:tr>
        <w:trPr>
          <w:trHeight w:val="401"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德旺投资</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6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50,000,000.00</w:t>
            </w:r>
          </w:p>
        </w:tc>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茂</w:t>
            </w:r>
            <w:r>
              <w:rPr>
                <w:rFonts w:ascii="宋体" w:hAnsi="宋体" w:cs="宋体" w:eastAsia="宋体" w:hint="default"/>
                <w:spacing w:val="-64"/>
                <w:sz w:val="18"/>
                <w:szCs w:val="18"/>
              </w:rPr>
              <w:t> </w:t>
            </w:r>
            <w:r>
              <w:rPr>
                <w:rFonts w:ascii="宋体" w:hAnsi="宋体" w:cs="宋体" w:eastAsia="宋体" w:hint="default"/>
                <w:sz w:val="18"/>
                <w:szCs w:val="18"/>
              </w:rPr>
              <w:t>硕</w:t>
            </w:r>
            <w:r>
              <w:rPr>
                <w:rFonts w:ascii="宋体" w:hAnsi="宋体" w:cs="宋体" w:eastAsia="宋体" w:hint="default"/>
                <w:spacing w:val="-64"/>
                <w:sz w:val="18"/>
                <w:szCs w:val="18"/>
              </w:rPr>
              <w:t> </w:t>
            </w:r>
            <w:r>
              <w:rPr>
                <w:rFonts w:ascii="宋体" w:hAnsi="宋体" w:cs="宋体" w:eastAsia="宋体" w:hint="default"/>
                <w:sz w:val="18"/>
                <w:szCs w:val="18"/>
              </w:rPr>
              <w:t>电</w:t>
            </w:r>
            <w:r>
              <w:rPr>
                <w:rFonts w:ascii="宋体" w:hAnsi="宋体" w:cs="宋体" w:eastAsia="宋体" w:hint="default"/>
                <w:spacing w:val="-64"/>
                <w:sz w:val="18"/>
                <w:szCs w:val="18"/>
              </w:rPr>
              <w:t> </w:t>
            </w:r>
            <w:r>
              <w:rPr>
                <w:rFonts w:ascii="宋体" w:hAnsi="宋体" w:cs="宋体" w:eastAsia="宋体" w:hint="default"/>
                <w:sz w:val="18"/>
                <w:szCs w:val="18"/>
              </w:rPr>
              <w:t>源</w:t>
            </w:r>
            <w:r>
              <w:rPr>
                <w:rFonts w:ascii="宋体" w:hAnsi="宋体" w:cs="宋体" w:eastAsia="宋体" w:hint="default"/>
                <w:spacing w:val="-67"/>
                <w:sz w:val="18"/>
                <w:szCs w:val="18"/>
              </w:rPr>
              <w:t> </w:t>
            </w:r>
            <w:r>
              <w:rPr>
                <w:rFonts w:ascii="宋体" w:hAnsi="宋体" w:cs="宋体" w:eastAsia="宋体" w:hint="default"/>
                <w:sz w:val="18"/>
                <w:szCs w:val="18"/>
              </w:rPr>
              <w:t>科</w:t>
            </w:r>
            <w:r>
              <w:rPr>
                <w:rFonts w:ascii="宋体" w:hAnsi="宋体" w:cs="宋体" w:eastAsia="宋体" w:hint="default"/>
                <w:spacing w:val="-64"/>
                <w:sz w:val="18"/>
                <w:szCs w:val="18"/>
              </w:rPr>
              <w:t> </w:t>
            </w:r>
            <w:r>
              <w:rPr>
                <w:rFonts w:ascii="宋体" w:hAnsi="宋体" w:cs="宋体" w:eastAsia="宋体" w:hint="default"/>
                <w:sz w:val="18"/>
                <w:szCs w:val="18"/>
              </w:rPr>
              <w:t>技</w:t>
            </w:r>
            <w:r>
              <w:rPr>
                <w:rFonts w:ascii="宋体" w:hAnsi="宋体" w:cs="宋体" w:eastAsia="宋体" w:hint="default"/>
                <w:spacing w:val="-64"/>
                <w:sz w:val="18"/>
                <w:szCs w:val="18"/>
              </w:rPr>
              <w:t> </w:t>
            </w:r>
            <w:r>
              <w:rPr>
                <w:rFonts w:ascii="宋体" w:hAnsi="宋体" w:cs="宋体" w:eastAsia="宋体" w:hint="default"/>
                <w:sz w:val="18"/>
                <w:szCs w:val="18"/>
              </w:rPr>
              <w:t>股</w:t>
            </w:r>
            <w:r>
              <w:rPr>
                <w:rFonts w:ascii="宋体" w:hAnsi="宋体" w:cs="宋体" w:eastAsia="宋体" w:hint="default"/>
                <w:sz w:val="18"/>
                <w:szCs w:val="18"/>
              </w:rPr>
              <w:t> 份有限公司</w:t>
            </w:r>
          </w:p>
        </w:tc>
        <w:tc>
          <w:tcPr>
            <w:tcW w:w="1628"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c>
          <w:tcPr>
            <w:tcW w:w="1704" w:type="dxa"/>
            <w:vMerge/>
            <w:tcBorders>
              <w:left w:val="single" w:sz="4" w:space="0" w:color="000000"/>
              <w:right w:val="single" w:sz="4" w:space="0" w:color="000000"/>
            </w:tcBorders>
          </w:tcPr>
          <w:p>
            <w:pPr/>
          </w:p>
        </w:tc>
        <w:tc>
          <w:tcPr>
            <w:tcW w:w="1721"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r>
      <w:tr>
        <w:trPr>
          <w:trHeight w:val="403"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628" w:type="dxa"/>
            <w:vMerge/>
            <w:tcBorders>
              <w:left w:val="single" w:sz="4" w:space="0" w:color="000000"/>
              <w:bottom w:val="single" w:sz="4" w:space="0" w:color="000000"/>
              <w:right w:val="single" w:sz="4" w:space="0" w:color="000000"/>
            </w:tcBorders>
          </w:tcPr>
          <w:p>
            <w:pPr/>
          </w:p>
        </w:tc>
        <w:tc>
          <w:tcPr>
            <w:tcW w:w="1627" w:type="dxa"/>
            <w:vMerge/>
            <w:tcBorders>
              <w:left w:val="single" w:sz="4" w:space="0" w:color="000000"/>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721"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172" w:right="0"/>
        <w:jc w:val="left"/>
        <w:rPr>
          <w:b w:val="0"/>
          <w:bCs w:val="0"/>
        </w:rPr>
      </w:pPr>
      <w:r>
        <w:rPr/>
        <w:t>（</w:t>
      </w:r>
      <w:r>
        <w:rPr>
          <w:rFonts w:ascii="Arial" w:hAnsi="Arial" w:cs="Arial" w:eastAsia="Arial" w:hint="default"/>
        </w:rPr>
        <w:t>2</w:t>
      </w:r>
      <w:r>
        <w:rPr/>
        <w:t>）关联担保情况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354"/>
        <w:gridCol w:w="960"/>
        <w:gridCol w:w="1191"/>
        <w:gridCol w:w="2283"/>
        <w:gridCol w:w="998"/>
        <w:gridCol w:w="1117"/>
        <w:gridCol w:w="1116"/>
        <w:gridCol w:w="746"/>
      </w:tblGrid>
      <w:tr>
        <w:trPr>
          <w:trHeight w:val="1090" w:hRule="exact"/>
        </w:trPr>
        <w:tc>
          <w:tcPr>
            <w:tcW w:w="13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0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9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1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债权人</w:t>
            </w:r>
          </w:p>
        </w:tc>
        <w:tc>
          <w:tcPr>
            <w:tcW w:w="228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99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担保方式</w:t>
            </w:r>
          </w:p>
        </w:tc>
        <w:tc>
          <w:tcPr>
            <w:tcW w:w="1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7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500" w:lineRule="atLeast" w:before="12"/>
              <w:ind w:left="184" w:right="191"/>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590"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德旺投资</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9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508" w:lineRule="auto"/>
              <w:ind w:left="103" w:right="80"/>
              <w:jc w:val="both"/>
              <w:rPr>
                <w:rFonts w:ascii="宋体" w:hAnsi="宋体" w:cs="宋体" w:eastAsia="宋体" w:hint="default"/>
                <w:sz w:val="18"/>
                <w:szCs w:val="18"/>
              </w:rPr>
            </w:pPr>
            <w:r>
              <w:rPr>
                <w:rFonts w:ascii="宋体" w:hAnsi="宋体" w:cs="宋体" w:eastAsia="宋体" w:hint="default"/>
                <w:spacing w:val="15"/>
                <w:sz w:val="18"/>
                <w:szCs w:val="18"/>
              </w:rPr>
              <w:t>中国工商银</w:t>
            </w:r>
            <w:r>
              <w:rPr>
                <w:rFonts w:ascii="宋体" w:hAnsi="宋体" w:cs="宋体" w:eastAsia="宋体" w:hint="default"/>
                <w:spacing w:val="-71"/>
                <w:sz w:val="18"/>
                <w:szCs w:val="18"/>
              </w:rPr>
              <w:t> </w:t>
            </w:r>
            <w:r>
              <w:rPr>
                <w:rFonts w:ascii="宋体" w:hAnsi="宋体" w:cs="宋体" w:eastAsia="宋体" w:hint="default"/>
                <w:spacing w:val="15"/>
                <w:sz w:val="18"/>
                <w:szCs w:val="18"/>
              </w:rPr>
              <w:t>行股份有限</w:t>
            </w:r>
            <w:r>
              <w:rPr>
                <w:rFonts w:ascii="宋体" w:hAnsi="宋体" w:cs="宋体" w:eastAsia="宋体" w:hint="default"/>
                <w:spacing w:val="-71"/>
                <w:sz w:val="18"/>
                <w:szCs w:val="18"/>
              </w:rPr>
              <w:t> </w:t>
            </w:r>
            <w:r>
              <w:rPr>
                <w:rFonts w:ascii="宋体" w:hAnsi="宋体" w:cs="宋体" w:eastAsia="宋体" w:hint="default"/>
                <w:spacing w:val="15"/>
                <w:sz w:val="18"/>
                <w:szCs w:val="18"/>
              </w:rPr>
              <w:t>公司深圳龙</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62"/>
              <w:ind w:left="103" w:right="0"/>
              <w:jc w:val="both"/>
              <w:rPr>
                <w:rFonts w:ascii="宋体" w:hAnsi="宋体" w:cs="宋体" w:eastAsia="宋体" w:hint="default"/>
                <w:sz w:val="18"/>
                <w:szCs w:val="18"/>
              </w:rPr>
            </w:pPr>
            <w:r>
              <w:rPr>
                <w:rFonts w:ascii="宋体" w:hAnsi="宋体" w:cs="宋体" w:eastAsia="宋体" w:hint="default"/>
                <w:sz w:val="18"/>
                <w:szCs w:val="18"/>
              </w:rPr>
              <w:t>华支行</w:t>
            </w:r>
          </w:p>
        </w:tc>
        <w:tc>
          <w:tcPr>
            <w:tcW w:w="228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40000266-2010</w:t>
            </w:r>
            <w:r>
              <w:rPr>
                <w:rFonts w:ascii="宋体" w:hAnsi="宋体" w:cs="宋体" w:eastAsia="宋体" w:hint="default"/>
                <w:spacing w:val="-48"/>
                <w:sz w:val="18"/>
                <w:szCs w:val="18"/>
              </w:rPr>
              <w:t> </w:t>
            </w:r>
            <w:r>
              <w:rPr>
                <w:rFonts w:ascii="宋体" w:hAnsi="宋体" w:cs="宋体" w:eastAsia="宋体" w:hint="default"/>
                <w:spacing w:val="-10"/>
                <w:sz w:val="18"/>
                <w:szCs w:val="18"/>
              </w:rPr>
              <w:t>年龙华《综</w:t>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合授信合同》项下不超过</w:t>
            </w:r>
          </w:p>
          <w:p>
            <w:pPr>
              <w:pStyle w:val="TableParagraph"/>
              <w:spacing w:line="500" w:lineRule="atLeast" w:before="1"/>
              <w:ind w:left="103" w:right="141"/>
              <w:jc w:val="left"/>
              <w:rPr>
                <w:rFonts w:ascii="宋体" w:hAnsi="宋体" w:cs="宋体" w:eastAsia="宋体" w:hint="default"/>
                <w:sz w:val="18"/>
                <w:szCs w:val="18"/>
              </w:rPr>
            </w:pPr>
            <w:r>
              <w:rPr>
                <w:rFonts w:ascii="宋体" w:hAnsi="宋体" w:cs="宋体" w:eastAsia="宋体" w:hint="default"/>
                <w:sz w:val="18"/>
                <w:szCs w:val="18"/>
              </w:rPr>
              <w:t>7000</w:t>
            </w:r>
            <w:r>
              <w:rPr>
                <w:rFonts w:ascii="宋体" w:hAnsi="宋体" w:cs="宋体" w:eastAsia="宋体" w:hint="default"/>
                <w:spacing w:val="-43"/>
                <w:sz w:val="18"/>
                <w:szCs w:val="18"/>
              </w:rPr>
              <w:t> </w:t>
            </w:r>
            <w:r>
              <w:rPr>
                <w:rFonts w:ascii="宋体" w:hAnsi="宋体" w:cs="宋体" w:eastAsia="宋体" w:hint="default"/>
                <w:sz w:val="18"/>
                <w:szCs w:val="18"/>
              </w:rPr>
              <w:t>万元贷款额度及相关 债务</w:t>
            </w:r>
          </w:p>
        </w:tc>
        <w:tc>
          <w:tcPr>
            <w:tcW w:w="99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508" w:lineRule="auto"/>
              <w:ind w:left="131" w:right="134"/>
              <w:jc w:val="left"/>
              <w:rPr>
                <w:rFonts w:ascii="宋体" w:hAnsi="宋体" w:cs="宋体" w:eastAsia="宋体" w:hint="default"/>
                <w:sz w:val="18"/>
                <w:szCs w:val="18"/>
              </w:rPr>
            </w:pPr>
            <w:r>
              <w:rPr>
                <w:rFonts w:ascii="宋体" w:hAnsi="宋体" w:cs="宋体" w:eastAsia="宋体" w:hint="default"/>
                <w:sz w:val="18"/>
                <w:szCs w:val="18"/>
              </w:rPr>
              <w:t>连带责任 保证担保</w:t>
            </w:r>
          </w:p>
        </w:tc>
        <w:tc>
          <w:tcPr>
            <w:tcW w:w="11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3" w:right="0"/>
              <w:jc w:val="left"/>
              <w:rPr>
                <w:rFonts w:ascii="宋体" w:hAnsi="宋体" w:cs="宋体" w:eastAsia="宋体" w:hint="default"/>
                <w:sz w:val="18"/>
                <w:szCs w:val="18"/>
              </w:rPr>
            </w:pPr>
            <w:r>
              <w:rPr>
                <w:rFonts w:ascii="宋体"/>
                <w:sz w:val="18"/>
              </w:rPr>
              <w:t>2010-1-22</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3" w:right="0"/>
              <w:jc w:val="left"/>
              <w:rPr>
                <w:rFonts w:ascii="宋体" w:hAnsi="宋体" w:cs="宋体" w:eastAsia="宋体" w:hint="default"/>
                <w:sz w:val="18"/>
                <w:szCs w:val="18"/>
              </w:rPr>
            </w:pPr>
            <w:r>
              <w:rPr>
                <w:rFonts w:ascii="宋体"/>
                <w:sz w:val="18"/>
              </w:rPr>
              <w:t>2013-6-11</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508" w:lineRule="auto"/>
              <w:ind w:left="184" w:right="191"/>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1500"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960"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2283"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1117"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2091"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508" w:lineRule="auto"/>
              <w:ind w:left="103" w:right="80"/>
              <w:jc w:val="both"/>
              <w:rPr>
                <w:rFonts w:ascii="宋体" w:hAnsi="宋体" w:cs="宋体" w:eastAsia="宋体" w:hint="default"/>
                <w:sz w:val="18"/>
                <w:szCs w:val="18"/>
              </w:rPr>
            </w:pPr>
            <w:r>
              <w:rPr>
                <w:rFonts w:ascii="宋体" w:hAnsi="宋体" w:cs="宋体" w:eastAsia="宋体" w:hint="default"/>
                <w:spacing w:val="15"/>
                <w:sz w:val="18"/>
                <w:szCs w:val="18"/>
              </w:rPr>
              <w:t>招商银行股</w:t>
            </w:r>
            <w:r>
              <w:rPr>
                <w:rFonts w:ascii="宋体" w:hAnsi="宋体" w:cs="宋体" w:eastAsia="宋体" w:hint="default"/>
                <w:spacing w:val="-71"/>
                <w:sz w:val="18"/>
                <w:szCs w:val="18"/>
              </w:rPr>
              <w:t> </w:t>
            </w:r>
            <w:r>
              <w:rPr>
                <w:rFonts w:ascii="宋体" w:hAnsi="宋体" w:cs="宋体" w:eastAsia="宋体" w:hint="default"/>
                <w:spacing w:val="15"/>
                <w:sz w:val="18"/>
                <w:szCs w:val="18"/>
              </w:rPr>
              <w:t>份有限公司</w:t>
            </w:r>
            <w:r>
              <w:rPr>
                <w:rFonts w:ascii="宋体" w:hAnsi="宋体" w:cs="宋体" w:eastAsia="宋体" w:hint="default"/>
                <w:spacing w:val="-71"/>
                <w:sz w:val="18"/>
                <w:szCs w:val="18"/>
              </w:rPr>
              <w:t> </w:t>
            </w:r>
            <w:r>
              <w:rPr>
                <w:rFonts w:ascii="宋体" w:hAnsi="宋体" w:cs="宋体" w:eastAsia="宋体" w:hint="default"/>
                <w:spacing w:val="15"/>
                <w:sz w:val="18"/>
                <w:szCs w:val="18"/>
              </w:rPr>
              <w:t>深圳红岭支</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62"/>
              <w:ind w:left="103" w:right="0"/>
              <w:jc w:val="both"/>
              <w:rPr>
                <w:rFonts w:ascii="宋体" w:hAnsi="宋体" w:cs="宋体" w:eastAsia="宋体" w:hint="default"/>
                <w:sz w:val="18"/>
                <w:szCs w:val="18"/>
              </w:rPr>
            </w:pPr>
            <w:r>
              <w:rPr>
                <w:rFonts w:ascii="宋体" w:hAnsi="宋体" w:cs="宋体" w:eastAsia="宋体" w:hint="default"/>
                <w:sz w:val="18"/>
                <w:szCs w:val="18"/>
              </w:rPr>
              <w:t>行</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年上字第</w:t>
            </w:r>
            <w:r>
              <w:rPr>
                <w:rFonts w:ascii="宋体" w:hAnsi="宋体" w:cs="宋体" w:eastAsia="宋体" w:hint="default"/>
                <w:spacing w:val="-50"/>
                <w:sz w:val="18"/>
                <w:szCs w:val="18"/>
              </w:rPr>
              <w:t> </w:t>
            </w:r>
            <w:r>
              <w:rPr>
                <w:rFonts w:ascii="宋体" w:hAnsi="宋体" w:cs="宋体" w:eastAsia="宋体" w:hint="default"/>
                <w:sz w:val="18"/>
                <w:szCs w:val="18"/>
              </w:rPr>
              <w:t>0011488005</w:t>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号《授信协议》项下不超</w:t>
            </w:r>
          </w:p>
          <w:p>
            <w:pPr>
              <w:pStyle w:val="TableParagraph"/>
              <w:spacing w:line="500" w:lineRule="atLeast" w:before="1"/>
              <w:ind w:left="103" w:right="99"/>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7"/>
                <w:sz w:val="18"/>
                <w:szCs w:val="18"/>
              </w:rPr>
              <w:t>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万元贷款额度及相 关债务</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508" w:lineRule="auto"/>
              <w:ind w:left="131" w:right="134"/>
              <w:jc w:val="left"/>
              <w:rPr>
                <w:rFonts w:ascii="宋体" w:hAnsi="宋体" w:cs="宋体" w:eastAsia="宋体" w:hint="default"/>
                <w:sz w:val="18"/>
                <w:szCs w:val="18"/>
              </w:rPr>
            </w:pPr>
            <w:r>
              <w:rPr>
                <w:rFonts w:ascii="宋体" w:hAnsi="宋体" w:cs="宋体" w:eastAsia="宋体" w:hint="default"/>
                <w:sz w:val="18"/>
                <w:szCs w:val="18"/>
              </w:rPr>
              <w:t>连带责任 保证担保</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sz w:val="18"/>
              </w:rPr>
              <w:t>2011-8-24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sz w:val="18"/>
              </w:rPr>
              <w:t>2012-8-24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508" w:lineRule="auto"/>
              <w:ind w:left="184" w:right="191"/>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816"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pacing w:val="15"/>
                <w:sz w:val="18"/>
                <w:szCs w:val="18"/>
              </w:rPr>
              <w:t>平安银行股</w:t>
            </w:r>
            <w:r>
              <w:rPr>
                <w:rFonts w:ascii="宋体" w:hAnsi="宋体" w:cs="宋体" w:eastAsia="宋体" w:hint="default"/>
                <w:spacing w:val="-71"/>
                <w:sz w:val="18"/>
                <w:szCs w:val="18"/>
              </w:rPr>
              <w:t> </w:t>
            </w:r>
            <w:r>
              <w:rPr>
                <w:rFonts w:ascii="宋体" w:hAnsi="宋体" w:cs="宋体" w:eastAsia="宋体" w:hint="default"/>
                <w:sz w:val="18"/>
                <w:szCs w:val="18"/>
              </w:rPr>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平安（深圳）授信字</w:t>
            </w:r>
            <w:r>
              <w:rPr>
                <w:rFonts w:ascii="宋体" w:hAnsi="宋体" w:cs="宋体" w:eastAsia="宋体" w:hint="default"/>
                <w:spacing w:val="-4"/>
                <w:sz w:val="18"/>
                <w:szCs w:val="18"/>
              </w:rPr>
              <w:t> </w:t>
            </w:r>
            <w:r>
              <w:rPr>
                <w:rFonts w:ascii="宋体" w:hAnsi="宋体" w:cs="宋体" w:eastAsia="宋体" w:hint="default"/>
                <w:sz w:val="18"/>
                <w:szCs w:val="18"/>
              </w:rPr>
              <w:t>2012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sz w:val="18"/>
              </w:rPr>
              <w:t>2012-12-13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sz w:val="18"/>
              </w:rPr>
              <w:t>2013-12-13</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正在</w:t>
            </w:r>
          </w:p>
        </w:tc>
      </w:tr>
    </w:tbl>
    <w:p>
      <w:pPr>
        <w:spacing w:after="0" w:line="240" w:lineRule="auto"/>
        <w:jc w:val="left"/>
        <w:rPr>
          <w:rFonts w:ascii="宋体" w:hAnsi="宋体" w:cs="宋体" w:eastAsia="宋体" w:hint="default"/>
          <w:sz w:val="18"/>
          <w:szCs w:val="18"/>
        </w:rPr>
        <w:sectPr>
          <w:headerReference w:type="default" r:id="rId80"/>
          <w:footerReference w:type="default" r:id="rId81"/>
          <w:pgSz w:w="11910" w:h="16840"/>
          <w:pgMar w:header="877" w:footer="0" w:top="1060" w:bottom="0" w:left="96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354"/>
        <w:gridCol w:w="960"/>
        <w:gridCol w:w="1191"/>
        <w:gridCol w:w="2283"/>
        <w:gridCol w:w="998"/>
        <w:gridCol w:w="1117"/>
        <w:gridCol w:w="1116"/>
        <w:gridCol w:w="746"/>
      </w:tblGrid>
      <w:tr>
        <w:trPr>
          <w:trHeight w:val="2050" w:hRule="exact"/>
        </w:trPr>
        <w:tc>
          <w:tcPr>
            <w:tcW w:w="135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511" w:lineRule="auto"/>
              <w:ind w:left="103" w:right="80"/>
              <w:jc w:val="left"/>
              <w:rPr>
                <w:rFonts w:ascii="宋体" w:hAnsi="宋体" w:cs="宋体" w:eastAsia="宋体" w:hint="default"/>
                <w:sz w:val="18"/>
                <w:szCs w:val="18"/>
              </w:rPr>
            </w:pPr>
            <w:r>
              <w:rPr>
                <w:rFonts w:ascii="宋体" w:hAnsi="宋体" w:cs="宋体" w:eastAsia="宋体" w:hint="default"/>
                <w:spacing w:val="15"/>
                <w:sz w:val="18"/>
                <w:szCs w:val="18"/>
              </w:rPr>
              <w:t>份有限公司</w:t>
            </w:r>
            <w:r>
              <w:rPr>
                <w:rFonts w:ascii="宋体" w:hAnsi="宋体" w:cs="宋体" w:eastAsia="宋体" w:hint="default"/>
                <w:spacing w:val="-71"/>
                <w:sz w:val="18"/>
                <w:szCs w:val="18"/>
              </w:rPr>
              <w:t> </w:t>
            </w:r>
            <w:r>
              <w:rPr>
                <w:rFonts w:ascii="宋体" w:hAnsi="宋体" w:cs="宋体" w:eastAsia="宋体" w:hint="default"/>
                <w:sz w:val="18"/>
                <w:szCs w:val="18"/>
              </w:rPr>
              <w:t>深圳分行</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A1001102241200013</w:t>
            </w:r>
            <w:r>
              <w:rPr>
                <w:rFonts w:ascii="宋体" w:hAnsi="宋体" w:cs="宋体" w:eastAsia="宋体" w:hint="default"/>
                <w:spacing w:val="-9"/>
                <w:sz w:val="18"/>
                <w:szCs w:val="18"/>
              </w:rPr>
              <w:t> </w:t>
            </w:r>
            <w:r>
              <w:rPr>
                <w:rFonts w:ascii="宋体" w:hAnsi="宋体" w:cs="宋体" w:eastAsia="宋体" w:hint="default"/>
                <w:sz w:val="18"/>
                <w:szCs w:val="18"/>
              </w:rPr>
              <w:t>号</w:t>
            </w:r>
          </w:p>
          <w:p>
            <w:pPr>
              <w:pStyle w:val="TableParagraph"/>
              <w:spacing w:line="500" w:lineRule="atLeast" w:before="1"/>
              <w:ind w:left="103" w:right="99"/>
              <w:jc w:val="both"/>
              <w:rPr>
                <w:rFonts w:ascii="宋体" w:hAnsi="宋体" w:cs="宋体" w:eastAsia="宋体" w:hint="default"/>
                <w:sz w:val="18"/>
                <w:szCs w:val="18"/>
              </w:rPr>
            </w:pPr>
            <w:r>
              <w:rPr>
                <w:rFonts w:ascii="宋体" w:hAnsi="宋体" w:cs="宋体" w:eastAsia="宋体" w:hint="default"/>
                <w:spacing w:val="7"/>
                <w:sz w:val="18"/>
                <w:szCs w:val="18"/>
              </w:rPr>
              <w:t>《综合授信额度合同》项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目下不超过</w:t>
            </w:r>
            <w:r>
              <w:rPr>
                <w:rFonts w:ascii="宋体" w:hAnsi="宋体" w:cs="宋体" w:eastAsia="宋体" w:hint="default"/>
                <w:spacing w:val="-47"/>
                <w:sz w:val="18"/>
                <w:szCs w:val="18"/>
              </w:rPr>
              <w:t> </w:t>
            </w:r>
            <w:r>
              <w:rPr>
                <w:rFonts w:ascii="宋体" w:hAnsi="宋体" w:cs="宋体" w:eastAsia="宋体" w:hint="default"/>
                <w:sz w:val="18"/>
                <w:szCs w:val="18"/>
              </w:rPr>
              <w:t>7000</w:t>
            </w:r>
            <w:r>
              <w:rPr>
                <w:rFonts w:ascii="宋体" w:hAnsi="宋体" w:cs="宋体" w:eastAsia="宋体" w:hint="default"/>
                <w:spacing w:val="-46"/>
                <w:sz w:val="18"/>
                <w:szCs w:val="18"/>
              </w:rPr>
              <w:t> </w:t>
            </w:r>
            <w:r>
              <w:rPr>
                <w:rFonts w:ascii="宋体" w:hAnsi="宋体" w:cs="宋体" w:eastAsia="宋体" w:hint="default"/>
                <w:sz w:val="18"/>
                <w:szCs w:val="18"/>
              </w:rPr>
              <w:t>万元贷款 额度及相关债务</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保证担保</w:t>
            </w: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履行</w:t>
            </w:r>
          </w:p>
        </w:tc>
      </w:tr>
      <w:tr>
        <w:trPr>
          <w:trHeight w:val="590"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德旺投资</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9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508" w:lineRule="auto"/>
              <w:ind w:left="103" w:right="80"/>
              <w:jc w:val="both"/>
              <w:rPr>
                <w:rFonts w:ascii="宋体" w:hAnsi="宋体" w:cs="宋体" w:eastAsia="宋体" w:hint="default"/>
                <w:sz w:val="18"/>
                <w:szCs w:val="18"/>
              </w:rPr>
            </w:pPr>
            <w:r>
              <w:rPr>
                <w:rFonts w:ascii="宋体" w:hAnsi="宋体" w:cs="宋体" w:eastAsia="宋体" w:hint="default"/>
                <w:spacing w:val="15"/>
                <w:sz w:val="18"/>
                <w:szCs w:val="18"/>
              </w:rPr>
              <w:t>兴业银行股</w:t>
            </w:r>
            <w:r>
              <w:rPr>
                <w:rFonts w:ascii="宋体" w:hAnsi="宋体" w:cs="宋体" w:eastAsia="宋体" w:hint="default"/>
                <w:spacing w:val="-71"/>
                <w:sz w:val="18"/>
                <w:szCs w:val="18"/>
              </w:rPr>
              <w:t> </w:t>
            </w:r>
            <w:r>
              <w:rPr>
                <w:rFonts w:ascii="宋体" w:hAnsi="宋体" w:cs="宋体" w:eastAsia="宋体" w:hint="default"/>
                <w:spacing w:val="15"/>
                <w:sz w:val="18"/>
                <w:szCs w:val="18"/>
              </w:rPr>
              <w:t>份有限公司</w:t>
            </w:r>
            <w:r>
              <w:rPr>
                <w:rFonts w:ascii="宋体" w:hAnsi="宋体" w:cs="宋体" w:eastAsia="宋体" w:hint="default"/>
                <w:spacing w:val="-71"/>
                <w:sz w:val="18"/>
                <w:szCs w:val="18"/>
              </w:rPr>
              <w:t> </w:t>
            </w:r>
            <w:r>
              <w:rPr>
                <w:rFonts w:ascii="宋体" w:hAnsi="宋体" w:cs="宋体" w:eastAsia="宋体" w:hint="default"/>
                <w:spacing w:val="15"/>
                <w:sz w:val="18"/>
                <w:szCs w:val="18"/>
              </w:rPr>
              <w:t>深圳高新区</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62"/>
              <w:ind w:left="103" w:right="0"/>
              <w:jc w:val="both"/>
              <w:rPr>
                <w:rFonts w:ascii="宋体" w:hAnsi="宋体" w:cs="宋体" w:eastAsia="宋体" w:hint="default"/>
                <w:sz w:val="18"/>
                <w:szCs w:val="18"/>
              </w:rPr>
            </w:pPr>
            <w:r>
              <w:rPr>
                <w:rFonts w:ascii="宋体" w:hAnsi="宋体" w:cs="宋体" w:eastAsia="宋体" w:hint="default"/>
                <w:sz w:val="18"/>
                <w:szCs w:val="18"/>
              </w:rPr>
              <w:t>支行</w:t>
            </w:r>
          </w:p>
        </w:tc>
        <w:tc>
          <w:tcPr>
            <w:tcW w:w="228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兴业银行高新区授字</w:t>
            </w:r>
            <w:r>
              <w:rPr>
                <w:rFonts w:ascii="宋体" w:hAnsi="宋体" w:cs="宋体" w:eastAsia="宋体" w:hint="default"/>
                <w:spacing w:val="-4"/>
                <w:sz w:val="18"/>
                <w:szCs w:val="18"/>
              </w:rPr>
              <w:t> </w:t>
            </w:r>
            <w:r>
              <w:rPr>
                <w:rFonts w:ascii="宋体" w:hAnsi="宋体" w:cs="宋体" w:eastAsia="宋体" w:hint="default"/>
                <w:sz w:val="18"/>
                <w:szCs w:val="18"/>
              </w:rPr>
              <w:t>2012</w:t>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005</w:t>
            </w:r>
            <w:r>
              <w:rPr>
                <w:rFonts w:ascii="宋体" w:hAnsi="宋体" w:cs="宋体" w:eastAsia="宋体" w:hint="default"/>
                <w:spacing w:val="-3"/>
                <w:sz w:val="18"/>
                <w:szCs w:val="18"/>
              </w:rPr>
              <w:t> </w:t>
            </w:r>
            <w:r>
              <w:rPr>
                <w:rFonts w:ascii="宋体" w:hAnsi="宋体" w:cs="宋体" w:eastAsia="宋体" w:hint="default"/>
                <w:sz w:val="18"/>
                <w:szCs w:val="18"/>
              </w:rPr>
              <w:t>号《基本额度授信</w:t>
            </w:r>
          </w:p>
          <w:p>
            <w:pPr>
              <w:pStyle w:val="TableParagraph"/>
              <w:spacing w:line="500" w:lineRule="atLeast" w:before="1"/>
              <w:ind w:left="103" w:right="98"/>
              <w:jc w:val="left"/>
              <w:rPr>
                <w:rFonts w:ascii="宋体" w:hAnsi="宋体" w:cs="宋体" w:eastAsia="宋体" w:hint="default"/>
                <w:sz w:val="18"/>
                <w:szCs w:val="18"/>
              </w:rPr>
            </w:pPr>
            <w:r>
              <w:rPr>
                <w:rFonts w:ascii="宋体" w:hAnsi="宋体" w:cs="宋体" w:eastAsia="宋体" w:hint="default"/>
                <w:sz w:val="18"/>
                <w:szCs w:val="18"/>
              </w:rPr>
              <w:t>合同》项目下不超过 </w:t>
            </w: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亿 元商业汇票银行承兑额度</w:t>
            </w:r>
          </w:p>
        </w:tc>
        <w:tc>
          <w:tcPr>
            <w:tcW w:w="99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508" w:lineRule="auto"/>
              <w:ind w:left="131" w:right="134"/>
              <w:jc w:val="left"/>
              <w:rPr>
                <w:rFonts w:ascii="宋体" w:hAnsi="宋体" w:cs="宋体" w:eastAsia="宋体" w:hint="default"/>
                <w:sz w:val="18"/>
                <w:szCs w:val="18"/>
              </w:rPr>
            </w:pPr>
            <w:r>
              <w:rPr>
                <w:rFonts w:ascii="宋体" w:hAnsi="宋体" w:cs="宋体" w:eastAsia="宋体" w:hint="default"/>
                <w:sz w:val="18"/>
                <w:szCs w:val="18"/>
              </w:rPr>
              <w:t>连带责任 保证担保</w:t>
            </w:r>
          </w:p>
        </w:tc>
        <w:tc>
          <w:tcPr>
            <w:tcW w:w="11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9" w:right="0"/>
              <w:jc w:val="left"/>
              <w:rPr>
                <w:rFonts w:ascii="宋体" w:hAnsi="宋体" w:cs="宋体" w:eastAsia="宋体" w:hint="default"/>
                <w:sz w:val="18"/>
                <w:szCs w:val="18"/>
              </w:rPr>
            </w:pPr>
            <w:r>
              <w:rPr>
                <w:rFonts w:ascii="宋体"/>
                <w:sz w:val="18"/>
              </w:rPr>
              <w:t>2012-3-6</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9" w:right="0"/>
              <w:jc w:val="left"/>
              <w:rPr>
                <w:rFonts w:ascii="宋体" w:hAnsi="宋体" w:cs="宋体" w:eastAsia="宋体" w:hint="default"/>
                <w:sz w:val="18"/>
                <w:szCs w:val="18"/>
              </w:rPr>
            </w:pPr>
            <w:r>
              <w:rPr>
                <w:rFonts w:ascii="宋体"/>
                <w:sz w:val="18"/>
              </w:rPr>
              <w:t>2013-3-6</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508" w:lineRule="auto"/>
              <w:ind w:left="184" w:right="191"/>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1501"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960"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2283"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1117"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590"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德旺投资</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19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508" w:lineRule="auto"/>
              <w:ind w:left="103" w:right="80"/>
              <w:jc w:val="both"/>
              <w:rPr>
                <w:rFonts w:ascii="宋体" w:hAnsi="宋体" w:cs="宋体" w:eastAsia="宋体" w:hint="default"/>
                <w:sz w:val="18"/>
                <w:szCs w:val="18"/>
              </w:rPr>
            </w:pPr>
            <w:r>
              <w:rPr>
                <w:rFonts w:ascii="宋体" w:hAnsi="宋体" w:cs="宋体" w:eastAsia="宋体" w:hint="default"/>
                <w:spacing w:val="15"/>
                <w:sz w:val="18"/>
                <w:szCs w:val="18"/>
              </w:rPr>
              <w:t>兴业银行股</w:t>
            </w:r>
            <w:r>
              <w:rPr>
                <w:rFonts w:ascii="宋体" w:hAnsi="宋体" w:cs="宋体" w:eastAsia="宋体" w:hint="default"/>
                <w:spacing w:val="-71"/>
                <w:sz w:val="18"/>
                <w:szCs w:val="18"/>
              </w:rPr>
              <w:t> </w:t>
            </w:r>
            <w:r>
              <w:rPr>
                <w:rFonts w:ascii="宋体" w:hAnsi="宋体" w:cs="宋体" w:eastAsia="宋体" w:hint="default"/>
                <w:spacing w:val="15"/>
                <w:sz w:val="18"/>
                <w:szCs w:val="18"/>
              </w:rPr>
              <w:t>份有限公司</w:t>
            </w:r>
            <w:r>
              <w:rPr>
                <w:rFonts w:ascii="宋体" w:hAnsi="宋体" w:cs="宋体" w:eastAsia="宋体" w:hint="default"/>
                <w:spacing w:val="-71"/>
                <w:sz w:val="18"/>
                <w:szCs w:val="18"/>
              </w:rPr>
              <w:t> </w:t>
            </w:r>
            <w:r>
              <w:rPr>
                <w:rFonts w:ascii="宋体" w:hAnsi="宋体" w:cs="宋体" w:eastAsia="宋体" w:hint="default"/>
                <w:spacing w:val="15"/>
                <w:sz w:val="18"/>
                <w:szCs w:val="18"/>
              </w:rPr>
              <w:t>深圳高新区</w:t>
            </w:r>
            <w:r>
              <w:rPr>
                <w:rFonts w:ascii="宋体" w:hAnsi="宋体" w:cs="宋体" w:eastAsia="宋体" w:hint="default"/>
                <w:spacing w:val="-71"/>
                <w:sz w:val="18"/>
                <w:szCs w:val="18"/>
              </w:rPr>
              <w:t> </w:t>
            </w:r>
            <w:r>
              <w:rPr>
                <w:rFonts w:ascii="宋体" w:hAnsi="宋体" w:cs="宋体" w:eastAsia="宋体" w:hint="default"/>
                <w:sz w:val="18"/>
                <w:szCs w:val="18"/>
              </w:rPr>
              <w:t>支行</w:t>
            </w:r>
          </w:p>
        </w:tc>
        <w:tc>
          <w:tcPr>
            <w:tcW w:w="228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兴业银行高新区授字</w:t>
            </w:r>
            <w:r>
              <w:rPr>
                <w:rFonts w:ascii="宋体" w:hAnsi="宋体" w:cs="宋体" w:eastAsia="宋体" w:hint="default"/>
                <w:spacing w:val="-4"/>
                <w:sz w:val="18"/>
                <w:szCs w:val="18"/>
              </w:rPr>
              <w:t> </w:t>
            </w:r>
            <w:r>
              <w:rPr>
                <w:rFonts w:ascii="宋体" w:hAnsi="宋体" w:cs="宋体" w:eastAsia="宋体" w:hint="default"/>
                <w:sz w:val="18"/>
                <w:szCs w:val="18"/>
              </w:rPr>
              <w:t>2012</w:t>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004</w:t>
            </w:r>
            <w:r>
              <w:rPr>
                <w:rFonts w:ascii="宋体" w:hAnsi="宋体" w:cs="宋体" w:eastAsia="宋体" w:hint="default"/>
                <w:spacing w:val="-3"/>
                <w:sz w:val="18"/>
                <w:szCs w:val="18"/>
              </w:rPr>
              <w:t> </w:t>
            </w:r>
            <w:r>
              <w:rPr>
                <w:rFonts w:ascii="宋体" w:hAnsi="宋体" w:cs="宋体" w:eastAsia="宋体" w:hint="default"/>
                <w:sz w:val="18"/>
                <w:szCs w:val="18"/>
              </w:rPr>
              <w:t>号《基本额度授信</w:t>
            </w:r>
          </w:p>
          <w:p>
            <w:pPr>
              <w:pStyle w:val="TableParagraph"/>
              <w:spacing w:line="240" w:lineRule="auto" w:before="4"/>
              <w:ind w:right="0"/>
              <w:jc w:val="left"/>
              <w:rPr>
                <w:rFonts w:ascii="宋体" w:hAnsi="宋体" w:cs="宋体" w:eastAsia="宋体" w:hint="default"/>
                <w:sz w:val="20"/>
                <w:szCs w:val="20"/>
              </w:rPr>
            </w:pPr>
          </w:p>
          <w:p>
            <w:pPr>
              <w:pStyle w:val="TableParagraph"/>
              <w:spacing w:line="508" w:lineRule="auto"/>
              <w:ind w:left="103" w:right="100"/>
              <w:jc w:val="left"/>
              <w:rPr>
                <w:rFonts w:ascii="宋体" w:hAnsi="宋体" w:cs="宋体" w:eastAsia="宋体" w:hint="default"/>
                <w:sz w:val="18"/>
                <w:szCs w:val="18"/>
              </w:rPr>
            </w:pPr>
            <w:r>
              <w:rPr>
                <w:rFonts w:ascii="宋体" w:hAnsi="宋体" w:cs="宋体" w:eastAsia="宋体" w:hint="default"/>
                <w:sz w:val="18"/>
                <w:szCs w:val="18"/>
              </w:rPr>
              <w:t>合同》项目下不超过</w:t>
            </w:r>
            <w:r>
              <w:rPr>
                <w:rFonts w:ascii="宋体" w:hAnsi="宋体" w:cs="宋体" w:eastAsia="宋体" w:hint="default"/>
                <w:spacing w:val="-4"/>
                <w:sz w:val="18"/>
                <w:szCs w:val="18"/>
              </w:rPr>
              <w:t> </w:t>
            </w:r>
            <w:r>
              <w:rPr>
                <w:rFonts w:ascii="宋体" w:hAnsi="宋体" w:cs="宋体" w:eastAsia="宋体" w:hint="default"/>
                <w:sz w:val="18"/>
                <w:szCs w:val="18"/>
              </w:rPr>
              <w:t>5000 </w:t>
            </w:r>
            <w:r>
              <w:rPr>
                <w:rFonts w:ascii="宋体" w:hAnsi="宋体" w:cs="宋体" w:eastAsia="宋体" w:hint="default"/>
                <w:sz w:val="18"/>
                <w:szCs w:val="18"/>
              </w:rPr>
              <w:t>万元贷款额度及相关债务</w:t>
            </w:r>
          </w:p>
        </w:tc>
        <w:tc>
          <w:tcPr>
            <w:tcW w:w="99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508" w:lineRule="auto"/>
              <w:ind w:left="131" w:right="134"/>
              <w:jc w:val="left"/>
              <w:rPr>
                <w:rFonts w:ascii="宋体" w:hAnsi="宋体" w:cs="宋体" w:eastAsia="宋体" w:hint="default"/>
                <w:sz w:val="18"/>
                <w:szCs w:val="18"/>
              </w:rPr>
            </w:pPr>
            <w:r>
              <w:rPr>
                <w:rFonts w:ascii="宋体" w:hAnsi="宋体" w:cs="宋体" w:eastAsia="宋体" w:hint="default"/>
                <w:sz w:val="18"/>
                <w:szCs w:val="18"/>
              </w:rPr>
              <w:t>连带责任 保证担保</w:t>
            </w:r>
          </w:p>
        </w:tc>
        <w:tc>
          <w:tcPr>
            <w:tcW w:w="11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9" w:right="0"/>
              <w:jc w:val="left"/>
              <w:rPr>
                <w:rFonts w:ascii="宋体" w:hAnsi="宋体" w:cs="宋体" w:eastAsia="宋体" w:hint="default"/>
                <w:sz w:val="18"/>
                <w:szCs w:val="18"/>
              </w:rPr>
            </w:pPr>
            <w:r>
              <w:rPr>
                <w:rFonts w:ascii="宋体"/>
                <w:sz w:val="18"/>
              </w:rPr>
              <w:t>2012-2-1</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9" w:right="0"/>
              <w:jc w:val="left"/>
              <w:rPr>
                <w:rFonts w:ascii="宋体" w:hAnsi="宋体" w:cs="宋体" w:eastAsia="宋体" w:hint="default"/>
                <w:sz w:val="18"/>
                <w:szCs w:val="18"/>
              </w:rPr>
            </w:pPr>
            <w:r>
              <w:rPr>
                <w:rFonts w:ascii="宋体"/>
                <w:sz w:val="18"/>
              </w:rPr>
              <w:t>2013-2-1</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508" w:lineRule="auto"/>
              <w:ind w:left="184" w:right="191"/>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1090"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500" w:lineRule="atLeast" w:before="12"/>
              <w:ind w:left="103" w:right="87"/>
              <w:jc w:val="left"/>
              <w:rPr>
                <w:rFonts w:ascii="宋体" w:hAnsi="宋体" w:cs="宋体" w:eastAsia="宋体" w:hint="default"/>
                <w:sz w:val="18"/>
                <w:szCs w:val="18"/>
              </w:rPr>
            </w:pPr>
            <w:r>
              <w:rPr>
                <w:rFonts w:ascii="宋体" w:hAnsi="宋体" w:cs="宋体" w:eastAsia="宋体" w:hint="default"/>
                <w:spacing w:val="12"/>
                <w:sz w:val="18"/>
                <w:szCs w:val="18"/>
              </w:rPr>
              <w:t>茂硕电源科技 </w:t>
            </w:r>
            <w:r>
              <w:rPr>
                <w:rFonts w:ascii="宋体" w:hAnsi="宋体" w:cs="宋体" w:eastAsia="宋体" w:hint="default"/>
                <w:sz w:val="18"/>
                <w:szCs w:val="18"/>
              </w:rPr>
              <w:t>股份有限公司</w:t>
            </w:r>
          </w:p>
        </w:tc>
        <w:tc>
          <w:tcPr>
            <w:tcW w:w="960" w:type="dxa"/>
            <w:vMerge/>
            <w:tcBorders>
              <w:left w:val="single" w:sz="4" w:space="0" w:color="000000"/>
              <w:right w:val="single" w:sz="4" w:space="0" w:color="000000"/>
            </w:tcBorders>
          </w:tcPr>
          <w:p>
            <w:pPr/>
          </w:p>
        </w:tc>
        <w:tc>
          <w:tcPr>
            <w:tcW w:w="1191" w:type="dxa"/>
            <w:vMerge/>
            <w:tcBorders>
              <w:left w:val="single" w:sz="4" w:space="0" w:color="000000"/>
              <w:right w:val="single" w:sz="4" w:space="0" w:color="000000"/>
            </w:tcBorders>
          </w:tcPr>
          <w:p>
            <w:pPr/>
          </w:p>
        </w:tc>
        <w:tc>
          <w:tcPr>
            <w:tcW w:w="2283" w:type="dxa"/>
            <w:vMerge/>
            <w:tcBorders>
              <w:left w:val="single" w:sz="4" w:space="0" w:color="000000"/>
              <w:right w:val="single" w:sz="4" w:space="0" w:color="000000"/>
            </w:tcBorders>
          </w:tcPr>
          <w:p>
            <w:pPr/>
          </w:p>
        </w:tc>
        <w:tc>
          <w:tcPr>
            <w:tcW w:w="998" w:type="dxa"/>
            <w:vMerge/>
            <w:tcBorders>
              <w:left w:val="single" w:sz="4" w:space="0" w:color="000000"/>
              <w:right w:val="single" w:sz="4" w:space="0" w:color="000000"/>
            </w:tcBorders>
          </w:tcPr>
          <w:p>
            <w:pPr/>
          </w:p>
        </w:tc>
        <w:tc>
          <w:tcPr>
            <w:tcW w:w="1117"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746" w:type="dxa"/>
            <w:vMerge/>
            <w:tcBorders>
              <w:left w:val="single" w:sz="4" w:space="0" w:color="000000"/>
              <w:right w:val="single" w:sz="4" w:space="0" w:color="000000"/>
            </w:tcBorders>
          </w:tcPr>
          <w:p>
            <w:pPr/>
          </w:p>
        </w:tc>
      </w:tr>
      <w:tr>
        <w:trPr>
          <w:trHeight w:val="590"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960"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2283"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1117"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bl>
    <w:p>
      <w:pPr>
        <w:pStyle w:val="BodyText"/>
        <w:spacing w:line="240" w:lineRule="auto" w:before="49"/>
        <w:ind w:left="172" w:right="0"/>
        <w:jc w:val="left"/>
      </w:pPr>
      <w:r>
        <w:rPr/>
        <w:t>关联担保情况说明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Heading3"/>
        <w:spacing w:line="240" w:lineRule="auto"/>
        <w:ind w:left="172" w:right="0"/>
        <w:jc w:val="left"/>
        <w:rPr>
          <w:b w:val="0"/>
          <w:bCs w:val="0"/>
        </w:rPr>
      </w:pPr>
      <w:r>
        <w:rPr>
          <w:rFonts w:ascii="Arial" w:hAnsi="Arial" w:cs="Arial" w:eastAsia="Arial" w:hint="default"/>
        </w:rPr>
        <w:t>5</w:t>
      </w:r>
      <w:r>
        <w:rPr/>
        <w:t>、关联方应收应付款项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172" w:right="0"/>
        <w:jc w:val="left"/>
      </w:pPr>
      <w:r>
        <w:rPr/>
        <w:t>上市公司应收关联方款项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402"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山西光宇半导体照 明股份有限公司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216,908.00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大连路明发光科技 股份有限公司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30,820.02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bl>
    <w:p>
      <w:pPr>
        <w:pStyle w:val="BodyText"/>
        <w:spacing w:line="240" w:lineRule="auto" w:before="49"/>
        <w:ind w:left="172" w:right="0"/>
        <w:jc w:val="left"/>
      </w:pPr>
      <w:r>
        <w:rPr/>
        <w:t>上市公司应付关联方款项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793"/>
        <w:gridCol w:w="2258"/>
        <w:gridCol w:w="2259"/>
        <w:gridCol w:w="2247"/>
      </w:tblGrid>
      <w:tr>
        <w:trPr>
          <w:trHeight w:val="403"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after="0" w:line="240" w:lineRule="auto"/>
        <w:jc w:val="center"/>
        <w:rPr>
          <w:rFonts w:ascii="宋体" w:hAnsi="宋体" w:cs="宋体" w:eastAsia="宋体" w:hint="default"/>
          <w:sz w:val="18"/>
          <w:szCs w:val="18"/>
        </w:rPr>
        <w:sectPr>
          <w:footerReference w:type="default" r:id="rId82"/>
          <w:pgSz w:w="11910" w:h="16840"/>
          <w:pgMar w:footer="1340" w:header="877" w:top="1060" w:bottom="1540" w:left="960" w:right="0"/>
          <w:pgNumType w:start="151"/>
        </w:sectPr>
      </w:pPr>
    </w:p>
    <w:p>
      <w:pPr>
        <w:spacing w:line="240" w:lineRule="auto" w:before="8"/>
        <w:rPr>
          <w:rFonts w:ascii="宋体" w:hAnsi="宋体" w:cs="宋体" w:eastAsia="宋体" w:hint="default"/>
          <w:sz w:val="23"/>
          <w:szCs w:val="23"/>
        </w:rPr>
      </w:pPr>
    </w:p>
    <w:p>
      <w:pPr>
        <w:pStyle w:val="Heading2"/>
        <w:spacing w:line="240" w:lineRule="auto" w:before="26"/>
        <w:ind w:right="1121"/>
        <w:jc w:val="left"/>
        <w:rPr>
          <w:b w:val="0"/>
          <w:bCs w:val="0"/>
        </w:rPr>
      </w:pPr>
      <w:r>
        <w:rPr/>
        <w:t>九、股份支付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、股份支付总体情况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1"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3,060,000.00</w:t>
            </w:r>
          </w:p>
        </w:tc>
      </w:tr>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1,708,800.00</w:t>
            </w:r>
          </w:p>
        </w:tc>
      </w:tr>
      <w:tr>
        <w:trPr>
          <w:trHeight w:val="401"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1,351,200.00</w:t>
            </w:r>
          </w:p>
        </w:tc>
      </w:tr>
      <w:tr>
        <w:trPr>
          <w:trHeight w:val="715"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0"/>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80"/>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 余期限</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121"/>
        <w:jc w:val="left"/>
      </w:pPr>
      <w:r>
        <w:rPr/>
        <w:t>股份支付情况的说明</w:t>
      </w:r>
    </w:p>
    <w:p>
      <w:pPr>
        <w:pStyle w:val="BodyText"/>
        <w:spacing w:line="302" w:lineRule="auto" w:before="117"/>
        <w:ind w:right="1131" w:firstLine="425"/>
        <w:jc w:val="both"/>
      </w:pPr>
      <w:r>
        <w:rPr/>
        <w:t>根据本公司</w:t>
      </w:r>
      <w:r>
        <w:rPr>
          <w:rFonts w:ascii="Arial" w:hAnsi="Arial" w:cs="Arial" w:eastAsia="Arial" w:hint="default"/>
        </w:rPr>
        <w:t>2012</w:t>
      </w:r>
      <w:r>
        <w:rPr/>
        <w:t>年第</w:t>
      </w:r>
      <w:r>
        <w:rPr>
          <w:rFonts w:ascii="Arial" w:hAnsi="Arial" w:cs="Arial" w:eastAsia="Arial" w:hint="default"/>
        </w:rPr>
        <w:t>6</w:t>
      </w:r>
      <w:r>
        <w:rPr/>
        <w:t>次临时股东大会审议通过的《关于茂硕电源科技股份有限公司限制性股票激励计划（修订案） 及其摘要的议案》规定，公司按照</w:t>
      </w:r>
      <w:r>
        <w:rPr>
          <w:rFonts w:ascii="Arial" w:hAnsi="Arial" w:cs="Arial" w:eastAsia="Arial" w:hint="default"/>
        </w:rPr>
        <w:t>9.20</w:t>
      </w:r>
      <w:r>
        <w:rPr/>
        <w:t>元</w:t>
      </w:r>
      <w:r>
        <w:rPr>
          <w:rFonts w:ascii="Arial" w:hAnsi="Arial" w:cs="Arial" w:eastAsia="Arial" w:hint="default"/>
        </w:rPr>
        <w:t>/</w:t>
      </w:r>
      <w:r>
        <w:rPr/>
        <w:t>股的价格授予</w:t>
      </w:r>
      <w:r>
        <w:rPr>
          <w:rFonts w:ascii="Arial" w:hAnsi="Arial" w:cs="Arial" w:eastAsia="Arial" w:hint="default"/>
        </w:rPr>
        <w:t>46</w:t>
      </w:r>
      <w:r>
        <w:rPr/>
        <w:t>位激励对象</w:t>
      </w:r>
      <w:r>
        <w:rPr>
          <w:rFonts w:ascii="Arial" w:hAnsi="Arial" w:cs="Arial" w:eastAsia="Arial" w:hint="default"/>
        </w:rPr>
        <w:t>306</w:t>
      </w:r>
      <w:r>
        <w:rPr/>
        <w:t>万股限制性股票，每股面值</w:t>
      </w:r>
      <w:r>
        <w:rPr>
          <w:rFonts w:ascii="Arial" w:hAnsi="Arial" w:cs="Arial" w:eastAsia="Arial" w:hint="default"/>
        </w:rPr>
        <w:t>1</w:t>
      </w:r>
      <w:r>
        <w:rPr/>
        <w:t>元。截至</w:t>
      </w:r>
      <w:r>
        <w:rPr>
          <w:rFonts w:ascii="Arial" w:hAnsi="Arial" w:cs="Arial" w:eastAsia="Arial" w:hint="default"/>
        </w:rPr>
        <w:t>2012</w:t>
      </w:r>
      <w:r>
        <w:rPr/>
        <w:t>年</w:t>
      </w:r>
      <w:r>
        <w:rPr>
          <w:rFonts w:ascii="Arial" w:hAnsi="Arial" w:cs="Arial" w:eastAsia="Arial" w:hint="default"/>
        </w:rPr>
        <w:t>12</w:t>
      </w:r>
      <w:r>
        <w:rPr>
          <w:rFonts w:ascii="Arial" w:hAnsi="Arial" w:cs="Arial" w:eastAsia="Arial" w:hint="default"/>
          <w:spacing w:val="47"/>
        </w:rPr>
        <w:t> </w:t>
      </w:r>
      <w:r>
        <w:rPr/>
        <w:t>月</w:t>
      </w:r>
      <w:r>
        <w:rPr>
          <w:rFonts w:ascii="Arial" w:hAnsi="Arial" w:cs="Arial" w:eastAsia="Arial" w:hint="default"/>
        </w:rPr>
        <w:t>13</w:t>
      </w:r>
      <w:r>
        <w:rPr/>
        <w:t>日止，激励对象中的</w:t>
      </w:r>
      <w:r>
        <w:rPr>
          <w:rFonts w:ascii="Arial" w:hAnsi="Arial" w:cs="Arial" w:eastAsia="Arial" w:hint="default"/>
        </w:rPr>
        <w:t>13</w:t>
      </w:r>
      <w:r>
        <w:rPr/>
        <w:t>位放弃了认购，</w:t>
      </w:r>
      <w:r>
        <w:rPr>
          <w:rFonts w:ascii="Arial" w:hAnsi="Arial" w:cs="Arial" w:eastAsia="Arial" w:hint="default"/>
        </w:rPr>
        <w:t>33</w:t>
      </w:r>
      <w:r>
        <w:rPr/>
        <w:t>位激励对象共认购</w:t>
      </w:r>
      <w:r>
        <w:rPr>
          <w:rFonts w:ascii="Arial" w:hAnsi="Arial" w:cs="Arial" w:eastAsia="Arial" w:hint="default"/>
        </w:rPr>
        <w:t>170.88</w:t>
      </w:r>
      <w:r>
        <w:rPr/>
        <w:t>万股，授予当日股票收盘价为</w:t>
      </w:r>
      <w:r>
        <w:rPr>
          <w:rFonts w:ascii="Arial" w:hAnsi="Arial" w:cs="Arial" w:eastAsia="Arial" w:hint="default"/>
        </w:rPr>
        <w:t>15.69</w:t>
      </w:r>
      <w:r>
        <w:rPr/>
        <w:t>元</w:t>
      </w:r>
      <w:r>
        <w:rPr>
          <w:rFonts w:ascii="Arial" w:hAnsi="Arial" w:cs="Arial" w:eastAsia="Arial" w:hint="default"/>
        </w:rPr>
        <w:t>/</w:t>
      </w:r>
      <w:r>
        <w:rPr/>
        <w:t>股。则在当</w:t>
      </w:r>
      <w:r>
        <w:rPr>
          <w:spacing w:val="-37"/>
        </w:rPr>
        <w:t> </w:t>
      </w:r>
      <w:r>
        <w:rPr>
          <w:spacing w:val="-37"/>
        </w:rPr>
      </w:r>
      <w:r>
        <w:rPr>
          <w:spacing w:val="-2"/>
          <w:w w:val="99"/>
        </w:rPr>
        <w:t>日激励对象取得了公司支付的兑现权利受到限制的权益工具，每份上述未考虑限制性因素的权益工具在授予日的价值为</w:t>
      </w:r>
      <w:r>
        <w:rPr>
          <w:rFonts w:ascii="Arial" w:hAnsi="Arial" w:cs="Arial" w:eastAsia="Arial" w:hint="default"/>
          <w:spacing w:val="-2"/>
          <w:w w:val="99"/>
        </w:rPr>
        <w:t>6.49</w:t>
      </w:r>
      <w:r>
        <w:rPr>
          <w:rFonts w:ascii="Arial" w:hAnsi="Arial" w:cs="Arial" w:eastAsia="Arial" w:hint="default"/>
          <w:spacing w:val="-10"/>
          <w:w w:val="99"/>
        </w:rPr>
        <w:t> </w:t>
      </w:r>
      <w:r>
        <w:rPr>
          <w:rFonts w:ascii="Arial" w:hAnsi="Arial" w:cs="Arial" w:eastAsia="Arial" w:hint="default"/>
          <w:spacing w:val="-10"/>
          <w:w w:val="99"/>
        </w:rPr>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0"/>
        <w:ind w:right="1121"/>
        <w:jc w:val="left"/>
        <w:rPr>
          <w:b w:val="0"/>
          <w:bCs w:val="0"/>
        </w:rPr>
      </w:pPr>
      <w:r>
        <w:rPr>
          <w:rFonts w:ascii="Arial" w:hAnsi="Arial" w:cs="Arial" w:eastAsia="Arial" w:hint="default"/>
        </w:rPr>
        <w:t>2</w:t>
      </w:r>
      <w:r>
        <w:rPr/>
        <w:t>、以权益结算的股份支付情况</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借助相关估值手段确定授予日限制性股票的公允价值</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147,341.09</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147,341.09</w:t>
            </w:r>
          </w:p>
        </w:tc>
      </w:tr>
    </w:tbl>
    <w:p>
      <w:pPr>
        <w:pStyle w:val="BodyText"/>
        <w:spacing w:line="357" w:lineRule="auto" w:before="49"/>
        <w:ind w:left="578" w:right="1117" w:hanging="426"/>
        <w:jc w:val="left"/>
      </w:pPr>
      <w:r>
        <w:rPr/>
        <w:t>以权益结算的股份支付的说明 授予日公司向激励对象授予的权益工具公允价值总额为</w:t>
      </w:r>
      <w:r>
        <w:rPr>
          <w:rFonts w:ascii="Arial" w:hAnsi="Arial" w:cs="Arial" w:eastAsia="Arial" w:hint="default"/>
        </w:rPr>
        <w:t>536.5679</w:t>
      </w:r>
      <w:r>
        <w:rPr/>
        <w:t>万元，该等公允价值总额作为本次股权激励计划的总</w:t>
      </w:r>
    </w:p>
    <w:p>
      <w:pPr>
        <w:pStyle w:val="BodyText"/>
        <w:spacing w:line="213" w:lineRule="exact"/>
        <w:ind w:right="0"/>
        <w:jc w:val="left"/>
        <w:rPr>
          <w:rFonts w:ascii="Arial" w:hAnsi="Arial" w:cs="Arial" w:eastAsia="Arial" w:hint="default"/>
        </w:rPr>
      </w:pPr>
      <w:r>
        <w:rPr/>
        <w:t>成本将在股权激励计划的实施过程中按照解锁比例进行分期确认。</w:t>
      </w:r>
      <w:r>
        <w:rPr>
          <w:rFonts w:ascii="Arial" w:hAnsi="Arial" w:cs="Arial" w:eastAsia="Arial" w:hint="default"/>
        </w:rPr>
        <w:t>2012</w:t>
      </w:r>
      <w:r>
        <w:rPr/>
        <w:t>年限制性股票成本摊销金额为</w:t>
      </w:r>
      <w:r>
        <w:rPr>
          <w:rFonts w:ascii="Arial" w:hAnsi="Arial" w:cs="Arial" w:eastAsia="Arial" w:hint="default"/>
        </w:rPr>
        <w:t>162,248.00</w:t>
      </w:r>
      <w:r>
        <w:rPr>
          <w:rFonts w:ascii="Arial" w:hAnsi="Arial" w:cs="Arial" w:eastAsia="Arial" w:hint="default"/>
          <w:spacing w:val="-6"/>
        </w:rPr>
        <w:t> </w:t>
      </w:r>
      <w:r>
        <w:rPr>
          <w:spacing w:val="-6"/>
        </w:rPr>
        <w:t>元，</w:t>
      </w:r>
      <w:r>
        <w:rPr>
          <w:rFonts w:ascii="Arial" w:hAnsi="Arial" w:cs="Arial" w:eastAsia="Arial" w:hint="default"/>
          <w:spacing w:val="-6"/>
        </w:rPr>
        <w:t>2013</w:t>
      </w:r>
    </w:p>
    <w:p>
      <w:pPr>
        <w:pStyle w:val="BodyText"/>
        <w:spacing w:line="302" w:lineRule="auto" w:before="63"/>
        <w:ind w:right="1121"/>
        <w:jc w:val="left"/>
      </w:pPr>
      <w:r>
        <w:rPr>
          <w:spacing w:val="12"/>
        </w:rPr>
        <w:t>年</w:t>
      </w:r>
      <w:r>
        <w:rPr>
          <w:rFonts w:ascii="Arial" w:hAnsi="Arial" w:cs="Arial" w:eastAsia="Arial" w:hint="default"/>
          <w:spacing w:val="12"/>
        </w:rPr>
        <w:t>1</w:t>
      </w:r>
      <w:r>
        <w:rPr>
          <w:spacing w:val="12"/>
        </w:rPr>
        <w:t>月公司三位激励对象离职，公司对其授予的</w:t>
      </w:r>
      <w:r>
        <w:rPr>
          <w:rFonts w:ascii="Arial" w:hAnsi="Arial" w:cs="Arial" w:eastAsia="Arial" w:hint="default"/>
          <w:spacing w:val="12"/>
        </w:rPr>
        <w:t>15.7</w:t>
      </w:r>
      <w:r>
        <w:rPr>
          <w:spacing w:val="12"/>
        </w:rPr>
        <w:t>万股收回，其权益工具失效，因</w:t>
      </w:r>
      <w:r>
        <w:rPr>
          <w:spacing w:val="-64"/>
        </w:rPr>
        <w:t> </w:t>
      </w:r>
      <w:r>
        <w:rPr>
          <w:spacing w:val="11"/>
        </w:rPr>
        <w:t>此</w:t>
      </w:r>
      <w:r>
        <w:rPr>
          <w:rFonts w:ascii="Arial" w:hAnsi="Arial" w:cs="Arial" w:eastAsia="Arial" w:hint="default"/>
          <w:spacing w:val="11"/>
        </w:rPr>
        <w:t>2012</w:t>
      </w:r>
      <w:r>
        <w:rPr>
          <w:spacing w:val="11"/>
        </w:rPr>
        <w:t>年成本摊销金额调整为</w:t>
      </w:r>
      <w:r>
        <w:rPr>
          <w:spacing w:val="-70"/>
        </w:rPr>
        <w:t> </w:t>
      </w:r>
      <w:r>
        <w:rPr>
          <w:rFonts w:ascii="Arial" w:hAnsi="Arial" w:cs="Arial" w:eastAsia="Arial" w:hint="default"/>
        </w:rPr>
        <w:t>147,341.09</w:t>
      </w:r>
      <w:r>
        <w:rPr/>
        <w:t>。</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pStyle w:val="Heading2"/>
        <w:spacing w:line="240" w:lineRule="auto"/>
        <w:ind w:right="1121"/>
        <w:jc w:val="left"/>
        <w:rPr>
          <w:b w:val="0"/>
          <w:bCs w:val="0"/>
        </w:rPr>
      </w:pPr>
      <w:r>
        <w:rPr/>
        <w:t>十、或有事项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、未决诉讼或仲裁形成的或有负债及其财务影响</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8" w:right="1121"/>
        <w:jc w:val="left"/>
      </w:pPr>
      <w:r>
        <w:rPr/>
        <w:t>截止</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日，本公司不存在应披露的未决诉讼、对外担保等或有事项。</w:t>
      </w:r>
    </w:p>
    <w:p>
      <w:pPr>
        <w:spacing w:after="0" w:line="240" w:lineRule="auto"/>
        <w:jc w:val="left"/>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1"/>
        <w:jc w:val="left"/>
        <w:rPr>
          <w:b w:val="0"/>
          <w:bCs w:val="0"/>
        </w:rPr>
      </w:pPr>
      <w:r>
        <w:rPr/>
        <w:t>十一、承诺事项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、重大承诺事项</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573" w:right="1121"/>
        <w:jc w:val="left"/>
      </w:pPr>
      <w:r>
        <w:rPr/>
        <w:t>截止</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日，本公司不存在应披露的承诺事项。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8"/>
        <w:ind w:right="1121"/>
        <w:jc w:val="left"/>
        <w:rPr>
          <w:b w:val="0"/>
          <w:bCs w:val="0"/>
        </w:rPr>
      </w:pPr>
      <w:r>
        <w:rPr/>
        <w:t>十二、资产负债表日后事项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、重要的资产负债表日后事项说明</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rFonts w:ascii="Arial" w:hAnsi="Arial" w:cs="Arial" w:eastAsia="Arial" w:hint="default"/>
        </w:rPr>
        <w:t>2</w:t>
      </w:r>
      <w:r>
        <w:rPr/>
        <w:t>、资产负债表日后利润分配情况说明</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9,863,180.00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9,863,180.00</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rFonts w:ascii="Arial" w:hAnsi="Arial" w:cs="Arial" w:eastAsia="Arial" w:hint="default"/>
        </w:rPr>
        <w:t>3</w:t>
      </w:r>
      <w:r>
        <w:rPr/>
        <w:t>、其他资产负债表日后事项说明</w:t>
      </w:r>
      <w:r>
        <w:rPr>
          <w:b w:val="0"/>
          <w:bCs w:val="0"/>
        </w:rPr>
      </w:r>
    </w:p>
    <w:p>
      <w:pPr>
        <w:spacing w:line="240" w:lineRule="auto" w:before="3"/>
        <w:rPr>
          <w:rFonts w:ascii="宋体" w:hAnsi="宋体" w:cs="宋体" w:eastAsia="宋体" w:hint="default"/>
          <w:b/>
          <w:bCs/>
          <w:sz w:val="26"/>
          <w:szCs w:val="26"/>
        </w:rPr>
      </w:pPr>
    </w:p>
    <w:p>
      <w:pPr>
        <w:pStyle w:val="BodyText"/>
        <w:spacing w:line="302" w:lineRule="auto"/>
        <w:ind w:right="1113" w:firstLine="420"/>
        <w:jc w:val="left"/>
      </w:pPr>
      <w:r>
        <w:rPr/>
        <w:t>公司于</w:t>
      </w:r>
      <w:r>
        <w:rPr>
          <w:rFonts w:ascii="Arial" w:hAnsi="Arial" w:cs="Arial" w:eastAsia="Arial" w:hint="default"/>
        </w:rPr>
        <w:t>2013</w:t>
      </w:r>
      <w:r>
        <w:rPr/>
        <w:t>年</w:t>
      </w:r>
      <w:r>
        <w:rPr>
          <w:rFonts w:ascii="Arial" w:hAnsi="Arial" w:cs="Arial" w:eastAsia="Arial" w:hint="default"/>
        </w:rPr>
        <w:t>2</w:t>
      </w:r>
      <w:r>
        <w:rPr/>
        <w:t>月</w:t>
      </w:r>
      <w:r>
        <w:rPr>
          <w:rFonts w:ascii="Arial" w:hAnsi="Arial" w:cs="Arial" w:eastAsia="Arial" w:hint="default"/>
        </w:rPr>
        <w:t>1</w:t>
      </w:r>
      <w:r>
        <w:rPr/>
        <w:t>日第二届董事会</w:t>
      </w:r>
      <w:r>
        <w:rPr>
          <w:rFonts w:ascii="Arial" w:hAnsi="Arial" w:cs="Arial" w:eastAsia="Arial" w:hint="default"/>
        </w:rPr>
        <w:t>2013</w:t>
      </w:r>
      <w:r>
        <w:rPr/>
        <w:t>年第</w:t>
      </w:r>
      <w:r>
        <w:rPr>
          <w:rFonts w:ascii="Arial" w:hAnsi="Arial" w:cs="Arial" w:eastAsia="Arial" w:hint="default"/>
        </w:rPr>
        <w:t>1</w:t>
      </w:r>
      <w:r>
        <w:rPr/>
        <w:t>次临时会议审议通过了《关于回购注销已不符合激励条件激励对象已获 授但尚未解锁的限制性股票的议案》，原限制性股票激励对象张爱花、韦利华、严娜分别获授公司限制性股票</w:t>
      </w:r>
      <w:r>
        <w:rPr>
          <w:rFonts w:ascii="Arial" w:hAnsi="Arial" w:cs="Arial" w:eastAsia="Arial" w:hint="default"/>
        </w:rPr>
        <w:t>90,000</w:t>
      </w:r>
      <w:r>
        <w:rPr/>
        <w:t>股、</w:t>
      </w:r>
      <w:r>
        <w:rPr>
          <w:spacing w:val="-3"/>
        </w:rPr>
        <w:t> </w:t>
      </w:r>
      <w:r>
        <w:rPr>
          <w:rFonts w:ascii="Arial" w:hAnsi="Arial" w:cs="Arial" w:eastAsia="Arial" w:hint="default"/>
        </w:rPr>
        <w:t>65,000</w:t>
      </w:r>
      <w:r>
        <w:rPr/>
        <w:t>股和</w:t>
      </w:r>
      <w:r>
        <w:rPr>
          <w:rFonts w:ascii="Arial" w:hAnsi="Arial" w:cs="Arial" w:eastAsia="Arial" w:hint="default"/>
        </w:rPr>
        <w:t>2,000</w:t>
      </w:r>
      <w:r>
        <w:rPr/>
        <w:t>股，现激励对象张爱花、韦利华、严娜因个人原因离职已不符合激励条件。根据公司《限制性股票激励计 划》（修订案）的相关规定，公司将回购注销该部分已获授但尚未解锁的限制性股票共计</w:t>
      </w:r>
      <w:r>
        <w:rPr>
          <w:rFonts w:ascii="Arial" w:hAnsi="Arial" w:cs="Arial" w:eastAsia="Arial" w:hint="default"/>
        </w:rPr>
        <w:t>157,000</w:t>
      </w:r>
      <w:r>
        <w:rPr/>
        <w:t>股，回购价格</w:t>
      </w:r>
      <w:r>
        <w:rPr>
          <w:rFonts w:ascii="Arial" w:hAnsi="Arial" w:cs="Arial" w:eastAsia="Arial" w:hint="default"/>
        </w:rPr>
        <w:t>9.2</w:t>
      </w:r>
      <w:r>
        <w:rPr/>
        <w:t>元</w:t>
      </w:r>
      <w:r>
        <w:rPr>
          <w:rFonts w:ascii="Arial" w:hAnsi="Arial" w:cs="Arial" w:eastAsia="Arial" w:hint="default"/>
        </w:rPr>
        <w:t>/</w:t>
      </w:r>
      <w:r>
        <w:rPr/>
        <w:t>股。</w:t>
      </w:r>
      <w:r>
        <w:rPr>
          <w:spacing w:val="-3"/>
        </w:rPr>
        <w:t> </w:t>
      </w:r>
      <w:r>
        <w:rPr>
          <w:spacing w:val="-1"/>
        </w:rPr>
        <w:t>本次回购注销完成后，公司股份总数将由</w:t>
      </w:r>
      <w:r>
        <w:rPr>
          <w:rFonts w:ascii="Arial" w:hAnsi="Arial" w:cs="Arial" w:eastAsia="Arial" w:hint="default"/>
          <w:spacing w:val="-1"/>
        </w:rPr>
        <w:t>9,878.88</w:t>
      </w:r>
      <w:r>
        <w:rPr>
          <w:spacing w:val="-1"/>
        </w:rPr>
        <w:t>万股变更为</w:t>
      </w:r>
      <w:r>
        <w:rPr>
          <w:rFonts w:ascii="Arial" w:hAnsi="Arial" w:cs="Arial" w:eastAsia="Arial" w:hint="default"/>
          <w:spacing w:val="-1"/>
        </w:rPr>
        <w:t>9,863.18</w:t>
      </w:r>
      <w:r>
        <w:rPr>
          <w:spacing w:val="-1"/>
        </w:rPr>
        <w:t>万股，公司将于本次回购完成后依法履行相应的减资</w:t>
      </w:r>
      <w:r>
        <w:rPr>
          <w:spacing w:val="-79"/>
        </w:rPr>
        <w:t> </w:t>
      </w:r>
      <w:r>
        <w:rPr>
          <w:spacing w:val="-79"/>
        </w:rPr>
      </w:r>
      <w:r>
        <w:rPr/>
        <w:t>程序，目前减资程序尚未完成，公司将于</w:t>
      </w:r>
      <w:r>
        <w:rPr>
          <w:rFonts w:ascii="Arial" w:hAnsi="Arial" w:cs="Arial" w:eastAsia="Arial" w:hint="default"/>
        </w:rPr>
        <w:t>2012</w:t>
      </w:r>
      <w:r>
        <w:rPr/>
        <w:t>年年度股东大会股权登记日前完成本次回购注销相关事宜，该部分回购注销 的股份不参加</w:t>
      </w:r>
      <w:r>
        <w:rPr>
          <w:rFonts w:ascii="Arial" w:hAnsi="Arial" w:cs="Arial" w:eastAsia="Arial" w:hint="default"/>
        </w:rPr>
        <w:t>2012</w:t>
      </w:r>
      <w:r>
        <w:rPr/>
        <w:t>年度利润分配。</w:t>
      </w:r>
    </w:p>
    <w:p>
      <w:pPr>
        <w:pStyle w:val="BodyText"/>
        <w:spacing w:line="302" w:lineRule="auto" w:before="11"/>
        <w:ind w:right="1128" w:firstLine="420"/>
        <w:jc w:val="both"/>
      </w:pPr>
      <w:r>
        <w:rPr>
          <w:rFonts w:ascii="Arial" w:hAnsi="Arial" w:cs="Arial" w:eastAsia="Arial" w:hint="default"/>
        </w:rPr>
        <w:t>2013</w:t>
      </w:r>
      <w:r>
        <w:rPr/>
        <w:t>年</w:t>
      </w:r>
      <w:r>
        <w:rPr>
          <w:rFonts w:ascii="Arial" w:hAnsi="Arial" w:cs="Arial" w:eastAsia="Arial" w:hint="default"/>
        </w:rPr>
        <w:t>4</w:t>
      </w:r>
      <w:r>
        <w:rPr/>
        <w:t>月</w:t>
      </w:r>
      <w:r>
        <w:rPr>
          <w:rFonts w:ascii="Arial" w:hAnsi="Arial" w:cs="Arial" w:eastAsia="Arial" w:hint="default"/>
        </w:rPr>
        <w:t>20</w:t>
      </w:r>
      <w:r>
        <w:rPr/>
        <w:t>日，第二届董事会</w:t>
      </w:r>
      <w:r>
        <w:rPr>
          <w:rFonts w:ascii="Arial" w:hAnsi="Arial" w:cs="Arial" w:eastAsia="Arial" w:hint="default"/>
        </w:rPr>
        <w:t>2013</w:t>
      </w:r>
      <w:r>
        <w:rPr/>
        <w:t>年第</w:t>
      </w:r>
      <w:r>
        <w:rPr>
          <w:rFonts w:ascii="Arial" w:hAnsi="Arial" w:cs="Arial" w:eastAsia="Arial" w:hint="default"/>
        </w:rPr>
        <w:t>1</w:t>
      </w:r>
      <w:r>
        <w:rPr/>
        <w:t>次定期会议审议通过了公司</w:t>
      </w:r>
      <w:r>
        <w:rPr>
          <w:rFonts w:ascii="Arial" w:hAnsi="Arial" w:cs="Arial" w:eastAsia="Arial" w:hint="default"/>
        </w:rPr>
        <w:t>2012</w:t>
      </w:r>
      <w:r>
        <w:rPr/>
        <w:t>年度利润分配预案：以回购注销完成后的 总股本</w:t>
      </w:r>
      <w:r>
        <w:rPr>
          <w:rFonts w:ascii="Arial" w:hAnsi="Arial" w:cs="Arial" w:eastAsia="Arial" w:hint="default"/>
        </w:rPr>
        <w:t>9,863.18</w:t>
      </w:r>
      <w:r>
        <w:rPr/>
        <w:t>万股为基数，向全体股东每</w:t>
      </w:r>
      <w:r>
        <w:rPr>
          <w:rFonts w:ascii="Arial" w:hAnsi="Arial" w:cs="Arial" w:eastAsia="Arial" w:hint="default"/>
        </w:rPr>
        <w:t>10</w:t>
      </w:r>
      <w:r>
        <w:rPr/>
        <w:t>股派发现金股利</w:t>
      </w:r>
      <w:r>
        <w:rPr>
          <w:rFonts w:ascii="Arial" w:hAnsi="Arial" w:cs="Arial" w:eastAsia="Arial" w:hint="default"/>
        </w:rPr>
        <w:t>1</w:t>
      </w:r>
      <w:r>
        <w:rPr/>
        <w:t>元人民币（含税）；同时进行资本公积金转增股本，以公司 </w:t>
      </w:r>
      <w:r>
        <w:rPr>
          <w:spacing w:val="-1"/>
        </w:rPr>
        <w:t>总股本</w:t>
      </w:r>
      <w:r>
        <w:rPr>
          <w:rFonts w:ascii="Arial" w:hAnsi="Arial" w:cs="Arial" w:eastAsia="Arial" w:hint="default"/>
          <w:spacing w:val="-1"/>
        </w:rPr>
        <w:t>9,863.18</w:t>
      </w:r>
      <w:r>
        <w:rPr>
          <w:spacing w:val="-1"/>
        </w:rPr>
        <w:t>万股为基数向全体股东每</w:t>
      </w:r>
      <w:r>
        <w:rPr>
          <w:rFonts w:ascii="Arial" w:hAnsi="Arial" w:cs="Arial" w:eastAsia="Arial" w:hint="default"/>
          <w:spacing w:val="-1"/>
        </w:rPr>
        <w:t>10</w:t>
      </w:r>
      <w:r>
        <w:rPr>
          <w:spacing w:val="-1"/>
        </w:rPr>
        <w:t>股转增</w:t>
      </w:r>
      <w:r>
        <w:rPr>
          <w:rFonts w:ascii="Arial" w:hAnsi="Arial" w:cs="Arial" w:eastAsia="Arial" w:hint="default"/>
          <w:spacing w:val="-1"/>
        </w:rPr>
        <w:t>10</w:t>
      </w:r>
      <w:r>
        <w:rPr>
          <w:spacing w:val="-1"/>
        </w:rPr>
        <w:t>股，转增后公司总股本将增加至</w:t>
      </w:r>
      <w:r>
        <w:rPr>
          <w:rFonts w:ascii="Arial" w:hAnsi="Arial" w:cs="Arial" w:eastAsia="Arial" w:hint="default"/>
          <w:spacing w:val="-1"/>
        </w:rPr>
        <w:t>19,726.36</w:t>
      </w:r>
      <w:r>
        <w:rPr>
          <w:spacing w:val="-1"/>
        </w:rPr>
        <w:t>万股。该预案待公司</w:t>
      </w:r>
      <w:r>
        <w:rPr>
          <w:rFonts w:ascii="Arial" w:hAnsi="Arial" w:cs="Arial" w:eastAsia="Arial" w:hint="default"/>
          <w:spacing w:val="-1"/>
        </w:rPr>
        <w:t>2012</w:t>
      </w:r>
      <w:r>
        <w:rPr>
          <w:spacing w:val="-1"/>
        </w:rPr>
        <w:t>年</w:t>
      </w:r>
      <w:r>
        <w:rPr>
          <w:spacing w:val="-81"/>
        </w:rPr>
        <w:t> </w:t>
      </w:r>
      <w:r>
        <w:rPr/>
        <w:t>度股东大会审议。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1121"/>
        <w:jc w:val="left"/>
        <w:rPr>
          <w:b w:val="0"/>
          <w:bCs w:val="0"/>
        </w:rPr>
      </w:pPr>
      <w:r>
        <w:rPr/>
        <w:t>十三、其他重要事项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、租赁</w:t>
      </w:r>
      <w:r>
        <w:rPr>
          <w:b w:val="0"/>
          <w:bCs w:val="0"/>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8"/>
          <w:szCs w:val="28"/>
        </w:rPr>
      </w:pPr>
    </w:p>
    <w:p>
      <w:pPr>
        <w:pStyle w:val="BodyText"/>
        <w:spacing w:line="240" w:lineRule="auto"/>
        <w:ind w:right="1121"/>
        <w:jc w:val="left"/>
      </w:pPr>
      <w:r>
        <w:rPr>
          <w:rFonts w:ascii="Arial" w:hAnsi="Arial" w:cs="Arial" w:eastAsia="Arial" w:hint="default"/>
        </w:rPr>
        <w:t>1</w:t>
      </w:r>
      <w:r>
        <w:rPr/>
        <w:t>、本公司、及子公司分别与深圳市桑泰实业发展有限公司签订了房屋租赁合同，具体情况如下：</w:t>
      </w:r>
    </w:p>
    <w:p>
      <w:pPr>
        <w:spacing w:after="0" w:line="240" w:lineRule="auto"/>
        <w:jc w:val="left"/>
        <w:sectPr>
          <w:pgSz w:w="11910" w:h="16840"/>
          <w:pgMar w:header="877" w:footer="1340" w:top="1060" w:bottom="1540" w:left="980" w:right="0"/>
        </w:sectPr>
      </w:pPr>
    </w:p>
    <w:p>
      <w:pPr>
        <w:spacing w:line="240" w:lineRule="auto" w:before="8"/>
        <w:rPr>
          <w:rFonts w:ascii="宋体" w:hAnsi="宋体" w:cs="宋体" w:eastAsia="宋体" w:hint="default"/>
          <w:sz w:val="28"/>
          <w:szCs w:val="28"/>
        </w:rPr>
      </w:pPr>
    </w:p>
    <w:tbl>
      <w:tblPr>
        <w:tblW w:w="0" w:type="auto"/>
        <w:jc w:val="left"/>
        <w:tblInd w:w="112" w:type="dxa"/>
        <w:tblLayout w:type="fixed"/>
        <w:tblCellMar>
          <w:top w:w="0" w:type="dxa"/>
          <w:left w:w="0" w:type="dxa"/>
          <w:bottom w:w="0" w:type="dxa"/>
          <w:right w:w="0" w:type="dxa"/>
        </w:tblCellMar>
        <w:tblLook w:val="01E0"/>
      </w:tblPr>
      <w:tblGrid>
        <w:gridCol w:w="682"/>
        <w:gridCol w:w="1142"/>
        <w:gridCol w:w="4004"/>
        <w:gridCol w:w="1574"/>
        <w:gridCol w:w="2432"/>
      </w:tblGrid>
      <w:tr>
        <w:trPr>
          <w:trHeight w:val="599" w:hRule="exact"/>
        </w:trPr>
        <w:tc>
          <w:tcPr>
            <w:tcW w:w="682"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142"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承租方</w:t>
            </w:r>
          </w:p>
        </w:tc>
        <w:tc>
          <w:tcPr>
            <w:tcW w:w="4004"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租赁房屋地址</w:t>
            </w:r>
          </w:p>
        </w:tc>
        <w:tc>
          <w:tcPr>
            <w:tcW w:w="1574"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月租金</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2432"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租赁期限</w:t>
            </w:r>
          </w:p>
        </w:tc>
      </w:tr>
      <w:tr>
        <w:trPr>
          <w:trHeight w:val="830" w:hRule="exact"/>
        </w:trPr>
        <w:tc>
          <w:tcPr>
            <w:tcW w:w="68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9"/>
              <w:jc w:val="left"/>
              <w:rPr>
                <w:rFonts w:ascii="宋体" w:hAnsi="宋体" w:cs="宋体" w:eastAsia="宋体" w:hint="default"/>
                <w:sz w:val="18"/>
                <w:szCs w:val="18"/>
              </w:rPr>
            </w:pPr>
            <w:r>
              <w:rPr>
                <w:rFonts w:ascii="宋体" w:hAnsi="宋体" w:cs="宋体" w:eastAsia="宋体" w:hint="default"/>
                <w:sz w:val="18"/>
                <w:szCs w:val="18"/>
              </w:rPr>
              <w:t>深圳市南山区西丽街道阳光社区松白路桑泰工业 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栋厂房六楼</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26,000.00</w:t>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2010.03.08</w:t>
            </w:r>
            <w:r>
              <w:rPr>
                <w:rFonts w:ascii="宋体" w:hAnsi="宋体" w:cs="宋体" w:eastAsia="宋体" w:hint="default"/>
                <w:sz w:val="18"/>
                <w:szCs w:val="18"/>
              </w:rPr>
              <w:t>～</w:t>
            </w:r>
            <w:r>
              <w:rPr>
                <w:rFonts w:ascii="Times New Roman" w:hAnsi="Times New Roman" w:cs="Times New Roman" w:eastAsia="Times New Roman" w:hint="default"/>
                <w:sz w:val="18"/>
                <w:szCs w:val="18"/>
              </w:rPr>
              <w:t>2014.04.01</w:t>
            </w:r>
          </w:p>
        </w:tc>
      </w:tr>
      <w:tr>
        <w:trPr>
          <w:trHeight w:val="830" w:hRule="exact"/>
        </w:trPr>
        <w:tc>
          <w:tcPr>
            <w:tcW w:w="68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9"/>
              <w:jc w:val="left"/>
              <w:rPr>
                <w:rFonts w:ascii="宋体" w:hAnsi="宋体" w:cs="宋体" w:eastAsia="宋体" w:hint="default"/>
                <w:sz w:val="18"/>
                <w:szCs w:val="18"/>
              </w:rPr>
            </w:pPr>
            <w:r>
              <w:rPr>
                <w:rFonts w:ascii="宋体" w:hAnsi="宋体" w:cs="宋体" w:eastAsia="宋体" w:hint="default"/>
                <w:sz w:val="18"/>
                <w:szCs w:val="18"/>
              </w:rPr>
              <w:t>深圳市南山区西丽街道阳光社区松白路桑泰工业 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栋宿舍</w:t>
            </w:r>
            <w:r>
              <w:rPr>
                <w:rFonts w:ascii="Times New Roman" w:hAnsi="Times New Roman" w:cs="Times New Roman" w:eastAsia="Times New Roman" w:hint="default"/>
                <w:sz w:val="18"/>
                <w:szCs w:val="18"/>
              </w:rPr>
              <w:t>(</w:t>
            </w:r>
            <w:r>
              <w:rPr>
                <w:rFonts w:ascii="宋体" w:hAnsi="宋体" w:cs="宋体" w:eastAsia="宋体" w:hint="default"/>
                <w:sz w:val="18"/>
                <w:szCs w:val="18"/>
              </w:rPr>
              <w:t>综合楼</w:t>
            </w:r>
            <w:r>
              <w:rPr>
                <w:rFonts w:ascii="Times New Roman" w:hAnsi="Times New Roman" w:cs="Times New Roman" w:eastAsia="Times New Roman" w:hint="default"/>
                <w:sz w:val="18"/>
                <w:szCs w:val="18"/>
              </w:rPr>
              <w:t>)</w:t>
            </w:r>
            <w:r>
              <w:rPr>
                <w:rFonts w:ascii="宋体" w:hAnsi="宋体" w:cs="宋体" w:eastAsia="宋体" w:hint="default"/>
                <w:sz w:val="18"/>
                <w:szCs w:val="18"/>
              </w:rPr>
              <w:t>二楼</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22,950.00</w:t>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2010.05.01</w:t>
            </w:r>
            <w:r>
              <w:rPr>
                <w:rFonts w:ascii="宋体" w:hAnsi="宋体" w:cs="宋体" w:eastAsia="宋体" w:hint="default"/>
                <w:sz w:val="18"/>
                <w:szCs w:val="18"/>
              </w:rPr>
              <w:t>～</w:t>
            </w:r>
            <w:r>
              <w:rPr>
                <w:rFonts w:ascii="Times New Roman" w:hAnsi="Times New Roman" w:cs="Times New Roman" w:eastAsia="Times New Roman" w:hint="default"/>
                <w:sz w:val="18"/>
                <w:szCs w:val="18"/>
              </w:rPr>
              <w:t>2014.04.01</w:t>
            </w:r>
          </w:p>
        </w:tc>
      </w:tr>
      <w:tr>
        <w:trPr>
          <w:trHeight w:val="830" w:hRule="exact"/>
        </w:trPr>
        <w:tc>
          <w:tcPr>
            <w:tcW w:w="68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9"/>
              <w:jc w:val="left"/>
              <w:rPr>
                <w:rFonts w:ascii="宋体" w:hAnsi="宋体" w:cs="宋体" w:eastAsia="宋体" w:hint="default"/>
                <w:sz w:val="18"/>
                <w:szCs w:val="18"/>
              </w:rPr>
            </w:pPr>
            <w:r>
              <w:rPr>
                <w:rFonts w:ascii="宋体" w:hAnsi="宋体" w:cs="宋体" w:eastAsia="宋体" w:hint="default"/>
                <w:sz w:val="18"/>
                <w:szCs w:val="18"/>
              </w:rPr>
              <w:t>深圳市南山区西丽街道阳光社区松白路桑泰工业 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栋宿舍</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28,250.00</w:t>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2010.12.01</w:t>
            </w:r>
            <w:r>
              <w:rPr>
                <w:rFonts w:ascii="宋体" w:hAnsi="宋体" w:cs="宋体" w:eastAsia="宋体" w:hint="default"/>
                <w:sz w:val="18"/>
                <w:szCs w:val="18"/>
              </w:rPr>
              <w:t>～</w:t>
            </w:r>
            <w:r>
              <w:rPr>
                <w:rFonts w:ascii="Times New Roman" w:hAnsi="Times New Roman" w:cs="Times New Roman" w:eastAsia="Times New Roman" w:hint="default"/>
                <w:sz w:val="18"/>
                <w:szCs w:val="18"/>
              </w:rPr>
              <w:t>2014.04.01</w:t>
            </w:r>
          </w:p>
        </w:tc>
      </w:tr>
      <w:tr>
        <w:trPr>
          <w:trHeight w:val="829" w:hRule="exact"/>
        </w:trPr>
        <w:tc>
          <w:tcPr>
            <w:tcW w:w="68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9"/>
              <w:jc w:val="left"/>
              <w:rPr>
                <w:rFonts w:ascii="宋体" w:hAnsi="宋体" w:cs="宋体" w:eastAsia="宋体" w:hint="default"/>
                <w:sz w:val="18"/>
                <w:szCs w:val="18"/>
              </w:rPr>
            </w:pPr>
            <w:r>
              <w:rPr>
                <w:rFonts w:ascii="宋体" w:hAnsi="宋体" w:cs="宋体" w:eastAsia="宋体" w:hint="default"/>
                <w:sz w:val="18"/>
                <w:szCs w:val="18"/>
              </w:rPr>
              <w:t>深圳市南山区西丽街道阳光社区松白路桑泰工业 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栋宿舍</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18,900.00</w:t>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2010.03.08</w:t>
            </w:r>
            <w:r>
              <w:rPr>
                <w:rFonts w:ascii="宋体" w:hAnsi="宋体" w:cs="宋体" w:eastAsia="宋体" w:hint="default"/>
                <w:sz w:val="18"/>
                <w:szCs w:val="18"/>
              </w:rPr>
              <w:t>～</w:t>
            </w:r>
            <w:r>
              <w:rPr>
                <w:rFonts w:ascii="Times New Roman" w:hAnsi="Times New Roman" w:cs="Times New Roman" w:eastAsia="Times New Roman" w:hint="default"/>
                <w:sz w:val="18"/>
                <w:szCs w:val="18"/>
              </w:rPr>
              <w:t>2014.04.01</w:t>
            </w:r>
          </w:p>
        </w:tc>
      </w:tr>
      <w:tr>
        <w:trPr>
          <w:trHeight w:val="830" w:hRule="exact"/>
        </w:trPr>
        <w:tc>
          <w:tcPr>
            <w:tcW w:w="68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号桑泰工业园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栋综合楼一楼</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36,400.00</w:t>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2011.01.01</w:t>
            </w:r>
            <w:r>
              <w:rPr>
                <w:rFonts w:ascii="宋体" w:hAnsi="宋体" w:cs="宋体" w:eastAsia="宋体" w:hint="default"/>
                <w:sz w:val="18"/>
                <w:szCs w:val="18"/>
              </w:rPr>
              <w:t>～</w:t>
            </w:r>
            <w:r>
              <w:rPr>
                <w:rFonts w:ascii="Times New Roman" w:hAnsi="Times New Roman" w:cs="Times New Roman" w:eastAsia="Times New Roman" w:hint="default"/>
                <w:sz w:val="18"/>
                <w:szCs w:val="18"/>
              </w:rPr>
              <w:t>2013.12.31</w:t>
            </w:r>
          </w:p>
        </w:tc>
      </w:tr>
      <w:tr>
        <w:trPr>
          <w:trHeight w:val="1142" w:hRule="exact"/>
        </w:trPr>
        <w:tc>
          <w:tcPr>
            <w:tcW w:w="68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号桑泰工业园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栋厂房一楼、二楼、三楼南区、五楼（不含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99,380.00</w:t>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2011.01.01</w:t>
            </w:r>
            <w:r>
              <w:rPr>
                <w:rFonts w:ascii="宋体" w:hAnsi="宋体" w:cs="宋体" w:eastAsia="宋体" w:hint="default"/>
                <w:sz w:val="18"/>
                <w:szCs w:val="18"/>
              </w:rPr>
              <w:t>～</w:t>
            </w:r>
            <w:r>
              <w:rPr>
                <w:rFonts w:ascii="Times New Roman" w:hAnsi="Times New Roman" w:cs="Times New Roman" w:eastAsia="Times New Roman" w:hint="default"/>
                <w:sz w:val="18"/>
                <w:szCs w:val="18"/>
              </w:rPr>
              <w:t>2014.04.01</w:t>
            </w:r>
          </w:p>
        </w:tc>
      </w:tr>
      <w:tr>
        <w:trPr>
          <w:trHeight w:val="830" w:hRule="exact"/>
        </w:trPr>
        <w:tc>
          <w:tcPr>
            <w:tcW w:w="68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号桑泰工业园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栋厂房三楼北区、四楼、七楼</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70,410.00</w:t>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2011.01.01</w:t>
            </w:r>
            <w:r>
              <w:rPr>
                <w:rFonts w:ascii="宋体" w:hAnsi="宋体" w:cs="宋体" w:eastAsia="宋体" w:hint="default"/>
                <w:sz w:val="18"/>
                <w:szCs w:val="18"/>
              </w:rPr>
              <w:t>～</w:t>
            </w:r>
            <w:r>
              <w:rPr>
                <w:rFonts w:ascii="Times New Roman" w:hAnsi="Times New Roman" w:cs="Times New Roman" w:eastAsia="Times New Roman" w:hint="default"/>
                <w:sz w:val="18"/>
                <w:szCs w:val="18"/>
              </w:rPr>
              <w:t>2014.04.01</w:t>
            </w:r>
          </w:p>
        </w:tc>
      </w:tr>
      <w:tr>
        <w:trPr>
          <w:trHeight w:val="831" w:hRule="exact"/>
        </w:trPr>
        <w:tc>
          <w:tcPr>
            <w:tcW w:w="68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号桑泰工业园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栋综合楼三楼至八楼</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49,860.00</w:t>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2011.01.01</w:t>
            </w:r>
            <w:r>
              <w:rPr>
                <w:rFonts w:ascii="宋体" w:hAnsi="宋体" w:cs="宋体" w:eastAsia="宋体" w:hint="default"/>
                <w:sz w:val="18"/>
                <w:szCs w:val="18"/>
              </w:rPr>
              <w:t>～</w:t>
            </w:r>
            <w:r>
              <w:rPr>
                <w:rFonts w:ascii="Times New Roman" w:hAnsi="Times New Roman" w:cs="Times New Roman" w:eastAsia="Times New Roman" w:hint="default"/>
                <w:sz w:val="18"/>
                <w:szCs w:val="18"/>
              </w:rPr>
              <w:t>2014.04.01</w:t>
            </w:r>
          </w:p>
        </w:tc>
      </w:tr>
      <w:tr>
        <w:trPr>
          <w:trHeight w:val="840" w:hRule="exact"/>
        </w:trPr>
        <w:tc>
          <w:tcPr>
            <w:tcW w:w="682" w:type="dxa"/>
            <w:tcBorders>
              <w:top w:val="single" w:sz="4" w:space="0" w:color="000000"/>
              <w:left w:val="nil" w:sz="6" w:space="0" w:color="auto"/>
              <w:bottom w:val="single" w:sz="12"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9</w:t>
            </w:r>
          </w:p>
        </w:tc>
        <w:tc>
          <w:tcPr>
            <w:tcW w:w="11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茂硕研究院</w:t>
            </w:r>
          </w:p>
        </w:tc>
        <w:tc>
          <w:tcPr>
            <w:tcW w:w="40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深圳市南山区西丽街道松白路白芒村桑泰工业园</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栋厂房五楼南区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w w:val="95"/>
                <w:sz w:val="18"/>
              </w:rPr>
              <w:t>2,800.00</w:t>
            </w:r>
          </w:p>
        </w:tc>
        <w:tc>
          <w:tcPr>
            <w:tcW w:w="24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2009.09.10</w:t>
            </w:r>
            <w:r>
              <w:rPr>
                <w:rFonts w:ascii="宋体" w:hAnsi="宋体" w:cs="宋体" w:eastAsia="宋体" w:hint="default"/>
                <w:sz w:val="18"/>
                <w:szCs w:val="18"/>
              </w:rPr>
              <w:t>～</w:t>
            </w:r>
            <w:r>
              <w:rPr>
                <w:rFonts w:ascii="Times New Roman" w:hAnsi="Times New Roman" w:cs="Times New Roman" w:eastAsia="Times New Roman" w:hint="default"/>
                <w:sz w:val="18"/>
                <w:szCs w:val="18"/>
              </w:rPr>
              <w:t>2014.04.01</w:t>
            </w:r>
          </w:p>
        </w:tc>
      </w:tr>
    </w:tbl>
    <w:p>
      <w:pPr>
        <w:pStyle w:val="BodyText"/>
        <w:spacing w:line="240" w:lineRule="auto" w:before="8"/>
        <w:ind w:left="602" w:right="1113"/>
        <w:jc w:val="left"/>
        <w:rPr>
          <w:rFonts w:ascii="Arial" w:hAnsi="Arial" w:cs="Arial" w:eastAsia="Arial" w:hint="default"/>
        </w:rPr>
      </w:pPr>
      <w:r>
        <w:rPr>
          <w:rFonts w:ascii="Arial" w:hAnsi="Arial" w:cs="Arial" w:eastAsia="Arial" w:hint="default"/>
          <w:spacing w:val="-3"/>
        </w:rPr>
        <w:t>2</w:t>
      </w:r>
      <w:r>
        <w:rPr>
          <w:spacing w:val="-3"/>
        </w:rPr>
        <w:t>、</w:t>
      </w:r>
      <w:r>
        <w:rPr>
          <w:rFonts w:ascii="Arial" w:hAnsi="Arial" w:cs="Arial" w:eastAsia="Arial" w:hint="default"/>
          <w:spacing w:val="-3"/>
        </w:rPr>
        <w:t>2011</w:t>
      </w:r>
      <w:r>
        <w:rPr>
          <w:spacing w:val="-3"/>
        </w:rPr>
        <w:t>年</w:t>
      </w:r>
      <w:r>
        <w:rPr>
          <w:rFonts w:ascii="Arial" w:hAnsi="Arial" w:cs="Arial" w:eastAsia="Arial" w:hint="default"/>
          <w:spacing w:val="-3"/>
        </w:rPr>
        <w:t>2</w:t>
      </w:r>
      <w:r>
        <w:rPr>
          <w:spacing w:val="-3"/>
        </w:rPr>
        <w:t>月</w:t>
      </w:r>
      <w:r>
        <w:rPr>
          <w:rFonts w:ascii="Arial" w:hAnsi="Arial" w:cs="Arial" w:eastAsia="Arial" w:hint="default"/>
          <w:spacing w:val="-3"/>
        </w:rPr>
        <w:t>11</w:t>
      </w:r>
      <w:r>
        <w:rPr>
          <w:spacing w:val="-3"/>
        </w:rPr>
        <w:t>日，本公司子公司华智测控与深港产学研基地签订了房屋租赁合同，租赁该公司南山区高新南七道</w:t>
      </w:r>
      <w:r>
        <w:rPr>
          <w:rFonts w:ascii="Arial" w:hAnsi="Arial" w:cs="Arial" w:eastAsia="Arial" w:hint="default"/>
          <w:spacing w:val="-3"/>
        </w:rPr>
        <w:t>015</w:t>
      </w:r>
    </w:p>
    <w:p>
      <w:pPr>
        <w:pStyle w:val="BodyText"/>
        <w:spacing w:line="240" w:lineRule="auto" w:before="63"/>
        <w:ind w:left="232" w:right="1113"/>
        <w:jc w:val="left"/>
      </w:pPr>
      <w:r>
        <w:rPr/>
        <w:t>号深港产学研基地大楼西座四层</w:t>
      </w:r>
      <w:r>
        <w:rPr>
          <w:rFonts w:ascii="Arial" w:hAnsi="Arial" w:cs="Arial" w:eastAsia="Arial" w:hint="default"/>
        </w:rPr>
        <w:t>W408</w:t>
      </w:r>
      <w:r>
        <w:rPr/>
        <w:t>室，期限</w:t>
      </w:r>
      <w:r>
        <w:rPr>
          <w:rFonts w:ascii="Arial" w:hAnsi="Arial" w:cs="Arial" w:eastAsia="Arial" w:hint="default"/>
        </w:rPr>
        <w:t>2011.02.11</w:t>
      </w:r>
      <w:r>
        <w:rPr/>
        <w:t>～</w:t>
      </w:r>
      <w:r>
        <w:rPr>
          <w:rFonts w:ascii="Arial" w:hAnsi="Arial" w:cs="Arial" w:eastAsia="Arial" w:hint="default"/>
        </w:rPr>
        <w:t>2012.02.10</w:t>
      </w:r>
      <w:r>
        <w:rPr/>
        <w:t>，每月租金</w:t>
      </w:r>
      <w:r>
        <w:rPr>
          <w:rFonts w:ascii="Arial" w:hAnsi="Arial" w:cs="Arial" w:eastAsia="Arial" w:hint="default"/>
        </w:rPr>
        <w:t>9,160.00</w:t>
      </w:r>
      <w:r>
        <w:rPr/>
        <w:t>元。</w:t>
      </w:r>
    </w:p>
    <w:p>
      <w:pPr>
        <w:pStyle w:val="BodyText"/>
        <w:spacing w:line="302" w:lineRule="auto" w:before="63"/>
        <w:ind w:left="232" w:right="1113" w:firstLine="360"/>
        <w:jc w:val="left"/>
      </w:pPr>
      <w:r>
        <w:rPr>
          <w:rFonts w:ascii="Arial" w:hAnsi="Arial" w:cs="Arial" w:eastAsia="Arial" w:hint="default"/>
        </w:rPr>
        <w:t>2012</w:t>
      </w:r>
      <w:r>
        <w:rPr/>
        <w:t>年</w:t>
      </w:r>
      <w:r>
        <w:rPr>
          <w:rFonts w:ascii="Arial" w:hAnsi="Arial" w:cs="Arial" w:eastAsia="Arial" w:hint="default"/>
        </w:rPr>
        <w:t>8</w:t>
      </w:r>
      <w:r>
        <w:rPr/>
        <w:t>月</w:t>
      </w:r>
      <w:r>
        <w:rPr>
          <w:rFonts w:ascii="Arial" w:hAnsi="Arial" w:cs="Arial" w:eastAsia="Arial" w:hint="default"/>
        </w:rPr>
        <w:t>16</w:t>
      </w:r>
      <w:r>
        <w:rPr/>
        <w:t>日，本公司子公司华智测控与深港产学研基地签订了房屋租赁合同，租赁该公司南山区高新南七道</w:t>
      </w:r>
      <w:r>
        <w:rPr>
          <w:rFonts w:ascii="Arial" w:hAnsi="Arial" w:cs="Arial" w:eastAsia="Arial" w:hint="default"/>
        </w:rPr>
        <w:t>015</w:t>
      </w:r>
      <w:r>
        <w:rPr/>
        <w:t>号 深港产学研基地大楼西座四层</w:t>
      </w:r>
      <w:r>
        <w:rPr>
          <w:rFonts w:ascii="Arial" w:hAnsi="Arial" w:cs="Arial" w:eastAsia="Arial" w:hint="default"/>
        </w:rPr>
        <w:t>W408</w:t>
      </w:r>
      <w:r>
        <w:rPr/>
        <w:t>室，期限</w:t>
      </w:r>
      <w:r>
        <w:rPr>
          <w:rFonts w:ascii="Arial" w:hAnsi="Arial" w:cs="Arial" w:eastAsia="Arial" w:hint="default"/>
        </w:rPr>
        <w:t>2012.08.16</w:t>
      </w:r>
      <w:r>
        <w:rPr/>
        <w:t>～</w:t>
      </w:r>
      <w:r>
        <w:rPr>
          <w:rFonts w:ascii="Arial" w:hAnsi="Arial" w:cs="Arial" w:eastAsia="Arial" w:hint="default"/>
        </w:rPr>
        <w:t>2013.08.15</w:t>
      </w:r>
      <w:r>
        <w:rPr/>
        <w:t>，每月租金</w:t>
      </w:r>
      <w:r>
        <w:rPr>
          <w:rFonts w:ascii="Arial" w:hAnsi="Arial" w:cs="Arial" w:eastAsia="Arial" w:hint="default"/>
        </w:rPr>
        <w:t>9,160.00</w:t>
      </w:r>
      <w:r>
        <w:rPr/>
        <w:t>元。</w:t>
      </w:r>
    </w:p>
    <w:p>
      <w:pPr>
        <w:pStyle w:val="BodyText"/>
        <w:spacing w:line="302" w:lineRule="auto" w:before="11"/>
        <w:ind w:left="232" w:right="1113" w:firstLine="396"/>
        <w:jc w:val="left"/>
      </w:pPr>
      <w:r>
        <w:rPr>
          <w:rFonts w:ascii="Arial" w:hAnsi="Arial" w:cs="Arial" w:eastAsia="Arial" w:hint="default"/>
          <w:spacing w:val="-1"/>
        </w:rPr>
        <w:t>3</w:t>
      </w:r>
      <w:r>
        <w:rPr>
          <w:spacing w:val="-1"/>
        </w:rPr>
        <w:t>、</w:t>
      </w:r>
      <w:r>
        <w:rPr>
          <w:rFonts w:ascii="Arial" w:hAnsi="Arial" w:cs="Arial" w:eastAsia="Arial" w:hint="default"/>
          <w:spacing w:val="-1"/>
        </w:rPr>
        <w:t>2011</w:t>
      </w:r>
      <w:r>
        <w:rPr>
          <w:spacing w:val="-1"/>
        </w:rPr>
        <w:t>年</w:t>
      </w:r>
      <w:r>
        <w:rPr>
          <w:rFonts w:ascii="Arial" w:hAnsi="Arial" w:cs="Arial" w:eastAsia="Arial" w:hint="default"/>
          <w:spacing w:val="-1"/>
        </w:rPr>
        <w:t>6</w:t>
      </w:r>
      <w:r>
        <w:rPr>
          <w:spacing w:val="-1"/>
        </w:rPr>
        <w:t>月</w:t>
      </w:r>
      <w:r>
        <w:rPr>
          <w:rFonts w:ascii="Arial" w:hAnsi="Arial" w:cs="Arial" w:eastAsia="Arial" w:hint="default"/>
          <w:spacing w:val="-1"/>
        </w:rPr>
        <w:t>21</w:t>
      </w:r>
      <w:r>
        <w:rPr>
          <w:spacing w:val="-1"/>
        </w:rPr>
        <w:t>日，本公司子公司北京茂硕与中关村科技园区海淀园创业服务中心签订了房屋租赁合同，租赁该公司</w:t>
      </w:r>
      <w:r>
        <w:rPr/>
        <w:t> 海淀区上地信息路</w:t>
      </w:r>
      <w:r>
        <w:rPr>
          <w:rFonts w:ascii="Arial" w:hAnsi="Arial" w:cs="Arial" w:eastAsia="Arial" w:hint="default"/>
        </w:rPr>
        <w:t>12</w:t>
      </w:r>
      <w:r>
        <w:rPr/>
        <w:t>号</w:t>
      </w:r>
      <w:r>
        <w:rPr>
          <w:rFonts w:ascii="Arial" w:hAnsi="Arial" w:cs="Arial" w:eastAsia="Arial" w:hint="default"/>
        </w:rPr>
        <w:t>4</w:t>
      </w:r>
      <w:r>
        <w:rPr/>
        <w:t>层</w:t>
      </w:r>
      <w:r>
        <w:rPr>
          <w:rFonts w:ascii="Arial" w:hAnsi="Arial" w:cs="Arial" w:eastAsia="Arial" w:hint="default"/>
        </w:rPr>
        <w:t>A</w:t>
      </w:r>
      <w:r>
        <w:rPr/>
        <w:t>区</w:t>
      </w:r>
      <w:r>
        <w:rPr>
          <w:rFonts w:ascii="Arial" w:hAnsi="Arial" w:cs="Arial" w:eastAsia="Arial" w:hint="default"/>
        </w:rPr>
        <w:t>403</w:t>
      </w:r>
      <w:r>
        <w:rPr/>
        <w:t>室，期限</w:t>
      </w:r>
      <w:r>
        <w:rPr>
          <w:rFonts w:ascii="Arial" w:hAnsi="Arial" w:cs="Arial" w:eastAsia="Arial" w:hint="default"/>
        </w:rPr>
        <w:t>2011.06.21</w:t>
      </w:r>
      <w:r>
        <w:rPr/>
        <w:t>～</w:t>
      </w:r>
      <w:r>
        <w:rPr>
          <w:rFonts w:ascii="Arial" w:hAnsi="Arial" w:cs="Arial" w:eastAsia="Arial" w:hint="default"/>
        </w:rPr>
        <w:t>2012.06.20</w:t>
      </w:r>
      <w:r>
        <w:rPr/>
        <w:t>，每月租金</w:t>
      </w:r>
      <w:r>
        <w:rPr>
          <w:rFonts w:ascii="Arial" w:hAnsi="Arial" w:cs="Arial" w:eastAsia="Arial" w:hint="default"/>
        </w:rPr>
        <w:t>5,442.15</w:t>
      </w:r>
      <w:r>
        <w:rPr/>
        <w:t>元。</w:t>
      </w:r>
    </w:p>
    <w:p>
      <w:pPr>
        <w:pStyle w:val="BodyText"/>
        <w:spacing w:line="302" w:lineRule="auto" w:before="11"/>
        <w:ind w:left="232" w:right="1135" w:firstLine="396"/>
        <w:jc w:val="left"/>
      </w:pPr>
      <w:r>
        <w:rPr>
          <w:rFonts w:ascii="Arial" w:hAnsi="Arial" w:cs="Arial" w:eastAsia="Arial" w:hint="default"/>
        </w:rPr>
        <w:t>4</w:t>
      </w:r>
      <w:r>
        <w:rPr/>
        <w:t>、</w:t>
      </w: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24</w:t>
      </w:r>
      <w:r>
        <w:rPr/>
        <w:t>日，本公司子公司深圳茂硕研究院与深圳长虹科技有限责任公司签订了房屋租赁合同，租赁该公司 南山区高新区南区科技南十二路长虹科技大厦</w:t>
      </w:r>
      <w:r>
        <w:rPr>
          <w:rFonts w:ascii="Arial" w:hAnsi="Arial" w:cs="Arial" w:eastAsia="Arial" w:hint="default"/>
        </w:rPr>
        <w:t>14</w:t>
      </w:r>
      <w:r>
        <w:rPr/>
        <w:t>楼</w:t>
      </w:r>
      <w:r>
        <w:rPr>
          <w:rFonts w:ascii="Arial" w:hAnsi="Arial" w:cs="Arial" w:eastAsia="Arial" w:hint="default"/>
        </w:rPr>
        <w:t>09-10</w:t>
      </w:r>
      <w:r>
        <w:rPr/>
        <w:t>单元，期限</w:t>
      </w:r>
      <w:r>
        <w:rPr>
          <w:rFonts w:ascii="Arial" w:hAnsi="Arial" w:cs="Arial" w:eastAsia="Arial" w:hint="default"/>
        </w:rPr>
        <w:t>2011.10.24</w:t>
      </w:r>
      <w:r>
        <w:rPr/>
        <w:t>～</w:t>
      </w:r>
      <w:r>
        <w:rPr>
          <w:rFonts w:ascii="Arial" w:hAnsi="Arial" w:cs="Arial" w:eastAsia="Arial" w:hint="default"/>
        </w:rPr>
        <w:t>2012.10.23</w:t>
      </w:r>
      <w:r>
        <w:rPr/>
        <w:t>，每月租金</w:t>
      </w:r>
      <w:r>
        <w:rPr>
          <w:rFonts w:ascii="Arial" w:hAnsi="Arial" w:cs="Arial" w:eastAsia="Arial" w:hint="default"/>
        </w:rPr>
        <w:t>16,960.00</w:t>
      </w:r>
      <w:r>
        <w:rPr/>
        <w:t>元。</w:t>
      </w:r>
    </w:p>
    <w:p>
      <w:pPr>
        <w:pStyle w:val="BodyText"/>
        <w:spacing w:line="302" w:lineRule="auto" w:before="12"/>
        <w:ind w:left="232" w:right="1113" w:firstLine="360"/>
        <w:jc w:val="left"/>
      </w:pPr>
      <w:r>
        <w:rPr>
          <w:rFonts w:ascii="Arial" w:hAnsi="Arial" w:cs="Arial" w:eastAsia="Arial" w:hint="default"/>
          <w:spacing w:val="-2"/>
        </w:rPr>
        <w:t>2012</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1</w:t>
      </w:r>
      <w:r>
        <w:rPr>
          <w:spacing w:val="-2"/>
        </w:rPr>
        <w:t>日，本公司子公司深圳研究院与深圳科技工业园有限公司签订了房屋租赁合同，租赁该公司深圳市南山区</w:t>
      </w:r>
      <w:r>
        <w:rPr/>
        <w:t> 科发路</w:t>
      </w:r>
      <w:r>
        <w:rPr>
          <w:rFonts w:ascii="Arial" w:hAnsi="Arial" w:cs="Arial" w:eastAsia="Arial" w:hint="default"/>
        </w:rPr>
        <w:t>8</w:t>
      </w:r>
      <w:r>
        <w:rPr/>
        <w:t>号金融服务技术创新基地</w:t>
      </w:r>
      <w:r>
        <w:rPr>
          <w:rFonts w:ascii="Arial" w:hAnsi="Arial" w:cs="Arial" w:eastAsia="Arial" w:hint="default"/>
        </w:rPr>
        <w:t>2</w:t>
      </w:r>
      <w:r>
        <w:rPr/>
        <w:t>栋</w:t>
      </w:r>
      <w:r>
        <w:rPr>
          <w:rFonts w:ascii="Arial" w:hAnsi="Arial" w:cs="Arial" w:eastAsia="Arial" w:hint="default"/>
        </w:rPr>
        <w:t>10A</w:t>
      </w:r>
      <w:r>
        <w:rPr/>
        <w:t>、</w:t>
      </w:r>
      <w:r>
        <w:rPr>
          <w:rFonts w:ascii="Arial" w:hAnsi="Arial" w:cs="Arial" w:eastAsia="Arial" w:hint="default"/>
        </w:rPr>
        <w:t>B</w:t>
      </w:r>
      <w:r>
        <w:rPr/>
        <w:t>单元，期限</w:t>
      </w:r>
      <w:r>
        <w:rPr>
          <w:rFonts w:ascii="Arial" w:hAnsi="Arial" w:cs="Arial" w:eastAsia="Arial" w:hint="default"/>
        </w:rPr>
        <w:t>2012.11.1</w:t>
      </w:r>
      <w:r>
        <w:rPr/>
        <w:t>～</w:t>
      </w:r>
      <w:r>
        <w:rPr>
          <w:rFonts w:ascii="Arial" w:hAnsi="Arial" w:cs="Arial" w:eastAsia="Arial" w:hint="default"/>
        </w:rPr>
        <w:t>2014.10.31</w:t>
      </w:r>
      <w:r>
        <w:rPr/>
        <w:t>，每月租金及配套设施费</w:t>
      </w:r>
      <w:r>
        <w:rPr>
          <w:rFonts w:ascii="Arial" w:hAnsi="Arial" w:cs="Arial" w:eastAsia="Arial" w:hint="default"/>
        </w:rPr>
        <w:t>90,840.60</w:t>
      </w:r>
      <w:r>
        <w:rPr/>
        <w:t>元。</w:t>
      </w:r>
    </w:p>
    <w:p>
      <w:pPr>
        <w:pStyle w:val="BodyText"/>
        <w:spacing w:line="302" w:lineRule="auto" w:before="11"/>
        <w:ind w:left="232" w:right="1113" w:firstLine="408"/>
        <w:jc w:val="left"/>
      </w:pPr>
      <w:r>
        <w:rPr>
          <w:rFonts w:ascii="Arial" w:hAnsi="Arial" w:cs="Arial" w:eastAsia="Arial" w:hint="default"/>
        </w:rPr>
        <w:t>5</w:t>
      </w:r>
      <w:r>
        <w:rPr/>
        <w:t>、</w:t>
      </w:r>
      <w:r>
        <w:rPr>
          <w:rFonts w:ascii="Arial" w:hAnsi="Arial" w:cs="Arial" w:eastAsia="Arial" w:hint="default"/>
        </w:rPr>
        <w:t>2012</w:t>
      </w:r>
      <w:r>
        <w:rPr/>
        <w:t>年</w:t>
      </w:r>
      <w:r>
        <w:rPr>
          <w:rFonts w:ascii="Arial" w:hAnsi="Arial" w:cs="Arial" w:eastAsia="Arial" w:hint="default"/>
        </w:rPr>
        <w:t>11</w:t>
      </w:r>
      <w:r>
        <w:rPr/>
        <w:t>月</w:t>
      </w:r>
      <w:r>
        <w:rPr>
          <w:rFonts w:ascii="Arial" w:hAnsi="Arial" w:cs="Arial" w:eastAsia="Arial" w:hint="default"/>
        </w:rPr>
        <w:t>1</w:t>
      </w:r>
      <w:r>
        <w:rPr/>
        <w:t>日，本公司与深圳科技工业园有限公司签订了房屋租赁合同，租赁该公司深圳市南山区科发路</w:t>
      </w:r>
      <w:r>
        <w:rPr>
          <w:rFonts w:ascii="Arial" w:hAnsi="Arial" w:cs="Arial" w:eastAsia="Arial" w:hint="default"/>
        </w:rPr>
        <w:t>8</w:t>
      </w:r>
      <w:r>
        <w:rPr/>
        <w:t>号金</w:t>
      </w:r>
      <w:r>
        <w:rPr>
          <w:spacing w:val="2"/>
        </w:rPr>
        <w:t> </w:t>
      </w:r>
      <w:r>
        <w:rPr/>
        <w:t>融服务技术创新基地</w:t>
      </w:r>
      <w:r>
        <w:rPr>
          <w:rFonts w:ascii="Arial" w:hAnsi="Arial" w:cs="Arial" w:eastAsia="Arial" w:hint="default"/>
        </w:rPr>
        <w:t>2</w:t>
      </w:r>
      <w:r>
        <w:rPr/>
        <w:t>栋</w:t>
      </w:r>
      <w:r>
        <w:rPr>
          <w:rFonts w:ascii="Arial" w:hAnsi="Arial" w:cs="Arial" w:eastAsia="Arial" w:hint="default"/>
        </w:rPr>
        <w:t>9A</w:t>
      </w:r>
      <w:r>
        <w:rPr/>
        <w:t>、</w:t>
      </w:r>
      <w:r>
        <w:rPr>
          <w:rFonts w:ascii="Arial" w:hAnsi="Arial" w:cs="Arial" w:eastAsia="Arial" w:hint="default"/>
        </w:rPr>
        <w:t>B</w:t>
      </w:r>
      <w:r>
        <w:rPr/>
        <w:t>、</w:t>
      </w:r>
      <w:r>
        <w:rPr>
          <w:rFonts w:ascii="Arial" w:hAnsi="Arial" w:cs="Arial" w:eastAsia="Arial" w:hint="default"/>
        </w:rPr>
        <w:t>C</w:t>
      </w:r>
      <w:r>
        <w:rPr/>
        <w:t>、</w:t>
      </w:r>
      <w:r>
        <w:rPr>
          <w:rFonts w:ascii="Arial" w:hAnsi="Arial" w:cs="Arial" w:eastAsia="Arial" w:hint="default"/>
        </w:rPr>
        <w:t>D</w:t>
      </w:r>
      <w:r>
        <w:rPr/>
        <w:t>单元，期限</w:t>
      </w:r>
      <w:r>
        <w:rPr>
          <w:rFonts w:ascii="Arial" w:hAnsi="Arial" w:cs="Arial" w:eastAsia="Arial" w:hint="default"/>
        </w:rPr>
        <w:t>2012.11.1</w:t>
      </w:r>
      <w:r>
        <w:rPr/>
        <w:t>～</w:t>
      </w:r>
      <w:r>
        <w:rPr>
          <w:rFonts w:ascii="Arial" w:hAnsi="Arial" w:cs="Arial" w:eastAsia="Arial" w:hint="default"/>
        </w:rPr>
        <w:t>2014.10.31</w:t>
      </w:r>
      <w:r>
        <w:rPr/>
        <w:t>，每月租金及配套设施费</w:t>
      </w:r>
      <w:r>
        <w:rPr>
          <w:rFonts w:ascii="Arial" w:hAnsi="Arial" w:cs="Arial" w:eastAsia="Arial" w:hint="default"/>
        </w:rPr>
        <w:t>193,330.80</w:t>
      </w:r>
      <w:r>
        <w:rPr/>
        <w:t>元。</w:t>
      </w:r>
    </w:p>
    <w:p>
      <w:pPr>
        <w:pStyle w:val="BodyText"/>
        <w:spacing w:line="240" w:lineRule="auto" w:before="11"/>
        <w:ind w:left="629" w:right="1113"/>
        <w:jc w:val="left"/>
      </w:pPr>
      <w:r>
        <w:rPr>
          <w:rFonts w:ascii="Arial" w:hAnsi="Arial" w:cs="Arial" w:eastAsia="Arial" w:hint="default"/>
        </w:rPr>
        <w:t>6</w:t>
      </w:r>
      <w:r>
        <w:rPr/>
        <w:t>、租赁承担情况</w:t>
      </w:r>
    </w:p>
    <w:p>
      <w:pPr>
        <w:spacing w:line="240" w:lineRule="auto" w:before="3"/>
        <w:rPr>
          <w:rFonts w:ascii="宋体" w:hAnsi="宋体" w:cs="宋体" w:eastAsia="宋体" w:hint="default"/>
          <w:sz w:val="4"/>
          <w:szCs w:val="4"/>
        </w:rPr>
      </w:pPr>
    </w:p>
    <w:tbl>
      <w:tblPr>
        <w:tblW w:w="0" w:type="auto"/>
        <w:jc w:val="left"/>
        <w:tblInd w:w="120" w:type="dxa"/>
        <w:tblLayout w:type="fixed"/>
        <w:tblCellMar>
          <w:top w:w="0" w:type="dxa"/>
          <w:left w:w="0" w:type="dxa"/>
          <w:bottom w:w="0" w:type="dxa"/>
          <w:right w:w="0" w:type="dxa"/>
        </w:tblCellMar>
        <w:tblLook w:val="01E0"/>
      </w:tblPr>
      <w:tblGrid>
        <w:gridCol w:w="1258"/>
        <w:gridCol w:w="2151"/>
        <w:gridCol w:w="2153"/>
        <w:gridCol w:w="2153"/>
        <w:gridCol w:w="2036"/>
      </w:tblGrid>
      <w:tr>
        <w:trPr>
          <w:trHeight w:val="590" w:hRule="exact"/>
        </w:trPr>
        <w:tc>
          <w:tcPr>
            <w:tcW w:w="12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期间</w:t>
            </w:r>
          </w:p>
        </w:tc>
        <w:tc>
          <w:tcPr>
            <w:tcW w:w="215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年以内需付租金</w:t>
            </w:r>
          </w:p>
        </w:tc>
        <w:tc>
          <w:tcPr>
            <w:tcW w:w="215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年需付租金</w:t>
            </w:r>
          </w:p>
        </w:tc>
        <w:tc>
          <w:tcPr>
            <w:tcW w:w="215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年以上需付租金</w:t>
            </w:r>
          </w:p>
        </w:tc>
        <w:tc>
          <w:tcPr>
            <w:tcW w:w="20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83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590"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7,742,736.80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3,797,364.00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93" w:right="0"/>
              <w:jc w:val="left"/>
              <w:rPr>
                <w:rFonts w:ascii="Times New Roman" w:hAnsi="Times New Roman" w:cs="Times New Roman" w:eastAsia="Times New Roman" w:hint="default"/>
                <w:sz w:val="18"/>
                <w:szCs w:val="18"/>
              </w:rPr>
            </w:pPr>
            <w:r>
              <w:rPr>
                <w:rFonts w:ascii="Times New Roman"/>
                <w:sz w:val="18"/>
              </w:rPr>
              <w:t>11,540,100.80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right="1121"/>
        <w:jc w:val="left"/>
        <w:rPr>
          <w:b w:val="0"/>
          <w:bCs w:val="0"/>
        </w:rPr>
      </w:pPr>
      <w:r>
        <w:rPr/>
        <w:t>十四、母公司财务报表主要项目注释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1"/>
        <w:jc w:val="left"/>
        <w:rPr>
          <w:b w:val="0"/>
          <w:bCs w:val="0"/>
        </w:rPr>
      </w:pPr>
      <w:r>
        <w:rPr>
          <w:rFonts w:ascii="Arial" w:hAnsi="Arial" w:cs="Arial" w:eastAsia="Arial"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）应收账款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2" w:right="0"/>
              <w:jc w:val="left"/>
              <w:rPr>
                <w:rFonts w:ascii="Arial" w:hAnsi="Arial" w:cs="Arial" w:eastAsia="Arial" w:hint="default"/>
                <w:sz w:val="18"/>
                <w:szCs w:val="18"/>
              </w:rPr>
            </w:pPr>
            <w:r>
              <w:rPr>
                <w:rFonts w:ascii="Arial"/>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7" w:right="0"/>
              <w:jc w:val="left"/>
              <w:rPr>
                <w:rFonts w:ascii="Arial" w:hAnsi="Arial" w:cs="Arial" w:eastAsia="Arial" w:hint="default"/>
                <w:sz w:val="18"/>
                <w:szCs w:val="18"/>
              </w:rPr>
            </w:pPr>
            <w:r>
              <w:rPr>
                <w:rFonts w:ascii="Arial"/>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7" w:right="0"/>
              <w:jc w:val="left"/>
              <w:rPr>
                <w:rFonts w:ascii="Arial" w:hAnsi="Arial" w:cs="Arial" w:eastAsia="Arial" w:hint="default"/>
                <w:sz w:val="18"/>
                <w:szCs w:val="18"/>
              </w:rPr>
            </w:pPr>
            <w:r>
              <w:rPr>
                <w:rFonts w:ascii="Arial"/>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7" w:right="0"/>
              <w:jc w:val="left"/>
              <w:rPr>
                <w:rFonts w:ascii="Arial" w:hAnsi="Arial" w:cs="Arial" w:eastAsia="Arial" w:hint="default"/>
                <w:sz w:val="18"/>
                <w:szCs w:val="18"/>
              </w:rPr>
            </w:pPr>
            <w:r>
              <w:rPr>
                <w:rFonts w:ascii="Arial"/>
                <w:sz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209,852,708.</w:t>
            </w:r>
          </w:p>
          <w:p>
            <w:pPr>
              <w:pStyle w:val="TableParagraph"/>
              <w:spacing w:line="240" w:lineRule="auto" w:before="105"/>
              <w:ind w:right="17"/>
              <w:jc w:val="right"/>
              <w:rPr>
                <w:rFonts w:ascii="Arial" w:hAnsi="Arial" w:cs="Arial" w:eastAsia="Arial" w:hint="default"/>
                <w:sz w:val="18"/>
                <w:szCs w:val="18"/>
              </w:rPr>
            </w:pPr>
            <w:r>
              <w:rPr>
                <w:rFonts w:ascii="Arial"/>
                <w:w w:val="95"/>
                <w:sz w:val="18"/>
              </w:rPr>
              <w:t>29</w:t>
            </w:r>
            <w:r>
              <w:rPr>
                <w:rFonts w:ascii="Arial"/>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 w:right="0"/>
              <w:jc w:val="left"/>
              <w:rPr>
                <w:rFonts w:ascii="Arial" w:hAnsi="Arial" w:cs="Arial" w:eastAsia="Arial" w:hint="default"/>
                <w:sz w:val="18"/>
                <w:szCs w:val="18"/>
              </w:rPr>
            </w:pPr>
            <w:r>
              <w:rPr>
                <w:rFonts w:ascii="Arial"/>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6,635,538.05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3.16%</w:t>
            </w:r>
            <w:r>
              <w:rPr>
                <w:rFonts w:ascii="Arial"/>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153,385,175.</w:t>
            </w:r>
          </w:p>
          <w:p>
            <w:pPr>
              <w:pStyle w:val="TableParagraph"/>
              <w:spacing w:line="240" w:lineRule="auto" w:before="105"/>
              <w:ind w:right="19"/>
              <w:jc w:val="right"/>
              <w:rPr>
                <w:rFonts w:ascii="Arial" w:hAnsi="Arial" w:cs="Arial" w:eastAsia="Arial" w:hint="default"/>
                <w:sz w:val="18"/>
                <w:szCs w:val="18"/>
              </w:rPr>
            </w:pPr>
            <w:r>
              <w:rPr>
                <w:rFonts w:ascii="Arial"/>
                <w:w w:val="95"/>
                <w:sz w:val="18"/>
              </w:rPr>
              <w:t>31</w:t>
            </w:r>
            <w:r>
              <w:rPr>
                <w:rFonts w:ascii="Arial"/>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2,531,516.70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1.65%</w:t>
            </w:r>
            <w:r>
              <w:rPr>
                <w:rFonts w:ascii="Arial"/>
                <w:sz w:val="18"/>
              </w:rPr>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209,852,708.</w:t>
            </w:r>
          </w:p>
          <w:p>
            <w:pPr>
              <w:pStyle w:val="TableParagraph"/>
              <w:spacing w:line="240" w:lineRule="auto" w:before="105"/>
              <w:ind w:right="17"/>
              <w:jc w:val="right"/>
              <w:rPr>
                <w:rFonts w:ascii="Arial" w:hAnsi="Arial" w:cs="Arial" w:eastAsia="Arial" w:hint="default"/>
                <w:sz w:val="18"/>
                <w:szCs w:val="18"/>
              </w:rPr>
            </w:pPr>
            <w:r>
              <w:rPr>
                <w:rFonts w:ascii="Arial"/>
                <w:w w:val="95"/>
                <w:sz w:val="18"/>
              </w:rPr>
              <w:t>29</w:t>
            </w:r>
            <w:r>
              <w:rPr>
                <w:rFonts w:ascii="Arial"/>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 w:right="0"/>
              <w:jc w:val="left"/>
              <w:rPr>
                <w:rFonts w:ascii="Arial" w:hAnsi="Arial" w:cs="Arial" w:eastAsia="Arial" w:hint="default"/>
                <w:sz w:val="18"/>
                <w:szCs w:val="18"/>
              </w:rPr>
            </w:pPr>
            <w:r>
              <w:rPr>
                <w:rFonts w:ascii="Arial"/>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6,635,538.05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3.16%</w:t>
            </w:r>
            <w:r>
              <w:rPr>
                <w:rFonts w:ascii="Arial"/>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153,385,175.</w:t>
            </w:r>
          </w:p>
          <w:p>
            <w:pPr>
              <w:pStyle w:val="TableParagraph"/>
              <w:spacing w:line="240" w:lineRule="auto" w:before="105"/>
              <w:ind w:right="19"/>
              <w:jc w:val="right"/>
              <w:rPr>
                <w:rFonts w:ascii="Arial" w:hAnsi="Arial" w:cs="Arial" w:eastAsia="Arial" w:hint="default"/>
                <w:sz w:val="18"/>
                <w:szCs w:val="18"/>
              </w:rPr>
            </w:pPr>
            <w:r>
              <w:rPr>
                <w:rFonts w:ascii="Arial"/>
                <w:w w:val="95"/>
                <w:sz w:val="18"/>
              </w:rPr>
              <w:t>31</w:t>
            </w:r>
            <w:r>
              <w:rPr>
                <w:rFonts w:ascii="Arial"/>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2,531,516.70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1.65%</w:t>
            </w:r>
            <w:r>
              <w:rPr>
                <w:rFonts w:ascii="Arial"/>
                <w:sz w:val="18"/>
              </w:rPr>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209,852,708.</w:t>
            </w:r>
          </w:p>
          <w:p>
            <w:pPr>
              <w:pStyle w:val="TableParagraph"/>
              <w:spacing w:line="240" w:lineRule="auto" w:before="105"/>
              <w:ind w:right="17"/>
              <w:jc w:val="right"/>
              <w:rPr>
                <w:rFonts w:ascii="Arial" w:hAnsi="Arial" w:cs="Arial" w:eastAsia="Arial" w:hint="default"/>
                <w:sz w:val="18"/>
                <w:szCs w:val="18"/>
              </w:rPr>
            </w:pPr>
            <w:r>
              <w:rPr>
                <w:rFonts w:ascii="Arial"/>
                <w:w w:val="95"/>
                <w:sz w:val="18"/>
              </w:rPr>
              <w:t>29</w:t>
            </w:r>
            <w:r>
              <w:rPr>
                <w:rFonts w:ascii="Arial"/>
                <w:sz w:val="18"/>
              </w:rPr>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 w:right="0"/>
              <w:jc w:val="left"/>
              <w:rPr>
                <w:rFonts w:ascii="Arial" w:hAnsi="Arial" w:cs="Arial" w:eastAsia="Arial" w:hint="default"/>
                <w:sz w:val="18"/>
                <w:szCs w:val="18"/>
              </w:rPr>
            </w:pPr>
            <w:r>
              <w:rPr>
                <w:rFonts w:ascii="Arial"/>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6,635,538.05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Arial" w:hAnsi="Arial" w:cs="Arial" w:eastAsia="Arial" w:hint="default"/>
                <w:sz w:val="18"/>
                <w:szCs w:val="18"/>
              </w:rPr>
            </w:pPr>
            <w:r>
              <w:rPr>
                <w:rFonts w:ascii="Arial"/>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153,385,175.</w:t>
            </w:r>
          </w:p>
          <w:p>
            <w:pPr>
              <w:pStyle w:val="TableParagraph"/>
              <w:spacing w:line="240" w:lineRule="auto" w:before="105"/>
              <w:ind w:right="19"/>
              <w:jc w:val="right"/>
              <w:rPr>
                <w:rFonts w:ascii="Arial" w:hAnsi="Arial" w:cs="Arial" w:eastAsia="Arial" w:hint="default"/>
                <w:sz w:val="18"/>
                <w:szCs w:val="18"/>
              </w:rPr>
            </w:pPr>
            <w:r>
              <w:rPr>
                <w:rFonts w:ascii="Arial"/>
                <w:w w:val="95"/>
                <w:sz w:val="18"/>
              </w:rPr>
              <w:t>31</w:t>
            </w:r>
            <w:r>
              <w:rPr>
                <w:rFonts w:ascii="Arial"/>
                <w:sz w:val="18"/>
              </w:rPr>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Arial" w:hAnsi="Arial" w:cs="Arial" w:eastAsia="Arial" w:hint="default"/>
                <w:sz w:val="18"/>
                <w:szCs w:val="18"/>
              </w:rPr>
            </w:pPr>
            <w:r>
              <w:rPr>
                <w:rFonts w:ascii="Arial"/>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2,531,516.70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Arial" w:hAnsi="Arial" w:cs="Arial" w:eastAsia="Arial" w:hint="default"/>
                <w:sz w:val="18"/>
                <w:szCs w:val="18"/>
              </w:rPr>
            </w:pPr>
            <w:r>
              <w:rPr>
                <w:rFonts w:ascii="Arial"/>
                <w:sz w:val="18"/>
              </w:rPr>
              <w:t>--</w:t>
            </w:r>
          </w:p>
        </w:tc>
      </w:tr>
    </w:tbl>
    <w:p>
      <w:pPr>
        <w:spacing w:after="0" w:line="240" w:lineRule="auto"/>
        <w:jc w:val="left"/>
        <w:rPr>
          <w:rFonts w:ascii="Arial" w:hAnsi="Arial" w:cs="Arial" w:eastAsia="Arial" w:hint="default"/>
          <w:sz w:val="18"/>
          <w:szCs w:val="18"/>
        </w:rPr>
        <w:sectPr>
          <w:pgSz w:w="11910" w:h="16840"/>
          <w:pgMar w:header="877" w:footer="1340" w:top="1060" w:bottom="1540" w:left="980" w:right="0"/>
        </w:sectPr>
      </w:pPr>
    </w:p>
    <w:p>
      <w:pPr>
        <w:pStyle w:val="BodyText"/>
        <w:spacing w:line="357" w:lineRule="auto" w:before="49"/>
        <w:ind w:right="-20"/>
        <w:jc w:val="left"/>
      </w:pPr>
      <w:r>
        <w:rPr/>
        <w:t>应收账款种类的说明 期末单项金额重大并单项计提坏账准备的应收账款</w:t>
      </w:r>
    </w:p>
    <w:p>
      <w:pPr>
        <w:pStyle w:val="BodyText"/>
        <w:spacing w:line="340" w:lineRule="auto" w:before="29"/>
        <w:ind w:right="-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组合中，采用账龄分析法计提坏账准备的应收账款</w:t>
      </w:r>
    </w:p>
    <w:p>
      <w:pPr>
        <w:pStyle w:val="BodyText"/>
        <w:spacing w:line="240" w:lineRule="auto" w:before="39"/>
        <w:ind w:right="-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9"/>
        <w:gridCol w:w="2006"/>
        <w:gridCol w:w="657"/>
        <w:gridCol w:w="1468"/>
        <w:gridCol w:w="2126"/>
        <w:gridCol w:w="654"/>
        <w:gridCol w:w="1588"/>
      </w:tblGrid>
      <w:tr>
        <w:trPr>
          <w:trHeight w:val="401" w:hRule="exact"/>
        </w:trPr>
        <w:tc>
          <w:tcPr>
            <w:tcW w:w="1049" w:type="dxa"/>
            <w:vMerge w:val="restart"/>
            <w:tcBorders>
              <w:top w:val="single" w:sz="4" w:space="0" w:color="000000"/>
              <w:left w:val="single" w:sz="4" w:space="0" w:color="000000"/>
              <w:right w:val="single" w:sz="4" w:space="0" w:color="000000"/>
            </w:tcBorders>
            <w:shd w:val="clear" w:color="auto" w:fill="D2D2D2"/>
          </w:tcPr>
          <w:p>
            <w:pPr/>
          </w:p>
        </w:tc>
        <w:tc>
          <w:tcPr>
            <w:tcW w:w="41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6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8" w:type="dxa"/>
            <w:vMerge w:val="restart"/>
            <w:tcBorders>
              <w:top w:val="single" w:sz="4" w:space="0" w:color="000000"/>
              <w:left w:val="single" w:sz="4" w:space="0" w:color="000000"/>
              <w:right w:val="single" w:sz="4" w:space="0" w:color="000000"/>
            </w:tcBorders>
            <w:shd w:val="clear" w:color="auto" w:fill="D2D2D2"/>
          </w:tcPr>
          <w:p>
            <w:pPr/>
          </w:p>
        </w:tc>
        <w:tc>
          <w:tcPr>
            <w:tcW w:w="27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63" w:type="dxa"/>
            <w:gridSpan w:val="2"/>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780" w:type="dxa"/>
            <w:gridSpan w:val="2"/>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5"/>
              <w:ind w:left="181" w:right="0"/>
              <w:jc w:val="left"/>
              <w:rPr>
                <w:rFonts w:ascii="Arial" w:hAnsi="Arial" w:cs="Arial" w:eastAsia="Arial" w:hint="default"/>
                <w:sz w:val="18"/>
                <w:szCs w:val="18"/>
              </w:rPr>
            </w:pPr>
            <w:r>
              <w:rPr>
                <w:rFonts w:ascii="Arial"/>
                <w:sz w:val="18"/>
              </w:rPr>
              <w:t>(%)</w:t>
            </w: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5"/>
              <w:ind w:left="181" w:right="0"/>
              <w:jc w:val="left"/>
              <w:rPr>
                <w:rFonts w:ascii="Arial" w:hAnsi="Arial" w:cs="Arial" w:eastAsia="Arial" w:hint="default"/>
                <w:sz w:val="18"/>
                <w:szCs w:val="18"/>
              </w:rPr>
            </w:pPr>
            <w:r>
              <w:rPr>
                <w:rFonts w:ascii="Arial"/>
                <w:sz w:val="18"/>
              </w:rPr>
              <w:t>(%)</w:t>
            </w:r>
          </w:p>
        </w:tc>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0"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20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54" w:type="dxa"/>
            <w:vMerge/>
            <w:tcBorders>
              <w:left w:val="single" w:sz="4" w:space="0" w:color="000000"/>
              <w:right w:val="single" w:sz="4" w:space="0" w:color="000000"/>
            </w:tcBorders>
            <w:shd w:val="clear" w:color="auto" w:fill="D2D2D2"/>
          </w:tcPr>
          <w:p>
            <w:pPr/>
          </w:p>
        </w:tc>
        <w:tc>
          <w:tcPr>
            <w:tcW w:w="158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9" w:type="dxa"/>
            <w:vMerge/>
            <w:tcBorders>
              <w:left w:val="single" w:sz="4" w:space="0" w:color="000000"/>
              <w:right w:val="single" w:sz="4" w:space="0" w:color="000000"/>
            </w:tcBorders>
            <w:shd w:val="clear" w:color="auto" w:fill="D2D2D2"/>
          </w:tcPr>
          <w:p>
            <w:pPr/>
          </w:p>
        </w:tc>
        <w:tc>
          <w:tcPr>
            <w:tcW w:w="2006"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4" w:space="0" w:color="000000"/>
              <w:bottom w:val="nil" w:sz="6" w:space="0" w:color="auto"/>
              <w:right w:val="single" w:sz="4" w:space="0" w:color="000000"/>
            </w:tcBorders>
            <w:shd w:val="clear" w:color="auto" w:fill="D2D2D2"/>
          </w:tcPr>
          <w:p>
            <w:pPr/>
          </w:p>
        </w:tc>
        <w:tc>
          <w:tcPr>
            <w:tcW w:w="654" w:type="dxa"/>
            <w:vMerge/>
            <w:tcBorders>
              <w:left w:val="single" w:sz="4" w:space="0" w:color="000000"/>
              <w:right w:val="single" w:sz="4" w:space="0" w:color="000000"/>
            </w:tcBorders>
            <w:shd w:val="clear" w:color="auto" w:fill="D2D2D2"/>
          </w:tcPr>
          <w:p>
            <w:pPr/>
          </w:p>
        </w:tc>
        <w:tc>
          <w:tcPr>
            <w:tcW w:w="1588"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4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r>
      <w:tr>
        <w:trPr>
          <w:trHeight w:val="406"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8" w:right="0"/>
              <w:jc w:val="left"/>
              <w:rPr>
                <w:rFonts w:ascii="Arial" w:hAnsi="Arial" w:cs="Arial" w:eastAsia="Arial" w:hint="default"/>
                <w:sz w:val="18"/>
                <w:szCs w:val="18"/>
              </w:rPr>
            </w:pPr>
            <w:r>
              <w:rPr>
                <w:rFonts w:ascii="Arial"/>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7" w:right="0"/>
              <w:jc w:val="left"/>
              <w:rPr>
                <w:rFonts w:ascii="Arial" w:hAnsi="Arial" w:cs="Arial" w:eastAsia="Arial" w:hint="default"/>
                <w:sz w:val="18"/>
                <w:szCs w:val="18"/>
              </w:rPr>
            </w:pPr>
            <w:r>
              <w:rPr>
                <w:rFonts w:ascii="Arial"/>
                <w:sz w:val="18"/>
              </w:rPr>
              <w:t>--</w:t>
            </w: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3" w:right="0"/>
              <w:jc w:val="left"/>
              <w:rPr>
                <w:rFonts w:ascii="Arial" w:hAnsi="Arial" w:cs="Arial" w:eastAsia="Arial" w:hint="default"/>
                <w:sz w:val="18"/>
                <w:szCs w:val="18"/>
              </w:rPr>
            </w:pPr>
            <w:r>
              <w:rPr>
                <w:rFonts w:ascii="Arial"/>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9" w:right="0"/>
              <w:jc w:val="left"/>
              <w:rPr>
                <w:rFonts w:ascii="Arial" w:hAnsi="Arial" w:cs="Arial" w:eastAsia="Arial" w:hint="default"/>
                <w:sz w:val="18"/>
                <w:szCs w:val="18"/>
              </w:rPr>
            </w:pPr>
            <w:r>
              <w:rPr>
                <w:rFonts w:ascii="Arial"/>
                <w:sz w:val="18"/>
              </w:rPr>
              <w:t>--</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8" w:right="0"/>
              <w:jc w:val="left"/>
              <w:rPr>
                <w:rFonts w:ascii="Arial" w:hAnsi="Arial" w:cs="Arial" w:eastAsia="Arial" w:hint="default"/>
                <w:sz w:val="18"/>
                <w:szCs w:val="18"/>
              </w:rPr>
            </w:pPr>
            <w:r>
              <w:rPr>
                <w:rFonts w:ascii="Arial"/>
                <w:sz w:val="18"/>
              </w:rPr>
              <w:t>--</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9" w:right="0"/>
              <w:jc w:val="left"/>
              <w:rPr>
                <w:rFonts w:ascii="Arial" w:hAnsi="Arial" w:cs="Arial" w:eastAsia="Arial" w:hint="default"/>
                <w:sz w:val="18"/>
                <w:szCs w:val="18"/>
              </w:rPr>
            </w:pPr>
            <w:r>
              <w:rPr>
                <w:rFonts w:ascii="Arial"/>
                <w:sz w:val="18"/>
              </w:rPr>
              <w:t>--</w:t>
            </w:r>
          </w:p>
        </w:tc>
      </w:tr>
      <w:tr>
        <w:trPr>
          <w:trHeight w:val="715"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12" w:right="158"/>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年以内小 计</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Arial" w:hAnsi="Arial" w:cs="Arial" w:eastAsia="Arial" w:hint="default"/>
                <w:sz w:val="18"/>
                <w:szCs w:val="18"/>
              </w:rPr>
            </w:pPr>
            <w:r>
              <w:rPr>
                <w:rFonts w:ascii="Arial"/>
                <w:spacing w:val="-1"/>
                <w:sz w:val="18"/>
              </w:rPr>
              <w:t>189,142,774.85</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90.14</w:t>
            </w:r>
            <w:r>
              <w:rPr>
                <w:rFonts w:ascii="Arial"/>
                <w:sz w:val="18"/>
              </w:rPr>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Arial" w:hAnsi="Arial" w:cs="Arial" w:eastAsia="Arial" w:hint="default"/>
                <w:sz w:val="18"/>
                <w:szCs w:val="18"/>
              </w:rPr>
            </w:pPr>
            <w:r>
              <w:rPr>
                <w:rFonts w:ascii="Arial"/>
                <w:spacing w:val="-1"/>
                <w:sz w:val="18"/>
              </w:rPr>
              <w:t>1,912,993.55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140,544,866.97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w w:val="95"/>
                <w:sz w:val="18"/>
              </w:rPr>
              <w:t>91.63</w:t>
            </w:r>
            <w:r>
              <w:rPr>
                <w:rFonts w:ascii="Arial"/>
                <w:sz w:val="18"/>
              </w:rPr>
            </w:r>
          </w:p>
          <w:p>
            <w:pPr>
              <w:pStyle w:val="TableParagraph"/>
              <w:spacing w:line="240" w:lineRule="auto" w:before="105"/>
              <w:ind w:right="17"/>
              <w:jc w:val="right"/>
              <w:rPr>
                <w:rFonts w:ascii="Arial" w:hAnsi="Arial" w:cs="Arial" w:eastAsia="Arial" w:hint="default"/>
                <w:sz w:val="18"/>
                <w:szCs w:val="18"/>
              </w:rPr>
            </w:pPr>
            <w:r>
              <w:rPr>
                <w:rFonts w:ascii="Arial"/>
                <w:w w:val="99"/>
                <w:sz w:val="18"/>
              </w:rPr>
              <w:t>%</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7"/>
              <w:jc w:val="right"/>
              <w:rPr>
                <w:rFonts w:ascii="Arial" w:hAnsi="Arial" w:cs="Arial" w:eastAsia="Arial" w:hint="default"/>
                <w:sz w:val="18"/>
                <w:szCs w:val="18"/>
              </w:rPr>
            </w:pPr>
            <w:r>
              <w:rPr>
                <w:rFonts w:ascii="Arial"/>
                <w:spacing w:val="-1"/>
                <w:sz w:val="18"/>
              </w:rPr>
              <w:t>523,565.70</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8"/>
              <w:jc w:val="right"/>
              <w:rPr>
                <w:rFonts w:ascii="Arial" w:hAnsi="Arial" w:cs="Arial" w:eastAsia="Arial" w:hint="default"/>
                <w:sz w:val="18"/>
                <w:szCs w:val="18"/>
              </w:rPr>
            </w:pPr>
            <w:r>
              <w:rPr>
                <w:rFonts w:ascii="Arial"/>
                <w:spacing w:val="-1"/>
                <w:sz w:val="18"/>
              </w:rPr>
              <w:t>9,064,586.82</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4.32%</w:t>
            </w:r>
            <w:r>
              <w:rPr>
                <w:rFonts w:ascii="Arial"/>
                <w:sz w:val="18"/>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Arial" w:hAnsi="Arial" w:cs="Arial" w:eastAsia="Arial" w:hint="default"/>
                <w:sz w:val="18"/>
                <w:szCs w:val="18"/>
              </w:rPr>
            </w:pPr>
            <w:r>
              <w:rPr>
                <w:rFonts w:ascii="Arial"/>
                <w:spacing w:val="-2"/>
                <w:sz w:val="18"/>
              </w:rPr>
              <w:t>760,116.53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7,890,309.08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w w:val="95"/>
                <w:sz w:val="18"/>
              </w:rPr>
              <w:t>5.14%</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789,030.91</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8"/>
              <w:jc w:val="right"/>
              <w:rPr>
                <w:rFonts w:ascii="Arial" w:hAnsi="Arial" w:cs="Arial" w:eastAsia="Arial" w:hint="default"/>
                <w:sz w:val="18"/>
                <w:szCs w:val="18"/>
              </w:rPr>
            </w:pPr>
            <w:r>
              <w:rPr>
                <w:rFonts w:ascii="Arial"/>
                <w:spacing w:val="-1"/>
                <w:sz w:val="18"/>
              </w:rPr>
              <w:t>6,912,548.26</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3.29%</w:t>
            </w:r>
            <w:r>
              <w:rPr>
                <w:rFonts w:ascii="Arial"/>
                <w:sz w:val="18"/>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6"/>
              <w:jc w:val="right"/>
              <w:rPr>
                <w:rFonts w:ascii="Arial" w:hAnsi="Arial" w:cs="Arial" w:eastAsia="Arial" w:hint="default"/>
                <w:sz w:val="18"/>
                <w:szCs w:val="18"/>
              </w:rPr>
            </w:pPr>
            <w:r>
              <w:rPr>
                <w:rFonts w:ascii="Arial"/>
                <w:spacing w:val="-1"/>
                <w:sz w:val="18"/>
              </w:rPr>
              <w:t>1,382,509.65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4,388,842.79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w w:val="95"/>
                <w:sz w:val="18"/>
              </w:rPr>
              <w:t>2.86%</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877,768.56</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6"/>
              <w:jc w:val="right"/>
              <w:rPr>
                <w:rFonts w:ascii="Arial" w:hAnsi="Arial" w:cs="Arial" w:eastAsia="Arial" w:hint="default"/>
                <w:sz w:val="18"/>
                <w:szCs w:val="18"/>
              </w:rPr>
            </w:pPr>
            <w:r>
              <w:rPr>
                <w:rFonts w:ascii="Arial"/>
                <w:w w:val="95"/>
                <w:sz w:val="18"/>
              </w:rPr>
              <w:t>0.00</w:t>
            </w:r>
            <w:r>
              <w:rPr>
                <w:rFonts w:ascii="Arial"/>
                <w:sz w:val="18"/>
              </w:rPr>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0%</w:t>
            </w:r>
            <w:r>
              <w:rPr>
                <w:rFonts w:ascii="Arial"/>
                <w:sz w:val="18"/>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Arial" w:hAnsi="Arial" w:cs="Arial" w:eastAsia="Arial" w:hint="default"/>
                <w:sz w:val="18"/>
                <w:szCs w:val="18"/>
              </w:rPr>
            </w:pPr>
            <w:r>
              <w:rPr>
                <w:rFonts w:ascii="Arial"/>
                <w:w w:val="95"/>
                <w:sz w:val="18"/>
              </w:rPr>
              <w:t>0.00</w:t>
            </w:r>
            <w:r>
              <w:rPr>
                <w:rFonts w:ascii="Arial"/>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0.00</w:t>
            </w:r>
            <w:r>
              <w:rPr>
                <w:rFonts w:ascii="Arial"/>
                <w:sz w:val="18"/>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4"/>
              <w:jc w:val="right"/>
              <w:rPr>
                <w:rFonts w:ascii="Arial" w:hAnsi="Arial" w:cs="Arial" w:eastAsia="Arial" w:hint="default"/>
                <w:sz w:val="18"/>
                <w:szCs w:val="18"/>
              </w:rPr>
            </w:pPr>
            <w:r>
              <w:rPr>
                <w:rFonts w:ascii="Arial"/>
                <w:w w:val="95"/>
                <w:sz w:val="18"/>
              </w:rPr>
              <w:t>0%</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8"/>
              <w:jc w:val="right"/>
              <w:rPr>
                <w:rFonts w:ascii="Arial" w:hAnsi="Arial" w:cs="Arial" w:eastAsia="Arial" w:hint="default"/>
                <w:sz w:val="18"/>
                <w:szCs w:val="18"/>
              </w:rPr>
            </w:pPr>
            <w:r>
              <w:rPr>
                <w:rFonts w:ascii="Arial"/>
                <w:spacing w:val="-1"/>
                <w:sz w:val="18"/>
              </w:rPr>
              <w:t>4,305,760.08</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2.05%</w:t>
            </w:r>
            <w:r>
              <w:rPr>
                <w:rFonts w:ascii="Arial"/>
                <w:sz w:val="18"/>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6"/>
              <w:jc w:val="right"/>
              <w:rPr>
                <w:rFonts w:ascii="Arial" w:hAnsi="Arial" w:cs="Arial" w:eastAsia="Arial" w:hint="default"/>
                <w:sz w:val="18"/>
                <w:szCs w:val="18"/>
              </w:rPr>
            </w:pPr>
            <w:r>
              <w:rPr>
                <w:rFonts w:ascii="Arial"/>
                <w:spacing w:val="-1"/>
                <w:sz w:val="18"/>
              </w:rPr>
              <w:t>2,152,880.04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440,009.89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w w:val="95"/>
                <w:sz w:val="18"/>
              </w:rPr>
              <w:t>0.29%</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220,004.95</w:t>
            </w:r>
          </w:p>
        </w:tc>
      </w:tr>
    </w:tbl>
    <w:p>
      <w:pPr>
        <w:spacing w:after="0" w:line="240" w:lineRule="auto"/>
        <w:jc w:val="right"/>
        <w:rPr>
          <w:rFonts w:ascii="Arial" w:hAnsi="Arial" w:cs="Arial" w:eastAsia="Arial"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6"/>
        <w:gridCol w:w="665"/>
        <w:gridCol w:w="1594"/>
      </w:tblGrid>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427,038.28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0" w:right="0"/>
              <w:jc w:val="left"/>
              <w:rPr>
                <w:rFonts w:ascii="Arial" w:hAnsi="Arial" w:cs="Arial" w:eastAsia="Arial" w:hint="default"/>
                <w:sz w:val="18"/>
                <w:szCs w:val="18"/>
              </w:rPr>
            </w:pPr>
            <w:r>
              <w:rPr>
                <w:rFonts w:ascii="Arial"/>
                <w:sz w:val="18"/>
              </w:rPr>
              <w:t>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427,038.28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121,146.58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6" w:right="0"/>
              <w:jc w:val="center"/>
              <w:rPr>
                <w:rFonts w:ascii="Arial" w:hAnsi="Arial" w:cs="Arial" w:eastAsia="Arial" w:hint="default"/>
                <w:sz w:val="18"/>
                <w:szCs w:val="18"/>
              </w:rPr>
            </w:pPr>
            <w:r>
              <w:rPr>
                <w:rFonts w:ascii="Arial"/>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121,146.58</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209,852,708.29</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66" w:right="0"/>
              <w:jc w:val="left"/>
              <w:rPr>
                <w:rFonts w:ascii="Arial" w:hAnsi="Arial" w:cs="Arial" w:eastAsia="Arial" w:hint="default"/>
                <w:sz w:val="18"/>
                <w:szCs w:val="18"/>
              </w:rPr>
            </w:pPr>
            <w:r>
              <w:rPr>
                <w:rFonts w:ascii="Arial"/>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6,635,538.05</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4"/>
              <w:jc w:val="right"/>
              <w:rPr>
                <w:rFonts w:ascii="Arial" w:hAnsi="Arial" w:cs="Arial" w:eastAsia="Arial" w:hint="default"/>
                <w:sz w:val="18"/>
                <w:szCs w:val="18"/>
              </w:rPr>
            </w:pPr>
            <w:r>
              <w:rPr>
                <w:rFonts w:ascii="Arial"/>
                <w:spacing w:val="-1"/>
                <w:sz w:val="18"/>
              </w:rPr>
              <w:t>153,385,175.31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2"/>
              <w:jc w:val="center"/>
              <w:rPr>
                <w:rFonts w:ascii="Arial" w:hAnsi="Arial" w:cs="Arial" w:eastAsia="Arial" w:hint="default"/>
                <w:sz w:val="18"/>
                <w:szCs w:val="18"/>
              </w:rPr>
            </w:pPr>
            <w:r>
              <w:rPr>
                <w:rFonts w:ascii="Arial"/>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2,531,516.70</w:t>
            </w:r>
          </w:p>
        </w:tc>
      </w:tr>
    </w:tbl>
    <w:p>
      <w:pPr>
        <w:pStyle w:val="BodyText"/>
        <w:spacing w:line="240" w:lineRule="auto" w:before="49"/>
        <w:ind w:right="1121"/>
        <w:jc w:val="left"/>
      </w:pPr>
      <w:r>
        <w:rPr/>
        <w:t>组合中，采用余额百分比法计提坏账准备的应收账款</w:t>
      </w:r>
    </w:p>
    <w:p>
      <w:pPr>
        <w:pStyle w:val="BodyText"/>
        <w:spacing w:line="340" w:lineRule="auto" w:before="115"/>
        <w:ind w:right="69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组合中，采用其他方法计提坏账准备的应收账款</w:t>
      </w:r>
    </w:p>
    <w:p>
      <w:pPr>
        <w:pStyle w:val="BodyText"/>
        <w:spacing w:line="340" w:lineRule="auto" w:before="39"/>
        <w:ind w:right="643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期末单项金额虽不重大但单项计提坏账准备的应收账款</w:t>
      </w:r>
    </w:p>
    <w:p>
      <w:pPr>
        <w:pStyle w:val="BodyText"/>
        <w:spacing w:line="240" w:lineRule="auto" w:before="41"/>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21"/>
        <w:jc w:val="left"/>
        <w:rPr>
          <w:b w:val="0"/>
          <w:bCs w:val="0"/>
        </w:rPr>
      </w:pPr>
      <w:r>
        <w:rPr/>
        <w:t>（</w:t>
      </w:r>
      <w:r>
        <w:rPr>
          <w:rFonts w:ascii="Arial" w:hAnsi="Arial" w:cs="Arial" w:eastAsia="Arial" w:hint="default"/>
        </w:rPr>
        <w:t>2</w:t>
      </w:r>
      <w:r>
        <w:rPr/>
        <w:t>）本报告期实际核销的应收账款情况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357" w:lineRule="auto" w:before="50"/>
        <w:ind w:left="508" w:right="8238" w:hanging="356"/>
        <w:jc w:val="left"/>
      </w:pPr>
      <w:r>
        <w:rPr/>
        <w:t>应收账款核销说明 本年度无核销的应收款项。</w:t>
      </w:r>
    </w:p>
    <w:p>
      <w:pPr>
        <w:spacing w:line="240" w:lineRule="auto" w:before="6"/>
        <w:rPr>
          <w:rFonts w:ascii="宋体" w:hAnsi="宋体" w:cs="宋体" w:eastAsia="宋体" w:hint="default"/>
          <w:sz w:val="20"/>
          <w:szCs w:val="20"/>
        </w:rPr>
      </w:pPr>
    </w:p>
    <w:p>
      <w:pPr>
        <w:pStyle w:val="Heading3"/>
        <w:spacing w:line="240" w:lineRule="auto"/>
        <w:ind w:right="1121"/>
        <w:jc w:val="left"/>
        <w:rPr>
          <w:b w:val="0"/>
          <w:bCs w:val="0"/>
        </w:rPr>
      </w:pPr>
      <w:r>
        <w:rPr/>
        <w:t>（</w:t>
      </w:r>
      <w:r>
        <w:rPr>
          <w:rFonts w:ascii="Arial" w:hAnsi="Arial" w:cs="Arial" w:eastAsia="Arial" w:hint="default"/>
        </w:rPr>
        <w:t>3</w:t>
      </w:r>
      <w:r>
        <w:rPr/>
        <w:t>）应收账款中金额前五名单位情况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6"/>
        <w:gridCol w:w="1913"/>
        <w:gridCol w:w="1916"/>
        <w:gridCol w:w="1913"/>
        <w:gridCol w:w="1917"/>
      </w:tblGrid>
      <w:tr>
        <w:trPr>
          <w:trHeight w:val="71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1"/>
              <w:jc w:val="center"/>
              <w:rPr>
                <w:rFonts w:ascii="Arial" w:hAnsi="Arial" w:cs="Arial" w:eastAsia="Arial" w:hint="default"/>
                <w:sz w:val="18"/>
                <w:szCs w:val="18"/>
              </w:rPr>
            </w:pPr>
            <w:r>
              <w:rPr>
                <w:rFonts w:ascii="Arial"/>
                <w:sz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40,381,938.32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19.24%</w:t>
            </w:r>
          </w:p>
        </w:tc>
      </w:tr>
      <w:tr>
        <w:trPr>
          <w:trHeight w:val="401" w:hRule="exact"/>
        </w:trPr>
        <w:tc>
          <w:tcPr>
            <w:tcW w:w="191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08"/>
              <w:jc w:val="right"/>
              <w:rPr>
                <w:rFonts w:ascii="Arial" w:hAnsi="Arial" w:cs="Arial" w:eastAsia="Arial" w:hint="default"/>
                <w:sz w:val="18"/>
                <w:szCs w:val="18"/>
              </w:rPr>
            </w:pPr>
            <w:r>
              <w:rPr>
                <w:rFonts w:ascii="Arial"/>
                <w:spacing w:val="-2"/>
                <w:sz w:val="18"/>
              </w:rPr>
              <w:t>11,289,586.60</w:t>
            </w:r>
          </w:p>
        </w:tc>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7"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08"/>
              <w:jc w:val="right"/>
              <w:rPr>
                <w:rFonts w:ascii="Arial" w:hAnsi="Arial" w:cs="Arial" w:eastAsia="Arial" w:hint="default"/>
                <w:sz w:val="18"/>
                <w:szCs w:val="18"/>
              </w:rPr>
            </w:pPr>
            <w:r>
              <w:rPr>
                <w:rFonts w:ascii="Arial"/>
                <w:w w:val="95"/>
                <w:sz w:val="18"/>
              </w:rPr>
              <w:t>5.38%</w:t>
            </w:r>
            <w:r>
              <w:rPr>
                <w:rFonts w:ascii="Arial"/>
                <w:sz w:val="18"/>
              </w:rPr>
            </w:r>
          </w:p>
        </w:tc>
      </w:tr>
      <w:tr>
        <w:trPr>
          <w:trHeight w:val="392"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8"/>
              <w:jc w:val="right"/>
              <w:rPr>
                <w:rFonts w:ascii="Arial" w:hAnsi="Arial" w:cs="Arial" w:eastAsia="Arial" w:hint="default"/>
                <w:sz w:val="18"/>
                <w:szCs w:val="18"/>
              </w:rPr>
            </w:pPr>
            <w:r>
              <w:rPr>
                <w:rFonts w:ascii="Arial"/>
                <w:spacing w:val="-1"/>
                <w:sz w:val="18"/>
              </w:rPr>
              <w:t>7,839,199.48</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8"/>
              <w:jc w:val="right"/>
              <w:rPr>
                <w:rFonts w:ascii="Arial" w:hAnsi="Arial" w:cs="Arial" w:eastAsia="Arial" w:hint="default"/>
                <w:sz w:val="18"/>
                <w:szCs w:val="18"/>
              </w:rPr>
            </w:pPr>
            <w:r>
              <w:rPr>
                <w:rFonts w:ascii="Arial"/>
                <w:w w:val="95"/>
                <w:sz w:val="18"/>
              </w:rPr>
              <w:t>3.74%</w:t>
            </w:r>
            <w:r>
              <w:rPr>
                <w:rFonts w:ascii="Arial"/>
                <w:sz w:val="18"/>
              </w:rPr>
            </w:r>
          </w:p>
        </w:tc>
      </w:tr>
      <w:tr>
        <w:trPr>
          <w:trHeight w:val="391"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8"/>
              <w:jc w:val="right"/>
              <w:rPr>
                <w:rFonts w:ascii="Arial" w:hAnsi="Arial" w:cs="Arial" w:eastAsia="Arial" w:hint="default"/>
                <w:sz w:val="18"/>
                <w:szCs w:val="18"/>
              </w:rPr>
            </w:pPr>
            <w:r>
              <w:rPr>
                <w:rFonts w:ascii="Arial"/>
                <w:spacing w:val="-1"/>
                <w:sz w:val="18"/>
              </w:rPr>
              <w:t>7,255,854.10</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8"/>
              <w:jc w:val="right"/>
              <w:rPr>
                <w:rFonts w:ascii="Arial" w:hAnsi="Arial" w:cs="Arial" w:eastAsia="Arial" w:hint="default"/>
                <w:sz w:val="18"/>
                <w:szCs w:val="18"/>
              </w:rPr>
            </w:pPr>
            <w:r>
              <w:rPr>
                <w:rFonts w:ascii="Arial"/>
                <w:w w:val="95"/>
                <w:sz w:val="18"/>
              </w:rPr>
              <w:t>3.46%</w:t>
            </w:r>
            <w:r>
              <w:rPr>
                <w:rFonts w:ascii="Arial"/>
                <w:sz w:val="18"/>
              </w:rPr>
            </w:r>
          </w:p>
        </w:tc>
      </w:tr>
      <w:tr>
        <w:trPr>
          <w:trHeight w:val="395" w:hRule="exact"/>
        </w:trPr>
        <w:tc>
          <w:tcPr>
            <w:tcW w:w="1916"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8"/>
              <w:jc w:val="right"/>
              <w:rPr>
                <w:rFonts w:ascii="Arial" w:hAnsi="Arial" w:cs="Arial" w:eastAsia="Arial" w:hint="default"/>
                <w:sz w:val="18"/>
                <w:szCs w:val="18"/>
              </w:rPr>
            </w:pPr>
            <w:r>
              <w:rPr>
                <w:rFonts w:ascii="Arial"/>
                <w:spacing w:val="-1"/>
                <w:sz w:val="18"/>
              </w:rPr>
              <w:t>5,377,740.26</w:t>
            </w:r>
          </w:p>
        </w:tc>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7"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8"/>
              <w:jc w:val="right"/>
              <w:rPr>
                <w:rFonts w:ascii="Arial" w:hAnsi="Arial" w:cs="Arial" w:eastAsia="Arial" w:hint="default"/>
                <w:sz w:val="18"/>
                <w:szCs w:val="18"/>
              </w:rPr>
            </w:pPr>
            <w:r>
              <w:rPr>
                <w:rFonts w:ascii="Arial"/>
                <w:w w:val="95"/>
                <w:sz w:val="18"/>
              </w:rPr>
              <w:t>2.56%</w:t>
            </w:r>
            <w:r>
              <w:rPr>
                <w:rFonts w:ascii="Arial"/>
                <w:sz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Arial" w:hAnsi="Arial" w:cs="Arial" w:eastAsia="Arial" w:hint="default"/>
                <w:sz w:val="18"/>
                <w:szCs w:val="18"/>
              </w:rPr>
            </w:pPr>
            <w:r>
              <w:rPr>
                <w:rFonts w:ascii="Arial"/>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2"/>
              <w:jc w:val="right"/>
              <w:rPr>
                <w:rFonts w:ascii="Arial" w:hAnsi="Arial" w:cs="Arial" w:eastAsia="Arial" w:hint="default"/>
                <w:sz w:val="18"/>
                <w:szCs w:val="18"/>
              </w:rPr>
            </w:pPr>
            <w:r>
              <w:rPr>
                <w:rFonts w:ascii="Arial"/>
                <w:spacing w:val="-1"/>
                <w:sz w:val="18"/>
              </w:rPr>
              <w:t>72,144,318.76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191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1"/>
              <w:jc w:val="right"/>
              <w:rPr>
                <w:rFonts w:ascii="Arial" w:hAnsi="Arial" w:cs="Arial" w:eastAsia="Arial" w:hint="default"/>
                <w:sz w:val="18"/>
                <w:szCs w:val="18"/>
              </w:rPr>
            </w:pPr>
            <w:r>
              <w:rPr>
                <w:rFonts w:ascii="Arial"/>
                <w:spacing w:val="-1"/>
                <w:sz w:val="18"/>
              </w:rPr>
              <w:t>34.38%</w:t>
            </w:r>
          </w:p>
        </w:tc>
      </w:tr>
    </w:tbl>
    <w:p>
      <w:pPr>
        <w:spacing w:line="240" w:lineRule="auto" w:before="0"/>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4</w:t>
      </w:r>
      <w:r>
        <w:rPr/>
        <w:t>）应收关联方账款情况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0" w:right="0"/>
              <w:jc w:val="left"/>
              <w:rPr>
                <w:rFonts w:ascii="Arial" w:hAnsi="Arial" w:cs="Arial" w:eastAsia="Arial" w:hint="default"/>
                <w:sz w:val="18"/>
                <w:szCs w:val="18"/>
              </w:rPr>
            </w:pPr>
            <w:r>
              <w:rPr>
                <w:rFonts w:ascii="宋体" w:hAnsi="宋体" w:cs="宋体" w:eastAsia="宋体" w:hint="default"/>
                <w:sz w:val="18"/>
                <w:szCs w:val="18"/>
              </w:rPr>
              <w:t>占应收账款总额的比例</w:t>
            </w:r>
            <w:r>
              <w:rPr>
                <w:rFonts w:ascii="Arial" w:hAnsi="Arial" w:cs="Arial" w:eastAsia="Arial" w:hint="default"/>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香港茂硕</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4,423,485.51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3"/>
                <w:sz w:val="18"/>
              </w:rPr>
              <w:t>2.11%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北京茂硕</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345,400.00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0.16%</w:t>
            </w:r>
            <w:r>
              <w:rPr>
                <w:rFonts w:ascii="Arial"/>
                <w:sz w:val="18"/>
              </w:rPr>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山西光宇半导体照明股份有 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其他关联方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216,908.00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0.1%</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大连路明发光科技股份有限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其他关联方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30,820.02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0.01%</w:t>
            </w:r>
            <w:r>
              <w:rPr>
                <w:rFonts w:ascii="Arial"/>
                <w:sz w:val="18"/>
              </w:rPr>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5,016,613.53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2.38%</w:t>
            </w:r>
            <w:r>
              <w:rPr>
                <w:rFonts w:ascii="Arial"/>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5</w:t>
      </w:r>
      <w:r>
        <w:rPr/>
        <w:t>）</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1"/>
        <w:jc w:val="left"/>
      </w:pPr>
      <w:r>
        <w:rPr/>
        <w:t>不符合终止确认条件的应收账款的转移金额为</w:t>
      </w:r>
      <w:r>
        <w:rPr>
          <w:spacing w:val="-44"/>
        </w:rPr>
        <w:t> </w:t>
      </w:r>
      <w:r>
        <w:rPr>
          <w:rFonts w:ascii="Arial" w:hAnsi="Arial" w:cs="Arial" w:eastAsia="Arial" w:hint="default"/>
        </w:rPr>
        <w:t>0.00</w:t>
      </w:r>
      <w:r>
        <w:rPr>
          <w:rFonts w:ascii="Arial" w:hAnsi="Arial" w:cs="Arial" w:eastAsia="Arial" w:hint="default"/>
          <w:spacing w:val="-4"/>
        </w:rPr>
        <w:t> </w:t>
      </w:r>
      <w:r>
        <w:rPr/>
        <w:t>元。</w:t>
      </w:r>
    </w:p>
    <w:p>
      <w:pPr>
        <w:spacing w:line="240" w:lineRule="auto" w:before="0"/>
        <w:rPr>
          <w:rFonts w:ascii="宋体" w:hAnsi="宋体" w:cs="宋体" w:eastAsia="宋体" w:hint="default"/>
          <w:sz w:val="26"/>
          <w:szCs w:val="26"/>
        </w:rPr>
      </w:pPr>
    </w:p>
    <w:p>
      <w:pPr>
        <w:pStyle w:val="Heading3"/>
        <w:spacing w:line="240" w:lineRule="auto"/>
        <w:ind w:right="1121"/>
        <w:jc w:val="left"/>
        <w:rPr>
          <w:b w:val="0"/>
          <w:bCs w:val="0"/>
        </w:rPr>
      </w:pPr>
      <w:r>
        <w:rPr/>
        <w:t>（</w:t>
      </w:r>
      <w:r>
        <w:rPr>
          <w:rFonts w:ascii="Arial" w:hAnsi="Arial" w:cs="Arial" w:eastAsia="Arial" w:hint="default"/>
        </w:rPr>
        <w:t>6</w:t>
      </w:r>
      <w:r>
        <w:rPr/>
        <w:t>）以应收款项为标的资产进行资产证券化的，需简要说明相关交易安排</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08" w:right="1121"/>
        <w:jc w:val="left"/>
      </w:pPr>
      <w:r>
        <w:rPr/>
        <w:t>本报告期内没有以应收款项为标的进行证券化。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1121"/>
        <w:jc w:val="left"/>
        <w:rPr>
          <w:b w:val="0"/>
          <w:bCs w:val="0"/>
        </w:rPr>
      </w:pPr>
      <w:r>
        <w:rPr>
          <w:rFonts w:ascii="Arial" w:hAnsi="Arial" w:cs="Arial" w:eastAsia="Arial" w:hint="default"/>
        </w:rPr>
        <w:t>2</w:t>
      </w:r>
      <w:r>
        <w:rPr/>
        <w:t>、其他应收款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）其他应收款</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0" w:right="0"/>
              <w:jc w:val="left"/>
              <w:rPr>
                <w:rFonts w:ascii="Arial" w:hAnsi="Arial" w:cs="Arial" w:eastAsia="Arial" w:hint="default"/>
                <w:sz w:val="18"/>
                <w:szCs w:val="18"/>
              </w:rPr>
            </w:pPr>
            <w:r>
              <w:rPr>
                <w:rFonts w:ascii="Arial"/>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2" w:right="0"/>
              <w:jc w:val="left"/>
              <w:rPr>
                <w:rFonts w:ascii="Arial" w:hAnsi="Arial" w:cs="Arial" w:eastAsia="Arial" w:hint="default"/>
                <w:sz w:val="18"/>
                <w:szCs w:val="18"/>
              </w:rPr>
            </w:pPr>
            <w:r>
              <w:rPr>
                <w:rFonts w:ascii="Arial"/>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0" w:right="0"/>
              <w:jc w:val="left"/>
              <w:rPr>
                <w:rFonts w:ascii="Arial" w:hAnsi="Arial" w:cs="Arial" w:eastAsia="Arial" w:hint="default"/>
                <w:sz w:val="18"/>
                <w:szCs w:val="18"/>
              </w:rPr>
            </w:pPr>
            <w:r>
              <w:rPr>
                <w:rFonts w:ascii="Arial"/>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17" w:right="0"/>
              <w:jc w:val="left"/>
              <w:rPr>
                <w:rFonts w:ascii="Arial" w:hAnsi="Arial" w:cs="Arial" w:eastAsia="Arial" w:hint="default"/>
                <w:sz w:val="18"/>
                <w:szCs w:val="18"/>
              </w:rPr>
            </w:pPr>
            <w:r>
              <w:rPr>
                <w:rFonts w:ascii="Arial"/>
                <w:sz w:val="18"/>
              </w:rPr>
              <w:t>(%)</w:t>
            </w:r>
          </w:p>
        </w:tc>
      </w:tr>
      <w:tr>
        <w:trPr>
          <w:trHeight w:val="404"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9,887,833.43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 w:right="0"/>
              <w:jc w:val="left"/>
              <w:rPr>
                <w:rFonts w:ascii="Arial" w:hAnsi="Arial" w:cs="Arial" w:eastAsia="Arial" w:hint="default"/>
                <w:sz w:val="18"/>
                <w:szCs w:val="18"/>
              </w:rPr>
            </w:pPr>
            <w:r>
              <w:rPr>
                <w:rFonts w:ascii="Arial"/>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238,989.41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0" w:right="0"/>
              <w:jc w:val="center"/>
              <w:rPr>
                <w:rFonts w:ascii="Arial" w:hAnsi="Arial" w:cs="Arial" w:eastAsia="Arial" w:hint="default"/>
                <w:sz w:val="18"/>
                <w:szCs w:val="18"/>
              </w:rPr>
            </w:pPr>
            <w:r>
              <w:rPr>
                <w:rFonts w:ascii="Arial"/>
                <w:sz w:val="18"/>
              </w:rPr>
              <w:t>2.42</w:t>
            </w:r>
          </w:p>
          <w:p>
            <w:pPr>
              <w:pStyle w:val="TableParagraph"/>
              <w:spacing w:line="240" w:lineRule="auto" w:before="105"/>
              <w:ind w:left="318" w:right="0"/>
              <w:jc w:val="center"/>
              <w:rPr>
                <w:rFonts w:ascii="Arial" w:hAnsi="Arial" w:cs="Arial" w:eastAsia="Arial" w:hint="default"/>
                <w:sz w:val="18"/>
                <w:szCs w:val="18"/>
              </w:rPr>
            </w:pPr>
            <w:r>
              <w:rPr>
                <w:rFonts w:ascii="Arial"/>
                <w:w w:val="99"/>
                <w:sz w:val="18"/>
              </w:rPr>
              <w:t>%</w:t>
            </w:r>
            <w:r>
              <w:rPr>
                <w:rFonts w:ascii="Arial"/>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spacing w:val="-1"/>
                <w:sz w:val="18"/>
              </w:rPr>
              <w:t>12,449,336.13</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 w:right="0"/>
              <w:jc w:val="left"/>
              <w:rPr>
                <w:rFonts w:ascii="Arial" w:hAnsi="Arial" w:cs="Arial" w:eastAsia="Arial" w:hint="default"/>
                <w:sz w:val="18"/>
                <w:szCs w:val="18"/>
              </w:rPr>
            </w:pPr>
            <w:r>
              <w:rPr>
                <w:rFonts w:ascii="Arial"/>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73,031.71</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3" w:right="0"/>
              <w:jc w:val="center"/>
              <w:rPr>
                <w:rFonts w:ascii="Arial" w:hAnsi="Arial" w:cs="Arial" w:eastAsia="Arial" w:hint="default"/>
                <w:sz w:val="18"/>
                <w:szCs w:val="18"/>
              </w:rPr>
            </w:pPr>
            <w:r>
              <w:rPr>
                <w:rFonts w:ascii="Arial"/>
                <w:sz w:val="18"/>
              </w:rPr>
              <w:t>0.59</w:t>
            </w:r>
          </w:p>
          <w:p>
            <w:pPr>
              <w:pStyle w:val="TableParagraph"/>
              <w:spacing w:line="240" w:lineRule="auto" w:before="105"/>
              <w:ind w:left="311" w:right="0"/>
              <w:jc w:val="center"/>
              <w:rPr>
                <w:rFonts w:ascii="Arial" w:hAnsi="Arial" w:cs="Arial" w:eastAsia="Arial" w:hint="default"/>
                <w:sz w:val="18"/>
                <w:szCs w:val="18"/>
              </w:rPr>
            </w:pPr>
            <w:r>
              <w:rPr>
                <w:rFonts w:ascii="Arial"/>
                <w:w w:val="99"/>
                <w:sz w:val="18"/>
              </w:rPr>
              <w:t>%</w:t>
            </w:r>
            <w:r>
              <w:rPr>
                <w:rFonts w:ascii="Arial"/>
                <w:sz w:val="18"/>
              </w:rPr>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9,887,833.43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6" w:right="0"/>
              <w:jc w:val="left"/>
              <w:rPr>
                <w:rFonts w:ascii="Arial" w:hAnsi="Arial" w:cs="Arial" w:eastAsia="Arial" w:hint="default"/>
                <w:sz w:val="18"/>
                <w:szCs w:val="18"/>
              </w:rPr>
            </w:pPr>
            <w:r>
              <w:rPr>
                <w:rFonts w:ascii="Arial"/>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238,989.41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0" w:right="0"/>
              <w:jc w:val="center"/>
              <w:rPr>
                <w:rFonts w:ascii="Arial" w:hAnsi="Arial" w:cs="Arial" w:eastAsia="Arial" w:hint="default"/>
                <w:sz w:val="18"/>
                <w:szCs w:val="18"/>
              </w:rPr>
            </w:pPr>
            <w:r>
              <w:rPr>
                <w:rFonts w:ascii="Arial"/>
                <w:sz w:val="18"/>
              </w:rPr>
              <w:t>2.42</w:t>
            </w:r>
          </w:p>
          <w:p>
            <w:pPr>
              <w:pStyle w:val="TableParagraph"/>
              <w:spacing w:line="240" w:lineRule="auto" w:before="102"/>
              <w:ind w:left="318" w:right="0"/>
              <w:jc w:val="center"/>
              <w:rPr>
                <w:rFonts w:ascii="Arial" w:hAnsi="Arial" w:cs="Arial" w:eastAsia="Arial" w:hint="default"/>
                <w:sz w:val="18"/>
                <w:szCs w:val="18"/>
              </w:rPr>
            </w:pPr>
            <w:r>
              <w:rPr>
                <w:rFonts w:ascii="Arial"/>
                <w:w w:val="99"/>
                <w:sz w:val="18"/>
              </w:rPr>
              <w:t>%</w:t>
            </w:r>
            <w:r>
              <w:rPr>
                <w:rFonts w:ascii="Arial"/>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18"/>
                <w:szCs w:val="18"/>
              </w:rPr>
            </w:pPr>
            <w:r>
              <w:rPr>
                <w:rFonts w:ascii="Arial"/>
                <w:spacing w:val="-1"/>
                <w:sz w:val="18"/>
              </w:rPr>
              <w:t>12,449,336.13</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6" w:right="0"/>
              <w:jc w:val="left"/>
              <w:rPr>
                <w:rFonts w:ascii="Arial" w:hAnsi="Arial" w:cs="Arial" w:eastAsia="Arial" w:hint="default"/>
                <w:sz w:val="18"/>
                <w:szCs w:val="18"/>
              </w:rPr>
            </w:pPr>
            <w:r>
              <w:rPr>
                <w:rFonts w:ascii="Arial"/>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73,031.71</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center"/>
              <w:rPr>
                <w:rFonts w:ascii="Arial" w:hAnsi="Arial" w:cs="Arial" w:eastAsia="Arial" w:hint="default"/>
                <w:sz w:val="18"/>
                <w:szCs w:val="18"/>
              </w:rPr>
            </w:pPr>
            <w:r>
              <w:rPr>
                <w:rFonts w:ascii="Arial"/>
                <w:sz w:val="18"/>
              </w:rPr>
              <w:t>0.59</w:t>
            </w:r>
          </w:p>
          <w:p>
            <w:pPr>
              <w:pStyle w:val="TableParagraph"/>
              <w:spacing w:line="240" w:lineRule="auto" w:before="102"/>
              <w:ind w:left="311" w:right="0"/>
              <w:jc w:val="center"/>
              <w:rPr>
                <w:rFonts w:ascii="Arial" w:hAnsi="Arial" w:cs="Arial" w:eastAsia="Arial" w:hint="default"/>
                <w:sz w:val="18"/>
                <w:szCs w:val="18"/>
              </w:rPr>
            </w:pPr>
            <w:r>
              <w:rPr>
                <w:rFonts w:ascii="Arial"/>
                <w:w w:val="99"/>
                <w:sz w:val="18"/>
              </w:rPr>
              <w:t>%</w:t>
            </w:r>
            <w:r>
              <w:rPr>
                <w:rFonts w:ascii="Arial"/>
                <w:sz w:val="18"/>
              </w:rPr>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9,887,833.43</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4" w:right="0"/>
              <w:jc w:val="left"/>
              <w:rPr>
                <w:rFonts w:ascii="Arial" w:hAnsi="Arial" w:cs="Arial" w:eastAsia="Arial" w:hint="default"/>
                <w:sz w:val="18"/>
                <w:szCs w:val="18"/>
              </w:rPr>
            </w:pPr>
            <w:r>
              <w:rPr>
                <w:rFonts w:ascii="Arial"/>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238,989.41</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6" w:right="0"/>
              <w:jc w:val="left"/>
              <w:rPr>
                <w:rFonts w:ascii="Arial" w:hAnsi="Arial" w:cs="Arial" w:eastAsia="Arial" w:hint="default"/>
                <w:sz w:val="18"/>
                <w:szCs w:val="18"/>
              </w:rPr>
            </w:pPr>
            <w:r>
              <w:rPr>
                <w:rFonts w:ascii="Arial"/>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12,449,336.13</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Arial" w:hAnsi="Arial" w:cs="Arial" w:eastAsia="Arial" w:hint="default"/>
                <w:sz w:val="18"/>
                <w:szCs w:val="18"/>
              </w:rPr>
            </w:pPr>
            <w:r>
              <w:rPr>
                <w:rFonts w:ascii="Arial"/>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73,031.71</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Arial" w:hAnsi="Arial" w:cs="Arial" w:eastAsia="Arial" w:hint="default"/>
                <w:sz w:val="18"/>
                <w:szCs w:val="18"/>
              </w:rPr>
            </w:pPr>
            <w:r>
              <w:rPr>
                <w:rFonts w:ascii="Arial"/>
                <w:sz w:val="18"/>
              </w:rPr>
              <w:t>--</w:t>
            </w:r>
          </w:p>
        </w:tc>
      </w:tr>
    </w:tbl>
    <w:p>
      <w:pPr>
        <w:spacing w:after="0" w:line="240" w:lineRule="auto"/>
        <w:jc w:val="left"/>
        <w:rPr>
          <w:rFonts w:ascii="Arial" w:hAnsi="Arial" w:cs="Arial" w:eastAsia="Arial" w:hint="default"/>
          <w:sz w:val="18"/>
          <w:szCs w:val="18"/>
        </w:rPr>
        <w:sectPr>
          <w:pgSz w:w="11910" w:h="16840"/>
          <w:pgMar w:header="877" w:footer="1340" w:top="1060" w:bottom="1540" w:left="980" w:right="0"/>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338" w:lineRule="auto" w:before="29"/>
        <w:ind w:right="-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组合中，采用账龄分析法计提坏账准备的其他应收款</w:t>
      </w:r>
    </w:p>
    <w:p>
      <w:pPr>
        <w:pStyle w:val="BodyText"/>
        <w:spacing w:line="240" w:lineRule="auto" w:before="44"/>
        <w:ind w:right="-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2"/>
        <w:gridCol w:w="1594"/>
        <w:gridCol w:w="1862"/>
        <w:gridCol w:w="665"/>
        <w:gridCol w:w="1726"/>
      </w:tblGrid>
      <w:tr>
        <w:trPr>
          <w:trHeight w:val="403" w:hRule="exact"/>
        </w:trPr>
        <w:tc>
          <w:tcPr>
            <w:tcW w:w="1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66"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266"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7" w:right="0"/>
              <w:jc w:val="left"/>
              <w:rPr>
                <w:rFonts w:ascii="Arial" w:hAnsi="Arial" w:cs="Arial" w:eastAsia="Arial" w:hint="default"/>
                <w:sz w:val="18"/>
                <w:szCs w:val="18"/>
              </w:rPr>
            </w:pPr>
            <w:r>
              <w:rPr>
                <w:rFonts w:ascii="Arial"/>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7" w:right="0"/>
              <w:jc w:val="left"/>
              <w:rPr>
                <w:rFonts w:ascii="Arial" w:hAnsi="Arial" w:cs="Arial" w:eastAsia="Arial" w:hint="default"/>
                <w:sz w:val="18"/>
                <w:szCs w:val="18"/>
              </w:rPr>
            </w:pPr>
            <w:r>
              <w:rPr>
                <w:rFonts w:ascii="Arial"/>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256"/>
        <w:gridCol w:w="1793"/>
        <w:gridCol w:w="662"/>
        <w:gridCol w:w="1594"/>
        <w:gridCol w:w="1862"/>
        <w:gridCol w:w="665"/>
        <w:gridCol w:w="1726"/>
      </w:tblGrid>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Arial" w:hAnsi="Arial" w:cs="Arial" w:eastAsia="Arial" w:hint="default"/>
                <w:sz w:val="18"/>
                <w:szCs w:val="18"/>
              </w:rPr>
            </w:pPr>
            <w:r>
              <w:rPr>
                <w:rFonts w:ascii="Arial"/>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Arial" w:hAnsi="Arial" w:cs="Arial" w:eastAsia="Arial" w:hint="default"/>
                <w:sz w:val="18"/>
                <w:szCs w:val="18"/>
              </w:rPr>
            </w:pPr>
            <w:r>
              <w:rPr>
                <w:rFonts w:ascii="Arial"/>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Arial" w:hAnsi="Arial" w:cs="Arial" w:eastAsia="Arial" w:hint="default"/>
                <w:sz w:val="18"/>
                <w:szCs w:val="18"/>
              </w:rPr>
            </w:pPr>
            <w:r>
              <w:rPr>
                <w:rFonts w:ascii="Arial"/>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6" w:right="0"/>
              <w:jc w:val="left"/>
              <w:rPr>
                <w:rFonts w:ascii="Arial" w:hAnsi="Arial" w:cs="Arial" w:eastAsia="Arial" w:hint="default"/>
                <w:sz w:val="18"/>
                <w:szCs w:val="18"/>
              </w:rPr>
            </w:pPr>
            <w:r>
              <w:rPr>
                <w:rFonts w:ascii="Arial"/>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Arial" w:hAnsi="Arial" w:cs="Arial" w:eastAsia="Arial" w:hint="default"/>
                <w:sz w:val="18"/>
                <w:szCs w:val="18"/>
              </w:rPr>
            </w:pPr>
            <w:r>
              <w:rPr>
                <w:rFonts w:ascii="Arial"/>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Arial" w:hAnsi="Arial" w:cs="Arial" w:eastAsia="Arial" w:hint="default"/>
                <w:sz w:val="18"/>
                <w:szCs w:val="18"/>
              </w:rPr>
            </w:pPr>
            <w:r>
              <w:rPr>
                <w:rFonts w:ascii="Arial"/>
                <w:sz w:val="18"/>
              </w:rPr>
              <w:t>--</w:t>
            </w:r>
          </w:p>
        </w:tc>
      </w:tr>
      <w:tr>
        <w:trPr>
          <w:trHeight w:val="163" w:hRule="exact"/>
        </w:trPr>
        <w:tc>
          <w:tcPr>
            <w:tcW w:w="12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9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03" w:right="0"/>
              <w:jc w:val="left"/>
              <w:rPr>
                <w:rFonts w:ascii="Arial" w:hAnsi="Arial" w:cs="Arial" w:eastAsia="Arial" w:hint="default"/>
                <w:sz w:val="18"/>
                <w:szCs w:val="18"/>
              </w:rPr>
            </w:pPr>
            <w:r>
              <w:rPr>
                <w:rFonts w:ascii="Arial"/>
                <w:sz w:val="18"/>
              </w:rPr>
              <w:t>8,417,331.23</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85.12</w:t>
            </w:r>
            <w:r>
              <w:rPr>
                <w:rFonts w:ascii="Arial"/>
                <w:sz w:val="18"/>
              </w:rPr>
            </w:r>
          </w:p>
          <w:p>
            <w:pPr>
              <w:pStyle w:val="TableParagraph"/>
              <w:spacing w:line="240" w:lineRule="auto" w:before="102"/>
              <w:ind w:right="20"/>
              <w:jc w:val="right"/>
              <w:rPr>
                <w:rFonts w:ascii="Arial" w:hAnsi="Arial" w:cs="Arial" w:eastAsia="Arial" w:hint="default"/>
                <w:sz w:val="18"/>
                <w:szCs w:val="18"/>
              </w:rPr>
            </w:pPr>
            <w:r>
              <w:rPr>
                <w:rFonts w:ascii="Arial"/>
                <w:w w:val="99"/>
                <w:sz w:val="18"/>
              </w:rPr>
              <w:t>%</w:t>
            </w:r>
            <w:r>
              <w:rPr>
                <w:rFonts w:ascii="Arial"/>
                <w:sz w:val="18"/>
              </w:rPr>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60" w:right="0"/>
              <w:jc w:val="left"/>
              <w:rPr>
                <w:rFonts w:ascii="Arial" w:hAnsi="Arial" w:cs="Arial" w:eastAsia="Arial" w:hint="default"/>
                <w:sz w:val="18"/>
                <w:szCs w:val="18"/>
              </w:rPr>
            </w:pPr>
            <w:r>
              <w:rPr>
                <w:rFonts w:ascii="Arial"/>
                <w:sz w:val="18"/>
              </w:rPr>
              <w:t>33,014.76</w:t>
            </w:r>
          </w:p>
        </w:tc>
        <w:tc>
          <w:tcPr>
            <w:tcW w:w="18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79" w:right="0"/>
              <w:jc w:val="left"/>
              <w:rPr>
                <w:rFonts w:ascii="Arial" w:hAnsi="Arial" w:cs="Arial" w:eastAsia="Arial" w:hint="default"/>
                <w:sz w:val="18"/>
                <w:szCs w:val="18"/>
              </w:rPr>
            </w:pPr>
            <w:r>
              <w:rPr>
                <w:rFonts w:ascii="Arial"/>
                <w:sz w:val="18"/>
              </w:rPr>
              <w:t>12,213,019.21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6" w:right="0"/>
              <w:jc w:val="left"/>
              <w:rPr>
                <w:rFonts w:ascii="Arial" w:hAnsi="Arial" w:cs="Arial" w:eastAsia="Arial" w:hint="default"/>
                <w:sz w:val="18"/>
                <w:szCs w:val="18"/>
              </w:rPr>
            </w:pPr>
            <w:r>
              <w:rPr>
                <w:rFonts w:ascii="Arial"/>
                <w:spacing w:val="-3"/>
                <w:sz w:val="18"/>
              </w:rPr>
              <w:t>98.11%</w:t>
            </w:r>
          </w:p>
        </w:tc>
        <w:tc>
          <w:tcPr>
            <w:tcW w:w="17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92" w:right="0"/>
              <w:jc w:val="left"/>
              <w:rPr>
                <w:rFonts w:ascii="Arial" w:hAnsi="Arial" w:cs="Arial" w:eastAsia="Arial" w:hint="default"/>
                <w:sz w:val="18"/>
                <w:szCs w:val="18"/>
              </w:rPr>
            </w:pPr>
            <w:r>
              <w:rPr>
                <w:rFonts w:ascii="Arial"/>
                <w:sz w:val="18"/>
              </w:rPr>
              <w:t>15,344.85</w:t>
            </w:r>
          </w:p>
        </w:tc>
      </w:tr>
      <w:tr>
        <w:trPr>
          <w:trHeight w:val="391" w:hRule="exact"/>
        </w:trPr>
        <w:tc>
          <w:tcPr>
            <w:tcW w:w="12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年以内小计</w:t>
            </w:r>
          </w:p>
        </w:tc>
        <w:tc>
          <w:tcPr>
            <w:tcW w:w="1793" w:type="dxa"/>
            <w:vMerge/>
            <w:tcBorders>
              <w:left w:val="single" w:sz="10" w:space="0" w:color="D2D2D2"/>
              <w:right w:val="single" w:sz="4" w:space="0" w:color="000000"/>
            </w:tcBorders>
          </w:tcPr>
          <w:p>
            <w:pPr/>
          </w:p>
        </w:tc>
        <w:tc>
          <w:tcPr>
            <w:tcW w:w="662"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8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r>
      <w:tr>
        <w:trPr>
          <w:trHeight w:val="161" w:hRule="exact"/>
        </w:trPr>
        <w:tc>
          <w:tcPr>
            <w:tcW w:w="12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93" w:type="dxa"/>
            <w:vMerge/>
            <w:tcBorders>
              <w:left w:val="single" w:sz="10" w:space="0" w:color="D2D2D2"/>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8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r>
      <w:tr>
        <w:trPr>
          <w:trHeight w:val="161" w:hRule="exact"/>
        </w:trPr>
        <w:tc>
          <w:tcPr>
            <w:tcW w:w="12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93"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03" w:right="0"/>
              <w:jc w:val="left"/>
              <w:rPr>
                <w:rFonts w:ascii="Arial" w:hAnsi="Arial" w:cs="Arial" w:eastAsia="Arial" w:hint="default"/>
                <w:sz w:val="18"/>
                <w:szCs w:val="18"/>
              </w:rPr>
            </w:pPr>
            <w:r>
              <w:rPr>
                <w:rFonts w:ascii="Arial"/>
                <w:sz w:val="18"/>
              </w:rPr>
              <w:t>1,266,385.28</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12.81</w:t>
            </w:r>
            <w:r>
              <w:rPr>
                <w:rFonts w:ascii="Arial"/>
                <w:sz w:val="18"/>
              </w:rPr>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0" w:right="0"/>
              <w:jc w:val="left"/>
              <w:rPr>
                <w:rFonts w:ascii="Arial" w:hAnsi="Arial" w:cs="Arial" w:eastAsia="Arial" w:hint="default"/>
                <w:sz w:val="18"/>
                <w:szCs w:val="18"/>
              </w:rPr>
            </w:pPr>
            <w:r>
              <w:rPr>
                <w:rFonts w:ascii="Arial"/>
                <w:sz w:val="18"/>
              </w:rPr>
              <w:t>89,040.93</w:t>
            </w:r>
          </w:p>
        </w:tc>
        <w:tc>
          <w:tcPr>
            <w:tcW w:w="18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29" w:right="0"/>
              <w:jc w:val="left"/>
              <w:rPr>
                <w:rFonts w:ascii="Arial" w:hAnsi="Arial" w:cs="Arial" w:eastAsia="Arial" w:hint="default"/>
                <w:sz w:val="18"/>
                <w:szCs w:val="18"/>
              </w:rPr>
            </w:pPr>
            <w:r>
              <w:rPr>
                <w:rFonts w:ascii="Arial"/>
                <w:sz w:val="18"/>
              </w:rPr>
              <w:t>91,179.00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Arial" w:hAnsi="Arial" w:cs="Arial" w:eastAsia="Arial" w:hint="default"/>
                <w:sz w:val="18"/>
                <w:szCs w:val="18"/>
              </w:rPr>
            </w:pPr>
            <w:r>
              <w:rPr>
                <w:rFonts w:ascii="Arial"/>
                <w:sz w:val="18"/>
              </w:rPr>
              <w:t>0.73%</w:t>
            </w:r>
          </w:p>
        </w:tc>
        <w:tc>
          <w:tcPr>
            <w:tcW w:w="172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07" w:right="0"/>
              <w:jc w:val="left"/>
              <w:rPr>
                <w:rFonts w:ascii="Arial" w:hAnsi="Arial" w:cs="Arial" w:eastAsia="Arial" w:hint="default"/>
                <w:sz w:val="18"/>
                <w:szCs w:val="18"/>
              </w:rPr>
            </w:pPr>
            <w:r>
              <w:rPr>
                <w:rFonts w:ascii="Arial"/>
                <w:sz w:val="18"/>
              </w:rPr>
              <w:t>9,117.90</w:t>
            </w:r>
          </w:p>
        </w:tc>
      </w:tr>
      <w:tr>
        <w:trPr>
          <w:trHeight w:val="391" w:hRule="exact"/>
        </w:trPr>
        <w:tc>
          <w:tcPr>
            <w:tcW w:w="12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793" w:type="dxa"/>
            <w:vMerge/>
            <w:tcBorders>
              <w:left w:val="single" w:sz="10" w:space="0" w:color="D2D2D2"/>
              <w:right w:val="single" w:sz="4" w:space="0" w:color="000000"/>
            </w:tcBorders>
          </w:tcPr>
          <w:p>
            <w:pPr/>
          </w:p>
        </w:tc>
        <w:tc>
          <w:tcPr>
            <w:tcW w:w="662"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8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r>
      <w:tr>
        <w:trPr>
          <w:trHeight w:val="161" w:hRule="exact"/>
        </w:trPr>
        <w:tc>
          <w:tcPr>
            <w:tcW w:w="12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93" w:type="dxa"/>
            <w:vMerge/>
            <w:tcBorders>
              <w:left w:val="single" w:sz="10" w:space="0" w:color="D2D2D2"/>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8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7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58,979.00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0.6%</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11,795.80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80,000.00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w w:val="95"/>
                <w:sz w:val="18"/>
              </w:rPr>
              <w:t>0.64%</w:t>
            </w:r>
            <w:r>
              <w:rPr>
                <w:rFonts w:ascii="Arial"/>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16,000.00</w:t>
            </w:r>
          </w:p>
        </w:tc>
      </w:tr>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7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0.81%</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65,137.92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0.52%</w:t>
            </w:r>
            <w:r>
              <w:rPr>
                <w:rFonts w:ascii="Arial"/>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32,568.96</w:t>
            </w: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7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65,137.92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0.66%</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65,137.92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w w:val="95"/>
                <w:sz w:val="18"/>
              </w:rPr>
              <w:t>0%</w:t>
            </w:r>
            <w:r>
              <w:rPr>
                <w:rFonts w:ascii="Arial"/>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9,887,833.43</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238,989.41</w:t>
            </w:r>
          </w:p>
        </w:tc>
        <w:tc>
          <w:tcPr>
            <w:tcW w:w="18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12,449,336.13</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Arial" w:hAnsi="Arial" w:cs="Arial" w:eastAsia="Arial" w:hint="default"/>
                <w:sz w:val="18"/>
                <w:szCs w:val="18"/>
              </w:rPr>
            </w:pPr>
            <w:r>
              <w:rPr>
                <w:rFonts w:ascii="Arial"/>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73,031.71</w:t>
            </w:r>
          </w:p>
        </w:tc>
      </w:tr>
    </w:tbl>
    <w:p>
      <w:pPr>
        <w:pStyle w:val="BodyText"/>
        <w:spacing w:line="240" w:lineRule="auto" w:before="49"/>
        <w:ind w:right="1121"/>
        <w:jc w:val="left"/>
      </w:pPr>
      <w:r>
        <w:rPr/>
        <w:t>组合中，采用余额百分比法计提坏账准备的其他应收款</w:t>
      </w:r>
    </w:p>
    <w:p>
      <w:pPr>
        <w:pStyle w:val="BodyText"/>
        <w:spacing w:line="340" w:lineRule="auto" w:before="115"/>
        <w:ind w:right="67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组合中，采用其他方法计提坏账准备的其他应收款</w:t>
      </w:r>
    </w:p>
    <w:p>
      <w:pPr>
        <w:pStyle w:val="BodyText"/>
        <w:spacing w:line="340" w:lineRule="auto" w:before="39"/>
        <w:ind w:right="62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 期末单项金额虽不重大但单项计提坏账准备的其他应收款</w:t>
      </w:r>
    </w:p>
    <w:p>
      <w:pPr>
        <w:pStyle w:val="BodyText"/>
        <w:spacing w:line="240" w:lineRule="auto" w:before="41"/>
        <w:ind w:right="112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21"/>
        <w:jc w:val="left"/>
        <w:rPr>
          <w:b w:val="0"/>
          <w:bCs w:val="0"/>
        </w:rPr>
      </w:pPr>
      <w:r>
        <w:rPr/>
        <w:t>（</w:t>
      </w:r>
      <w:r>
        <w:rPr>
          <w:rFonts w:ascii="Arial" w:hAnsi="Arial" w:cs="Arial" w:eastAsia="Arial" w:hint="default"/>
        </w:rPr>
        <w:t>2</w:t>
      </w:r>
      <w:r>
        <w:rPr/>
        <w:t>）本报告期转回或收回的其他应收款情况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pStyle w:val="BodyText"/>
        <w:spacing w:line="357" w:lineRule="auto" w:before="50"/>
        <w:ind w:left="513" w:right="-19" w:hanging="361"/>
        <w:jc w:val="left"/>
      </w:pPr>
      <w:r>
        <w:rPr/>
        <w:t>期末单项金额重大或虽不重大但单独进行减值测试的其他应收账款坏账准备计提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6454" w:space="2376"/>
            <w:col w:w="210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3"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357" w:lineRule="auto" w:before="49"/>
        <w:ind w:left="513" w:right="4454" w:hanging="361"/>
        <w:jc w:val="left"/>
      </w:pPr>
      <w:r>
        <w:rPr/>
        <w:t>单项金额不重大但按信用风险特征组合后该组合的风险较大的其他应收款的说明 不适用</w:t>
      </w:r>
    </w:p>
    <w:p>
      <w:pPr>
        <w:spacing w:line="240" w:lineRule="auto" w:before="6"/>
        <w:rPr>
          <w:rFonts w:ascii="宋体" w:hAnsi="宋体" w:cs="宋体" w:eastAsia="宋体" w:hint="default"/>
          <w:sz w:val="20"/>
          <w:szCs w:val="20"/>
        </w:rPr>
      </w:pPr>
    </w:p>
    <w:p>
      <w:pPr>
        <w:pStyle w:val="Heading3"/>
        <w:spacing w:line="240" w:lineRule="auto"/>
        <w:ind w:right="1121"/>
        <w:jc w:val="left"/>
        <w:rPr>
          <w:b w:val="0"/>
          <w:bCs w:val="0"/>
        </w:rPr>
      </w:pPr>
      <w:r>
        <w:rPr/>
        <w:t>（</w:t>
      </w:r>
      <w:r>
        <w:rPr>
          <w:rFonts w:ascii="Arial" w:hAnsi="Arial" w:cs="Arial" w:eastAsia="Arial" w:hint="default"/>
        </w:rPr>
        <w:t>3</w:t>
      </w:r>
      <w:r>
        <w:rPr/>
        <w:t>）本报告期实际核销的其他应收款情况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357" w:lineRule="auto" w:before="49"/>
        <w:ind w:left="522" w:right="7504" w:hanging="371"/>
        <w:jc w:val="left"/>
      </w:pPr>
      <w:r>
        <w:rPr/>
        <w:t>其他应收款核销说明 本报告期无实际核销的其他应收款。</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3"/>
        <w:spacing w:line="240" w:lineRule="auto"/>
        <w:ind w:right="1121"/>
        <w:jc w:val="left"/>
        <w:rPr>
          <w:b w:val="0"/>
          <w:bCs w:val="0"/>
        </w:rPr>
      </w:pPr>
      <w:r>
        <w:rPr/>
        <w:t>（</w:t>
      </w:r>
      <w:r>
        <w:rPr>
          <w:rFonts w:ascii="Arial" w:hAnsi="Arial" w:cs="Arial" w:eastAsia="Arial" w:hint="default"/>
        </w:rPr>
        <w:t>4</w:t>
      </w:r>
      <w:r>
        <w:rPr/>
        <w:t>）本报告期其他应收款中持有公司</w:t>
      </w:r>
      <w:r>
        <w:rPr>
          <w:spacing w:val="-55"/>
        </w:rPr>
        <w:t> </w:t>
      </w:r>
      <w:r>
        <w:rPr>
          <w:rFonts w:ascii="Arial" w:hAnsi="Arial" w:cs="Arial" w:eastAsia="Arial" w:hint="default"/>
        </w:rPr>
        <w:t>5</w:t>
      </w:r>
      <w:r>
        <w:rPr/>
        <w:t>％（含</w:t>
      </w:r>
      <w:r>
        <w:rPr>
          <w:spacing w:val="-56"/>
        </w:rPr>
        <w:t> </w:t>
      </w:r>
      <w:r>
        <w:rPr>
          <w:rFonts w:ascii="Arial" w:hAnsi="Arial" w:cs="Arial" w:eastAsia="Arial" w:hint="default"/>
        </w:rPr>
        <w:t>5</w:t>
      </w:r>
      <w:r>
        <w:rPr/>
        <w:t>％）以上表决权股份的股东单位情况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726"/>
        <w:gridCol w:w="1861"/>
        <w:gridCol w:w="1596"/>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27"/>
          <w:szCs w:val="27"/>
        </w:rPr>
      </w:pPr>
    </w:p>
    <w:p>
      <w:pPr>
        <w:pStyle w:val="BodyText"/>
        <w:spacing w:line="240" w:lineRule="auto" w:before="44"/>
        <w:ind w:left="513" w:right="1121"/>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t>（</w:t>
      </w:r>
      <w:r>
        <w:rPr>
          <w:rFonts w:ascii="Arial" w:hAnsi="Arial" w:cs="Arial" w:eastAsia="Arial" w:hint="default"/>
        </w:rPr>
        <w:t>5</w:t>
      </w:r>
      <w:r>
        <w:rPr/>
        <w:t>）金额较大的其他应收款的性质或内容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22" w:right="1121"/>
        <w:jc w:val="left"/>
      </w:pPr>
      <w:r>
        <w:rPr/>
        <w:t>金额较大的其他应收款项主要为</w:t>
      </w:r>
      <w:r>
        <w:rPr>
          <w:color w:val="001F5F"/>
        </w:rPr>
        <w:t>保证金及子公司往来款。</w:t>
      </w:r>
      <w:r>
        <w:rPr/>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t>（</w:t>
      </w:r>
      <w:r>
        <w:rPr>
          <w:rFonts w:ascii="Arial" w:hAnsi="Arial" w:cs="Arial" w:eastAsia="Arial" w:hint="default"/>
        </w:rPr>
        <w:t>6</w:t>
      </w:r>
      <w:r>
        <w:rPr/>
        <w:t>）其他应收款金额前五名单位情况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6"/>
        <w:gridCol w:w="1913"/>
        <w:gridCol w:w="1916"/>
        <w:gridCol w:w="1913"/>
        <w:gridCol w:w="1917"/>
      </w:tblGrid>
      <w:tr>
        <w:trPr>
          <w:trHeight w:val="71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2" w:right="53" w:hanging="670"/>
              <w:jc w:val="left"/>
              <w:rPr>
                <w:rFonts w:ascii="Arial" w:hAnsi="Arial" w:cs="Arial" w:eastAsia="Arial" w:hint="default"/>
                <w:sz w:val="18"/>
                <w:szCs w:val="18"/>
              </w:rPr>
            </w:pPr>
            <w:r>
              <w:rPr>
                <w:rFonts w:ascii="宋体" w:hAnsi="宋体" w:cs="宋体" w:eastAsia="宋体" w:hint="default"/>
                <w:sz w:val="18"/>
                <w:szCs w:val="18"/>
              </w:rPr>
              <w:t>占其他应收款总额的比 例</w:t>
            </w:r>
            <w:r>
              <w:rPr>
                <w:rFonts w:ascii="Arial" w:hAnsi="Arial" w:cs="Arial" w:eastAsia="Arial"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个月内</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30.34%</w:t>
            </w:r>
          </w:p>
        </w:tc>
      </w:tr>
      <w:tr>
        <w:trPr>
          <w:trHeight w:val="401" w:hRule="exact"/>
        </w:trPr>
        <w:tc>
          <w:tcPr>
            <w:tcW w:w="191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08"/>
              <w:jc w:val="right"/>
              <w:rPr>
                <w:rFonts w:ascii="Arial" w:hAnsi="Arial" w:cs="Arial" w:eastAsia="Arial" w:hint="default"/>
                <w:sz w:val="18"/>
                <w:szCs w:val="18"/>
              </w:rPr>
            </w:pPr>
            <w:r>
              <w:rPr>
                <w:rFonts w:ascii="Arial"/>
                <w:spacing w:val="-1"/>
                <w:sz w:val="18"/>
              </w:rPr>
              <w:t>2,100,000.00</w:t>
            </w:r>
          </w:p>
        </w:tc>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7"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08"/>
              <w:jc w:val="right"/>
              <w:rPr>
                <w:rFonts w:ascii="Arial" w:hAnsi="Arial" w:cs="Arial" w:eastAsia="Arial" w:hint="default"/>
                <w:sz w:val="18"/>
                <w:szCs w:val="18"/>
              </w:rPr>
            </w:pPr>
            <w:r>
              <w:rPr>
                <w:rFonts w:ascii="Arial"/>
                <w:spacing w:val="-1"/>
                <w:sz w:val="18"/>
              </w:rPr>
              <w:t>21.24%</w:t>
            </w:r>
          </w:p>
        </w:tc>
      </w:tr>
      <w:tr>
        <w:trPr>
          <w:trHeight w:val="392"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8"/>
              <w:jc w:val="right"/>
              <w:rPr>
                <w:rFonts w:ascii="Arial" w:hAnsi="Arial" w:cs="Arial" w:eastAsia="Arial" w:hint="default"/>
                <w:sz w:val="18"/>
                <w:szCs w:val="18"/>
              </w:rPr>
            </w:pPr>
            <w:r>
              <w:rPr>
                <w:rFonts w:ascii="Arial"/>
                <w:spacing w:val="-1"/>
                <w:sz w:val="18"/>
              </w:rPr>
              <w:t>1,000,000.00</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个月内</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8"/>
              <w:jc w:val="right"/>
              <w:rPr>
                <w:rFonts w:ascii="Arial" w:hAnsi="Arial" w:cs="Arial" w:eastAsia="Arial" w:hint="default"/>
                <w:sz w:val="18"/>
                <w:szCs w:val="18"/>
              </w:rPr>
            </w:pPr>
            <w:r>
              <w:rPr>
                <w:rFonts w:ascii="Arial"/>
                <w:spacing w:val="-3"/>
                <w:sz w:val="18"/>
              </w:rPr>
              <w:t>10.11%</w:t>
            </w:r>
          </w:p>
        </w:tc>
      </w:tr>
      <w:tr>
        <w:trPr>
          <w:trHeight w:val="391"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Arial" w:hAnsi="Arial" w:cs="Arial" w:eastAsia="Arial" w:hint="default"/>
                <w:sz w:val="18"/>
                <w:szCs w:val="18"/>
              </w:rPr>
            </w:pPr>
            <w:r>
              <w:rPr>
                <w:rFonts w:ascii="Arial"/>
                <w:spacing w:val="-1"/>
                <w:sz w:val="18"/>
              </w:rPr>
              <w:t>445,006.93</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8"/>
              <w:jc w:val="right"/>
              <w:rPr>
                <w:rFonts w:ascii="Arial" w:hAnsi="Arial" w:cs="Arial" w:eastAsia="Arial" w:hint="default"/>
                <w:sz w:val="18"/>
                <w:szCs w:val="18"/>
              </w:rPr>
            </w:pPr>
            <w:r>
              <w:rPr>
                <w:rFonts w:ascii="Arial"/>
                <w:w w:val="95"/>
                <w:sz w:val="18"/>
              </w:rPr>
              <w:t>4.5%</w:t>
            </w:r>
            <w:r>
              <w:rPr>
                <w:rFonts w:ascii="Arial"/>
                <w:sz w:val="18"/>
              </w:rPr>
            </w:r>
          </w:p>
        </w:tc>
      </w:tr>
      <w:tr>
        <w:trPr>
          <w:trHeight w:val="395" w:hRule="exact"/>
        </w:trPr>
        <w:tc>
          <w:tcPr>
            <w:tcW w:w="1916"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7"/>
              <w:jc w:val="right"/>
              <w:rPr>
                <w:rFonts w:ascii="Arial" w:hAnsi="Arial" w:cs="Arial" w:eastAsia="Arial" w:hint="default"/>
                <w:sz w:val="18"/>
                <w:szCs w:val="18"/>
              </w:rPr>
            </w:pPr>
            <w:r>
              <w:rPr>
                <w:rFonts w:ascii="Arial"/>
                <w:spacing w:val="-1"/>
                <w:sz w:val="18"/>
              </w:rPr>
              <w:t>337,058.28</w:t>
            </w:r>
          </w:p>
        </w:tc>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7"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8"/>
              <w:jc w:val="right"/>
              <w:rPr>
                <w:rFonts w:ascii="Arial" w:hAnsi="Arial" w:cs="Arial" w:eastAsia="Arial" w:hint="default"/>
                <w:sz w:val="18"/>
                <w:szCs w:val="18"/>
              </w:rPr>
            </w:pPr>
            <w:r>
              <w:rPr>
                <w:rFonts w:ascii="Arial"/>
                <w:w w:val="95"/>
                <w:sz w:val="18"/>
              </w:rPr>
              <w:t>3.41%</w:t>
            </w:r>
            <w:r>
              <w:rPr>
                <w:rFonts w:ascii="Arial"/>
                <w:sz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Arial" w:hAnsi="Arial" w:cs="Arial" w:eastAsia="Arial" w:hint="default"/>
                <w:sz w:val="18"/>
                <w:szCs w:val="18"/>
              </w:rPr>
            </w:pPr>
            <w:r>
              <w:rPr>
                <w:rFonts w:ascii="Arial"/>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1"/>
              <w:jc w:val="right"/>
              <w:rPr>
                <w:rFonts w:ascii="Arial" w:hAnsi="Arial" w:cs="Arial" w:eastAsia="Arial" w:hint="default"/>
                <w:sz w:val="18"/>
                <w:szCs w:val="18"/>
              </w:rPr>
            </w:pPr>
            <w:r>
              <w:rPr>
                <w:rFonts w:ascii="Arial"/>
                <w:spacing w:val="-1"/>
                <w:sz w:val="18"/>
              </w:rPr>
              <w:t>6,882,065.21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191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1"/>
              <w:jc w:val="right"/>
              <w:rPr>
                <w:rFonts w:ascii="Arial" w:hAnsi="Arial" w:cs="Arial" w:eastAsia="Arial" w:hint="default"/>
                <w:sz w:val="18"/>
                <w:szCs w:val="18"/>
              </w:rPr>
            </w:pPr>
            <w:r>
              <w:rPr>
                <w:rFonts w:ascii="Arial"/>
                <w:w w:val="95"/>
                <w:sz w:val="18"/>
              </w:rPr>
              <w:t>69.6%</w:t>
            </w:r>
            <w:r>
              <w:rPr>
                <w:rFonts w:ascii="Arial"/>
                <w:sz w:val="18"/>
              </w:rPr>
            </w:r>
          </w:p>
        </w:tc>
      </w:tr>
    </w:tbl>
    <w:p>
      <w:pPr>
        <w:spacing w:line="240" w:lineRule="auto" w:before="1"/>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7</w:t>
      </w:r>
      <w:r>
        <w:rPr/>
        <w:t>）其他应收关联方账款情况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Arial" w:hAnsi="Arial" w:cs="Arial" w:eastAsia="Arial" w:hint="default"/>
                <w:sz w:val="18"/>
                <w:szCs w:val="18"/>
              </w:rPr>
            </w:pPr>
            <w:r>
              <w:rPr>
                <w:rFonts w:ascii="宋体" w:hAnsi="宋体" w:cs="宋体" w:eastAsia="宋体" w:hint="default"/>
                <w:w w:val="95"/>
                <w:sz w:val="18"/>
                <w:szCs w:val="18"/>
              </w:rPr>
              <w:t>占其他应收款总额的比例</w:t>
            </w:r>
            <w:r>
              <w:rPr>
                <w:rFonts w:ascii="Arial" w:hAnsi="Arial" w:cs="Arial" w:eastAsia="Arial" w:hint="default"/>
                <w:w w:val="95"/>
                <w:sz w:val="18"/>
                <w:szCs w:val="18"/>
              </w:rPr>
              <w:t>(%)</w:t>
            </w:r>
            <w:r>
              <w:rPr>
                <w:rFonts w:ascii="Arial" w:hAnsi="Arial" w:cs="Arial" w:eastAsia="Arial" w:hint="default"/>
                <w:sz w:val="18"/>
                <w:szCs w:val="18"/>
              </w:rPr>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2,100,000.00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21.24%</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香港茂硕</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445,006.93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4.5%</w:t>
            </w:r>
            <w:r>
              <w:rPr>
                <w:rFonts w:ascii="Arial"/>
                <w:sz w:val="18"/>
              </w:rPr>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2,545,006.93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25.74%</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8</w:t>
      </w:r>
      <w:r>
        <w:rPr/>
        <w:t>）</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21"/>
        <w:jc w:val="left"/>
      </w:pPr>
      <w:r>
        <w:rPr/>
        <w:t>不符合终止确认条件的其他应收款项的转移金额为</w:t>
      </w:r>
      <w:r>
        <w:rPr>
          <w:spacing w:val="-44"/>
        </w:rPr>
        <w:t> </w:t>
      </w:r>
      <w:r>
        <w:rPr>
          <w:rFonts w:ascii="Arial" w:hAnsi="Arial" w:cs="Arial" w:eastAsia="Arial" w:hint="default"/>
        </w:rPr>
        <w:t>0.00</w:t>
      </w:r>
      <w:r>
        <w:rPr>
          <w:rFonts w:ascii="Arial" w:hAnsi="Arial" w:cs="Arial" w:eastAsia="Arial" w:hint="default"/>
          <w:spacing w:val="-4"/>
        </w:rPr>
        <w:t> </w:t>
      </w:r>
      <w:r>
        <w:rPr/>
        <w:t>元。</w:t>
      </w:r>
    </w:p>
    <w:p>
      <w:pPr>
        <w:spacing w:line="240" w:lineRule="auto" w:before="3"/>
        <w:rPr>
          <w:rFonts w:ascii="宋体" w:hAnsi="宋体" w:cs="宋体" w:eastAsia="宋体" w:hint="default"/>
          <w:sz w:val="26"/>
          <w:szCs w:val="26"/>
        </w:rPr>
      </w:pPr>
    </w:p>
    <w:p>
      <w:pPr>
        <w:pStyle w:val="Heading3"/>
        <w:spacing w:line="240" w:lineRule="auto"/>
        <w:ind w:right="1121"/>
        <w:jc w:val="left"/>
        <w:rPr>
          <w:b w:val="0"/>
          <w:bCs w:val="0"/>
        </w:rPr>
      </w:pPr>
      <w:r>
        <w:rPr/>
        <w:t>（</w:t>
      </w:r>
      <w:r>
        <w:rPr>
          <w:rFonts w:ascii="Arial" w:hAnsi="Arial" w:cs="Arial" w:eastAsia="Arial" w:hint="default"/>
        </w:rPr>
        <w:t>9</w:t>
      </w:r>
      <w:r>
        <w:rPr/>
        <w:t>）以其他应收款项为标的资产进行资产证券化的，需简要说明相关交易安排</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70" w:right="1121"/>
        <w:jc w:val="left"/>
      </w:pPr>
      <w:r>
        <w:rPr/>
        <w:t>本报告期内无以其他应收款为标的资产进行资产证券化。</w:t>
      </w:r>
    </w:p>
    <w:p>
      <w:pPr>
        <w:spacing w:line="240" w:lineRule="auto" w:before="0"/>
        <w:rPr>
          <w:rFonts w:ascii="宋体" w:hAnsi="宋体" w:cs="宋体" w:eastAsia="宋体" w:hint="default"/>
          <w:sz w:val="18"/>
          <w:szCs w:val="18"/>
        </w:rPr>
      </w:pPr>
    </w:p>
    <w:p>
      <w:pPr>
        <w:pStyle w:val="Heading3"/>
        <w:spacing w:line="240" w:lineRule="auto" w:before="120"/>
        <w:ind w:right="1121"/>
        <w:jc w:val="left"/>
        <w:rPr>
          <w:b w:val="0"/>
          <w:bCs w:val="0"/>
        </w:rPr>
      </w:pPr>
      <w:r>
        <w:rPr>
          <w:rFonts w:ascii="Arial" w:hAnsi="Arial" w:cs="Arial" w:eastAsia="Arial"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5"/>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Arial" w:hAnsi="Arial" w:cs="Arial" w:eastAsia="Arial" w:hint="default"/>
                <w:sz w:val="18"/>
                <w:szCs w:val="18"/>
              </w:rPr>
            </w:pPr>
            <w:r>
              <w:rPr>
                <w:rFonts w:ascii="宋体" w:hAnsi="宋体" w:cs="宋体" w:eastAsia="宋体" w:hint="default"/>
                <w:sz w:val="18"/>
                <w:szCs w:val="18"/>
              </w:rPr>
              <w:t>在被投资 单位持股 比例</w:t>
            </w:r>
            <w:r>
              <w:rPr>
                <w:rFonts w:ascii="Arial" w:hAnsi="Arial" w:cs="Arial" w:eastAsia="Arial"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Arial" w:hAnsi="Arial" w:cs="Arial" w:eastAsia="Arial" w:hint="default"/>
                <w:sz w:val="18"/>
                <w:szCs w:val="18"/>
              </w:rPr>
            </w:pPr>
            <w:r>
              <w:rPr>
                <w:rFonts w:ascii="宋体" w:hAnsi="宋体" w:cs="宋体" w:eastAsia="宋体" w:hint="default"/>
                <w:sz w:val="18"/>
                <w:szCs w:val="18"/>
              </w:rPr>
              <w:t>在被投资 单位表决 权比例 </w:t>
            </w:r>
            <w:r>
              <w:rPr>
                <w:rFonts w:ascii="Arial" w:hAnsi="Arial" w:cs="Arial" w:eastAsia="Arial"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茂硕研究 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Arial" w:hAnsi="Arial" w:cs="Arial" w:eastAsia="Arial" w:hint="default"/>
                <w:sz w:val="18"/>
                <w:szCs w:val="18"/>
              </w:rPr>
            </w:pPr>
            <w:r>
              <w:rPr>
                <w:rFonts w:ascii="Arial"/>
                <w:sz w:val="18"/>
              </w:rPr>
              <w:t>10,000,0</w:t>
            </w:r>
          </w:p>
          <w:p>
            <w:pPr>
              <w:pStyle w:val="TableParagraph"/>
              <w:spacing w:line="240" w:lineRule="auto" w:before="102"/>
              <w:ind w:left="314" w:right="0"/>
              <w:jc w:val="left"/>
              <w:rPr>
                <w:rFonts w:ascii="Arial" w:hAnsi="Arial" w:cs="Arial" w:eastAsia="Arial" w:hint="default"/>
                <w:sz w:val="18"/>
                <w:szCs w:val="18"/>
              </w:rPr>
            </w:pPr>
            <w:r>
              <w:rPr>
                <w:rFonts w:ascii="Arial"/>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Arial" w:hAnsi="Arial" w:cs="Arial" w:eastAsia="Arial" w:hint="default"/>
                <w:sz w:val="18"/>
                <w:szCs w:val="18"/>
              </w:rPr>
            </w:pPr>
            <w:r>
              <w:rPr>
                <w:rFonts w:ascii="Arial"/>
                <w:sz w:val="18"/>
              </w:rPr>
              <w:t>10,000,0</w:t>
            </w:r>
          </w:p>
          <w:p>
            <w:pPr>
              <w:pStyle w:val="TableParagraph"/>
              <w:spacing w:line="240" w:lineRule="auto" w:before="102"/>
              <w:ind w:left="314" w:right="0"/>
              <w:jc w:val="left"/>
              <w:rPr>
                <w:rFonts w:ascii="Arial" w:hAnsi="Arial" w:cs="Arial" w:eastAsia="Arial" w:hint="default"/>
                <w:sz w:val="18"/>
                <w:szCs w:val="18"/>
              </w:rPr>
            </w:pPr>
            <w:r>
              <w:rPr>
                <w:rFonts w:ascii="Arial"/>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Arial" w:hAnsi="Arial" w:cs="Arial" w:eastAsia="Arial" w:hint="default"/>
                <w:sz w:val="18"/>
                <w:szCs w:val="18"/>
              </w:rPr>
            </w:pPr>
            <w:r>
              <w:rPr>
                <w:rFonts w:ascii="Arial"/>
                <w:sz w:val="18"/>
              </w:rPr>
              <w:t>10,000,0</w:t>
            </w:r>
          </w:p>
          <w:p>
            <w:pPr>
              <w:pStyle w:val="TableParagraph"/>
              <w:spacing w:line="240" w:lineRule="auto" w:before="102"/>
              <w:ind w:left="314" w:right="0"/>
              <w:jc w:val="left"/>
              <w:rPr>
                <w:rFonts w:ascii="Arial" w:hAnsi="Arial" w:cs="Arial" w:eastAsia="Arial" w:hint="default"/>
                <w:sz w:val="18"/>
                <w:szCs w:val="18"/>
              </w:rPr>
            </w:pPr>
            <w:r>
              <w:rPr>
                <w:rFonts w:ascii="Arial"/>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100%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7,600,00</w:t>
            </w:r>
          </w:p>
          <w:p>
            <w:pPr>
              <w:pStyle w:val="TableParagraph"/>
              <w:spacing w:line="240" w:lineRule="auto" w:before="105"/>
              <w:ind w:left="415" w:right="0"/>
              <w:jc w:val="left"/>
              <w:rPr>
                <w:rFonts w:ascii="Arial" w:hAnsi="Arial" w:cs="Arial" w:eastAsia="Arial" w:hint="default"/>
                <w:sz w:val="18"/>
                <w:szCs w:val="18"/>
              </w:rPr>
            </w:pPr>
            <w:r>
              <w:rPr>
                <w:rFonts w:ascii="Arial"/>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7,600,00</w:t>
            </w:r>
          </w:p>
          <w:p>
            <w:pPr>
              <w:pStyle w:val="TableParagraph"/>
              <w:spacing w:line="240" w:lineRule="auto" w:before="105"/>
              <w:ind w:left="415" w:right="0"/>
              <w:jc w:val="left"/>
              <w:rPr>
                <w:rFonts w:ascii="Arial" w:hAnsi="Arial" w:cs="Arial" w:eastAsia="Arial" w:hint="default"/>
                <w:sz w:val="18"/>
                <w:szCs w:val="18"/>
              </w:rPr>
            </w:pPr>
            <w:r>
              <w:rPr>
                <w:rFonts w:ascii="Arial"/>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2" w:right="0"/>
              <w:jc w:val="center"/>
              <w:rPr>
                <w:rFonts w:ascii="Arial" w:hAnsi="Arial" w:cs="Arial" w:eastAsia="Arial" w:hint="default"/>
                <w:sz w:val="18"/>
                <w:szCs w:val="18"/>
              </w:rPr>
            </w:pPr>
            <w:r>
              <w:rPr>
                <w:rFonts w:ascii="Arial"/>
                <w:sz w:val="18"/>
              </w:rPr>
              <w:t>273,170,</w:t>
            </w:r>
          </w:p>
          <w:p>
            <w:pPr>
              <w:pStyle w:val="TableParagraph"/>
              <w:spacing w:line="240" w:lineRule="auto" w:before="105"/>
              <w:ind w:left="193" w:right="0"/>
              <w:jc w:val="center"/>
              <w:rPr>
                <w:rFonts w:ascii="Arial" w:hAnsi="Arial" w:cs="Arial" w:eastAsia="Arial" w:hint="default"/>
                <w:sz w:val="18"/>
                <w:szCs w:val="18"/>
              </w:rPr>
            </w:pPr>
            <w:r>
              <w:rPr>
                <w:rFonts w:ascii="Arial"/>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 w:right="0"/>
              <w:jc w:val="center"/>
              <w:rPr>
                <w:rFonts w:ascii="Arial" w:hAnsi="Arial" w:cs="Arial" w:eastAsia="Arial" w:hint="default"/>
                <w:sz w:val="18"/>
                <w:szCs w:val="18"/>
              </w:rPr>
            </w:pPr>
            <w:r>
              <w:rPr>
                <w:rFonts w:ascii="Arial"/>
                <w:sz w:val="18"/>
              </w:rPr>
              <w:t>280,770,</w:t>
            </w:r>
          </w:p>
          <w:p>
            <w:pPr>
              <w:pStyle w:val="TableParagraph"/>
              <w:spacing w:line="240" w:lineRule="auto" w:before="105"/>
              <w:ind w:left="195" w:right="0"/>
              <w:jc w:val="center"/>
              <w:rPr>
                <w:rFonts w:ascii="Arial" w:hAnsi="Arial" w:cs="Arial" w:eastAsia="Arial" w:hint="default"/>
                <w:sz w:val="18"/>
                <w:szCs w:val="18"/>
              </w:rPr>
            </w:pPr>
            <w:r>
              <w:rPr>
                <w:rFonts w:ascii="Arial"/>
                <w:sz w:val="18"/>
              </w:rPr>
              <w:t>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w w:val="95"/>
                <w:sz w:val="18"/>
              </w:rPr>
              <w:t>99.6%</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间接持股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6"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Arial" w:hAnsi="Arial" w:cs="Arial" w:eastAsia="Arial" w:hint="default"/>
                <w:sz w:val="18"/>
                <w:szCs w:val="18"/>
              </w:rPr>
            </w:pPr>
            <w:r>
              <w:rPr>
                <w:rFonts w:ascii="Arial"/>
                <w:sz w:val="18"/>
              </w:rPr>
              <w:t>10,437,0</w:t>
            </w:r>
          </w:p>
          <w:p>
            <w:pPr>
              <w:pStyle w:val="TableParagraph"/>
              <w:spacing w:line="240" w:lineRule="auto" w:before="103"/>
              <w:ind w:left="314" w:right="0"/>
              <w:jc w:val="left"/>
              <w:rPr>
                <w:rFonts w:ascii="Arial" w:hAnsi="Arial" w:cs="Arial" w:eastAsia="Arial" w:hint="default"/>
                <w:sz w:val="18"/>
                <w:szCs w:val="18"/>
              </w:rPr>
            </w:pPr>
            <w:r>
              <w:rPr>
                <w:rFonts w:ascii="Arial"/>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Arial" w:hAnsi="Arial" w:cs="Arial" w:eastAsia="Arial" w:hint="default"/>
                <w:sz w:val="18"/>
                <w:szCs w:val="18"/>
              </w:rPr>
            </w:pPr>
            <w:r>
              <w:rPr>
                <w:rFonts w:ascii="Arial"/>
                <w:sz w:val="18"/>
              </w:rPr>
              <w:t>10,437,0</w:t>
            </w:r>
          </w:p>
          <w:p>
            <w:pPr>
              <w:pStyle w:val="TableParagraph"/>
              <w:spacing w:line="240" w:lineRule="auto" w:before="103"/>
              <w:ind w:left="314" w:right="0"/>
              <w:jc w:val="left"/>
              <w:rPr>
                <w:rFonts w:ascii="Arial" w:hAnsi="Arial" w:cs="Arial" w:eastAsia="Arial" w:hint="default"/>
                <w:sz w:val="18"/>
                <w:szCs w:val="18"/>
              </w:rPr>
            </w:pPr>
            <w:r>
              <w:rPr>
                <w:rFonts w:ascii="Arial"/>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Arial" w:hAnsi="Arial" w:cs="Arial" w:eastAsia="Arial" w:hint="default"/>
                <w:sz w:val="18"/>
                <w:szCs w:val="18"/>
              </w:rPr>
            </w:pPr>
            <w:r>
              <w:rPr>
                <w:rFonts w:ascii="Arial"/>
                <w:sz w:val="18"/>
              </w:rPr>
              <w:t>10,437,0</w:t>
            </w:r>
          </w:p>
          <w:p>
            <w:pPr>
              <w:pStyle w:val="TableParagraph"/>
              <w:spacing w:line="240" w:lineRule="auto" w:before="103"/>
              <w:ind w:left="314" w:right="0"/>
              <w:jc w:val="left"/>
              <w:rPr>
                <w:rFonts w:ascii="Arial" w:hAnsi="Arial" w:cs="Arial" w:eastAsia="Arial" w:hint="default"/>
                <w:sz w:val="18"/>
                <w:szCs w:val="18"/>
              </w:rPr>
            </w:pPr>
            <w:r>
              <w:rPr>
                <w:rFonts w:ascii="Arial"/>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100%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华智测控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1,740,00</w:t>
            </w:r>
          </w:p>
          <w:p>
            <w:pPr>
              <w:pStyle w:val="TableParagraph"/>
              <w:spacing w:line="240" w:lineRule="auto" w:before="105"/>
              <w:ind w:left="415" w:right="0"/>
              <w:jc w:val="left"/>
              <w:rPr>
                <w:rFonts w:ascii="Arial" w:hAnsi="Arial" w:cs="Arial" w:eastAsia="Arial" w:hint="default"/>
                <w:sz w:val="18"/>
                <w:szCs w:val="18"/>
              </w:rPr>
            </w:pPr>
            <w:r>
              <w:rPr>
                <w:rFonts w:ascii="Arial"/>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1,740,00</w:t>
            </w:r>
          </w:p>
          <w:p>
            <w:pPr>
              <w:pStyle w:val="TableParagraph"/>
              <w:spacing w:line="240" w:lineRule="auto" w:before="105"/>
              <w:ind w:left="415" w:right="0"/>
              <w:jc w:val="left"/>
              <w:rPr>
                <w:rFonts w:ascii="Arial" w:hAnsi="Arial" w:cs="Arial" w:eastAsia="Arial" w:hint="default"/>
                <w:sz w:val="18"/>
                <w:szCs w:val="18"/>
              </w:rPr>
            </w:pPr>
            <w:r>
              <w:rPr>
                <w:rFonts w:ascii="Arial"/>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348,000.</w:t>
            </w:r>
          </w:p>
          <w:p>
            <w:pPr>
              <w:pStyle w:val="TableParagraph"/>
              <w:spacing w:line="240" w:lineRule="auto" w:before="105"/>
              <w:ind w:right="19"/>
              <w:jc w:val="right"/>
              <w:rPr>
                <w:rFonts w:ascii="Arial" w:hAnsi="Arial" w:cs="Arial" w:eastAsia="Arial" w:hint="default"/>
                <w:sz w:val="18"/>
                <w:szCs w:val="18"/>
              </w:rPr>
            </w:pPr>
            <w:r>
              <w:rPr>
                <w:rFonts w:ascii="Arial"/>
                <w:w w:val="95"/>
                <w:sz w:val="18"/>
              </w:rPr>
              <w:t>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2,088,00</w:t>
            </w:r>
          </w:p>
          <w:p>
            <w:pPr>
              <w:pStyle w:val="TableParagraph"/>
              <w:spacing w:line="240" w:lineRule="auto" w:before="105"/>
              <w:ind w:left="415" w:right="0"/>
              <w:jc w:val="left"/>
              <w:rPr>
                <w:rFonts w:ascii="Arial" w:hAnsi="Arial" w:cs="Arial" w:eastAsia="Arial" w:hint="default"/>
                <w:sz w:val="18"/>
                <w:szCs w:val="18"/>
              </w:rPr>
            </w:pPr>
            <w:r>
              <w:rPr>
                <w:rFonts w:ascii="Arial"/>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50.93%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50.93%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北京茂硕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Arial" w:hAnsi="Arial" w:cs="Arial" w:eastAsia="Arial" w:hint="default"/>
                <w:sz w:val="18"/>
                <w:szCs w:val="18"/>
              </w:rPr>
            </w:pPr>
            <w:r>
              <w:rPr>
                <w:rFonts w:ascii="Arial"/>
                <w:sz w:val="18"/>
              </w:rPr>
              <w:t>1,980,00</w:t>
            </w:r>
          </w:p>
          <w:p>
            <w:pPr>
              <w:pStyle w:val="TableParagraph"/>
              <w:spacing w:line="240" w:lineRule="auto" w:before="102"/>
              <w:ind w:left="415" w:right="0"/>
              <w:jc w:val="left"/>
              <w:rPr>
                <w:rFonts w:ascii="Arial" w:hAnsi="Arial" w:cs="Arial" w:eastAsia="Arial" w:hint="default"/>
                <w:sz w:val="18"/>
                <w:szCs w:val="18"/>
              </w:rPr>
            </w:pPr>
            <w:r>
              <w:rPr>
                <w:rFonts w:ascii="Arial"/>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Arial" w:hAnsi="Arial" w:cs="Arial" w:eastAsia="Arial" w:hint="default"/>
                <w:sz w:val="18"/>
                <w:szCs w:val="18"/>
              </w:rPr>
            </w:pPr>
            <w:r>
              <w:rPr>
                <w:rFonts w:ascii="Arial"/>
                <w:sz w:val="18"/>
              </w:rPr>
              <w:t>1,980,00</w:t>
            </w:r>
          </w:p>
          <w:p>
            <w:pPr>
              <w:pStyle w:val="TableParagraph"/>
              <w:spacing w:line="240" w:lineRule="auto" w:before="102"/>
              <w:ind w:left="415" w:right="0"/>
              <w:jc w:val="left"/>
              <w:rPr>
                <w:rFonts w:ascii="Arial" w:hAnsi="Arial" w:cs="Arial" w:eastAsia="Arial" w:hint="default"/>
                <w:sz w:val="18"/>
                <w:szCs w:val="18"/>
              </w:rPr>
            </w:pPr>
            <w:r>
              <w:rPr>
                <w:rFonts w:ascii="Arial"/>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Arial" w:hAnsi="Arial" w:cs="Arial" w:eastAsia="Arial" w:hint="default"/>
                <w:sz w:val="18"/>
                <w:szCs w:val="18"/>
              </w:rPr>
            </w:pPr>
            <w:r>
              <w:rPr>
                <w:rFonts w:ascii="Arial"/>
                <w:sz w:val="18"/>
              </w:rPr>
              <w:t>7,920,00</w:t>
            </w:r>
          </w:p>
          <w:p>
            <w:pPr>
              <w:pStyle w:val="TableParagraph"/>
              <w:spacing w:line="240" w:lineRule="auto" w:before="102"/>
              <w:ind w:left="415" w:right="0"/>
              <w:jc w:val="left"/>
              <w:rPr>
                <w:rFonts w:ascii="Arial" w:hAnsi="Arial" w:cs="Arial" w:eastAsia="Arial" w:hint="default"/>
                <w:sz w:val="18"/>
                <w:szCs w:val="18"/>
              </w:rPr>
            </w:pPr>
            <w:r>
              <w:rPr>
                <w:rFonts w:ascii="Arial"/>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Arial" w:hAnsi="Arial" w:cs="Arial" w:eastAsia="Arial" w:hint="default"/>
                <w:sz w:val="18"/>
                <w:szCs w:val="18"/>
              </w:rPr>
            </w:pPr>
            <w:r>
              <w:rPr>
                <w:rFonts w:ascii="Arial"/>
                <w:sz w:val="18"/>
              </w:rPr>
              <w:t>9,900,00</w:t>
            </w:r>
          </w:p>
          <w:p>
            <w:pPr>
              <w:pStyle w:val="TableParagraph"/>
              <w:spacing w:line="240" w:lineRule="auto" w:before="102"/>
              <w:ind w:left="415" w:right="0"/>
              <w:jc w:val="left"/>
              <w:rPr>
                <w:rFonts w:ascii="Arial" w:hAnsi="Arial" w:cs="Arial" w:eastAsia="Arial" w:hint="default"/>
                <w:sz w:val="18"/>
                <w:szCs w:val="18"/>
              </w:rPr>
            </w:pPr>
            <w:r>
              <w:rPr>
                <w:rFonts w:ascii="Arial"/>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w w:val="95"/>
                <w:sz w:val="18"/>
              </w:rPr>
              <w:t>99%</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间接持股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香港茂硕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854,126.</w:t>
            </w:r>
          </w:p>
          <w:p>
            <w:pPr>
              <w:pStyle w:val="TableParagraph"/>
              <w:spacing w:line="240" w:lineRule="auto" w:before="105"/>
              <w:ind w:right="19"/>
              <w:jc w:val="right"/>
              <w:rPr>
                <w:rFonts w:ascii="Arial" w:hAnsi="Arial" w:cs="Arial" w:eastAsia="Arial" w:hint="default"/>
                <w:sz w:val="18"/>
                <w:szCs w:val="18"/>
              </w:rPr>
            </w:pPr>
            <w:r>
              <w:rPr>
                <w:rFonts w:ascii="Arial"/>
                <w:w w:val="95"/>
                <w:sz w:val="18"/>
              </w:rPr>
              <w:t>65</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854,126.</w:t>
            </w:r>
          </w:p>
          <w:p>
            <w:pPr>
              <w:pStyle w:val="TableParagraph"/>
              <w:spacing w:line="240" w:lineRule="auto" w:before="105"/>
              <w:ind w:right="17"/>
              <w:jc w:val="right"/>
              <w:rPr>
                <w:rFonts w:ascii="Arial" w:hAnsi="Arial" w:cs="Arial" w:eastAsia="Arial" w:hint="default"/>
                <w:sz w:val="18"/>
                <w:szCs w:val="18"/>
              </w:rPr>
            </w:pPr>
            <w:r>
              <w:rPr>
                <w:rFonts w:ascii="Arial"/>
                <w:w w:val="95"/>
                <w:sz w:val="18"/>
              </w:rPr>
              <w:t>65</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854,126.</w:t>
            </w:r>
          </w:p>
          <w:p>
            <w:pPr>
              <w:pStyle w:val="TableParagraph"/>
              <w:spacing w:line="240" w:lineRule="auto" w:before="105"/>
              <w:ind w:right="17"/>
              <w:jc w:val="right"/>
              <w:rPr>
                <w:rFonts w:ascii="Arial" w:hAnsi="Arial" w:cs="Arial" w:eastAsia="Arial" w:hint="default"/>
                <w:sz w:val="18"/>
                <w:szCs w:val="18"/>
              </w:rPr>
            </w:pPr>
            <w:r>
              <w:rPr>
                <w:rFonts w:ascii="Arial"/>
                <w:w w:val="95"/>
                <w:sz w:val="18"/>
              </w:rPr>
              <w:t>65</w:t>
            </w:r>
            <w:r>
              <w:rPr>
                <w:rFonts w:ascii="Arial"/>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100%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1652"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佛山市南 海区联合 广东新光 源产业创 新中心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4" w:right="0"/>
              <w:jc w:val="left"/>
              <w:rPr>
                <w:rFonts w:ascii="Arial" w:hAnsi="Arial" w:cs="Arial" w:eastAsia="Arial" w:hint="default"/>
                <w:sz w:val="18"/>
                <w:szCs w:val="18"/>
              </w:rPr>
            </w:pPr>
            <w:r>
              <w:rPr>
                <w:rFonts w:ascii="Arial"/>
                <w:sz w:val="18"/>
              </w:rPr>
              <w:t>3,000,00</w:t>
            </w:r>
          </w:p>
          <w:p>
            <w:pPr>
              <w:pStyle w:val="TableParagraph"/>
              <w:spacing w:line="240" w:lineRule="auto" w:before="102"/>
              <w:ind w:left="415" w:right="0"/>
              <w:jc w:val="left"/>
              <w:rPr>
                <w:rFonts w:ascii="Arial" w:hAnsi="Arial" w:cs="Arial" w:eastAsia="Arial" w:hint="default"/>
                <w:sz w:val="18"/>
                <w:szCs w:val="18"/>
              </w:rPr>
            </w:pPr>
            <w:r>
              <w:rPr>
                <w:rFonts w:ascii="Arial"/>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4" w:right="0"/>
              <w:jc w:val="left"/>
              <w:rPr>
                <w:rFonts w:ascii="Arial" w:hAnsi="Arial" w:cs="Arial" w:eastAsia="Arial" w:hint="default"/>
                <w:sz w:val="18"/>
                <w:szCs w:val="18"/>
              </w:rPr>
            </w:pPr>
            <w:r>
              <w:rPr>
                <w:rFonts w:ascii="Arial"/>
                <w:sz w:val="18"/>
              </w:rPr>
              <w:t>3,000,00</w:t>
            </w:r>
          </w:p>
          <w:p>
            <w:pPr>
              <w:pStyle w:val="TableParagraph"/>
              <w:spacing w:line="240" w:lineRule="auto" w:before="102"/>
              <w:ind w:left="415" w:right="0"/>
              <w:jc w:val="left"/>
              <w:rPr>
                <w:rFonts w:ascii="Arial" w:hAnsi="Arial" w:cs="Arial" w:eastAsia="Arial" w:hint="default"/>
                <w:sz w:val="18"/>
                <w:szCs w:val="18"/>
              </w:rPr>
            </w:pPr>
            <w:r>
              <w:rPr>
                <w:rFonts w:ascii="Arial"/>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4" w:right="0"/>
              <w:jc w:val="left"/>
              <w:rPr>
                <w:rFonts w:ascii="Arial" w:hAnsi="Arial" w:cs="Arial" w:eastAsia="Arial" w:hint="default"/>
                <w:sz w:val="18"/>
                <w:szCs w:val="18"/>
              </w:rPr>
            </w:pPr>
            <w:r>
              <w:rPr>
                <w:rFonts w:ascii="Arial"/>
                <w:sz w:val="18"/>
              </w:rPr>
              <w:t>3,000,00</w:t>
            </w:r>
          </w:p>
          <w:p>
            <w:pPr>
              <w:pStyle w:val="TableParagraph"/>
              <w:spacing w:line="240" w:lineRule="auto" w:before="102"/>
              <w:ind w:left="415" w:right="0"/>
              <w:jc w:val="left"/>
              <w:rPr>
                <w:rFonts w:ascii="Arial" w:hAnsi="Arial" w:cs="Arial" w:eastAsia="Arial" w:hint="default"/>
                <w:sz w:val="18"/>
                <w:szCs w:val="18"/>
              </w:rPr>
            </w:pPr>
            <w:r>
              <w:rPr>
                <w:rFonts w:ascii="Arial"/>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w w:val="95"/>
                <w:sz w:val="18"/>
              </w:rPr>
              <w:t>5%</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w w:val="95"/>
                <w:sz w:val="18"/>
              </w:rPr>
              <w:t>5%</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9" w:right="0"/>
              <w:jc w:val="left"/>
              <w:rPr>
                <w:rFonts w:ascii="Arial" w:hAnsi="Arial" w:cs="Arial" w:eastAsia="Arial" w:hint="default"/>
                <w:sz w:val="18"/>
                <w:szCs w:val="18"/>
              </w:rPr>
            </w:pPr>
            <w:r>
              <w:rPr>
                <w:rFonts w:ascii="Arial"/>
                <w:sz w:val="18"/>
              </w:rPr>
              <w:t>35,611,1</w:t>
            </w:r>
          </w:p>
          <w:p>
            <w:pPr>
              <w:pStyle w:val="TableParagraph"/>
              <w:spacing w:line="240" w:lineRule="auto" w:before="105"/>
              <w:ind w:left="314" w:right="0"/>
              <w:jc w:val="left"/>
              <w:rPr>
                <w:rFonts w:ascii="Arial" w:hAnsi="Arial" w:cs="Arial" w:eastAsia="Arial" w:hint="default"/>
                <w:sz w:val="18"/>
                <w:szCs w:val="18"/>
              </w:rPr>
            </w:pPr>
            <w:r>
              <w:rPr>
                <w:rFonts w:ascii="Arial"/>
                <w:sz w:val="18"/>
              </w:rPr>
              <w:t>26.65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9" w:right="0"/>
              <w:jc w:val="left"/>
              <w:rPr>
                <w:rFonts w:ascii="Arial" w:hAnsi="Arial" w:cs="Arial" w:eastAsia="Arial" w:hint="default"/>
                <w:sz w:val="18"/>
                <w:szCs w:val="18"/>
              </w:rPr>
            </w:pPr>
            <w:r>
              <w:rPr>
                <w:rFonts w:ascii="Arial"/>
                <w:sz w:val="18"/>
              </w:rPr>
              <w:t>35,611,1</w:t>
            </w:r>
          </w:p>
          <w:p>
            <w:pPr>
              <w:pStyle w:val="TableParagraph"/>
              <w:spacing w:line="240" w:lineRule="auto" w:before="105"/>
              <w:ind w:left="314" w:right="0"/>
              <w:jc w:val="left"/>
              <w:rPr>
                <w:rFonts w:ascii="Arial" w:hAnsi="Arial" w:cs="Arial" w:eastAsia="Arial" w:hint="default"/>
                <w:sz w:val="18"/>
                <w:szCs w:val="18"/>
              </w:rPr>
            </w:pPr>
            <w:r>
              <w:rPr>
                <w:rFonts w:ascii="Arial"/>
                <w:sz w:val="18"/>
              </w:rPr>
              <w:t>26.65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2" w:right="0"/>
              <w:jc w:val="center"/>
              <w:rPr>
                <w:rFonts w:ascii="Arial" w:hAnsi="Arial" w:cs="Arial" w:eastAsia="Arial" w:hint="default"/>
                <w:sz w:val="18"/>
                <w:szCs w:val="18"/>
              </w:rPr>
            </w:pPr>
            <w:r>
              <w:rPr>
                <w:rFonts w:ascii="Arial"/>
                <w:sz w:val="18"/>
              </w:rPr>
              <w:t>281,438,</w:t>
            </w:r>
          </w:p>
          <w:p>
            <w:pPr>
              <w:pStyle w:val="TableParagraph"/>
              <w:spacing w:line="240" w:lineRule="auto" w:before="105"/>
              <w:ind w:left="193" w:right="0"/>
              <w:jc w:val="center"/>
              <w:rPr>
                <w:rFonts w:ascii="Arial" w:hAnsi="Arial" w:cs="Arial" w:eastAsia="Arial" w:hint="default"/>
                <w:sz w:val="18"/>
                <w:szCs w:val="18"/>
              </w:rPr>
            </w:pPr>
            <w:r>
              <w:rPr>
                <w:rFonts w:ascii="Arial"/>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 w:right="0"/>
              <w:jc w:val="center"/>
              <w:rPr>
                <w:rFonts w:ascii="Arial" w:hAnsi="Arial" w:cs="Arial" w:eastAsia="Arial" w:hint="default"/>
                <w:sz w:val="18"/>
                <w:szCs w:val="18"/>
              </w:rPr>
            </w:pPr>
            <w:r>
              <w:rPr>
                <w:rFonts w:ascii="Arial"/>
                <w:sz w:val="18"/>
              </w:rPr>
              <w:t>317,049,</w:t>
            </w:r>
          </w:p>
          <w:p>
            <w:pPr>
              <w:pStyle w:val="TableParagraph"/>
              <w:spacing w:line="240" w:lineRule="auto" w:before="105"/>
              <w:ind w:left="195" w:right="0"/>
              <w:jc w:val="center"/>
              <w:rPr>
                <w:rFonts w:ascii="Arial" w:hAnsi="Arial" w:cs="Arial" w:eastAsia="Arial" w:hint="default"/>
                <w:sz w:val="18"/>
                <w:szCs w:val="18"/>
              </w:rPr>
            </w:pPr>
            <w:r>
              <w:rPr>
                <w:rFonts w:ascii="Arial"/>
                <w:sz w:val="18"/>
              </w:rPr>
              <w:t>126.65</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1"/>
        <w:jc w:val="left"/>
      </w:pPr>
      <w:r>
        <w:rPr/>
        <w:t>长期股权投资的说明</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rFonts w:ascii="Arial" w:hAnsi="Arial" w:cs="Arial" w:eastAsia="Arial" w:hint="default"/>
        </w:rPr>
        <w:t>4</w:t>
      </w:r>
      <w:r>
        <w:rPr/>
        <w:t>、营业收入和营业成本</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）营业收入</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444,254,192.51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553,731,241.89</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5,974.96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63,314,851.65</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444,260,167.47</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617,046,093.54</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360,084,302.12</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497,291,371.82</w:t>
            </w:r>
          </w:p>
        </w:tc>
      </w:tr>
    </w:tbl>
    <w:p>
      <w:pPr>
        <w:spacing w:after="0" w:line="240" w:lineRule="auto"/>
        <w:jc w:val="right"/>
        <w:rPr>
          <w:rFonts w:ascii="Arial" w:hAnsi="Arial" w:cs="Arial" w:eastAsia="Arial"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1032664"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161</w:t>
                    </w:r>
                  </w:p>
                </w:txbxContent>
              </v:textbox>
              <w10:wrap type="none"/>
            </v:shape>
            <w10:wrap type="none"/>
          </v:group>
        </w:pict>
      </w:r>
    </w:p>
    <w:p>
      <w:pPr>
        <w:pStyle w:val="Heading3"/>
        <w:spacing w:line="240" w:lineRule="auto" w:before="36"/>
        <w:ind w:right="1121"/>
        <w:jc w:val="left"/>
        <w:rPr>
          <w:b w:val="0"/>
          <w:bCs w:val="0"/>
        </w:rPr>
      </w:pPr>
      <w:r>
        <w:rPr/>
        <w:t>（</w:t>
      </w:r>
      <w:r>
        <w:rPr>
          <w:rFonts w:ascii="Arial" w:hAnsi="Arial" w:cs="Arial" w:eastAsia="Arial" w:hint="default"/>
        </w:rPr>
        <w:t>2</w:t>
      </w:r>
      <w:r>
        <w:rPr/>
        <w:t>）主营业务（分行业）</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715"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计算机、通信和其他电子设 备制造</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78" w:right="0"/>
              <w:jc w:val="left"/>
              <w:rPr>
                <w:rFonts w:ascii="Arial" w:hAnsi="Arial" w:cs="Arial" w:eastAsia="Arial" w:hint="default"/>
                <w:sz w:val="18"/>
                <w:szCs w:val="18"/>
              </w:rPr>
            </w:pPr>
            <w:r>
              <w:rPr>
                <w:rFonts w:ascii="Arial"/>
                <w:sz w:val="18"/>
              </w:rPr>
              <w:t>444,254,192.51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78" w:right="0"/>
              <w:jc w:val="left"/>
              <w:rPr>
                <w:rFonts w:ascii="Arial" w:hAnsi="Arial" w:cs="Arial" w:eastAsia="Arial" w:hint="default"/>
                <w:sz w:val="18"/>
                <w:szCs w:val="18"/>
              </w:rPr>
            </w:pPr>
            <w:r>
              <w:rPr>
                <w:rFonts w:ascii="Arial"/>
                <w:sz w:val="18"/>
              </w:rPr>
              <w:t>360,084,302.12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78" w:right="0"/>
              <w:jc w:val="left"/>
              <w:rPr>
                <w:rFonts w:ascii="Arial" w:hAnsi="Arial" w:cs="Arial" w:eastAsia="Arial" w:hint="default"/>
                <w:sz w:val="18"/>
                <w:szCs w:val="18"/>
              </w:rPr>
            </w:pPr>
            <w:r>
              <w:rPr>
                <w:rFonts w:ascii="Arial"/>
                <w:sz w:val="18"/>
              </w:rPr>
              <w:t>553,731,241.89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2"/>
                <w:sz w:val="18"/>
              </w:rPr>
              <w:t>434,011,520.17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78" w:right="0"/>
              <w:jc w:val="left"/>
              <w:rPr>
                <w:rFonts w:ascii="Arial" w:hAnsi="Arial" w:cs="Arial" w:eastAsia="Arial" w:hint="default"/>
                <w:sz w:val="18"/>
                <w:szCs w:val="18"/>
              </w:rPr>
            </w:pPr>
            <w:r>
              <w:rPr>
                <w:rFonts w:ascii="Arial"/>
                <w:sz w:val="18"/>
              </w:rPr>
              <w:t>444,254,192.51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78" w:right="0"/>
              <w:jc w:val="left"/>
              <w:rPr>
                <w:rFonts w:ascii="Arial" w:hAnsi="Arial" w:cs="Arial" w:eastAsia="Arial" w:hint="default"/>
                <w:sz w:val="18"/>
                <w:szCs w:val="18"/>
              </w:rPr>
            </w:pPr>
            <w:r>
              <w:rPr>
                <w:rFonts w:ascii="Arial"/>
                <w:sz w:val="18"/>
              </w:rPr>
              <w:t>360,084,302.12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78" w:right="0"/>
              <w:jc w:val="left"/>
              <w:rPr>
                <w:rFonts w:ascii="Arial" w:hAnsi="Arial" w:cs="Arial" w:eastAsia="Arial" w:hint="default"/>
                <w:sz w:val="18"/>
                <w:szCs w:val="18"/>
              </w:rPr>
            </w:pPr>
            <w:r>
              <w:rPr>
                <w:rFonts w:ascii="Arial"/>
                <w:sz w:val="18"/>
              </w:rPr>
              <w:t>553,731,241.89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434,011,520.17</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3</w:t>
      </w:r>
      <w:r>
        <w:rPr/>
        <w:t>）主营业务（分产品）</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消费电子类电源</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252,713,521.12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229,835,074.63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405,131,068.66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336,285,974.67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LED</w:t>
            </w:r>
            <w:r>
              <w:rPr>
                <w:rFonts w:ascii="Arial" w:hAnsi="Arial" w:cs="Arial" w:eastAsia="Arial" w:hint="default"/>
                <w:spacing w:val="-6"/>
                <w:sz w:val="18"/>
                <w:szCs w:val="18"/>
              </w:rPr>
              <w:t> </w:t>
            </w:r>
            <w:r>
              <w:rPr>
                <w:rFonts w:ascii="宋体" w:hAnsi="宋体" w:cs="宋体" w:eastAsia="宋体" w:hint="default"/>
                <w:sz w:val="18"/>
                <w:szCs w:val="18"/>
              </w:rPr>
              <w:t>驱动电源</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184,819,345.17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127,400,010.71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148,331,941.56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97,538,684.55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1,219,172.32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1,031,133.28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268,231.67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186,860.95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智能模块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5,502,153.90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1,818,083.50</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444,254,192.51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360,084,302.12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553,731,241.89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434,011,520.17</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4</w:t>
      </w:r>
      <w:r>
        <w:rPr/>
        <w:t>）主营业务（分地区）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8" w:right="0"/>
              <w:jc w:val="left"/>
              <w:rPr>
                <w:rFonts w:ascii="Arial" w:hAnsi="Arial" w:cs="Arial" w:eastAsia="Arial" w:hint="default"/>
                <w:sz w:val="18"/>
                <w:szCs w:val="18"/>
              </w:rPr>
            </w:pPr>
            <w:r>
              <w:rPr>
                <w:rFonts w:ascii="Arial"/>
                <w:sz w:val="18"/>
              </w:rPr>
              <w:t>248,333,580.08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8" w:right="0"/>
              <w:jc w:val="left"/>
              <w:rPr>
                <w:rFonts w:ascii="Arial" w:hAnsi="Arial" w:cs="Arial" w:eastAsia="Arial" w:hint="default"/>
                <w:sz w:val="18"/>
                <w:szCs w:val="18"/>
              </w:rPr>
            </w:pPr>
            <w:r>
              <w:rPr>
                <w:rFonts w:ascii="Arial"/>
                <w:sz w:val="18"/>
              </w:rPr>
              <w:t>187,953,859.16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8" w:right="0"/>
              <w:jc w:val="left"/>
              <w:rPr>
                <w:rFonts w:ascii="Arial" w:hAnsi="Arial" w:cs="Arial" w:eastAsia="Arial" w:hint="default"/>
                <w:sz w:val="18"/>
                <w:szCs w:val="18"/>
              </w:rPr>
            </w:pPr>
            <w:r>
              <w:rPr>
                <w:rFonts w:ascii="Arial"/>
                <w:sz w:val="18"/>
              </w:rPr>
              <w:t>289,009,613.71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230,871,276.97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78" w:right="0"/>
              <w:jc w:val="left"/>
              <w:rPr>
                <w:rFonts w:ascii="Arial" w:hAnsi="Arial" w:cs="Arial" w:eastAsia="Arial" w:hint="default"/>
                <w:sz w:val="18"/>
                <w:szCs w:val="18"/>
              </w:rPr>
            </w:pPr>
            <w:r>
              <w:rPr>
                <w:rFonts w:ascii="Arial"/>
                <w:sz w:val="18"/>
              </w:rPr>
              <w:t>195,920,612.43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78" w:right="0"/>
              <w:jc w:val="left"/>
              <w:rPr>
                <w:rFonts w:ascii="Arial" w:hAnsi="Arial" w:cs="Arial" w:eastAsia="Arial" w:hint="default"/>
                <w:sz w:val="18"/>
                <w:szCs w:val="18"/>
              </w:rPr>
            </w:pPr>
            <w:r>
              <w:rPr>
                <w:rFonts w:ascii="Arial"/>
                <w:sz w:val="18"/>
              </w:rPr>
              <w:t>172,130,442.96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78" w:right="0"/>
              <w:jc w:val="left"/>
              <w:rPr>
                <w:rFonts w:ascii="Arial" w:hAnsi="Arial" w:cs="Arial" w:eastAsia="Arial" w:hint="default"/>
                <w:sz w:val="18"/>
                <w:szCs w:val="18"/>
              </w:rPr>
            </w:pPr>
            <w:r>
              <w:rPr>
                <w:rFonts w:ascii="Arial"/>
                <w:sz w:val="18"/>
              </w:rPr>
              <w:t>264,721,628.18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203,140,243.20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8" w:right="0"/>
              <w:jc w:val="left"/>
              <w:rPr>
                <w:rFonts w:ascii="Arial" w:hAnsi="Arial" w:cs="Arial" w:eastAsia="Arial" w:hint="default"/>
                <w:sz w:val="18"/>
                <w:szCs w:val="18"/>
              </w:rPr>
            </w:pPr>
            <w:r>
              <w:rPr>
                <w:rFonts w:ascii="Arial"/>
                <w:sz w:val="18"/>
              </w:rPr>
              <w:t>444,254,192.51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8" w:right="0"/>
              <w:jc w:val="left"/>
              <w:rPr>
                <w:rFonts w:ascii="Arial" w:hAnsi="Arial" w:cs="Arial" w:eastAsia="Arial" w:hint="default"/>
                <w:sz w:val="18"/>
                <w:szCs w:val="18"/>
              </w:rPr>
            </w:pPr>
            <w:r>
              <w:rPr>
                <w:rFonts w:ascii="Arial"/>
                <w:sz w:val="18"/>
              </w:rPr>
              <w:t>360,084,302.12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8" w:right="0"/>
              <w:jc w:val="left"/>
              <w:rPr>
                <w:rFonts w:ascii="Arial" w:hAnsi="Arial" w:cs="Arial" w:eastAsia="Arial" w:hint="default"/>
                <w:sz w:val="18"/>
                <w:szCs w:val="18"/>
              </w:rPr>
            </w:pPr>
            <w:r>
              <w:rPr>
                <w:rFonts w:ascii="Arial"/>
                <w:sz w:val="18"/>
              </w:rPr>
              <w:t>553,731,241.89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434,011,520.17</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t>（</w:t>
      </w:r>
      <w:r>
        <w:rPr>
          <w:rFonts w:ascii="Arial" w:hAnsi="Arial" w:cs="Arial" w:eastAsia="Arial" w:hint="default"/>
        </w:rPr>
        <w:t>5</w:t>
      </w:r>
      <w:r>
        <w:rPr/>
        <w:t>）公司前五名客户的营业收入情况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9" w:right="24" w:hanging="581"/>
              <w:jc w:val="left"/>
              <w:rPr>
                <w:rFonts w:ascii="Arial" w:hAnsi="Arial" w:cs="Arial" w:eastAsia="Arial" w:hint="default"/>
                <w:sz w:val="18"/>
                <w:szCs w:val="18"/>
              </w:rPr>
            </w:pPr>
            <w:r>
              <w:rPr>
                <w:rFonts w:ascii="宋体" w:hAnsi="宋体" w:cs="宋体" w:eastAsia="宋体" w:hint="default"/>
                <w:sz w:val="18"/>
                <w:szCs w:val="18"/>
              </w:rPr>
              <w:t>占公司全部营业收入的 比例</w:t>
            </w:r>
            <w:r>
              <w:rPr>
                <w:rFonts w:ascii="Arial" w:hAnsi="Arial" w:cs="Arial" w:eastAsia="Arial" w:hint="default"/>
                <w:sz w:val="18"/>
                <w:szCs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10"/>
              <w:jc w:val="right"/>
              <w:rPr>
                <w:rFonts w:ascii="Arial" w:hAnsi="Arial" w:cs="Arial" w:eastAsia="Arial" w:hint="default"/>
                <w:sz w:val="18"/>
                <w:szCs w:val="18"/>
              </w:rPr>
            </w:pPr>
            <w:r>
              <w:rPr>
                <w:rFonts w:ascii="Arial"/>
                <w:spacing w:val="-1"/>
                <w:sz w:val="18"/>
              </w:rPr>
              <w:t>93,690,069.61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21.09%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24,392,251.00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w w:val="95"/>
                <w:sz w:val="18"/>
              </w:rPr>
              <w:t>5.49%</w:t>
            </w:r>
            <w:r>
              <w:rPr>
                <w:rFonts w:ascii="Arial"/>
                <w:sz w:val="18"/>
              </w:rPr>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19,621,962.31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w w:val="95"/>
                <w:sz w:val="18"/>
              </w:rPr>
              <w:t>4.42%</w:t>
            </w:r>
            <w:r>
              <w:rPr>
                <w:rFonts w:ascii="Arial"/>
                <w:sz w:val="18"/>
              </w:rPr>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19,047,073.25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w w:val="95"/>
                <w:sz w:val="18"/>
              </w:rPr>
              <w:t>4.29%</w:t>
            </w:r>
            <w:r>
              <w:rPr>
                <w:rFonts w:ascii="Arial"/>
                <w:sz w:val="18"/>
              </w:rPr>
            </w:r>
          </w:p>
        </w:tc>
      </w:tr>
    </w:tbl>
    <w:p>
      <w:pPr>
        <w:spacing w:after="0" w:line="240" w:lineRule="auto"/>
        <w:jc w:val="right"/>
        <w:rPr>
          <w:rFonts w:ascii="Arial" w:hAnsi="Arial" w:cs="Arial" w:eastAsia="Arial" w:hint="default"/>
          <w:sz w:val="18"/>
          <w:szCs w:val="18"/>
        </w:rPr>
        <w:sectPr>
          <w:headerReference w:type="default" r:id="rId83"/>
          <w:footerReference w:type="default" r:id="rId84"/>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3376"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162</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12,655,136.71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w w:val="95"/>
                <w:sz w:val="18"/>
              </w:rPr>
              <w:t>2.85%</w:t>
            </w:r>
            <w:r>
              <w:rPr>
                <w:rFonts w:ascii="Arial"/>
                <w:sz w:val="18"/>
              </w:rPr>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169,406,492.88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38.13%</w:t>
            </w:r>
          </w:p>
        </w:tc>
      </w:tr>
    </w:tbl>
    <w:p>
      <w:pPr>
        <w:pStyle w:val="BodyText"/>
        <w:spacing w:line="240" w:lineRule="auto" w:before="49"/>
        <w:ind w:right="1121"/>
        <w:jc w:val="left"/>
      </w:pPr>
      <w:r>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1121"/>
        <w:jc w:val="left"/>
        <w:rPr>
          <w:b w:val="0"/>
          <w:bCs w:val="0"/>
        </w:rPr>
      </w:pPr>
      <w:r>
        <w:rPr>
          <w:rFonts w:ascii="Arial" w:hAnsi="Arial" w:cs="Arial" w:eastAsia="Arial" w:hint="default"/>
        </w:rPr>
        <w:t>5</w:t>
      </w:r>
      <w:r>
        <w:rPr/>
        <w:t>、投资收益</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1"/>
        <w:jc w:val="left"/>
        <w:rPr>
          <w:b w:val="0"/>
          <w:bCs w:val="0"/>
        </w:rPr>
      </w:pPr>
      <w:r>
        <w:rPr/>
        <w:t>（</w:t>
      </w:r>
      <w:r>
        <w:rPr>
          <w:rFonts w:ascii="Arial" w:hAnsi="Arial" w:cs="Arial" w:eastAsia="Arial" w:hint="default"/>
        </w:rPr>
        <w:t>1</w:t>
      </w:r>
      <w:r>
        <w:rPr/>
        <w:t>）投资收益明细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-259,999.00</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-92,544.61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-92,544.61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-259,999.00</w:t>
            </w:r>
          </w:p>
        </w:tc>
      </w:tr>
    </w:tbl>
    <w:p>
      <w:pPr>
        <w:spacing w:line="240" w:lineRule="auto" w:before="3"/>
        <w:rPr>
          <w:rFonts w:ascii="宋体" w:hAnsi="宋体" w:cs="宋体" w:eastAsia="宋体" w:hint="default"/>
          <w:sz w:val="19"/>
          <w:szCs w:val="19"/>
        </w:rPr>
      </w:pPr>
    </w:p>
    <w:p>
      <w:pPr>
        <w:pStyle w:val="Heading3"/>
        <w:spacing w:line="240" w:lineRule="auto" w:before="36"/>
        <w:ind w:right="1121"/>
        <w:jc w:val="left"/>
        <w:rPr>
          <w:b w:val="0"/>
          <w:bCs w:val="0"/>
        </w:rPr>
      </w:pPr>
      <w:r>
        <w:rPr>
          <w:rFonts w:ascii="Arial" w:hAnsi="Arial" w:cs="Arial" w:eastAsia="Arial" w:hint="default"/>
        </w:rPr>
        <w:t>6</w:t>
      </w:r>
      <w:r>
        <w:rPr/>
        <w:t>、现金流量表补充资料</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Arial" w:hAnsi="Arial" w:cs="Arial" w:eastAsia="Arial" w:hint="default"/>
                <w:sz w:val="18"/>
                <w:szCs w:val="18"/>
              </w:rPr>
            </w:pPr>
            <w:r>
              <w:rPr>
                <w:rFonts w:ascii="Arial"/>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Arial" w:hAnsi="Arial" w:cs="Arial" w:eastAsia="Arial" w:hint="default"/>
                <w:sz w:val="18"/>
                <w:szCs w:val="18"/>
              </w:rPr>
            </w:pPr>
            <w:r>
              <w:rPr>
                <w:rFonts w:ascii="Arial"/>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27,874,787.75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46,271,193.76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4,269,979.05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518,033.12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3,390,584.41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4,795,501.75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1,255,930.79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884,221.37</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1,125,733.75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968,574.90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-5,106.66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45.81</w:t>
            </w:r>
            <w:r>
              <w:rPr>
                <w:rFonts w:ascii="Arial"/>
                <w:sz w:val="18"/>
              </w:rPr>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92,180.09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-92,180.09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1,225,304.69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3,355,970.96</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92,544.61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259,999.00</w:t>
            </w:r>
          </w:p>
        </w:tc>
      </w:tr>
    </w:tbl>
    <w:p>
      <w:pPr>
        <w:spacing w:after="0" w:line="240" w:lineRule="auto"/>
        <w:jc w:val="right"/>
        <w:rPr>
          <w:rFonts w:ascii="Arial" w:hAnsi="Arial" w:cs="Arial" w:eastAsia="Arial" w:hint="default"/>
          <w:sz w:val="18"/>
          <w:szCs w:val="18"/>
        </w:rPr>
        <w:sectPr>
          <w:headerReference w:type="default" r:id="rId85"/>
          <w:footerReference w:type="default" r:id="rId86"/>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032568"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163</w:t>
                    </w:r>
                  </w:p>
                </w:txbxContent>
              </v:textbox>
              <w10:wrap type="none"/>
            </v:shape>
            <w10:wrap type="none"/>
          </v:group>
        </w:pict>
      </w:r>
    </w:p>
    <w:tbl>
      <w:tblPr>
        <w:tblW w:w="0" w:type="auto"/>
        <w:jc w:val="left"/>
        <w:tblInd w:w="20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-589,437.74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-150,568.34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-13,827.01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13,827.01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-25,308,539.69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36,454,021.21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-52,145,526.77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20,175,510.53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40,983,760.06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-84,473,235.56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2,248,367.33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28,980,915.43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76" w:right="0"/>
              <w:jc w:val="left"/>
              <w:rPr>
                <w:rFonts w:ascii="Arial" w:hAnsi="Arial" w:cs="Arial" w:eastAsia="Arial" w:hint="default"/>
                <w:sz w:val="18"/>
                <w:szCs w:val="18"/>
              </w:rPr>
            </w:pPr>
            <w:r>
              <w:rPr>
                <w:rFonts w:ascii="Arial"/>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Arial" w:hAnsi="Arial" w:cs="Arial" w:eastAsia="Arial" w:hint="default"/>
                <w:sz w:val="18"/>
                <w:szCs w:val="18"/>
              </w:rPr>
            </w:pPr>
            <w:r>
              <w:rPr>
                <w:rFonts w:ascii="Arial"/>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6" w:right="0"/>
              <w:jc w:val="left"/>
              <w:rPr>
                <w:rFonts w:ascii="Arial" w:hAnsi="Arial" w:cs="Arial" w:eastAsia="Arial" w:hint="default"/>
                <w:sz w:val="18"/>
                <w:szCs w:val="18"/>
              </w:rPr>
            </w:pPr>
            <w:r>
              <w:rPr>
                <w:rFonts w:ascii="Arial"/>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Arial" w:hAnsi="Arial" w:cs="Arial" w:eastAsia="Arial" w:hint="default"/>
                <w:sz w:val="18"/>
                <w:szCs w:val="18"/>
              </w:rPr>
            </w:pPr>
            <w:r>
              <w:rPr>
                <w:rFonts w:ascii="Arial"/>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170,128,232.37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77,287,180.90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77,287,180.90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65,285,226.61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92,841,051.47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12,001,954.29</w:t>
            </w:r>
          </w:p>
        </w:tc>
      </w:tr>
    </w:tbl>
    <w:p>
      <w:pPr>
        <w:spacing w:line="240" w:lineRule="auto" w:before="1"/>
        <w:rPr>
          <w:rFonts w:ascii="宋体" w:hAnsi="宋体" w:cs="宋体" w:eastAsia="宋体" w:hint="default"/>
          <w:sz w:val="18"/>
          <w:szCs w:val="18"/>
        </w:rPr>
      </w:pPr>
    </w:p>
    <w:p>
      <w:pPr>
        <w:pStyle w:val="Heading2"/>
        <w:spacing w:line="240" w:lineRule="auto" w:before="26"/>
        <w:ind w:left="212" w:right="1192"/>
        <w:jc w:val="left"/>
        <w:rPr>
          <w:b w:val="0"/>
          <w:bCs w:val="0"/>
        </w:rPr>
      </w:pPr>
      <w:r>
        <w:rPr/>
        <w:t>十五、补充资料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2" w:right="1192"/>
        <w:jc w:val="left"/>
        <w:rPr>
          <w:b w:val="0"/>
          <w:bCs w:val="0"/>
        </w:rPr>
      </w:pPr>
      <w:r>
        <w:rPr>
          <w:rFonts w:ascii="Arial" w:hAnsi="Arial" w:cs="Arial" w:eastAsia="Arial" w:hint="default"/>
        </w:rPr>
        <w:t>1</w:t>
      </w:r>
      <w:r>
        <w:rPr/>
        <w:t>、净资产收益率及每股收益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12"/>
        <w:rPr>
          <w:rFonts w:ascii="宋体" w:hAnsi="宋体" w:cs="宋体" w:eastAsia="宋体" w:hint="default"/>
          <w:sz w:val="9"/>
          <w:szCs w:val="9"/>
        </w:rPr>
      </w:pPr>
    </w:p>
    <w:tbl>
      <w:tblPr>
        <w:tblW w:w="0" w:type="auto"/>
        <w:jc w:val="left"/>
        <w:tblInd w:w="207" w:type="dxa"/>
        <w:tblLayout w:type="fixed"/>
        <w:tblCellMar>
          <w:top w:w="0" w:type="dxa"/>
          <w:left w:w="0" w:type="dxa"/>
          <w:bottom w:w="0" w:type="dxa"/>
          <w:right w:w="0" w:type="dxa"/>
        </w:tblCellMar>
        <w:tblLook w:val="01E0"/>
      </w:tblPr>
      <w:tblGrid>
        <w:gridCol w:w="3541"/>
        <w:gridCol w:w="2177"/>
        <w:gridCol w:w="1915"/>
        <w:gridCol w:w="1937"/>
      </w:tblGrid>
      <w:tr>
        <w:trPr>
          <w:trHeight w:val="184"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17" w:space="0" w:color="D2D2D2"/>
              <w:left w:val="single" w:sz="13" w:space="0" w:color="D2D2D2"/>
              <w:bottom w:val="single" w:sz="4" w:space="0" w:color="000000"/>
              <w:right w:val="single" w:sz="4" w:space="0" w:color="000000"/>
            </w:tcBorders>
          </w:tcPr>
          <w:p>
            <w:pPr>
              <w:pStyle w:val="TableParagraph"/>
              <w:spacing w:line="240" w:lineRule="auto" w:before="96"/>
              <w:ind w:right="18"/>
              <w:jc w:val="right"/>
              <w:rPr>
                <w:rFonts w:ascii="Arial" w:hAnsi="Arial" w:cs="Arial" w:eastAsia="Arial" w:hint="default"/>
                <w:sz w:val="18"/>
                <w:szCs w:val="18"/>
              </w:rPr>
            </w:pPr>
            <w:r>
              <w:rPr>
                <w:rFonts w:ascii="Arial"/>
                <w:w w:val="95"/>
                <w:sz w:val="18"/>
              </w:rPr>
              <w:t>8.64%</w:t>
            </w:r>
            <w:r>
              <w:rPr>
                <w:rFonts w:ascii="Arial"/>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Arial" w:hAnsi="Arial" w:cs="Arial" w:eastAsia="Arial" w:hint="default"/>
                <w:sz w:val="18"/>
                <w:szCs w:val="18"/>
              </w:rPr>
            </w:pPr>
            <w:r>
              <w:rPr>
                <w:rFonts w:ascii="Arial"/>
                <w:w w:val="95"/>
                <w:sz w:val="18"/>
              </w:rPr>
              <w:t>0.52</w:t>
            </w:r>
            <w:r>
              <w:rPr>
                <w:rFonts w:ascii="Arial"/>
                <w:sz w:val="18"/>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8"/>
              <w:jc w:val="right"/>
              <w:rPr>
                <w:rFonts w:ascii="Arial" w:hAnsi="Arial" w:cs="Arial" w:eastAsia="Arial" w:hint="default"/>
                <w:sz w:val="18"/>
                <w:szCs w:val="18"/>
              </w:rPr>
            </w:pPr>
            <w:r>
              <w:rPr>
                <w:rFonts w:ascii="Arial"/>
                <w:w w:val="95"/>
                <w:sz w:val="18"/>
              </w:rPr>
              <w:t>0.52</w:t>
            </w:r>
            <w:r>
              <w:rPr>
                <w:rFonts w:ascii="Arial"/>
                <w:sz w:val="18"/>
              </w:rPr>
            </w:r>
          </w:p>
        </w:tc>
      </w:tr>
      <w:tr>
        <w:trPr>
          <w:trHeight w:val="715"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7.57%</w:t>
            </w:r>
            <w:r>
              <w:rPr>
                <w:rFonts w:ascii="Arial"/>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0.46</w:t>
            </w:r>
            <w:r>
              <w:rPr>
                <w:rFonts w:ascii="Arial"/>
                <w:sz w:val="18"/>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0.46</w:t>
            </w:r>
            <w:r>
              <w:rPr>
                <w:rFonts w:ascii="Arial"/>
                <w:sz w:val="18"/>
              </w:rPr>
            </w:r>
          </w:p>
        </w:tc>
      </w:tr>
    </w:tbl>
    <w:p>
      <w:pPr>
        <w:spacing w:line="240" w:lineRule="auto" w:before="3"/>
        <w:rPr>
          <w:rFonts w:ascii="宋体" w:hAnsi="宋体" w:cs="宋体" w:eastAsia="宋体" w:hint="default"/>
          <w:sz w:val="19"/>
          <w:szCs w:val="19"/>
        </w:rPr>
      </w:pPr>
    </w:p>
    <w:p>
      <w:pPr>
        <w:pStyle w:val="Heading3"/>
        <w:spacing w:line="240" w:lineRule="auto" w:before="36"/>
        <w:ind w:left="212" w:right="1192"/>
        <w:jc w:val="left"/>
        <w:rPr>
          <w:b w:val="0"/>
          <w:bCs w:val="0"/>
        </w:rPr>
      </w:pPr>
      <w:r>
        <w:rPr>
          <w:rFonts w:ascii="Arial" w:hAnsi="Arial" w:cs="Arial" w:eastAsia="Arial" w:hint="default"/>
        </w:rPr>
        <w:t>2</w:t>
      </w:r>
      <w:r>
        <w:rPr/>
        <w:t>、公司主要会计报表项目的异常情况及原因的说明</w:t>
      </w:r>
      <w:r>
        <w:rPr>
          <w:b w:val="0"/>
          <w:bCs w:val="0"/>
        </w:rPr>
      </w:r>
    </w:p>
    <w:p>
      <w:pPr>
        <w:spacing w:line="240" w:lineRule="auto" w:before="8"/>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1529"/>
        <w:gridCol w:w="1558"/>
        <w:gridCol w:w="1416"/>
        <w:gridCol w:w="1419"/>
        <w:gridCol w:w="1147"/>
        <w:gridCol w:w="2989"/>
      </w:tblGrid>
      <w:tr>
        <w:trPr>
          <w:trHeight w:val="986" w:hRule="exact"/>
        </w:trPr>
        <w:tc>
          <w:tcPr>
            <w:tcW w:w="15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年末余额</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本年数</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上年数</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11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29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830" w:hRule="exact"/>
        </w:trPr>
        <w:tc>
          <w:tcPr>
            <w:tcW w:w="15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405,875,608.40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111,826,875.32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294,048,733.08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262.95%</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105" w:right="101"/>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7"/>
                <w:sz w:val="18"/>
                <w:szCs w:val="18"/>
              </w:rPr>
              <w:t> </w:t>
            </w:r>
            <w:r>
              <w:rPr>
                <w:rFonts w:ascii="宋体" w:hAnsi="宋体" w:cs="宋体" w:eastAsia="宋体" w:hint="default"/>
                <w:sz w:val="18"/>
                <w:szCs w:val="18"/>
              </w:rPr>
              <w:t>2012</w:t>
            </w:r>
            <w:r>
              <w:rPr>
                <w:rFonts w:ascii="宋体" w:hAnsi="宋体" w:cs="宋体" w:eastAsia="宋体" w:hint="default"/>
                <w:spacing w:val="-55"/>
                <w:sz w:val="18"/>
                <w:szCs w:val="18"/>
              </w:rPr>
              <w:t> </w:t>
            </w:r>
            <w:r>
              <w:rPr>
                <w:rFonts w:ascii="宋体" w:hAnsi="宋体" w:cs="宋体" w:eastAsia="宋体" w:hint="default"/>
                <w:sz w:val="18"/>
                <w:szCs w:val="18"/>
              </w:rPr>
              <w:t>年度公开发行股票募集资 金</w:t>
            </w:r>
          </w:p>
        </w:tc>
      </w:tr>
      <w:tr>
        <w:trPr>
          <w:trHeight w:val="531" w:hRule="exact"/>
        </w:trPr>
        <w:tc>
          <w:tcPr>
            <w:tcW w:w="15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38,447,711.08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28,885,285.38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9,562,425.70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33.10%</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以应收票据结算的客户增加</w:t>
            </w:r>
          </w:p>
        </w:tc>
      </w:tr>
      <w:tr>
        <w:trPr>
          <w:trHeight w:val="828" w:hRule="exact"/>
        </w:trPr>
        <w:tc>
          <w:tcPr>
            <w:tcW w:w="15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242,840,828.98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152,426,060.41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90,414,768.57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59.32%</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105" w:right="97"/>
              <w:jc w:val="left"/>
              <w:rPr>
                <w:rFonts w:ascii="宋体" w:hAnsi="宋体" w:cs="宋体" w:eastAsia="宋体" w:hint="default"/>
                <w:sz w:val="18"/>
                <w:szCs w:val="18"/>
              </w:rPr>
            </w:pPr>
            <w:r>
              <w:rPr>
                <w:rFonts w:ascii="宋体" w:hAnsi="宋体" w:cs="宋体" w:eastAsia="宋体" w:hint="default"/>
                <w:spacing w:val="4"/>
                <w:sz w:val="18"/>
                <w:szCs w:val="18"/>
              </w:rPr>
              <w:t>公司实行大客户战略，大客户占款 </w:t>
            </w:r>
            <w:r>
              <w:rPr>
                <w:rFonts w:ascii="宋体" w:hAnsi="宋体" w:cs="宋体" w:eastAsia="宋体" w:hint="default"/>
                <w:sz w:val="18"/>
                <w:szCs w:val="18"/>
              </w:rPr>
              <w:t>集中且收款周期较长，</w:t>
            </w:r>
          </w:p>
        </w:tc>
      </w:tr>
      <w:tr>
        <w:trPr>
          <w:trHeight w:val="530" w:hRule="exact"/>
        </w:trPr>
        <w:tc>
          <w:tcPr>
            <w:tcW w:w="15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13,073,317.61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4,088,126.86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8,985,190.75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219.79%</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预付的项目合作开发款</w:t>
            </w:r>
          </w:p>
        </w:tc>
      </w:tr>
      <w:tr>
        <w:trPr>
          <w:trHeight w:val="530" w:hRule="exact"/>
        </w:trPr>
        <w:tc>
          <w:tcPr>
            <w:tcW w:w="15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5,639,988.09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5,639,988.09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募集资金定期存款应收利息</w:t>
            </w:r>
          </w:p>
        </w:tc>
      </w:tr>
      <w:tr>
        <w:trPr>
          <w:trHeight w:val="530" w:hRule="exact"/>
        </w:trPr>
        <w:tc>
          <w:tcPr>
            <w:tcW w:w="15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72,430,176.47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389,736.00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72,040,440.47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18484.42%</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募投项目惠州茂硕产业基地建设</w:t>
            </w:r>
          </w:p>
        </w:tc>
      </w:tr>
    </w:tbl>
    <w:p>
      <w:pPr>
        <w:spacing w:after="0" w:line="240" w:lineRule="auto"/>
        <w:jc w:val="left"/>
        <w:rPr>
          <w:rFonts w:ascii="宋体" w:hAnsi="宋体" w:cs="宋体" w:eastAsia="宋体" w:hint="default"/>
          <w:sz w:val="18"/>
          <w:szCs w:val="18"/>
        </w:rPr>
        <w:sectPr>
          <w:headerReference w:type="default" r:id="rId87"/>
          <w:footerReference w:type="default" r:id="rId88"/>
          <w:pgSz w:w="11910" w:h="16840"/>
          <w:pgMar w:header="877" w:footer="0" w:top="1060" w:bottom="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28"/>
        <w:gridCol w:w="1558"/>
        <w:gridCol w:w="1416"/>
        <w:gridCol w:w="1419"/>
        <w:gridCol w:w="1147"/>
        <w:gridCol w:w="2989"/>
      </w:tblGrid>
      <w:tr>
        <w:trPr>
          <w:trHeight w:val="531" w:hRule="exact"/>
        </w:trPr>
        <w:tc>
          <w:tcPr>
            <w:tcW w:w="15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3,330,617.35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2,114,981.34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1,215,636.01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57.48%</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应收款项坏账准备增加</w:t>
            </w:r>
          </w:p>
        </w:tc>
      </w:tr>
      <w:tr>
        <w:trPr>
          <w:trHeight w:val="530" w:hRule="exact"/>
        </w:trPr>
        <w:tc>
          <w:tcPr>
            <w:tcW w:w="15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5,740,000.00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16,405,038.12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-10,665,038.12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-65.01%</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公司归还了借款</w:t>
            </w:r>
          </w:p>
        </w:tc>
      </w:tr>
      <w:tr>
        <w:trPr>
          <w:trHeight w:val="530" w:hRule="exact"/>
        </w:trPr>
        <w:tc>
          <w:tcPr>
            <w:tcW w:w="15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133,664,721.35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70,250,756.22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63,413,965.13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90.27%</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付款周期变长</w:t>
            </w:r>
          </w:p>
        </w:tc>
      </w:tr>
      <w:tr>
        <w:trPr>
          <w:trHeight w:val="528" w:hRule="exact"/>
        </w:trPr>
        <w:tc>
          <w:tcPr>
            <w:tcW w:w="15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9,646,371.16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7,130,477.34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2,515,893.82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35.28%</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员工最低工资标准提高</w:t>
            </w:r>
          </w:p>
        </w:tc>
      </w:tr>
      <w:tr>
        <w:trPr>
          <w:trHeight w:val="530" w:hRule="exact"/>
        </w:trPr>
        <w:tc>
          <w:tcPr>
            <w:tcW w:w="15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11,689,051.99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-3,740,003.38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15,429,055.37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-412.54%</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增值税增加</w:t>
            </w:r>
          </w:p>
        </w:tc>
      </w:tr>
      <w:tr>
        <w:trPr>
          <w:trHeight w:val="530" w:hRule="exact"/>
        </w:trPr>
        <w:tc>
          <w:tcPr>
            <w:tcW w:w="15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3,673,222.45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918,968.46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2,754,253.99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299.71%</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主要系应付英飞特余额增加</w:t>
            </w:r>
          </w:p>
        </w:tc>
      </w:tr>
      <w:tr>
        <w:trPr>
          <w:trHeight w:val="530" w:hRule="exact"/>
        </w:trPr>
        <w:tc>
          <w:tcPr>
            <w:tcW w:w="15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98,788,800.00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72,800,000.00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25,988,800.00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35.70%</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公司公开发行新股及股权激励</w:t>
            </w:r>
          </w:p>
        </w:tc>
      </w:tr>
      <w:tr>
        <w:trPr>
          <w:trHeight w:val="531" w:hRule="exact"/>
        </w:trPr>
        <w:tc>
          <w:tcPr>
            <w:tcW w:w="15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437,528,499.37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33,167,482.80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404,361,016.57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1219.15%</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公司公开发行新股及股权激励</w:t>
            </w:r>
          </w:p>
        </w:tc>
      </w:tr>
      <w:tr>
        <w:trPr>
          <w:trHeight w:val="530" w:hRule="exact"/>
        </w:trPr>
        <w:tc>
          <w:tcPr>
            <w:tcW w:w="15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4,183,453.27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2,449,245.20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1,734,208.07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70.81%</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应交流转税增加</w:t>
            </w:r>
          </w:p>
        </w:tc>
      </w:tr>
      <w:tr>
        <w:trPr>
          <w:trHeight w:val="528" w:hRule="exact"/>
        </w:trPr>
        <w:tc>
          <w:tcPr>
            <w:tcW w:w="15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-8,455,607.12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6,389,524.47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-14,845,131.59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-232.34%</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募集资金定期存款利息增加</w:t>
            </w:r>
          </w:p>
        </w:tc>
      </w:tr>
      <w:tr>
        <w:trPr>
          <w:trHeight w:val="530" w:hRule="exact"/>
        </w:trPr>
        <w:tc>
          <w:tcPr>
            <w:tcW w:w="15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4,839,460.24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563,708.46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4,275,751.78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758.50%</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应收款项增加所致</w:t>
            </w:r>
          </w:p>
        </w:tc>
      </w:tr>
      <w:tr>
        <w:trPr>
          <w:trHeight w:val="530" w:hRule="exact"/>
        </w:trPr>
        <w:tc>
          <w:tcPr>
            <w:tcW w:w="15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7,238,619.09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2,923,447.92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4,315,171.17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147.61%</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政府补助增加</w:t>
            </w:r>
          </w:p>
        </w:tc>
      </w:tr>
      <w:tr>
        <w:trPr>
          <w:trHeight w:val="830" w:hRule="exact"/>
        </w:trPr>
        <w:tc>
          <w:tcPr>
            <w:tcW w:w="15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6,980,586.38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pacing w:val="-1"/>
                <w:sz w:val="18"/>
              </w:rPr>
              <w:t>10,828,198.09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-3,847,611.71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5"/>
              <w:jc w:val="right"/>
              <w:rPr>
                <w:rFonts w:ascii="Times New Roman" w:hAnsi="Times New Roman" w:cs="Times New Roman" w:eastAsia="Times New Roman" w:hint="default"/>
                <w:sz w:val="18"/>
                <w:szCs w:val="18"/>
              </w:rPr>
            </w:pPr>
            <w:r>
              <w:rPr>
                <w:rFonts w:ascii="Times New Roman"/>
                <w:sz w:val="18"/>
              </w:rPr>
              <w:t>-35.53%</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利润下降，同时子公司茂硕电子所 得税税率降低</w:t>
            </w:r>
          </w:p>
        </w:tc>
      </w:tr>
    </w:tbl>
    <w:p>
      <w:pPr>
        <w:spacing w:after="0" w:line="316" w:lineRule="auto"/>
        <w:jc w:val="left"/>
        <w:rPr>
          <w:rFonts w:ascii="宋体" w:hAnsi="宋体" w:cs="宋体" w:eastAsia="宋体" w:hint="default"/>
          <w:sz w:val="18"/>
          <w:szCs w:val="18"/>
        </w:rPr>
        <w:sectPr>
          <w:footerReference w:type="default" r:id="rId89"/>
          <w:pgSz w:w="11910" w:h="16840"/>
          <w:pgMar w:footer="1340" w:header="877" w:top="1060" w:bottom="1540" w:left="920" w:right="0"/>
          <w:pgNumType w:start="16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285" w:right="1121"/>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2474"/>
        <w:jc w:val="left"/>
      </w:pPr>
      <w:r>
        <w:rPr/>
        <w:t>一、载有公司负责人、主管会计工作负责人、会计机构负责人（会计主管人员）签名并盖章的财务报表。 二、载有会计师事务所盖章、注册会计师签名并盖章的审计报告原件。 三、报告期内在中国证监会指定网站上公开披露过的所有公司文件的正本及公告的原稿。 四、以上备查文件的备置地点：公司董事会秘书办公室。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spacing w:line="20" w:lineRule="exact"/>
        <w:ind w:left="6955" w:right="0" w:firstLine="0"/>
        <w:rPr>
          <w:rFonts w:ascii="宋体" w:hAnsi="宋体" w:cs="宋体" w:eastAsia="宋体" w:hint="default"/>
          <w:sz w:val="2"/>
          <w:szCs w:val="2"/>
        </w:rPr>
      </w:pPr>
      <w:r>
        <w:rPr>
          <w:rFonts w:ascii="宋体" w:hAnsi="宋体" w:cs="宋体" w:eastAsia="宋体" w:hint="default"/>
          <w:sz w:val="2"/>
          <w:szCs w:val="2"/>
        </w:rPr>
        <w:pict>
          <v:group style="width:142.15pt;height:.25pt;mso-position-horizontal-relative:char;mso-position-vertical-relative:line" coordorigin="0,0" coordsize="2843,5">
            <v:group style="position:absolute;left:2;top:2;width:2838;height:2" coordorigin="2,2" coordsize="2838,2">
              <v:shape style="position:absolute;left:2;top:2;width:2838;height:2" coordorigin="2,2" coordsize="2838,0" path="m2,2l2840,2e" filled="false" stroked="true" strokeweight=".2428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0"/>
          <w:szCs w:val="10"/>
        </w:rPr>
      </w:pPr>
    </w:p>
    <w:p>
      <w:pPr>
        <w:pStyle w:val="Heading4"/>
        <w:spacing w:line="408" w:lineRule="auto"/>
        <w:ind w:left="6955" w:right="1130"/>
        <w:jc w:val="center"/>
      </w:pPr>
      <w:r>
        <w:rPr/>
        <w:t>法定代表人：</w:t>
      </w:r>
      <w:r>
        <w:rPr>
          <w:spacing w:val="-2"/>
        </w:rPr>
        <w:t> </w:t>
      </w:r>
      <w:r>
        <w:rPr/>
        <w:t>顾永德（签章）</w:t>
      </w:r>
      <w:r>
        <w:rPr>
          <w:w w:val="100"/>
        </w:rPr>
        <w:t> </w:t>
      </w:r>
      <w:r>
        <w:rPr/>
        <w:t>茂硕电源科技股份有限公司</w:t>
      </w:r>
    </w:p>
    <w:p>
      <w:pPr>
        <w:pStyle w:val="Heading4"/>
        <w:spacing w:line="240" w:lineRule="auto" w:before="46"/>
        <w:ind w:left="0" w:right="1429"/>
        <w:jc w:val="right"/>
      </w:pPr>
      <w:r>
        <w:rPr>
          <w:spacing w:val="-2"/>
        </w:rPr>
        <w:t>二〇一三年四月二十日</w:t>
      </w:r>
    </w:p>
    <w:sectPr>
      <w:pgSz w:w="11910" w:h="16840"/>
      <w:pgMar w:header="877"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4944" type="#_x0000_t75" stroked="false">
          <v:imagedata r:id="rId1" o:title=""/>
        </v:shape>
      </w:pict>
    </w:r>
    <w:r>
      <w:rPr/>
      <w:pict>
        <v:shape style="position:absolute;margin-left:533.099976pt;margin-top:795.637939pt;width:6.5pt;height:11pt;mso-position-horizontal-relative:page;mso-position-vertical-relative:page;z-index:-10349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4512" type="#_x0000_t75" stroked="false">
          <v:imagedata r:id="rId1" o:title=""/>
        </v:shape>
      </w:pict>
    </w:r>
    <w:r>
      <w:rPr/>
      <w:pict>
        <v:shape style="position:absolute;margin-left:527.659973pt;margin-top:781.933899pt;width:13.15pt;height:11pt;mso-position-horizontal-relative:page;mso-position-vertical-relative:page;z-index:-1034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36</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4416" type="#_x0000_t75" stroked="false">
          <v:imagedata r:id="rId1" o:title=""/>
        </v:shape>
      </w:pict>
    </w:r>
    <w:r>
      <w:rPr/>
      <w:pict>
        <v:shape style="position:absolute;margin-left:527.659973pt;margin-top:781.933899pt;width:13.15pt;height:11pt;mso-position-horizontal-relative:page;mso-position-vertical-relative:page;z-index:-1034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53</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4272" type="#_x0000_t75" stroked="false">
          <v:imagedata r:id="rId1" o:title=""/>
        </v:shape>
      </w:pict>
    </w:r>
    <w:r>
      <w:rPr/>
      <w:pict>
        <v:shape style="position:absolute;margin-left:527.659973pt;margin-top:781.933899pt;width:13.15pt;height:11pt;mso-position-horizontal-relative:page;mso-position-vertical-relative:page;z-index:-1034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57</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4176" type="#_x0000_t75" stroked="false">
          <v:imagedata r:id="rId1" o:title=""/>
        </v:shape>
      </w:pict>
    </w:r>
    <w:r>
      <w:rPr/>
      <w:pict>
        <v:shape style="position:absolute;margin-left:527.659973pt;margin-top:781.933899pt;width:13.15pt;height:11pt;mso-position-horizontal-relative:page;mso-position-vertical-relative:page;z-index:-1034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64</w:t>
                </w:r>
                <w:r>
                  <w:rPr/>
                  <w:fldChar w:fldCharType="end"/>
                </w:r>
                <w:r>
                  <w:rPr>
                    <w:rFonts w:ascii="Times New Roman"/>
                    <w:spacing w:val="1"/>
                  </w:rPr>
                </w:r>
                <w:r>
                  <w:rPr>
                    <w:rFonts w:ascii="Times New Roman"/>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4128" type="#_x0000_t75" stroked="false">
          <v:imagedata r:id="rId1" o:title=""/>
        </v:shape>
      </w:pict>
    </w:r>
    <w:r>
      <w:rPr/>
      <w:pict>
        <v:shape style="position:absolute;margin-left:527.659973pt;margin-top:781.933899pt;width:13.15pt;height:11pt;mso-position-horizontal-relative:page;mso-position-vertical-relative:page;z-index:-1034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68</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4896" type="#_x0000_t75" stroked="false">
          <v:imagedata r:id="rId1" o:title=""/>
        </v:shape>
      </w:pict>
    </w:r>
    <w:r>
      <w:rPr/>
      <w:pict>
        <v:shape style="position:absolute;margin-left:527.659973pt;margin-top:781.933899pt;width:13.15pt;height:11pt;mso-position-horizontal-relative:page;mso-position-vertical-relative:page;z-index:-1034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3792" type="#_x0000_t75" stroked="false">
          <v:imagedata r:id="rId1" o:title=""/>
        </v:shape>
      </w:pict>
    </w:r>
    <w:r>
      <w:rPr/>
      <w:pict>
        <v:shape style="position:absolute;margin-left:527.659973pt;margin-top:781.933899pt;width:13.15pt;height:11pt;mso-position-horizontal-relative:page;mso-position-vertical-relative:page;z-index:-1033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94</w:t>
                </w:r>
                <w:r>
                  <w:rPr/>
                  <w:fldChar w:fldCharType="end"/>
                </w:r>
                <w:r>
                  <w:rPr>
                    <w:rFonts w:ascii="Times New Roman"/>
                    <w:spacing w:val="1"/>
                  </w:rPr>
                </w:r>
                <w:r>
                  <w:rPr>
                    <w:rFonts w:ascii="Times New Roman"/>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3744" type="#_x0000_t75" stroked="false">
          <v:imagedata r:id="rId1" o:title=""/>
        </v:shape>
      </w:pict>
    </w:r>
    <w:r>
      <w:rPr/>
      <w:pict>
        <v:shape style="position:absolute;margin-left:524.099976pt;margin-top:781.933899pt;width:15.7pt;height:11pt;mso-position-horizontal-relative:page;mso-position-vertical-relative:page;z-index:-10337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3696" type="#_x0000_t75" stroked="false">
          <v:imagedata r:id="rId1" o:title=""/>
        </v:shape>
      </w:pict>
    </w:r>
    <w:r>
      <w:rPr/>
      <w:pict>
        <v:shape style="position:absolute;margin-left:523.099976pt;margin-top:781.933899pt;width:17.7pt;height:11pt;mso-position-horizontal-relative:page;mso-position-vertical-relative:page;z-index:-1033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3600" type="#_x0000_t75" stroked="false">
          <v:imagedata r:id="rId1" o:title=""/>
        </v:shape>
      </w:pict>
    </w:r>
    <w:r>
      <w:rPr/>
      <w:pict>
        <v:shape style="position:absolute;margin-left:523.099976pt;margin-top:781.933899pt;width:17.7pt;height:11pt;mso-position-horizontal-relative:page;mso-position-vertical-relative:page;z-index:-1033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108</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3504" type="#_x0000_t75" stroked="false">
          <v:imagedata r:id="rId1" o:title=""/>
        </v:shape>
      </w:pict>
    </w:r>
    <w:r>
      <w:rPr/>
      <w:pict>
        <v:shape style="position:absolute;margin-left:523.460022pt;margin-top:781.933899pt;width:17.3pt;height:11pt;mso-position-horizontal-relative:page;mso-position-vertical-relative:page;z-index:-1033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3456" type="#_x0000_t75" stroked="false">
          <v:imagedata r:id="rId1" o:title=""/>
        </v:shape>
      </w:pict>
    </w:r>
    <w:r>
      <w:rPr/>
      <w:pict>
        <v:shape style="position:absolute;margin-left:497.100006pt;margin-top:755.881592pt;width:42.6pt;height:11pt;mso-position-horizontal-relative:page;mso-position-vertical-relative:page;z-index:-1033432" type="#_x0000_t202" filled="false" stroked="false">
          <v:textbox inset="0,0,0,0">
            <w:txbxContent>
              <w:p>
                <w:pPr>
                  <w:pStyle w:val="BodyText"/>
                  <w:spacing w:line="200" w:lineRule="exact"/>
                  <w:ind w:left="20" w:right="0"/>
                  <w:jc w:val="left"/>
                </w:pPr>
                <w:r>
                  <w:rPr/>
                  <w:t>单位：</w:t>
                </w:r>
                <w:r>
                  <w:rPr>
                    <w:spacing w:val="1"/>
                  </w:rPr>
                  <w:t> </w:t>
                </w:r>
                <w:r>
                  <w:rPr/>
                  <w:t>元</w:t>
                </w:r>
              </w:p>
            </w:txbxContent>
          </v:textbox>
          <w10:wrap type="none"/>
        </v:shape>
      </w:pict>
    </w:r>
    <w:r>
      <w:rPr/>
      <w:pict>
        <v:shape style="position:absolute;margin-left:523.460022pt;margin-top:781.933899pt;width:17.3pt;height:11pt;mso-position-horizontal-relative:page;mso-position-vertical-relative:page;z-index:-1033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117</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3384" type="#_x0000_t75" stroked="false">
          <v:imagedata r:id="rId1" o:title=""/>
        </v:shape>
      </w:pict>
    </w:r>
    <w:r>
      <w:rPr/>
      <w:pict>
        <v:shape style="position:absolute;margin-left:523.460022pt;margin-top:781.933899pt;width:17.3pt;height:11pt;mso-position-horizontal-relative:page;mso-position-vertical-relative:page;z-index:-1033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119</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3336" type="#_x0000_t75" stroked="false">
          <v:imagedata r:id="rId1" o:title=""/>
        </v:shape>
      </w:pict>
    </w:r>
    <w:r>
      <w:rPr/>
      <w:pict>
        <v:shape style="position:absolute;margin-left:523.099976pt;margin-top:781.933899pt;width:17.7pt;height:11pt;mso-position-horizontal-relative:page;mso-position-vertical-relative:page;z-index:-1033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3288" type="#_x0000_t75" stroked="false">
          <v:imagedata r:id="rId1" o:title=""/>
        </v:shape>
      </w:pict>
    </w:r>
    <w:r>
      <w:rPr/>
      <w:pict>
        <v:shape style="position:absolute;margin-left:523.099976pt;margin-top:781.933899pt;width:17.7pt;height:11pt;mso-position-horizontal-relative:page;mso-position-vertical-relative:page;z-index:-1033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132</w:t>
                </w:r>
                <w:r>
                  <w:rPr/>
                  <w:fldChar w:fldCharType="end"/>
                </w:r>
                <w:r>
                  <w:rPr>
                    <w:rFonts w:ascii="Times New Roman"/>
                    <w:spacing w:val="1"/>
                  </w:rPr>
                </w:r>
                <w:r>
                  <w:rPr>
                    <w:rFonts w:ascii="Times New Roman"/>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4800" type="#_x0000_t75" stroked="false">
          <v:imagedata r:id="rId1" o:title=""/>
        </v:shape>
      </w:pict>
    </w:r>
    <w:r>
      <w:rPr/>
      <w:pict>
        <v:shape style="position:absolute;margin-left:527.659973pt;margin-top:781.933899pt;width:13.15pt;height:11pt;mso-position-horizontal-relative:page;mso-position-vertical-relative:page;z-index:-1034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w:t>
                </w:r>
                <w:r>
                  <w:rPr/>
                  <w:fldChar w:fldCharType="end"/>
                </w:r>
                <w:r>
                  <w:rPr>
                    <w:rFonts w:ascii="Times New Roman"/>
                    <w:spacing w:val="1"/>
                  </w:rPr>
                </w:r>
                <w:r>
                  <w:rPr>
                    <w:rFonts w:ascii="Times New Roman"/>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3096" type="#_x0000_t75" stroked="false">
          <v:imagedata r:id="rId1" o:title=""/>
        </v:shape>
      </w:pict>
    </w:r>
    <w:r>
      <w:rPr/>
      <w:pict>
        <v:shape style="position:absolute;margin-left:523.099976pt;margin-top:781.933899pt;width:17.7pt;height:11pt;mso-position-horizontal-relative:page;mso-position-vertical-relative:page;z-index:-1033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146</w:t>
                </w:r>
                <w:r>
                  <w:rPr/>
                  <w:fldChar w:fldCharType="end"/>
                </w:r>
                <w:r>
                  <w:rPr>
                    <w:rFonts w:ascii="Times New Roman"/>
                    <w:spacing w:val="1"/>
                  </w:rPr>
                </w:r>
                <w:r>
                  <w:rPr>
                    <w:rFonts w:ascii="Times New Roman"/>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2904" type="#_x0000_t75" stroked="false">
          <v:imagedata r:id="rId1" o:title=""/>
        </v:shape>
      </w:pict>
    </w:r>
    <w:r>
      <w:rPr/>
      <w:pict>
        <v:shape style="position:absolute;margin-left:523.099976pt;margin-top:781.933899pt;width:17.7pt;height:11pt;mso-position-horizontal-relative:page;mso-position-vertical-relative:page;z-index:-1032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151</w:t>
                </w:r>
                <w:r>
                  <w:rPr/>
                  <w:fldChar w:fldCharType="end"/>
                </w:r>
                <w:r>
                  <w:rPr>
                    <w:rFonts w:ascii="Times New Roman"/>
                    <w:spacing w:val="1"/>
                  </w:rPr>
                </w:r>
                <w:r>
                  <w:rPr>
                    <w:rFonts w:ascii="Times New Roman"/>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2712" type="#_x0000_t75" stroked="false">
          <v:imagedata r:id="rId1" o:title=""/>
        </v:shape>
      </w:pict>
    </w:r>
    <w:r>
      <w:rPr/>
      <w:pict>
        <v:shape style="position:absolute;margin-left:523.099976pt;margin-top:781.933899pt;width:17.7pt;height:11pt;mso-position-horizontal-relative:page;mso-position-vertical-relative:page;z-index:-1032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164</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4704" type="#_x0000_t75" stroked="false">
          <v:imagedata r:id="rId1" o:title=""/>
        </v:shape>
      </w:pict>
    </w:r>
    <w:r>
      <w:rPr/>
      <w:pict>
        <v:shape style="position:absolute;margin-left:527.659973pt;margin-top:781.933899pt;width:13.15pt;height:11pt;mso-position-horizontal-relative:page;mso-position-vertical-relative:page;z-index:-1034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34608" type="#_x0000_t75" stroked="false">
          <v:imagedata r:id="rId1" o:title=""/>
        </v:shape>
      </w:pict>
    </w:r>
    <w:r>
      <w:rPr/>
      <w:pict>
        <v:shape style="position:absolute;margin-left:527.659973pt;margin-top:781.933899pt;width:13.15pt;height:11pt;mso-position-horizontal-relative:page;mso-position-vertical-relative:page;z-index:-10345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25</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75pt;height:11.5pt;mso-position-horizontal-relative:page;mso-position-vertical-relative:page;z-index:-1034968"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40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4056"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40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4008"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39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3960"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39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3912"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38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3864"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38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3816"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36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3624"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35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3528"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32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3216"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31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3168"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48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4824"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31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3120"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30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3024"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30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2976"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29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2928"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28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2832"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28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2784"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27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2736"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47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4728"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46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4632"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45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4536"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44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4440"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43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4344"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43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4296"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342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1034200" type="#_x0000_t202" filled="false" stroked="false">
          <v:textbox inset="0,0,0,0">
            <w:txbxContent>
              <w:p>
                <w:pPr>
                  <w:pStyle w:val="BodyText"/>
                  <w:spacing w:line="214" w:lineRule="exact"/>
                  <w:ind w:left="20" w:right="0"/>
                  <w:jc w:val="left"/>
                </w:pPr>
                <w:r>
                  <w:rPr/>
                  <w:t>茂硕电源科技股份有限公司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22"/>
      <w:ind w:left="152"/>
    </w:pPr>
    <w:rPr>
      <w:rFonts w:ascii="宋体" w:hAnsi="宋体" w:eastAsia="宋体"/>
      <w:b/>
      <w:bCs/>
      <w:sz w:val="32"/>
      <w:szCs w:val="32"/>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5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36"/>
      <w:ind w:left="152"/>
      <w:outlineLvl w:val="4"/>
    </w:pPr>
    <w:rPr>
      <w:rFonts w:ascii="宋体" w:hAnsi="宋体" w:eastAsia="宋体"/>
      <w:sz w:val="21"/>
      <w:szCs w:val="21"/>
    </w:rPr>
  </w:style>
  <w:style w:styleId="Heading5" w:type="paragraph">
    <w:name w:val="Heading 5"/>
    <w:basedOn w:val="Normal"/>
    <w:uiPriority w:val="1"/>
    <w:qFormat/>
    <w:pPr>
      <w:ind w:left="15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mosopower.com/" TargetMode="External"/><Relationship Id="rId10" Type="http://schemas.openxmlformats.org/officeDocument/2006/relationships/hyperlink" Target="mailto:GYD@mosopower.com" TargetMode="External"/><Relationship Id="rId11" Type="http://schemas.openxmlformats.org/officeDocument/2006/relationships/hyperlink" Target="mailto:jibin.fang@mosopower.com"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eader" Target="header4.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5.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6.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image" Target="media/image3.jpeg"/><Relationship Id="rId30" Type="http://schemas.openxmlformats.org/officeDocument/2006/relationships/header" Target="header7.xml"/><Relationship Id="rId31" Type="http://schemas.openxmlformats.org/officeDocument/2006/relationships/footer" Target="footer13.xml"/><Relationship Id="rId32" Type="http://schemas.openxmlformats.org/officeDocument/2006/relationships/header" Target="header8.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image" Target="media/image6.png"/><Relationship Id="rId38" Type="http://schemas.openxmlformats.org/officeDocument/2006/relationships/image" Target="media/image7.png"/><Relationship Id="rId39" Type="http://schemas.openxmlformats.org/officeDocument/2006/relationships/header" Target="header9.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header" Target="header10.xml"/><Relationship Id="rId44" Type="http://schemas.openxmlformats.org/officeDocument/2006/relationships/footer" Target="footer19.xml"/><Relationship Id="rId45" Type="http://schemas.openxmlformats.org/officeDocument/2006/relationships/header" Target="header11.xml"/><Relationship Id="rId46" Type="http://schemas.openxmlformats.org/officeDocument/2006/relationships/footer" Target="footer20.xml"/><Relationship Id="rId47" Type="http://schemas.openxmlformats.org/officeDocument/2006/relationships/header" Target="header12.xml"/><Relationship Id="rId48" Type="http://schemas.openxmlformats.org/officeDocument/2006/relationships/footer" Target="footer21.xml"/><Relationship Id="rId49" Type="http://schemas.openxmlformats.org/officeDocument/2006/relationships/header" Target="header13.xml"/><Relationship Id="rId50" Type="http://schemas.openxmlformats.org/officeDocument/2006/relationships/footer" Target="footer22.xml"/><Relationship Id="rId51" Type="http://schemas.openxmlformats.org/officeDocument/2006/relationships/header" Target="header14.xml"/><Relationship Id="rId52" Type="http://schemas.openxmlformats.org/officeDocument/2006/relationships/footer" Target="footer23.xml"/><Relationship Id="rId53" Type="http://schemas.openxmlformats.org/officeDocument/2006/relationships/header" Target="header15.xml"/><Relationship Id="rId54" Type="http://schemas.openxmlformats.org/officeDocument/2006/relationships/footer" Target="footer24.xml"/><Relationship Id="rId55" Type="http://schemas.openxmlformats.org/officeDocument/2006/relationships/footer" Target="footer25.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header" Target="header16.xml"/><Relationship Id="rId59" Type="http://schemas.openxmlformats.org/officeDocument/2006/relationships/footer" Target="footer28.xml"/><Relationship Id="rId60" Type="http://schemas.openxmlformats.org/officeDocument/2006/relationships/footer" Target="footer29.xml"/><Relationship Id="rId61" Type="http://schemas.openxmlformats.org/officeDocument/2006/relationships/header" Target="header17.xml"/><Relationship Id="rId62" Type="http://schemas.openxmlformats.org/officeDocument/2006/relationships/footer" Target="footer30.xml"/><Relationship Id="rId63" Type="http://schemas.openxmlformats.org/officeDocument/2006/relationships/footer" Target="footer31.xml"/><Relationship Id="rId64" Type="http://schemas.openxmlformats.org/officeDocument/2006/relationships/footer" Target="footer32.xml"/><Relationship Id="rId65" Type="http://schemas.openxmlformats.org/officeDocument/2006/relationships/footer" Target="footer33.xml"/><Relationship Id="rId66" Type="http://schemas.openxmlformats.org/officeDocument/2006/relationships/footer" Target="footer34.xml"/><Relationship Id="rId67" Type="http://schemas.openxmlformats.org/officeDocument/2006/relationships/footer" Target="footer35.xml"/><Relationship Id="rId68" Type="http://schemas.openxmlformats.org/officeDocument/2006/relationships/footer" Target="footer36.xml"/><Relationship Id="rId69" Type="http://schemas.openxmlformats.org/officeDocument/2006/relationships/header" Target="header18.xml"/><Relationship Id="rId70" Type="http://schemas.openxmlformats.org/officeDocument/2006/relationships/footer" Target="footer37.xml"/><Relationship Id="rId71" Type="http://schemas.openxmlformats.org/officeDocument/2006/relationships/header" Target="header19.xml"/><Relationship Id="rId72" Type="http://schemas.openxmlformats.org/officeDocument/2006/relationships/footer" Target="footer38.xml"/><Relationship Id="rId73" Type="http://schemas.openxmlformats.org/officeDocument/2006/relationships/header" Target="header20.xml"/><Relationship Id="rId74" Type="http://schemas.openxmlformats.org/officeDocument/2006/relationships/footer" Target="footer39.xml"/><Relationship Id="rId75" Type="http://schemas.openxmlformats.org/officeDocument/2006/relationships/footer" Target="footer40.xml"/><Relationship Id="rId76" Type="http://schemas.openxmlformats.org/officeDocument/2006/relationships/header" Target="header21.xml"/><Relationship Id="rId77" Type="http://schemas.openxmlformats.org/officeDocument/2006/relationships/footer" Target="footer41.xml"/><Relationship Id="rId78" Type="http://schemas.openxmlformats.org/officeDocument/2006/relationships/header" Target="header22.xml"/><Relationship Id="rId79" Type="http://schemas.openxmlformats.org/officeDocument/2006/relationships/footer" Target="footer42.xml"/><Relationship Id="rId80" Type="http://schemas.openxmlformats.org/officeDocument/2006/relationships/header" Target="header23.xml"/><Relationship Id="rId81" Type="http://schemas.openxmlformats.org/officeDocument/2006/relationships/footer" Target="footer43.xml"/><Relationship Id="rId82" Type="http://schemas.openxmlformats.org/officeDocument/2006/relationships/footer" Target="footer44.xml"/><Relationship Id="rId83" Type="http://schemas.openxmlformats.org/officeDocument/2006/relationships/header" Target="header24.xml"/><Relationship Id="rId84" Type="http://schemas.openxmlformats.org/officeDocument/2006/relationships/footer" Target="footer45.xml"/><Relationship Id="rId85" Type="http://schemas.openxmlformats.org/officeDocument/2006/relationships/header" Target="header25.xml"/><Relationship Id="rId86" Type="http://schemas.openxmlformats.org/officeDocument/2006/relationships/footer" Target="footer46.xml"/><Relationship Id="rId87" Type="http://schemas.openxmlformats.org/officeDocument/2006/relationships/header" Target="header26.xml"/><Relationship Id="rId88" Type="http://schemas.openxmlformats.org/officeDocument/2006/relationships/footer" Target="footer47.xml"/><Relationship Id="rId89" Type="http://schemas.openxmlformats.org/officeDocument/2006/relationships/footer" Target="footer4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0.xml.rels><?xml version="1.0" encoding="UTF-8" standalone="yes"?>
<Relationships xmlns="http://schemas.openxmlformats.org/package/2006/relationships"><Relationship Id="rId1" Type="http://schemas.openxmlformats.org/officeDocument/2006/relationships/image" Target="media/image1.png"/></Relationships>

</file>

<file path=word/_rels/footer44.xml.rels><?xml version="1.0" encoding="UTF-8" standalone="yes"?>
<Relationships xmlns="http://schemas.openxmlformats.org/package/2006/relationships"><Relationship Id="rId1" Type="http://schemas.openxmlformats.org/officeDocument/2006/relationships/image" Target="media/image1.png"/></Relationships>

</file>

<file path=word/_rels/footer48.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2020-05-04T01:27:39Z</dcterms:created>
  <dcterms:modified xsi:type="dcterms:W3CDTF">2020-05-04T01:27:39Z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2013-04-22T00:00:00Z</vt:filetime>
  </property>
  <property fmtid="{D5CDD505-2E9C-101B-9397-08002B2CF9AE}" pid="3" name="Creator">
    <vt:lpwstr>Microsoft® Office Word 2007</vt:lpwstr>
  </property>
  <property fmtid="{D5CDD505-2E9C-101B-9397-08002B2CF9AE}" pid="4" name="LastSaved">
    <vt:filetime>2020-05-03T00:00:00Z</vt:filetime>
  </property>
</Properties>
</file>