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1778" w:lineRule="exact"/>
        <w:ind w:left="2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6047705" cy="11293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6047705" cy="1129379"/>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460" w:lineRule="exact" w:before="0"/>
        <w:ind w:left="423" w:right="1400" w:firstLine="0"/>
        <w:jc w:val="center"/>
        <w:rPr>
          <w:rFonts w:ascii="宋体" w:hAnsi="宋体" w:cs="宋体" w:eastAsia="宋体" w:hint="default"/>
          <w:sz w:val="36"/>
          <w:szCs w:val="36"/>
        </w:rPr>
      </w:pPr>
      <w:r>
        <w:rPr>
          <w:rFonts w:ascii="宋体" w:hAnsi="宋体" w:cs="宋体" w:eastAsia="宋体" w:hint="default"/>
          <w:b/>
          <w:bCs/>
          <w:sz w:val="36"/>
          <w:szCs w:val="36"/>
        </w:rPr>
        <w:t>茂硕电源科技股份有限公司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23" w:right="1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0"/>
          <w:szCs w:val="40"/>
        </w:rPr>
      </w:pPr>
    </w:p>
    <w:p>
      <w:pPr>
        <w:spacing w:before="0"/>
        <w:ind w:left="423" w:right="1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公司负责人顾永德、主管会计工作负责人罗宏健及会计机构负责人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邱华景声明：保证年度报告中财务报告的真实、准确、完整。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23" w:right="1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423" w:right="1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深圳市富凌控制技术有限公司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月正式更名为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深圳茂 硕新能源科技有限公司</w:t>
            </w:r>
            <w:r>
              <w:rPr>
                <w:rFonts w:ascii="Times New Roman" w:hAnsi="Times New Roman" w:cs="Times New Roman" w:eastAsia="Times New Roman"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茂硕钜泽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茂硕希港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浙江国利英核能源有限公司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弘康茂硕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连硕自动化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深圳连硕自动化科技有限公司，原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深圳市连硕设备技术有限公司</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国浩律师（深圳）事务所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423" w:right="140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3" w:right="1134" w:firstLine="562"/>
        <w:jc w:val="both"/>
        <w:rPr>
          <w:rFonts w:ascii="宋体" w:hAnsi="宋体" w:cs="宋体" w:eastAsia="宋体" w:hint="default"/>
          <w:sz w:val="28"/>
          <w:szCs w:val="28"/>
        </w:rPr>
      </w:pPr>
      <w:r>
        <w:rPr>
          <w:rFonts w:ascii="宋体" w:hAnsi="宋体" w:cs="宋体" w:eastAsia="宋体" w:hint="default"/>
          <w:b/>
          <w:bCs/>
          <w:spacing w:val="2"/>
          <w:sz w:val="28"/>
          <w:szCs w:val="28"/>
        </w:rPr>
        <w:t>可能存在收购整合风险 </w:t>
      </w:r>
      <w:r>
        <w:rPr>
          <w:rFonts w:ascii="宋体" w:hAnsi="宋体" w:cs="宋体" w:eastAsia="宋体" w:hint="default"/>
          <w:b/>
          <w:bCs/>
          <w:spacing w:val="3"/>
          <w:sz w:val="28"/>
          <w:szCs w:val="28"/>
        </w:rPr>
        <w:t>、新增固定资产折旧影响经营业绩风险</w:t>
      </w:r>
      <w:r>
        <w:rPr>
          <w:rFonts w:ascii="宋体" w:hAnsi="宋体" w:cs="宋体" w:eastAsia="宋体" w:hint="default"/>
          <w:b/>
          <w:bCs/>
          <w:spacing w:val="-18"/>
          <w:sz w:val="28"/>
          <w:szCs w:val="28"/>
        </w:rPr>
        <w:t> </w:t>
      </w:r>
      <w:r>
        <w:rPr>
          <w:rFonts w:ascii="宋体" w:hAnsi="宋体" w:cs="宋体" w:eastAsia="宋体" w:hint="default"/>
          <w:b/>
          <w:bCs/>
          <w:spacing w:val="3"/>
          <w:sz w:val="28"/>
          <w:szCs w:val="28"/>
        </w:rPr>
        <w:t>、人才流</w:t>
      </w:r>
      <w:r>
        <w:rPr>
          <w:rFonts w:ascii="宋体" w:hAnsi="宋体" w:cs="宋体" w:eastAsia="宋体" w:hint="default"/>
          <w:b/>
          <w:bCs/>
          <w:w w:val="99"/>
          <w:sz w:val="28"/>
          <w:szCs w:val="28"/>
        </w:rPr>
        <w:t> </w:t>
      </w:r>
      <w:r>
        <w:rPr>
          <w:rFonts w:ascii="宋体" w:hAnsi="宋体" w:cs="宋体" w:eastAsia="宋体" w:hint="default"/>
          <w:b/>
          <w:bCs/>
          <w:spacing w:val="3"/>
          <w:sz w:val="28"/>
          <w:szCs w:val="28"/>
        </w:rPr>
        <w:t>失风险，有关风险因素内容已在本报告中第四节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董事会报告</w:t>
      </w:r>
      <w:r>
        <w:rPr>
          <w:rFonts w:ascii="宋体" w:hAnsi="宋体" w:cs="宋体" w:eastAsia="宋体" w:hint="default"/>
          <w:b/>
          <w:bCs/>
          <w:spacing w:val="-27"/>
          <w:sz w:val="28"/>
          <w:szCs w:val="28"/>
        </w:rPr>
        <w:t> </w:t>
      </w:r>
      <w:r>
        <w:rPr>
          <w:rFonts w:ascii="宋体" w:hAnsi="宋体" w:cs="宋体" w:eastAsia="宋体" w:hint="default"/>
          <w:b/>
          <w:bCs/>
          <w:spacing w:val="2"/>
          <w:sz w:val="28"/>
          <w:szCs w:val="28"/>
        </w:rPr>
        <w:t>八、公司未来发</w:t>
      </w:r>
      <w:r>
        <w:rPr>
          <w:rFonts w:ascii="宋体" w:hAnsi="宋体" w:cs="宋体" w:eastAsia="宋体" w:hint="default"/>
          <w:b/>
          <w:bCs/>
          <w:w w:val="99"/>
          <w:sz w:val="28"/>
          <w:szCs w:val="28"/>
        </w:rPr>
        <w:t> </w:t>
      </w:r>
      <w:r>
        <w:rPr>
          <w:rFonts w:ascii="宋体" w:hAnsi="宋体" w:cs="宋体" w:eastAsia="宋体" w:hint="default"/>
          <w:b/>
          <w:bCs/>
          <w:sz w:val="28"/>
          <w:szCs w:val="28"/>
        </w:rPr>
        <w:t>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部分予以描述。敬请广大投资者注意投资风险。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1048456"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401"/>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002660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Moso Power Supply Technology Co.,</w:t>
            </w:r>
            <w:r>
              <w:rPr>
                <w:rFonts w:ascii="Times New Roman"/>
                <w:spacing w:val="-25"/>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Moso</w:t>
            </w:r>
            <w:r>
              <w:rPr>
                <w:rFonts w:ascii="Times New Roman"/>
                <w:spacing w:val="-3"/>
                <w:sz w:val="18"/>
              </w:rPr>
              <w:t> </w:t>
            </w:r>
            <w:r>
              <w:rPr>
                <w:rFonts w:ascii="Times New Roman"/>
                <w:sz w:val="18"/>
              </w:rPr>
              <w:t>Power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深圳市南山区松白路关外小白芒桑泰工业园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深圳市南山区科技园中区科发路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www.mosopower.com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GYD@mosopower.com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375.940002pt;margin-top:89.505638pt;width:157.9pt;height:20.8pt;mso-position-horizontal-relative:page;mso-position-vertical-relative:paragraph;z-index:-1048432" coordorigin="7519,1790" coordsize="3158,416">
            <v:group style="position:absolute;left:7530;top:1802;width:2;height:393" coordorigin="7530,1802" coordsize="2,393">
              <v:shape style="position:absolute;left:7530;top:1802;width:2;height:393" coordorigin="7530,1802" coordsize="0,393" path="m7530,1802l7530,2194e" filled="false" stroked="true" strokeweight="1.140pt" strokecolor="#ffffff">
                <v:path arrowok="t"/>
              </v:shape>
            </v:group>
            <v:group style="position:absolute;left:7542;top:1802;width:3135;height:393" coordorigin="7542,1802" coordsize="3135,393">
              <v:shape style="position:absolute;left:7542;top:1802;width:3135;height:393" coordorigin="7542,1802" coordsize="3135,393" path="m7542,2194l10676,2194,10676,1802,7542,1802,7542,2194xe" filled="true" fillcolor="#ffffff" stroked="false">
                <v:path arrowok="t"/>
                <v:fill type="solid"/>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深圳市南山区科技园中区科发路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w:t>
            </w:r>
          </w:p>
          <w:p>
            <w:pPr>
              <w:pStyle w:val="TableParagraph"/>
              <w:spacing w:line="302" w:lineRule="auto" w:before="61"/>
              <w:ind w:left="16" w:right="111"/>
              <w:jc w:val="left"/>
              <w:rPr>
                <w:rFonts w:ascii="宋体" w:hAnsi="宋体" w:cs="宋体" w:eastAsia="宋体" w:hint="default"/>
                <w:sz w:val="18"/>
                <w:szCs w:val="18"/>
              </w:rPr>
            </w:pPr>
            <w:r>
              <w:rPr>
                <w:rFonts w:ascii="宋体" w:hAnsi="宋体" w:cs="宋体" w:eastAsia="宋体" w:hint="default"/>
                <w:sz w:val="18"/>
                <w:szCs w:val="18"/>
              </w:rPr>
              <w:t>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A</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B</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C</w:t>
            </w:r>
            <w:r>
              <w:rPr>
                <w:rFonts w:ascii="Times New Roman" w:hAnsi="Times New Roman" w:cs="Times New Roman" w:eastAsia="Times New Roman" w:hint="default"/>
                <w:sz w:val="18"/>
                <w:szCs w:val="18"/>
              </w:rPr>
              <w:t> 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jibin.fang@mosopower.com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深圳市南山区松白 路关外小白芒桑泰 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440301102798218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440301786559921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786559921</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深圳市南山区松白 路关外小白芒桑泰 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440301102798218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440301786559921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786559921</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侯立勋、李梅</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号民生金融中心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贺骞、汪兵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628,224,567.94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606,756,517.18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550,030,672.59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-47,859,425.18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24,922,433.33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-292.03%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47,516,095.88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-51,397,045.51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16,096,605.32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-419.30%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41,646,212.81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-22,910,785.56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5,877,545.89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-489.80%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4,675,781.45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1,161,853,004.74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1,033,650,273.35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917,115,605.48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653,399,019.47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685,683,314.88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682,343,695.67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35,923.89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-28,652.41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-29,552.38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3,631,398.44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9,694,097.57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6,826,165.72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751,564.28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699,630.08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-237,178.64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770,451.42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1,455,828.23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685,871.38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83,419.00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3,537,620.33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8,825,828.01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5,869,883.07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3" w:right="0" w:firstLine="360"/>
        <w:jc w:val="left"/>
      </w:pPr>
      <w:r>
        <w:rPr>
          <w:rFonts w:ascii="Times New Roman" w:hAnsi="Times New Roman" w:cs="Times New Roman" w:eastAsia="Times New Roman" w:hint="default"/>
          <w:spacing w:val="-4"/>
        </w:rPr>
        <w:t>2014</w:t>
      </w:r>
      <w:r>
        <w:rPr>
          <w:spacing w:val="-4"/>
        </w:rPr>
        <w:t>年，是公司战略发展和产业布局的关键时期，由于行业市场竞争激烈、劳动力成本上升和厂房租金增加等因素影响，</w:t>
      </w:r>
      <w:r>
        <w:rPr/>
        <w:t> </w:t>
      </w:r>
      <w:r>
        <w:rPr>
          <w:spacing w:val="-4"/>
        </w:rPr>
        <w:t>毛利率有所下滑；与此同时，公司募投项目惠州工厂竣工投产，前期固定资产投入增加，资产折旧费用增加，部份产能搬迁、</w:t>
      </w:r>
      <w:r>
        <w:rPr>
          <w:spacing w:val="-44"/>
        </w:rPr>
        <w:t> </w:t>
      </w:r>
      <w:r>
        <w:rPr>
          <w:spacing w:val="-44"/>
        </w:rPr>
      </w:r>
      <w:r>
        <w:rPr>
          <w:spacing w:val="-2"/>
        </w:rPr>
        <w:t>产品升级换代，存货处置以及计提资产减值准备影响损益；加之本年度新设子公司大部份业务均属于起步阶段，初期投入的</w:t>
      </w:r>
      <w:r>
        <w:rPr>
          <w:spacing w:val="-66"/>
        </w:rPr>
        <w:t> </w:t>
      </w:r>
      <w:r>
        <w:rPr>
          <w:spacing w:val="-66"/>
        </w:rPr>
      </w:r>
      <w:r>
        <w:rPr/>
        <w:t>费用性支出均会影响公司利润；综上因素，致使公司出现较大亏损。</w:t>
      </w:r>
    </w:p>
    <w:p>
      <w:pPr>
        <w:pStyle w:val="BodyText"/>
        <w:spacing w:line="319" w:lineRule="auto" w:before="62"/>
        <w:ind w:left="153" w:right="0" w:firstLine="360"/>
        <w:jc w:val="left"/>
      </w:pPr>
      <w:r>
        <w:rPr>
          <w:spacing w:val="-4"/>
        </w:rPr>
        <w:t>为了应对上述不利影响，公司坚持以主业为中心，借助资本市场平台，通过内涵式发展和外延发展协同共进的经营模式，</w:t>
      </w:r>
      <w:r>
        <w:rPr/>
        <w:t> </w:t>
      </w:r>
      <w:r>
        <w:rPr>
          <w:spacing w:val="-2"/>
        </w:rPr>
        <w:t>促进公司健康发展。报告期内为应对市场的变化，提升公司的竞争实力，公司加大市场开拓力度，坚持大客户发展战略积极</w:t>
      </w:r>
      <w:r>
        <w:rPr>
          <w:spacing w:val="-66"/>
        </w:rPr>
        <w:t> </w:t>
      </w:r>
      <w:r>
        <w:rPr>
          <w:spacing w:val="-66"/>
        </w:rPr>
      </w:r>
      <w:r>
        <w:rPr>
          <w:spacing w:val="-2"/>
        </w:rPr>
        <w:t>整合资源；并基于公司产业布局的需要，践行环境保护理念，公司把握光伏发电行业发展契机，加大对光伏产业的投入，通</w:t>
      </w:r>
      <w:r>
        <w:rPr>
          <w:spacing w:val="-66"/>
        </w:rPr>
        <w:t> </w:t>
      </w:r>
      <w:r>
        <w:rPr>
          <w:spacing w:val="-66"/>
        </w:rPr>
      </w:r>
      <w:r>
        <w:rPr/>
        <w:t>过项目投资等方式，在获得项目收益的同时带动销售收入及经营利润的稳步增长，持续提高公司盈利能力。</w:t>
      </w:r>
    </w:p>
    <w:p>
      <w:pPr>
        <w:pStyle w:val="BodyText"/>
        <w:spacing w:line="240" w:lineRule="auto" w:before="55"/>
        <w:ind w:left="444" w:right="0"/>
        <w:jc w:val="left"/>
      </w:pPr>
      <w:r>
        <w:rPr/>
        <w:t>报告期内，公司</w:t>
      </w:r>
      <w:r>
        <w:rPr>
          <w:rFonts w:ascii="Times New Roman" w:hAnsi="Times New Roman" w:cs="Times New Roman" w:eastAsia="Times New Roman" w:hint="default"/>
        </w:rPr>
        <w:t>2014</w:t>
      </w:r>
      <w:r>
        <w:rPr/>
        <w:t>年度实现营业总收入</w:t>
      </w:r>
      <w:r>
        <w:rPr>
          <w:rFonts w:ascii="Times New Roman" w:hAnsi="Times New Roman" w:cs="Times New Roman" w:eastAsia="Times New Roman" w:hint="default"/>
        </w:rPr>
        <w:t>628,224,567.94</w:t>
      </w:r>
      <w:r>
        <w:rPr/>
        <w:t>元，同比增长</w:t>
      </w:r>
      <w:r>
        <w:rPr>
          <w:rFonts w:ascii="Times New Roman" w:hAnsi="Times New Roman" w:cs="Times New Roman" w:eastAsia="Times New Roman" w:hint="default"/>
        </w:rPr>
        <w:t>3.54%</w:t>
      </w:r>
      <w:r>
        <w:rPr/>
        <w:t>；实现营业利润</w:t>
      </w:r>
      <w:r>
        <w:rPr>
          <w:rFonts w:ascii="Times New Roman" w:hAnsi="Times New Roman" w:cs="Times New Roman" w:eastAsia="Times New Roman" w:hint="default"/>
        </w:rPr>
        <w:t>-63,095,391.02</w:t>
      </w:r>
      <w:r>
        <w:rPr/>
        <w:t>元，同比下降</w:t>
      </w:r>
    </w:p>
    <w:p>
      <w:pPr>
        <w:pStyle w:val="BodyText"/>
        <w:spacing w:line="240" w:lineRule="auto" w:before="64"/>
        <w:ind w:left="153" w:right="0"/>
        <w:jc w:val="left"/>
      </w:pPr>
      <w:r>
        <w:rPr>
          <w:rFonts w:ascii="Times New Roman" w:hAnsi="Times New Roman" w:cs="Times New Roman" w:eastAsia="Times New Roman" w:hint="default"/>
        </w:rPr>
        <w:t>497.58%</w:t>
      </w:r>
      <w:r>
        <w:rPr/>
        <w:t>；实现归属于上市公司股东的净利润</w:t>
      </w:r>
      <w:r>
        <w:rPr>
          <w:rFonts w:ascii="Times New Roman" w:hAnsi="Times New Roman" w:cs="Times New Roman" w:eastAsia="Times New Roman" w:hint="default"/>
        </w:rPr>
        <w:t>-47,859,425.18</w:t>
      </w:r>
      <w:r>
        <w:rPr/>
        <w:t>元，同比下降</w:t>
      </w:r>
      <w:r>
        <w:rPr>
          <w:rFonts w:ascii="Times New Roman" w:hAnsi="Times New Roman" w:cs="Times New Roman" w:eastAsia="Times New Roman" w:hint="default"/>
        </w:rPr>
        <w:t>292.03%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left="154"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073" w:right="0"/>
        <w:jc w:val="left"/>
      </w:pPr>
      <w:r>
        <w:rPr/>
        <w:t>单位：元</w:t>
      </w:r>
    </w:p>
    <w:p>
      <w:pPr>
        <w:spacing w:line="240" w:lineRule="auto" w:before="11"/>
        <w:rPr>
          <w:rFonts w:ascii="宋体" w:hAnsi="宋体" w:cs="宋体" w:eastAsia="宋体" w:hint="default"/>
          <w:sz w:val="12"/>
          <w:szCs w:val="12"/>
        </w:rPr>
      </w:pPr>
    </w:p>
    <w:p>
      <w:pPr>
        <w:spacing w:line="2055" w:lineRule="exact"/>
        <w:ind w:left="154"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6051145" cy="13049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6051145" cy="1304925"/>
                    </a:xfrm>
                    <a:prstGeom prst="rect">
                      <a:avLst/>
                    </a:prstGeom>
                  </pic:spPr>
                </pic:pic>
              </a:graphicData>
            </a:graphic>
          </wp:inline>
        </w:drawing>
      </w:r>
      <w:r>
        <w:rPr>
          <w:rFonts w:ascii="宋体" w:hAnsi="宋体" w:cs="宋体" w:eastAsia="宋体" w:hint="default"/>
          <w:position w:val="-40"/>
          <w:sz w:val="20"/>
          <w:szCs w:val="20"/>
        </w:rPr>
      </w:r>
    </w:p>
    <w:p>
      <w:pPr>
        <w:pStyle w:val="BodyText"/>
        <w:spacing w:line="300" w:lineRule="auto" w:before="77"/>
        <w:ind w:left="153" w:right="1036" w:firstLine="360"/>
        <w:jc w:val="left"/>
      </w:pPr>
      <w:r>
        <w:rPr>
          <w:rFonts w:ascii="Times New Roman" w:hAnsi="Times New Roman" w:cs="Times New Roman" w:eastAsia="Times New Roman" w:hint="default"/>
          <w:spacing w:val="-1"/>
        </w:rPr>
        <w:t>1</w:t>
      </w:r>
      <w:r>
        <w:rPr>
          <w:spacing w:val="-1"/>
        </w:rPr>
        <w:t>、销售费用：报告期发生销售费用</w:t>
      </w:r>
      <w:r>
        <w:rPr>
          <w:rFonts w:ascii="Times New Roman" w:hAnsi="Times New Roman" w:cs="Times New Roman" w:eastAsia="Times New Roman" w:hint="default"/>
          <w:spacing w:val="-1"/>
        </w:rPr>
        <w:t>54,213,396.61</w:t>
      </w:r>
      <w:r>
        <w:rPr>
          <w:spacing w:val="-1"/>
        </w:rPr>
        <w:t>元，较上年同期增长</w:t>
      </w:r>
      <w:r>
        <w:rPr>
          <w:rFonts w:ascii="Times New Roman" w:hAnsi="Times New Roman" w:cs="Times New Roman" w:eastAsia="Times New Roman" w:hint="default"/>
          <w:spacing w:val="-1"/>
        </w:rPr>
        <w:t>40.67%</w:t>
      </w:r>
      <w:r>
        <w:rPr>
          <w:spacing w:val="-1"/>
        </w:rPr>
        <w:t>，主要原因系报告期内售后服务费用增长，</w:t>
      </w:r>
      <w:r>
        <w:rPr/>
        <w:t> 同时由于销售团队人员增加，工资、差旅费、业务费等销售费用增加等所致；</w:t>
      </w:r>
    </w:p>
    <w:p>
      <w:pPr>
        <w:pStyle w:val="BodyText"/>
        <w:spacing w:line="309" w:lineRule="auto" w:before="31"/>
        <w:ind w:left="153" w:right="1133" w:firstLine="360"/>
        <w:jc w:val="both"/>
      </w:pPr>
      <w:r>
        <w:rPr>
          <w:rFonts w:ascii="Times New Roman" w:hAnsi="Times New Roman" w:cs="Times New Roman" w:eastAsia="Times New Roman" w:hint="default"/>
        </w:rPr>
        <w:t>2</w:t>
      </w:r>
      <w:r>
        <w:rPr/>
        <w:t>、管理费用：报告期发生管理费用</w:t>
      </w:r>
      <w:r>
        <w:rPr>
          <w:rFonts w:ascii="Times New Roman" w:hAnsi="Times New Roman" w:cs="Times New Roman" w:eastAsia="Times New Roman" w:hint="default"/>
        </w:rPr>
        <w:t>92,920,595.04</w:t>
      </w:r>
      <w:r>
        <w:rPr/>
        <w:t>元，较上年同期增长</w:t>
      </w:r>
      <w:r>
        <w:rPr>
          <w:rFonts w:ascii="Times New Roman" w:hAnsi="Times New Roman" w:cs="Times New Roman" w:eastAsia="Times New Roman" w:hint="default"/>
        </w:rPr>
        <w:t>36.94%</w:t>
      </w:r>
      <w:r>
        <w:rPr/>
        <w:t>，主要原因系公司系列产品升级换代、新 </w:t>
      </w:r>
      <w:r>
        <w:rPr>
          <w:spacing w:val="-2"/>
        </w:rPr>
        <w:t>产品研究开发导致研发费用增加；同时由于员工人均工资水平上涨，房屋租金上涨，加之新竣工办公楼装修摊销折旧计提等</w:t>
      </w:r>
      <w:r>
        <w:rPr>
          <w:spacing w:val="-66"/>
        </w:rPr>
        <w:t> </w:t>
      </w:r>
      <w:r>
        <w:rPr>
          <w:spacing w:val="-66"/>
        </w:rPr>
      </w:r>
      <w:r>
        <w:rPr/>
        <w:t>等导致；</w:t>
      </w:r>
    </w:p>
    <w:p>
      <w:pPr>
        <w:pStyle w:val="BodyText"/>
        <w:spacing w:line="300" w:lineRule="auto" w:before="24"/>
        <w:ind w:right="1152" w:firstLine="360"/>
        <w:jc w:val="left"/>
      </w:pPr>
      <w:r>
        <w:rPr>
          <w:rFonts w:ascii="Times New Roman" w:hAnsi="Times New Roman" w:cs="Times New Roman" w:eastAsia="Times New Roman" w:hint="default"/>
        </w:rPr>
        <w:t>3</w:t>
      </w:r>
      <w:r>
        <w:rPr/>
        <w:t>、财务费用：报告期发生财务费用</w:t>
      </w:r>
      <w:r>
        <w:rPr>
          <w:rFonts w:ascii="Times New Roman" w:hAnsi="Times New Roman" w:cs="Times New Roman" w:eastAsia="Times New Roman" w:hint="default"/>
        </w:rPr>
        <w:t>1,382,966.70</w:t>
      </w:r>
      <w:r>
        <w:rPr/>
        <w:t>元，较上年同期增长</w:t>
      </w:r>
      <w:r>
        <w:rPr>
          <w:rFonts w:ascii="Times New Roman" w:hAnsi="Times New Roman" w:cs="Times New Roman" w:eastAsia="Times New Roman" w:hint="default"/>
        </w:rPr>
        <w:t>285.09%</w:t>
      </w:r>
      <w:r>
        <w:rPr/>
        <w:t>，主要原因系银行借款增加，利息支出增 加，同时募集资金余额减少，利息收入减少；</w:t>
      </w:r>
    </w:p>
    <w:p>
      <w:pPr>
        <w:pStyle w:val="BodyText"/>
        <w:spacing w:line="300" w:lineRule="auto" w:before="31"/>
        <w:ind w:right="1152" w:firstLine="360"/>
        <w:jc w:val="left"/>
      </w:pPr>
      <w:r>
        <w:rPr>
          <w:rFonts w:ascii="Times New Roman" w:hAnsi="Times New Roman" w:cs="Times New Roman" w:eastAsia="Times New Roman" w:hint="default"/>
        </w:rPr>
        <w:t>4</w:t>
      </w:r>
      <w:r>
        <w:rPr/>
        <w:t>、研发支出：报告期发生研发支出</w:t>
      </w:r>
      <w:r>
        <w:rPr>
          <w:rFonts w:ascii="Times New Roman" w:hAnsi="Times New Roman" w:cs="Times New Roman" w:eastAsia="Times New Roman" w:hint="default"/>
        </w:rPr>
        <w:t>40,981,380.10</w:t>
      </w:r>
      <w:r>
        <w:rPr/>
        <w:t>元，较上年同期增长</w:t>
      </w:r>
      <w:r>
        <w:rPr>
          <w:rFonts w:ascii="Times New Roman" w:hAnsi="Times New Roman" w:cs="Times New Roman" w:eastAsia="Times New Roman" w:hint="default"/>
        </w:rPr>
        <w:t>30.74%</w:t>
      </w:r>
      <w:r>
        <w:rPr/>
        <w:t>，主要原因系加大新产品开发，以及子公 司逆变器的研发投入加大；</w:t>
      </w:r>
    </w:p>
    <w:p>
      <w:pPr>
        <w:pStyle w:val="BodyText"/>
        <w:spacing w:line="300" w:lineRule="auto" w:before="32"/>
        <w:ind w:left="153" w:right="0" w:firstLine="360"/>
        <w:jc w:val="left"/>
      </w:pPr>
      <w:r>
        <w:rPr>
          <w:rFonts w:ascii="Times New Roman" w:hAnsi="Times New Roman" w:cs="Times New Roman" w:eastAsia="Times New Roman" w:hint="default"/>
          <w:spacing w:val="-1"/>
        </w:rPr>
        <w:t>5</w:t>
      </w:r>
      <w:r>
        <w:rPr>
          <w:spacing w:val="-1"/>
        </w:rPr>
        <w:t>、经营活动产生的现金流量净额：报告期经营活动产生的现金流量净额为</w:t>
      </w:r>
      <w:r>
        <w:rPr>
          <w:rFonts w:ascii="Times New Roman" w:hAnsi="Times New Roman" w:cs="Times New Roman" w:eastAsia="Times New Roman" w:hint="default"/>
          <w:spacing w:val="-1"/>
        </w:rPr>
        <w:t>-22,910,785.56</w:t>
      </w:r>
      <w:r>
        <w:rPr>
          <w:spacing w:val="-1"/>
        </w:rPr>
        <w:t>元，较上年同期减少</w:t>
      </w:r>
      <w:r>
        <w:rPr>
          <w:rFonts w:ascii="Times New Roman" w:hAnsi="Times New Roman" w:cs="Times New Roman" w:eastAsia="Times New Roman" w:hint="default"/>
          <w:spacing w:val="-1"/>
        </w:rPr>
        <w:t>489.80%</w:t>
      </w:r>
      <w:r>
        <w:rPr>
          <w:spacing w:val="-1"/>
        </w:rPr>
        <w:t>，</w:t>
      </w:r>
      <w:r>
        <w:rPr/>
        <w:t> 主要原因系付供应商货款更加及时，因最低工资上涨及职员工资的增加导致支付员工工资增加。</w:t>
      </w:r>
    </w:p>
    <w:p>
      <w:pPr>
        <w:spacing w:line="240" w:lineRule="auto" w:before="0"/>
        <w:rPr>
          <w:rFonts w:ascii="宋体" w:hAnsi="宋体" w:cs="宋体" w:eastAsia="宋体" w:hint="default"/>
          <w:sz w:val="18"/>
          <w:szCs w:val="18"/>
        </w:rPr>
      </w:pPr>
    </w:p>
    <w:p>
      <w:pPr>
        <w:pStyle w:val="BodyText"/>
        <w:spacing w:line="240" w:lineRule="auto" w:before="148"/>
        <w:ind w:left="153" w:right="0"/>
        <w:jc w:val="left"/>
      </w:pPr>
      <w:r>
        <w:rPr/>
        <w:t>公司回顾总结前期披露的发展战略和经营计划在报告期内的进展情况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0" w:firstLine="360"/>
        <w:jc w:val="left"/>
      </w:pPr>
      <w:r>
        <w:rPr>
          <w:spacing w:val="-1"/>
        </w:rPr>
        <w:t>公司长期以来致力于</w:t>
      </w:r>
      <w:r>
        <w:rPr>
          <w:rFonts w:ascii="Times New Roman" w:hAnsi="Times New Roman" w:cs="Times New Roman" w:eastAsia="Times New Roman" w:hint="default"/>
          <w:spacing w:val="-1"/>
        </w:rPr>
        <w:t>SPS</w:t>
      </w:r>
      <w:r>
        <w:rPr>
          <w:spacing w:val="-1"/>
        </w:rPr>
        <w:t>开关电源、</w:t>
      </w:r>
      <w:r>
        <w:rPr>
          <w:rFonts w:ascii="Times New Roman" w:hAnsi="Times New Roman" w:cs="Times New Roman" w:eastAsia="Times New Roman" w:hint="default"/>
          <w:spacing w:val="-1"/>
        </w:rPr>
        <w:t>LED</w:t>
      </w:r>
      <w:r>
        <w:rPr>
          <w:spacing w:val="-1"/>
        </w:rPr>
        <w:t>照明驱动电源、光伏逆变器等产品的研发、生产和销售，是全球领先的电源解</w:t>
      </w:r>
      <w:r>
        <w:rPr/>
        <w:t> 决方案供应商和国内电源行业的标志性企业。报告期内，公司围绕发展战略和经营计划，完成了以下主要工作：</w:t>
      </w:r>
    </w:p>
    <w:p>
      <w:pPr>
        <w:pStyle w:val="BodyText"/>
        <w:spacing w:line="240" w:lineRule="auto" w:before="69"/>
        <w:ind w:left="513" w:right="0"/>
        <w:jc w:val="left"/>
      </w:pPr>
      <w:r>
        <w:rPr>
          <w:rFonts w:ascii="Times New Roman" w:hAnsi="Times New Roman" w:cs="Times New Roman" w:eastAsia="Times New Roman" w:hint="default"/>
        </w:rPr>
        <w:t>1</w:t>
      </w:r>
      <w:r>
        <w:rPr/>
        <w:t>、市场营销方面</w:t>
      </w:r>
    </w:p>
    <w:p>
      <w:pPr>
        <w:pStyle w:val="BodyText"/>
        <w:spacing w:line="302" w:lineRule="auto" w:before="102"/>
        <w:ind w:left="153" w:right="1123" w:firstLine="360"/>
        <w:jc w:val="left"/>
      </w:pPr>
      <w:r>
        <w:rPr/>
        <w:t>（</w:t>
      </w:r>
      <w:r>
        <w:rPr>
          <w:rFonts w:ascii="Times New Roman" w:hAnsi="Times New Roman" w:cs="Times New Roman" w:eastAsia="Times New Roman" w:hint="default"/>
        </w:rPr>
        <w:t>1</w:t>
      </w:r>
      <w:r>
        <w:rPr/>
        <w:t>）调整了销售团队架构，让销售人员更有效、更有针对性的对接客户需求。另外，重点梳理了产品交付流程，力求 缩短交付时间，提高客户满意度。</w:t>
      </w:r>
    </w:p>
    <w:p>
      <w:pPr>
        <w:pStyle w:val="BodyText"/>
        <w:spacing w:line="302" w:lineRule="auto" w:before="68"/>
        <w:ind w:left="153" w:right="1120" w:firstLine="360"/>
        <w:jc w:val="left"/>
      </w:pPr>
      <w:r>
        <w:rPr>
          <w:spacing w:val="-2"/>
        </w:rPr>
        <w:t>（</w:t>
      </w:r>
      <w:r>
        <w:rPr>
          <w:rFonts w:ascii="Times New Roman" w:hAnsi="Times New Roman" w:cs="Times New Roman" w:eastAsia="Times New Roman" w:hint="default"/>
          <w:spacing w:val="-2"/>
        </w:rPr>
        <w:t>2</w:t>
      </w:r>
      <w:r>
        <w:rPr>
          <w:spacing w:val="-2"/>
        </w:rPr>
        <w:t>）整合了研发、销售资源，</w:t>
      </w:r>
      <w:r>
        <w:rPr>
          <w:spacing w:val="-21"/>
        </w:rPr>
        <w:t> </w:t>
      </w:r>
      <w:r>
        <w:rPr>
          <w:spacing w:val="-1"/>
        </w:rPr>
        <w:t>让研发人员更多的参与市场活动，从而更准确的把握客户需求，力求实现客户需求、产</w:t>
      </w:r>
      <w:r>
        <w:rPr/>
        <w:t> 品研发、市场开拓无缝衔接。</w:t>
      </w:r>
    </w:p>
    <w:p>
      <w:pPr>
        <w:pStyle w:val="BodyText"/>
        <w:spacing w:line="240" w:lineRule="auto" w:before="69"/>
        <w:ind w:left="513" w:right="0"/>
        <w:jc w:val="left"/>
      </w:pPr>
      <w:r>
        <w:rPr/>
        <w:t>（</w:t>
      </w:r>
      <w:r>
        <w:rPr>
          <w:rFonts w:ascii="Times New Roman" w:hAnsi="Times New Roman" w:cs="Times New Roman" w:eastAsia="Times New Roman" w:hint="default"/>
        </w:rPr>
        <w:t>3</w:t>
      </w:r>
      <w:r>
        <w:rPr/>
        <w:t>）加强销售人员培训，</w:t>
      </w:r>
      <w:r>
        <w:rPr>
          <w:spacing w:val="-19"/>
        </w:rPr>
        <w:t> </w:t>
      </w:r>
      <w:r>
        <w:rPr/>
        <w:t>着力引进高素质的销售人员，在重点地区、重点领域前瞻性的投入资源，为公司发展布局。</w:t>
      </w:r>
    </w:p>
    <w:p>
      <w:pPr>
        <w:pStyle w:val="BodyText"/>
        <w:spacing w:line="240" w:lineRule="auto" w:before="103"/>
        <w:ind w:left="514" w:right="0"/>
        <w:jc w:val="left"/>
      </w:pPr>
      <w:r>
        <w:rPr/>
        <w:t>（</w:t>
      </w:r>
      <w:r>
        <w:rPr>
          <w:rFonts w:ascii="Times New Roman" w:hAnsi="Times New Roman" w:cs="Times New Roman" w:eastAsia="Times New Roman" w:hint="default"/>
        </w:rPr>
        <w:t>4</w:t>
      </w:r>
      <w:r>
        <w:rPr/>
        <w:t>）积极参与一些行业有影响力的展会、论坛，</w:t>
      </w:r>
      <w:r>
        <w:rPr>
          <w:spacing w:val="-19"/>
        </w:rPr>
        <w:t> </w:t>
      </w:r>
      <w:r>
        <w:rPr/>
        <w:t>提高品牌知名度，开发新的价值客户。</w:t>
      </w:r>
    </w:p>
    <w:p>
      <w:pPr>
        <w:pStyle w:val="BodyText"/>
        <w:spacing w:line="338" w:lineRule="auto" w:before="102"/>
        <w:ind w:left="513" w:right="1033" w:firstLine="73"/>
        <w:jc w:val="left"/>
      </w:pPr>
      <w:r>
        <w:rPr>
          <w:rFonts w:ascii="Times New Roman" w:hAnsi="Times New Roman" w:cs="Times New Roman" w:eastAsia="Times New Roman" w:hint="default"/>
        </w:rPr>
        <w:t>2</w:t>
      </w:r>
      <w:r>
        <w:rPr/>
        <w:t>、产品研发及创新方面： 报告期内，公司聘请了资深电源专家主导研发，着重加强了产品开发的过程管控、开发设计与客户及供应商紧密配合，</w:t>
      </w:r>
    </w:p>
    <w:p>
      <w:pPr>
        <w:pStyle w:val="BodyText"/>
        <w:spacing w:line="240" w:lineRule="auto" w:before="4"/>
        <w:ind w:left="153" w:right="0"/>
        <w:jc w:val="left"/>
      </w:pPr>
      <w:r>
        <w:rPr/>
        <w:t>使得产品良率有效提升，缩减了产品开发周期和开发成本，使得产品市场竞争力进一步增强。</w:t>
      </w:r>
    </w:p>
    <w:p>
      <w:pPr>
        <w:pStyle w:val="BodyText"/>
        <w:spacing w:line="302" w:lineRule="auto" w:before="116"/>
        <w:ind w:left="153" w:right="1115" w:firstLine="360"/>
        <w:jc w:val="left"/>
      </w:pPr>
      <w:r>
        <w:rPr/>
        <w:t>（</w:t>
      </w:r>
      <w:r>
        <w:rPr>
          <w:rFonts w:ascii="Times New Roman" w:hAnsi="Times New Roman" w:cs="Times New Roman" w:eastAsia="Times New Roman" w:hint="default"/>
        </w:rPr>
        <w:t>1</w:t>
      </w:r>
      <w:r>
        <w:rPr/>
        <w:t>）组织</w:t>
      </w:r>
      <w:r>
        <w:rPr>
          <w:rFonts w:ascii="Times New Roman" w:hAnsi="Times New Roman" w:cs="Times New Roman" w:eastAsia="Times New Roman" w:hint="default"/>
        </w:rPr>
        <w:t>LED</w:t>
      </w:r>
      <w:r>
        <w:rPr/>
        <w:t>技术骨干开发完成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LED</w:t>
      </w:r>
      <w:r>
        <w:rPr/>
        <w:t>驱动电源</w:t>
      </w:r>
      <w:r>
        <w:rPr>
          <w:rFonts w:ascii="Times New Roman" w:hAnsi="Times New Roman" w:cs="Times New Roman" w:eastAsia="Times New Roman" w:hint="default"/>
        </w:rPr>
        <w:t>E6</w:t>
      </w:r>
      <w:r>
        <w:rPr/>
        <w:t>、</w:t>
      </w:r>
      <w:r>
        <w:rPr>
          <w:rFonts w:ascii="Times New Roman" w:hAnsi="Times New Roman" w:cs="Times New Roman" w:eastAsia="Times New Roman" w:hint="default"/>
        </w:rPr>
        <w:t>G6</w:t>
      </w:r>
      <w:r>
        <w:rPr/>
        <w:t>系列，实现产品的升级换代；</w:t>
      </w:r>
      <w:r>
        <w:rPr>
          <w:spacing w:val="-62"/>
        </w:rPr>
        <w:t> </w:t>
      </w:r>
      <w:r>
        <w:rPr>
          <w:rFonts w:ascii="Times New Roman" w:hAnsi="Times New Roman" w:cs="Times New Roman" w:eastAsia="Times New Roman" w:hint="default"/>
        </w:rPr>
        <w:t>SPS</w:t>
      </w:r>
      <w:r>
        <w:rPr/>
        <w:t>开关电源方面完成多款 定制产品的开发设计，逐步完善公司单个功能电源到智能系统的整个产品线。</w:t>
      </w:r>
    </w:p>
    <w:p>
      <w:pPr>
        <w:pStyle w:val="BodyText"/>
        <w:spacing w:line="302" w:lineRule="auto" w:before="68"/>
        <w:ind w:right="1122" w:firstLine="360"/>
        <w:jc w:val="left"/>
      </w:pPr>
      <w:r>
        <w:rPr/>
        <w:t>（</w:t>
      </w:r>
      <w:r>
        <w:rPr>
          <w:rFonts w:ascii="Times New Roman" w:hAnsi="Times New Roman" w:cs="Times New Roman" w:eastAsia="Times New Roman" w:hint="default"/>
        </w:rPr>
        <w:t>2</w:t>
      </w:r>
      <w:r>
        <w:rPr/>
        <w:t>）优化器件选型归一化：进一步规范器件选型要求，明确研发索样渠道及范围，综合供应商间的良性竞争以确定公 司元器件优选等级。</w:t>
      </w:r>
    </w:p>
    <w:p>
      <w:pPr>
        <w:pStyle w:val="BodyText"/>
        <w:spacing w:line="240" w:lineRule="auto" w:before="69"/>
        <w:ind w:left="513" w:right="0"/>
        <w:jc w:val="left"/>
      </w:pPr>
      <w:r>
        <w:rPr/>
        <w:t>（</w:t>
      </w:r>
      <w:r>
        <w:rPr>
          <w:rFonts w:ascii="Times New Roman" w:hAnsi="Times New Roman" w:cs="Times New Roman" w:eastAsia="Times New Roman" w:hint="default"/>
        </w:rPr>
        <w:t>3</w:t>
      </w:r>
      <w:r>
        <w:rPr/>
        <w:t>）简化研发物料需求申请流程，确保样品物料满足设计品质及进度需要。</w:t>
      </w:r>
    </w:p>
    <w:p>
      <w:pPr>
        <w:pStyle w:val="BodyText"/>
        <w:spacing w:line="302" w:lineRule="auto" w:before="102"/>
        <w:ind w:right="0" w:firstLine="360"/>
        <w:jc w:val="left"/>
      </w:pPr>
      <w:r>
        <w:rPr>
          <w:spacing w:val="-2"/>
        </w:rPr>
        <w:t>（</w:t>
      </w:r>
      <w:r>
        <w:rPr>
          <w:rFonts w:ascii="Times New Roman" w:hAnsi="Times New Roman" w:cs="Times New Roman" w:eastAsia="Times New Roman" w:hint="default"/>
          <w:spacing w:val="-2"/>
        </w:rPr>
        <w:t>4</w:t>
      </w:r>
      <w:r>
        <w:rPr>
          <w:spacing w:val="-2"/>
        </w:rPr>
        <w:t>）提高研发效率和准确率，保证研发品质；修订产品开发流程管理程序、设计变更管理程序及新产品试产导入流程；</w:t>
      </w:r>
      <w:r>
        <w:rPr/>
        <w:t> 规范技术文件标准模板；规范研发过程及过程文件管控；规范产品测试标准、测试方法及问题判定。</w:t>
      </w:r>
    </w:p>
    <w:p>
      <w:pPr>
        <w:pStyle w:val="BodyText"/>
        <w:spacing w:line="240" w:lineRule="auto" w:before="69"/>
        <w:ind w:left="513" w:right="0"/>
        <w:jc w:val="left"/>
      </w:pPr>
      <w:r>
        <w:rPr/>
        <w:t>（</w:t>
      </w:r>
      <w:r>
        <w:rPr>
          <w:rFonts w:ascii="Times New Roman" w:hAnsi="Times New Roman" w:cs="Times New Roman" w:eastAsia="Times New Roman" w:hint="default"/>
        </w:rPr>
        <w:t>5</w:t>
      </w:r>
      <w:r>
        <w:rPr/>
        <w:t>）组织太阳能</w:t>
      </w:r>
      <w:r>
        <w:rPr>
          <w:rFonts w:ascii="Times New Roman" w:hAnsi="Times New Roman" w:cs="Times New Roman" w:eastAsia="Times New Roman" w:hint="default"/>
        </w:rPr>
        <w:t>LED</w:t>
      </w:r>
      <w:r>
        <w:rPr/>
        <w:t>智能驱动项目的研究和开发，并申请了产品技术创新的政府研发补助。</w:t>
      </w:r>
    </w:p>
    <w:p>
      <w:pPr>
        <w:pStyle w:val="BodyText"/>
        <w:spacing w:line="240" w:lineRule="auto" w:before="103"/>
        <w:ind w:left="514" w:right="0"/>
        <w:jc w:val="left"/>
      </w:pPr>
      <w:r>
        <w:rPr>
          <w:rFonts w:ascii="Times New Roman" w:hAnsi="Times New Roman" w:cs="Times New Roman" w:eastAsia="Times New Roman" w:hint="default"/>
        </w:rPr>
        <w:t>3</w:t>
      </w:r>
      <w:r>
        <w:rPr/>
        <w:t>、人才引进及培养方面</w:t>
      </w:r>
    </w:p>
    <w:p>
      <w:pPr>
        <w:pStyle w:val="BodyText"/>
        <w:spacing w:line="302" w:lineRule="auto" w:before="102"/>
        <w:ind w:right="1122" w:firstLine="360"/>
        <w:jc w:val="left"/>
      </w:pPr>
      <w:r>
        <w:rPr/>
        <w:t>（</w:t>
      </w:r>
      <w:r>
        <w:rPr>
          <w:rFonts w:ascii="Times New Roman" w:hAnsi="Times New Roman" w:cs="Times New Roman" w:eastAsia="Times New Roman" w:hint="default"/>
        </w:rPr>
        <w:t>1</w:t>
      </w:r>
      <w:r>
        <w:rPr/>
        <w:t>）人才引进及培养：公司建立人才录用评选机制，持续引进中高端人才，并不断为内部员工提供晋升机会，选择适 合于公司发展的人员。</w:t>
      </w:r>
    </w:p>
    <w:p>
      <w:pPr>
        <w:pStyle w:val="BodyText"/>
        <w:spacing w:line="302" w:lineRule="auto" w:before="68"/>
        <w:ind w:right="1122" w:firstLine="360"/>
        <w:jc w:val="left"/>
      </w:pPr>
      <w:r>
        <w:rPr/>
        <w:t>（</w:t>
      </w:r>
      <w:r>
        <w:rPr>
          <w:rFonts w:ascii="Times New Roman" w:hAnsi="Times New Roman" w:cs="Times New Roman" w:eastAsia="Times New Roman" w:hint="default"/>
        </w:rPr>
        <w:t>2</w:t>
      </w:r>
      <w:r>
        <w:rPr/>
        <w:t>）培训：完善内部培训机制，优化培训课题，重点往人员素质及工作技能提升方面倾斜，报告期内组织了多场员工 内部培训及外部专项培训。</w:t>
      </w:r>
    </w:p>
    <w:p>
      <w:pPr>
        <w:pStyle w:val="BodyText"/>
        <w:spacing w:line="240" w:lineRule="auto" w:before="69"/>
        <w:ind w:left="514" w:right="0"/>
        <w:jc w:val="left"/>
      </w:pPr>
      <w:r>
        <w:rPr/>
        <w:t>（</w:t>
      </w:r>
      <w:r>
        <w:rPr>
          <w:rFonts w:ascii="Times New Roman" w:hAnsi="Times New Roman" w:cs="Times New Roman" w:eastAsia="Times New Roman" w:hint="default"/>
        </w:rPr>
        <w:t>3</w:t>
      </w:r>
      <w:r>
        <w:rPr/>
        <w:t>）薪酬：对薪酬方案作进一步完善，提升薪酬竞争优势。</w:t>
      </w:r>
    </w:p>
    <w:p>
      <w:pPr>
        <w:pStyle w:val="BodyText"/>
        <w:spacing w:line="302" w:lineRule="auto" w:before="102"/>
        <w:ind w:right="1122" w:firstLine="360"/>
        <w:jc w:val="left"/>
      </w:pPr>
      <w:r>
        <w:rPr/>
        <w:t>（</w:t>
      </w:r>
      <w:r>
        <w:rPr>
          <w:rFonts w:ascii="Times New Roman" w:hAnsi="Times New Roman" w:cs="Times New Roman" w:eastAsia="Times New Roman" w:hint="default"/>
        </w:rPr>
        <w:t>4</w:t>
      </w:r>
      <w:r>
        <w:rPr/>
        <w:t>）企业文化：多方面，多形式开展内部活动，如组织员工旅游活动、召开专项座谈会及向员工派送生日礼品等，以 提升员工对企业文化的认可度。</w:t>
      </w:r>
    </w:p>
    <w:p>
      <w:pPr>
        <w:pStyle w:val="BodyText"/>
        <w:spacing w:line="240" w:lineRule="auto" w:before="69"/>
        <w:ind w:left="514" w:right="0"/>
        <w:jc w:val="left"/>
      </w:pPr>
      <w:r>
        <w:rPr>
          <w:rFonts w:ascii="Times New Roman" w:hAnsi="Times New Roman" w:cs="Times New Roman" w:eastAsia="Times New Roman" w:hint="default"/>
        </w:rPr>
        <w:t>4</w:t>
      </w:r>
      <w:r>
        <w:rPr/>
        <w:t>、财务管控方面</w:t>
      </w:r>
    </w:p>
    <w:p>
      <w:pPr>
        <w:pStyle w:val="BodyText"/>
        <w:spacing w:line="302" w:lineRule="auto" w:before="101"/>
        <w:ind w:right="1122" w:firstLine="360"/>
        <w:jc w:val="left"/>
      </w:pPr>
      <w:r>
        <w:rPr/>
        <w:t>（</w:t>
      </w:r>
      <w:r>
        <w:rPr>
          <w:rFonts w:ascii="Times New Roman" w:hAnsi="Times New Roman" w:cs="Times New Roman" w:eastAsia="Times New Roman" w:hint="default"/>
        </w:rPr>
        <w:t>1</w:t>
      </w:r>
      <w:r>
        <w:rPr/>
        <w:t>）根据报告期内公司经营管理机制，重新修订和完善了一系列财务管理制度，加强会计基础工作的建设，完善会计 核算体系，确保财务数据的真实性、及时性和有效性。</w:t>
      </w:r>
    </w:p>
    <w:p>
      <w:pPr>
        <w:pStyle w:val="BodyText"/>
        <w:spacing w:line="302" w:lineRule="auto" w:before="69"/>
        <w:ind w:right="1122" w:firstLine="360"/>
        <w:jc w:val="left"/>
      </w:pPr>
      <w:r>
        <w:rPr/>
        <w:t>（</w:t>
      </w:r>
      <w:r>
        <w:rPr>
          <w:rFonts w:ascii="Times New Roman" w:hAnsi="Times New Roman" w:cs="Times New Roman" w:eastAsia="Times New Roman" w:hint="default"/>
        </w:rPr>
        <w:t>2</w:t>
      </w:r>
      <w:r>
        <w:rPr/>
        <w:t>）在全公司推行全面预算管理，加强内部财务管理，及时反映公司财务状况和经营成果，按月做好预算执行分析和 月度经营分析，引导各项实际业务在年初预算中执行，定期发布月报、季报、应收款报表和应付款报表。</w:t>
      </w:r>
    </w:p>
    <w:p>
      <w:pPr>
        <w:pStyle w:val="BodyText"/>
        <w:spacing w:line="302" w:lineRule="auto" w:before="68"/>
        <w:ind w:right="1122" w:firstLine="360"/>
        <w:jc w:val="left"/>
      </w:pPr>
      <w:r>
        <w:rPr/>
        <w:t>（</w:t>
      </w:r>
      <w:r>
        <w:rPr>
          <w:rFonts w:ascii="Times New Roman" w:hAnsi="Times New Roman" w:cs="Times New Roman" w:eastAsia="Times New Roman" w:hint="default"/>
        </w:rPr>
        <w:t>3</w:t>
      </w:r>
      <w:r>
        <w:rPr/>
        <w:t>）根据公司最新的经营模式，进一步完善公司会计核算体系，规范业务操作流程，加强会计电算化建设和会计基础 建设，提高会计核算的质量和效率。</w:t>
      </w:r>
    </w:p>
    <w:p>
      <w:pPr>
        <w:pStyle w:val="BodyText"/>
        <w:spacing w:line="309" w:lineRule="auto" w:before="68"/>
        <w:ind w:right="1133" w:firstLine="360"/>
        <w:jc w:val="both"/>
      </w:pPr>
      <w:r>
        <w:rPr/>
        <w:t>（</w:t>
      </w:r>
      <w:r>
        <w:rPr>
          <w:rFonts w:ascii="Times New Roman" w:hAnsi="Times New Roman" w:cs="Times New Roman" w:eastAsia="Times New Roman" w:hint="default"/>
        </w:rPr>
        <w:t>4</w:t>
      </w:r>
      <w:r>
        <w:rPr/>
        <w:t>）进一步的加强和银行的合作沟通，新增有优势的合作银行以及新增银行授信额度，开辟新的融资渠道以及理财工 </w:t>
      </w:r>
      <w:r>
        <w:rPr>
          <w:spacing w:val="-2"/>
        </w:rPr>
        <w:t>具，开展远期结售汇业务规避外汇风险，合理有效的利用财务杠杆，在保证公司资金需求和资金安全的前提下最大化的减少</w:t>
      </w:r>
      <w:r>
        <w:rPr>
          <w:spacing w:val="-66"/>
        </w:rPr>
        <w:t> </w:t>
      </w:r>
      <w:r>
        <w:rPr>
          <w:spacing w:val="-66"/>
        </w:rPr>
      </w:r>
      <w:r>
        <w:rPr/>
        <w:t>资金成本，创造经济价值。</w:t>
      </w:r>
    </w:p>
    <w:p>
      <w:pPr>
        <w:pStyle w:val="BodyText"/>
        <w:spacing w:line="302" w:lineRule="auto" w:before="64"/>
        <w:ind w:left="153" w:right="1123" w:firstLine="360"/>
        <w:jc w:val="left"/>
      </w:pPr>
      <w:r>
        <w:rPr/>
        <w:t>（</w:t>
      </w:r>
      <w:r>
        <w:rPr>
          <w:rFonts w:ascii="Times New Roman" w:hAnsi="Times New Roman" w:cs="Times New Roman" w:eastAsia="Times New Roman" w:hint="default"/>
        </w:rPr>
        <w:t>5</w:t>
      </w:r>
      <w:r>
        <w:rPr/>
        <w:t>）积极参与和配合公司的投资行为，为管理层的投资决策提供分析和依据，对新投资企业采用中央集中的财务核算 和管理方式，加强对控股子公司的财务监督和管控。</w:t>
      </w:r>
    </w:p>
    <w:p>
      <w:pPr>
        <w:pStyle w:val="BodyText"/>
        <w:spacing w:line="240" w:lineRule="auto" w:before="69"/>
        <w:ind w:left="514" w:right="0"/>
        <w:jc w:val="left"/>
      </w:pPr>
      <w:r>
        <w:rPr>
          <w:rFonts w:ascii="Times New Roman" w:hAnsi="Times New Roman" w:cs="Times New Roman" w:eastAsia="Times New Roman" w:hint="default"/>
        </w:rPr>
        <w:t>5</w:t>
      </w:r>
      <w:r>
        <w:rPr/>
        <w:t>、募投项目情况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日，募投项目电源驱动生产项目主体施工已完成，相关生产设备及工作人员已经陆续到位，产能陆续释放 </w:t>
      </w:r>
      <w:r>
        <w:rPr>
          <w:spacing w:val="-2"/>
        </w:rPr>
        <w:t>符合预期；随着电源驱动生产项目的竣工投产，惠州茂硕研发中心建设项目、信息化系统建设项目也在进行之中，公司高度</w:t>
      </w:r>
      <w:r>
        <w:rPr>
          <w:spacing w:val="-66"/>
        </w:rPr>
        <w:t> </w:t>
      </w:r>
      <w:r>
        <w:rPr>
          <w:spacing w:val="-66"/>
        </w:rPr>
      </w:r>
      <w:r>
        <w:rPr/>
        <w:t>重视募投项目的运营进展情况，加强对募投项目的持续督导。</w:t>
      </w:r>
    </w:p>
    <w:p>
      <w:pPr>
        <w:pStyle w:val="BodyText"/>
        <w:spacing w:line="338" w:lineRule="auto" w:before="64"/>
        <w:ind w:left="514" w:right="0"/>
        <w:jc w:val="left"/>
      </w:pPr>
      <w:r>
        <w:rPr>
          <w:rFonts w:ascii="Times New Roman" w:hAnsi="Times New Roman" w:cs="Times New Roman" w:eastAsia="Times New Roman" w:hint="default"/>
        </w:rPr>
        <w:t>6</w:t>
      </w:r>
      <w:r>
        <w:rPr/>
        <w:t>、资本运作方面 </w:t>
      </w:r>
      <w:r>
        <w:rPr>
          <w:spacing w:val="-2"/>
        </w:rPr>
        <w:t>公司在加强原有投资项目的运营和管理外，依据公司的战略投资策略，</w:t>
      </w:r>
      <w:r>
        <w:rPr>
          <w:rFonts w:ascii="Times New Roman" w:hAnsi="Times New Roman" w:cs="Times New Roman" w:eastAsia="Times New Roman" w:hint="default"/>
          <w:spacing w:val="-2"/>
        </w:rPr>
        <w:t>2014</w:t>
      </w:r>
      <w:r>
        <w:rPr>
          <w:spacing w:val="-2"/>
        </w:rPr>
        <w:t>年在新能源应用领域，投资控股了海宁茂硕</w:t>
      </w:r>
    </w:p>
    <w:p>
      <w:pPr>
        <w:pStyle w:val="BodyText"/>
        <w:spacing w:line="230" w:lineRule="exact"/>
        <w:ind w:right="0"/>
        <w:jc w:val="left"/>
        <w:rPr>
          <w:rFonts w:ascii="Times New Roman" w:hAnsi="Times New Roman" w:cs="Times New Roman" w:eastAsia="Times New Roman" w:hint="default"/>
        </w:rPr>
      </w:pPr>
      <w:r>
        <w:rPr/>
        <w:t>诺华、茂硕电气；收购茂硕新能源少数股东股权；参股投资了国利英核、河南弘康；在智能穿戴方向投资了美国</w:t>
      </w:r>
      <w:r>
        <w:rPr>
          <w:rFonts w:ascii="Times New Roman" w:hAnsi="Times New Roman" w:cs="Times New Roman" w:eastAsia="Times New Roman" w:hint="default"/>
        </w:rPr>
        <w:t>Glamorysky</w:t>
      </w:r>
    </w:p>
    <w:p>
      <w:pPr>
        <w:pStyle w:val="BodyText"/>
        <w:spacing w:line="300" w:lineRule="auto" w:before="63"/>
        <w:ind w:right="1032"/>
        <w:jc w:val="left"/>
      </w:pPr>
      <w:r>
        <w:rPr/>
        <w:t>公司。并配合公司投资方向调整，考虑投资风险，</w:t>
      </w:r>
      <w:r>
        <w:rPr>
          <w:rFonts w:ascii="Times New Roman" w:hAnsi="Times New Roman" w:cs="Times New Roman" w:eastAsia="Times New Roman" w:hint="default"/>
        </w:rPr>
        <w:t>2014</w:t>
      </w:r>
      <w:r>
        <w:rPr/>
        <w:t>年成功退出对连硕自动化、河南茂鑫的投资。在光伏应用投资方向， 公司投资建设的海宁茂硕</w:t>
      </w:r>
      <w:r>
        <w:rPr>
          <w:rFonts w:ascii="Times New Roman" w:hAnsi="Times New Roman" w:cs="Times New Roman" w:eastAsia="Times New Roman" w:hint="default"/>
        </w:rPr>
        <w:t>15MW</w:t>
      </w:r>
      <w:r>
        <w:rPr/>
        <w:t>光伏电站项目年底成功并网发电。在产业并购方面，发行股份购买并配套募集资金收购湖南 省方正达电子科技有限公司</w:t>
      </w:r>
      <w:r>
        <w:rPr>
          <w:rFonts w:ascii="Times New Roman" w:hAnsi="Times New Roman" w:cs="Times New Roman" w:eastAsia="Times New Roman" w:hint="default"/>
        </w:rPr>
        <w:t>55%</w:t>
      </w:r>
      <w:r>
        <w:rPr/>
        <w:t>股权。</w:t>
      </w:r>
    </w:p>
    <w:p>
      <w:pPr>
        <w:pStyle w:val="BodyText"/>
        <w:spacing w:line="240" w:lineRule="auto" w:before="52"/>
        <w:ind w:left="153"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说明</w:t>
      </w:r>
    </w:p>
    <w:p>
      <w:pPr>
        <w:pStyle w:val="BodyText"/>
        <w:spacing w:line="240" w:lineRule="auto" w:before="117"/>
        <w:ind w:left="0" w:right="1310"/>
        <w:jc w:val="right"/>
      </w:pPr>
      <w:r>
        <w:rPr/>
        <w:t>单位：元</w:t>
      </w:r>
    </w:p>
    <w:p>
      <w:pPr>
        <w:spacing w:line="240" w:lineRule="auto" w:before="5"/>
        <w:rPr>
          <w:rFonts w:ascii="宋体" w:hAnsi="宋体" w:cs="宋体" w:eastAsia="宋体" w:hint="default"/>
          <w:sz w:val="10"/>
          <w:szCs w:val="10"/>
        </w:rPr>
      </w:pPr>
    </w:p>
    <w:p>
      <w:pPr>
        <w:spacing w:line="873" w:lineRule="exact"/>
        <w:ind w:left="15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126511" cy="55435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6126511" cy="554354"/>
                    </a:xfrm>
                    <a:prstGeom prst="rect">
                      <a:avLst/>
                    </a:prstGeom>
                  </pic:spPr>
                </pic:pic>
              </a:graphicData>
            </a:graphic>
          </wp:inline>
        </w:drawing>
      </w:r>
      <w:r>
        <w:rPr>
          <w:rFonts w:ascii="宋体" w:hAnsi="宋体" w:cs="宋体" w:eastAsia="宋体" w:hint="default"/>
          <w:position w:val="-16"/>
          <w:sz w:val="20"/>
          <w:szCs w:val="20"/>
        </w:rPr>
      </w:r>
    </w:p>
    <w:p>
      <w:pPr>
        <w:pStyle w:val="BodyText"/>
        <w:spacing w:line="240" w:lineRule="auto" w:before="83"/>
        <w:ind w:left="153" w:right="0"/>
        <w:jc w:val="left"/>
      </w:pPr>
      <w:r>
        <w:rPr/>
        <w:t>注：本年度公司主营业务相比去年同期增长了</w:t>
      </w:r>
      <w:r>
        <w:rPr>
          <w:rFonts w:ascii="Times New Roman" w:hAnsi="Times New Roman" w:cs="Times New Roman" w:eastAsia="Times New Roman" w:hint="default"/>
        </w:rPr>
        <w:t>3.57%</w:t>
      </w:r>
      <w:r>
        <w:rPr/>
        <w:t>，保持持续稳定的增长。</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53" w:right="0"/>
        <w:jc w:val="left"/>
      </w:pPr>
      <w:r>
        <w:rPr/>
        <w:t>公司实物销售收入是否大于劳务收入</w:t>
      </w:r>
    </w:p>
    <w:p>
      <w:pPr>
        <w:pStyle w:val="BodyText"/>
        <w:spacing w:line="240" w:lineRule="auto" w:before="116"/>
        <w:ind w:left="153" w:right="0"/>
        <w:jc w:val="left"/>
      </w:pPr>
      <w:r>
        <w:rPr/>
        <w:t>√ 是 □ 否</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23,096,973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20,831,886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21,315,749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4"/>
        <w:ind w:left="153" w:right="0"/>
        <w:jc w:val="left"/>
      </w:pPr>
      <w:r>
        <w:rPr/>
        <w:t>√ 适用 □ 不适用</w:t>
      </w:r>
    </w:p>
    <w:p>
      <w:pPr>
        <w:pStyle w:val="BodyText"/>
        <w:spacing w:line="309" w:lineRule="auto" w:before="115"/>
        <w:ind w:left="153" w:right="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SPS</w:t>
      </w:r>
      <w:r>
        <w:rPr>
          <w:spacing w:val="-1"/>
        </w:rPr>
        <w:t>开关电源本期末库存比</w:t>
      </w:r>
      <w:r>
        <w:rPr>
          <w:rFonts w:ascii="Times New Roman" w:hAnsi="Times New Roman" w:cs="Times New Roman" w:eastAsia="Times New Roman" w:hint="default"/>
          <w:spacing w:val="-1"/>
        </w:rPr>
        <w:t>2013</w:t>
      </w:r>
      <w:r>
        <w:rPr>
          <w:spacing w:val="-1"/>
        </w:rPr>
        <w:t>年末增长了</w:t>
      </w:r>
      <w:r>
        <w:rPr>
          <w:rFonts w:ascii="Times New Roman" w:hAnsi="Times New Roman" w:cs="Times New Roman" w:eastAsia="Times New Roman" w:hint="default"/>
          <w:spacing w:val="-1"/>
        </w:rPr>
        <w:t>7.70%</w:t>
      </w:r>
      <w:r>
        <w:rPr>
          <w:spacing w:val="-1"/>
        </w:rPr>
        <w:t>，其原因系考虑到产能搬迁惠州过程中可能会影响到生产进度，所以在</w:t>
      </w:r>
      <w:r>
        <w:rPr>
          <w:spacing w:val="-73"/>
        </w:rPr>
        <w:t> </w:t>
      </w:r>
      <w:r>
        <w:rPr>
          <w:spacing w:val="-73"/>
        </w:rPr>
      </w:r>
      <w:r>
        <w:rPr/>
        <w:t>年底提前将部份订单生产出来所致； </w:t>
      </w:r>
      <w:r>
        <w:rPr>
          <w:rFonts w:ascii="Times New Roman" w:hAnsi="Times New Roman" w:cs="Times New Roman" w:eastAsia="Times New Roman" w:hint="default"/>
        </w:rPr>
        <w:t>2</w:t>
      </w:r>
      <w:r>
        <w:rPr/>
        <w:t>、逆变器的销售量与生产量均比</w:t>
      </w:r>
      <w:r>
        <w:rPr>
          <w:rFonts w:ascii="Times New Roman" w:hAnsi="Times New Roman" w:cs="Times New Roman" w:eastAsia="Times New Roman" w:hint="default"/>
        </w:rPr>
        <w:t>2013</w:t>
      </w:r>
      <w:r>
        <w:rPr/>
        <w:t>年度大幅增长的原因系该产品</w:t>
      </w:r>
      <w:r>
        <w:rPr>
          <w:rFonts w:ascii="Times New Roman" w:hAnsi="Times New Roman" w:cs="Times New Roman" w:eastAsia="Times New Roman" w:hint="default"/>
        </w:rPr>
        <w:t>2013</w:t>
      </w:r>
      <w:r>
        <w:rPr/>
        <w:t>年属于新开展业务，</w:t>
      </w:r>
      <w:r>
        <w:rPr>
          <w:rFonts w:ascii="Times New Roman" w:hAnsi="Times New Roman" w:cs="Times New Roman" w:eastAsia="Times New Roman" w:hint="default"/>
        </w:rPr>
        <w:t>2014</w:t>
      </w:r>
      <w:r>
        <w:rPr/>
        <w:t>年市场拓展所致。</w:t>
      </w:r>
    </w:p>
    <w:p>
      <w:pPr>
        <w:spacing w:after="0" w:line="30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153" w:right="0"/>
        <w:jc w:val="left"/>
      </w:pPr>
      <w:r>
        <w:rPr/>
        <w:t>公司重大的在手订单情况</w:t>
      </w:r>
    </w:p>
    <w:p>
      <w:pPr>
        <w:pStyle w:val="BodyText"/>
        <w:spacing w:line="357" w:lineRule="auto" w:before="116"/>
        <w:ind w:right="6432"/>
        <w:jc w:val="left"/>
      </w:pPr>
      <w:r>
        <w:rPr/>
        <w:t>□ 适用 √ 不适用 公司报告期内产品或服务发生重大变化或调整有关情况</w:t>
      </w:r>
    </w:p>
    <w:p>
      <w:pPr>
        <w:pStyle w:val="BodyText"/>
        <w:spacing w:line="357" w:lineRule="auto" w:before="29"/>
        <w:ind w:right="8952"/>
        <w:jc w:val="left"/>
      </w:pPr>
      <w:r>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209,830,389.28</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w:t>
            </w:r>
          </w:p>
        </w:tc>
      </w:tr>
    </w:tbl>
    <w:p>
      <w:pPr>
        <w:pStyle w:val="BodyText"/>
        <w:spacing w:line="240" w:lineRule="auto" w:before="6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90,197,291.45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42,693,976.13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27,179,230.62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26,001,694.54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23,758,196.54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209,830,389.28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54"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533,261,123.58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477,708,550.50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11.63%</w:t>
            </w:r>
          </w:p>
        </w:tc>
      </w:tr>
    </w:tbl>
    <w:p>
      <w:pPr>
        <w:pStyle w:val="BodyText"/>
        <w:spacing w:line="240" w:lineRule="auto" w:before="51"/>
        <w:ind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360,821,348.54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315,744,725.03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146,658,585.34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157,737,393.96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4,950,282.61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2,388,685.87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20,675,230.84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1,107,072.50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1,767.56%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通信电源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EPC</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智能模块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730,673.14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w:t>
      </w:r>
    </w:p>
    <w:p>
      <w:pPr>
        <w:pStyle w:val="BodyText"/>
        <w:spacing w:line="240" w:lineRule="auto" w:before="117"/>
        <w:ind w:left="0" w:right="1220"/>
        <w:jc w:val="right"/>
      </w:pPr>
      <w:r>
        <w:rPr/>
        <w:t>单位：元</w:t>
      </w:r>
    </w:p>
    <w:p>
      <w:pPr>
        <w:spacing w:line="240" w:lineRule="auto" w:before="0"/>
        <w:rPr>
          <w:rFonts w:ascii="宋体" w:hAnsi="宋体" w:cs="宋体" w:eastAsia="宋体" w:hint="default"/>
          <w:sz w:val="10"/>
          <w:szCs w:val="10"/>
        </w:rPr>
      </w:pPr>
    </w:p>
    <w:p>
      <w:pPr>
        <w:spacing w:line="1815" w:lineRule="exact"/>
        <w:ind w:left="15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6092642" cy="11525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6092642" cy="1152525"/>
                    </a:xfrm>
                    <a:prstGeom prst="rect">
                      <a:avLst/>
                    </a:prstGeom>
                  </pic:spPr>
                </pic:pic>
              </a:graphicData>
            </a:graphic>
          </wp:inline>
        </w:drawing>
      </w:r>
      <w:r>
        <w:rPr>
          <w:rFonts w:ascii="宋体" w:hAnsi="宋体" w:cs="宋体" w:eastAsia="宋体" w:hint="default"/>
          <w:position w:val="-35"/>
          <w:sz w:val="20"/>
          <w:szCs w:val="20"/>
        </w:rPr>
      </w:r>
    </w:p>
    <w:p>
      <w:pPr>
        <w:spacing w:line="240" w:lineRule="auto" w:before="7"/>
        <w:rPr>
          <w:rFonts w:ascii="宋体" w:hAnsi="宋体" w:cs="宋体" w:eastAsia="宋体" w:hint="default"/>
          <w:sz w:val="23"/>
          <w:szCs w:val="23"/>
        </w:rPr>
      </w:pPr>
    </w:p>
    <w:p>
      <w:pPr>
        <w:pStyle w:val="BodyText"/>
        <w:spacing w:line="676" w:lineRule="auto" w:before="44"/>
        <w:ind w:left="153" w:right="4093"/>
        <w:jc w:val="left"/>
      </w:pPr>
      <w:r>
        <w:rPr/>
        <w:pict>
          <v:shape style="position:absolute;margin-left:56.459999pt;margin-top:52.491737pt;width:479.2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60,639,084.44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r>
                </w:tbl>
                <w:p>
                  <w:pPr/>
                </w:p>
              </w:txbxContent>
            </v:textbox>
            <w10:wrap type="none"/>
          </v:shape>
        </w:pict>
      </w:r>
      <w:r>
        <w:rPr/>
        <w:t>直接人工上涨的主要原因是深圳市最低工资的上涨导致加班工资、社保等增加所致。 公司主要供应商情况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4"/>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12,920,565.26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2.06%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12,790,537.14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2.04%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12,269,478.68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11,728,947.16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10,929,556.20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1.74%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60,639,084.44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9.66%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1710" w:lineRule="exact"/>
        <w:ind w:left="154"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6056629" cy="10858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6056629" cy="1085850"/>
                    </a:xfrm>
                    <a:prstGeom prst="rect">
                      <a:avLst/>
                    </a:prstGeom>
                  </pic:spPr>
                </pic:pic>
              </a:graphicData>
            </a:graphic>
          </wp:inline>
        </w:drawing>
      </w:r>
      <w:r>
        <w:rPr>
          <w:rFonts w:ascii="宋体" w:hAnsi="宋体" w:cs="宋体" w:eastAsia="宋体" w:hint="default"/>
          <w:position w:val="-33"/>
          <w:sz w:val="20"/>
          <w:szCs w:val="20"/>
        </w:rPr>
      </w:r>
    </w:p>
    <w:p>
      <w:pPr>
        <w:pStyle w:val="BodyText"/>
        <w:spacing w:line="300" w:lineRule="auto" w:before="93"/>
        <w:ind w:right="1152" w:firstLine="360"/>
        <w:jc w:val="left"/>
      </w:pPr>
      <w:r>
        <w:rPr>
          <w:rFonts w:ascii="Times New Roman" w:hAnsi="Times New Roman" w:cs="Times New Roman" w:eastAsia="Times New Roman" w:hint="default"/>
        </w:rPr>
        <w:t>1</w:t>
      </w:r>
      <w:r>
        <w:rPr/>
        <w:t>、销售费用：报告期发生销售费用</w:t>
      </w:r>
      <w:r>
        <w:rPr>
          <w:rFonts w:ascii="Times New Roman" w:hAnsi="Times New Roman" w:cs="Times New Roman" w:eastAsia="Times New Roman" w:hint="default"/>
        </w:rPr>
        <w:t>54,213,396.61</w:t>
      </w:r>
      <w:r>
        <w:rPr/>
        <w:t>元，较上年同期增长</w:t>
      </w:r>
      <w:r>
        <w:rPr>
          <w:rFonts w:ascii="Times New Roman" w:hAnsi="Times New Roman" w:cs="Times New Roman" w:eastAsia="Times New Roman" w:hint="default"/>
        </w:rPr>
        <w:t>40.67%</w:t>
      </w:r>
      <w:r>
        <w:rPr/>
        <w:t>，主要原因系公司引进新的销售团队，加 大新客户开发，工资、差旅以及售后服务费用等增加所致；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52" w:firstLine="360"/>
        <w:jc w:val="left"/>
      </w:pPr>
      <w:r>
        <w:rPr>
          <w:rFonts w:ascii="Times New Roman" w:hAnsi="Times New Roman" w:cs="Times New Roman" w:eastAsia="Times New Roman" w:hint="default"/>
        </w:rPr>
        <w:t>2</w:t>
      </w:r>
      <w:r>
        <w:rPr/>
        <w:t>、管理费用：报告期发生管理费用</w:t>
      </w:r>
      <w:r>
        <w:rPr>
          <w:rFonts w:ascii="Times New Roman" w:hAnsi="Times New Roman" w:cs="Times New Roman" w:eastAsia="Times New Roman" w:hint="default"/>
        </w:rPr>
        <w:t>92,920,595.04</w:t>
      </w:r>
      <w:r>
        <w:rPr/>
        <w:t>元，较上年同期增长</w:t>
      </w:r>
      <w:r>
        <w:rPr>
          <w:rFonts w:ascii="Times New Roman" w:hAnsi="Times New Roman" w:cs="Times New Roman" w:eastAsia="Times New Roman" w:hint="default"/>
        </w:rPr>
        <w:t>36.94%</w:t>
      </w:r>
      <w:r>
        <w:rPr/>
        <w:t>，主要原因系加大研发投入，子公司新增 人员工资、办公场所的租金、装修费用等增加所致；</w:t>
      </w:r>
    </w:p>
    <w:p>
      <w:pPr>
        <w:pStyle w:val="BodyText"/>
        <w:spacing w:line="300" w:lineRule="auto" w:before="31"/>
        <w:ind w:right="1152" w:firstLine="360"/>
        <w:jc w:val="left"/>
      </w:pPr>
      <w:r>
        <w:rPr>
          <w:rFonts w:ascii="Times New Roman" w:hAnsi="Times New Roman" w:cs="Times New Roman" w:eastAsia="Times New Roman" w:hint="default"/>
        </w:rPr>
        <w:t>3</w:t>
      </w:r>
      <w:r>
        <w:rPr/>
        <w:t>、财务费用：报告期发生财务费用</w:t>
      </w:r>
      <w:r>
        <w:rPr>
          <w:rFonts w:ascii="Times New Roman" w:hAnsi="Times New Roman" w:cs="Times New Roman" w:eastAsia="Times New Roman" w:hint="default"/>
        </w:rPr>
        <w:t>1,382,966.70</w:t>
      </w:r>
      <w:r>
        <w:rPr/>
        <w:t>元，较上年同期增长</w:t>
      </w:r>
      <w:r>
        <w:rPr>
          <w:rFonts w:ascii="Times New Roman" w:hAnsi="Times New Roman" w:cs="Times New Roman" w:eastAsia="Times New Roman" w:hint="default"/>
        </w:rPr>
        <w:t>285.09%</w:t>
      </w:r>
      <w:r>
        <w:rPr/>
        <w:t>，主要原因系银行短期借款增加以及募集 资金余额减少等所致；</w:t>
      </w:r>
    </w:p>
    <w:p>
      <w:pPr>
        <w:pStyle w:val="BodyText"/>
        <w:spacing w:line="300" w:lineRule="auto" w:before="32"/>
        <w:ind w:left="153" w:right="1125" w:firstLine="360"/>
        <w:jc w:val="left"/>
      </w:pPr>
      <w:r>
        <w:rPr>
          <w:rFonts w:ascii="Times New Roman" w:hAnsi="Times New Roman" w:cs="Times New Roman" w:eastAsia="Times New Roman" w:hint="default"/>
          <w:spacing w:val="-1"/>
        </w:rPr>
        <w:t>4</w:t>
      </w:r>
      <w:r>
        <w:rPr>
          <w:spacing w:val="-1"/>
        </w:rPr>
        <w:t>、资产减值损失：报告期发生资产减值损失</w:t>
      </w:r>
      <w:r>
        <w:rPr>
          <w:rFonts w:ascii="Times New Roman" w:hAnsi="Times New Roman" w:cs="Times New Roman" w:eastAsia="Times New Roman" w:hint="default"/>
          <w:spacing w:val="-1"/>
        </w:rPr>
        <w:t>17,396,238.38</w:t>
      </w:r>
      <w:r>
        <w:rPr>
          <w:spacing w:val="-1"/>
        </w:rPr>
        <w:t>元，较上年同期增长</w:t>
      </w:r>
      <w:r>
        <w:rPr>
          <w:rFonts w:ascii="Times New Roman" w:hAnsi="Times New Roman" w:cs="Times New Roman" w:eastAsia="Times New Roman" w:hint="default"/>
          <w:spacing w:val="-1"/>
        </w:rPr>
        <w:t>68.9%</w:t>
      </w:r>
      <w:r>
        <w:rPr>
          <w:spacing w:val="-1"/>
        </w:rPr>
        <w:t>，主要原因系计提了坏账准备和存</w:t>
      </w:r>
      <w:r>
        <w:rPr/>
        <w:t> 货跌账准备；</w:t>
      </w:r>
    </w:p>
    <w:p>
      <w:pPr>
        <w:pStyle w:val="BodyText"/>
        <w:spacing w:line="240" w:lineRule="auto" w:before="72"/>
        <w:ind w:left="513" w:right="0"/>
        <w:jc w:val="left"/>
      </w:pPr>
      <w:r>
        <w:rPr>
          <w:rFonts w:ascii="Times New Roman" w:hAnsi="Times New Roman" w:cs="Times New Roman" w:eastAsia="Times New Roman" w:hint="default"/>
        </w:rPr>
        <w:t>5</w:t>
      </w:r>
      <w:r>
        <w:rPr/>
        <w:t>、所得税费用：报告期发生所得税费用</w:t>
      </w:r>
      <w:r>
        <w:rPr>
          <w:rFonts w:ascii="Times New Roman" w:hAnsi="Times New Roman" w:cs="Times New Roman" w:eastAsia="Times New Roman" w:hint="default"/>
        </w:rPr>
        <w:t>-9,165,186.13</w:t>
      </w:r>
      <w:r>
        <w:rPr/>
        <w:t>元</w:t>
      </w:r>
      <w:r>
        <w:rPr>
          <w:rFonts w:ascii="Times New Roman" w:hAnsi="Times New Roman" w:cs="Times New Roman" w:eastAsia="Times New Roman" w:hint="default"/>
        </w:rPr>
        <w:t>,</w:t>
      </w:r>
      <w:r>
        <w:rPr/>
        <w:t>较上年同期减少</w:t>
      </w:r>
      <w:r>
        <w:rPr>
          <w:rFonts w:ascii="Times New Roman" w:hAnsi="Times New Roman" w:cs="Times New Roman" w:eastAsia="Times New Roman" w:hint="default"/>
        </w:rPr>
        <w:t>447.23%</w:t>
      </w:r>
      <w:r>
        <w:rPr/>
        <w:t>，主要原因系本期亏损所致。</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705"/>
        <w:gridCol w:w="2340"/>
        <w:gridCol w:w="2340"/>
        <w:gridCol w:w="2435"/>
      </w:tblGrid>
      <w:tr>
        <w:trPr>
          <w:trHeight w:val="322"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40"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12"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研究开发费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04" w:right="0"/>
              <w:jc w:val="left"/>
              <w:rPr>
                <w:rFonts w:ascii="宋体" w:hAnsi="宋体" w:cs="宋体" w:eastAsia="宋体" w:hint="default"/>
                <w:sz w:val="20"/>
                <w:szCs w:val="20"/>
              </w:rPr>
            </w:pPr>
            <w:r>
              <w:rPr>
                <w:rFonts w:ascii="宋体"/>
                <w:sz w:val="20"/>
              </w:rPr>
              <w:t>40,981,380.10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4"/>
              <w:jc w:val="right"/>
              <w:rPr>
                <w:rFonts w:ascii="宋体" w:hAnsi="宋体" w:cs="宋体" w:eastAsia="宋体" w:hint="default"/>
                <w:sz w:val="20"/>
                <w:szCs w:val="20"/>
              </w:rPr>
            </w:pPr>
            <w:r>
              <w:rPr>
                <w:rFonts w:ascii="宋体"/>
                <w:spacing w:val="-1"/>
                <w:sz w:val="20"/>
              </w:rPr>
              <w:t>31,345,475.79</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30.74%</w:t>
            </w:r>
          </w:p>
        </w:tc>
      </w:tr>
      <w:tr>
        <w:trPr>
          <w:trHeight w:val="32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研究开发费占净资产比例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z w:val="20"/>
              </w:rPr>
              <w:t>5.73%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z w:val="20"/>
              </w:rPr>
              <w:t>4.53%</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z w:val="20"/>
              </w:rPr>
              <w:t>1.20%</w:t>
            </w: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研究开发费占营业收入比例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6.52%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z w:val="20"/>
              </w:rPr>
              <w:t>5.17%</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z w:val="20"/>
              </w:rPr>
              <w:t>1.35%</w:t>
            </w:r>
          </w:p>
        </w:tc>
      </w:tr>
    </w:tbl>
    <w:p>
      <w:pPr>
        <w:spacing w:line="240" w:lineRule="auto" w:before="3"/>
        <w:rPr>
          <w:rFonts w:ascii="宋体" w:hAnsi="宋体" w:cs="宋体" w:eastAsia="宋体" w:hint="default"/>
          <w:sz w:val="21"/>
          <w:szCs w:val="21"/>
        </w:rPr>
      </w:pPr>
    </w:p>
    <w:p>
      <w:pPr>
        <w:pStyle w:val="BodyText"/>
        <w:spacing w:line="300" w:lineRule="auto" w:before="44"/>
        <w:ind w:left="153" w:right="1170" w:firstLine="73"/>
        <w:jc w:val="left"/>
      </w:pPr>
      <w:r>
        <w:rPr/>
        <w:t>研发支出：报告期发生研发支出</w:t>
      </w:r>
      <w:r>
        <w:rPr>
          <w:rFonts w:ascii="Times New Roman" w:hAnsi="Times New Roman" w:cs="Times New Roman" w:eastAsia="Times New Roman" w:hint="default"/>
        </w:rPr>
        <w:t>40,981,380.10</w:t>
      </w:r>
      <w:r>
        <w:rPr/>
        <w:t>元，较上年同期增长</w:t>
      </w:r>
      <w:r>
        <w:rPr>
          <w:rFonts w:ascii="Times New Roman" w:hAnsi="Times New Roman" w:cs="Times New Roman" w:eastAsia="Times New Roman" w:hint="default"/>
        </w:rPr>
        <w:t>30.74%</w:t>
      </w:r>
      <w:r>
        <w:rPr/>
        <w:t>，主要原因系公司引进优秀研发人才，加大新产 品研发及提升整体实力，子公司加大逆变器的研发投入。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682,658,952.20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643,216,640.33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705,569,737.76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637,339,094.44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-22,910,785.56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5,877,545.89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-489.80%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628,479,126.02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384,009.06%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790,002,810.42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240,569,267.37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-161,523,684.40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-240,405,647.40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277,954,076.82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113,926,471.41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133,634,029.90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72,399,551.79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144,320,046.92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41,526,919.62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-36,263,090.02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-194,956,237.25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0"/>
        <w:jc w:val="left"/>
      </w:pPr>
      <w:r>
        <w:rPr>
          <w:rFonts w:ascii="Times New Roman" w:hAnsi="Times New Roman" w:cs="Times New Roman" w:eastAsia="Times New Roman" w:hint="default"/>
        </w:rPr>
        <w:t>1</w:t>
      </w:r>
      <w:r>
        <w:rPr/>
        <w:t>、经营活动产生的现金流量净额：本报告期</w:t>
      </w:r>
      <w:r>
        <w:rPr>
          <w:rFonts w:ascii="Times New Roman" w:hAnsi="Times New Roman" w:cs="Times New Roman" w:eastAsia="Times New Roman" w:hint="default"/>
        </w:rPr>
        <w:t>“</w:t>
      </w:r>
      <w:r>
        <w:rPr/>
        <w:t>经营活动产生的现金流量净额</w:t>
      </w:r>
      <w:r>
        <w:rPr>
          <w:rFonts w:ascii="Times New Roman" w:hAnsi="Times New Roman" w:cs="Times New Roman" w:eastAsia="Times New Roman" w:hint="default"/>
        </w:rPr>
        <w:t>”</w:t>
      </w:r>
      <w:r>
        <w:rPr>
          <w:rFonts w:ascii="Times New Roman" w:hAnsi="Times New Roman" w:cs="Times New Roman" w:eastAsia="Times New Roman" w:hint="default"/>
        </w:rPr>
        <w:t>-22,910,785.56</w:t>
      </w:r>
      <w:r>
        <w:rPr/>
        <w:t>元，较上年同期减少</w:t>
      </w:r>
      <w:r>
        <w:rPr>
          <w:rFonts w:ascii="Times New Roman" w:hAnsi="Times New Roman" w:cs="Times New Roman" w:eastAsia="Times New Roman" w:hint="default"/>
        </w:rPr>
        <w:t>489.80%</w:t>
      </w:r>
      <w:r>
        <w:rPr/>
        <w:t>，</w:t>
      </w:r>
      <w:r>
        <w:rPr>
          <w:spacing w:val="-15"/>
        </w:rPr>
        <w:t> </w:t>
      </w:r>
      <w:r>
        <w:rPr/>
        <w:t>主要原因系支付供应商货款更加及时，因工资上涨及人数增加，支付给职工的现金增加导致；</w:t>
      </w:r>
      <w:r>
        <w:rPr>
          <w:w w:val="99"/>
        </w:rPr>
        <w:t> </w:t>
      </w:r>
      <w:r>
        <w:rPr>
          <w:rFonts w:ascii="Times New Roman" w:hAnsi="Times New Roman" w:cs="Times New Roman" w:eastAsia="Times New Roman" w:hint="default"/>
        </w:rPr>
        <w:t>2</w:t>
      </w:r>
      <w:r>
        <w:rPr/>
        <w:t>、投资活动现金流入小计：本报告期</w:t>
      </w:r>
      <w:r>
        <w:rPr>
          <w:rFonts w:ascii="Times New Roman" w:hAnsi="Times New Roman" w:cs="Times New Roman" w:eastAsia="Times New Roman" w:hint="default"/>
        </w:rPr>
        <w:t>“</w:t>
      </w:r>
      <w:r>
        <w:rPr/>
        <w:t>投资活动现金流入小计</w:t>
      </w:r>
      <w:r>
        <w:rPr>
          <w:rFonts w:ascii="Times New Roman" w:hAnsi="Times New Roman" w:cs="Times New Roman" w:eastAsia="Times New Roman" w:hint="default"/>
        </w:rPr>
        <w:t>”628,479,126.02</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384,009.06%</w:t>
      </w:r>
      <w:r>
        <w:rPr/>
        <w:t>主要原因系本</w:t>
      </w:r>
      <w:r>
        <w:rPr>
          <w:spacing w:val="-42"/>
        </w:rPr>
        <w:t> </w:t>
      </w:r>
      <w:r>
        <w:rPr/>
        <w:t>期收回河南茂鑫、连硕自动化的股权，以及本期银行短期理财产品的赎回；</w:t>
      </w:r>
      <w:r>
        <w:rPr/>
        <w:t> </w:t>
      </w:r>
      <w:r>
        <w:rPr>
          <w:rFonts w:ascii="Times New Roman" w:hAnsi="Times New Roman" w:cs="Times New Roman" w:eastAsia="Times New Roman" w:hint="default"/>
        </w:rPr>
        <w:t>3</w:t>
      </w:r>
      <w:r>
        <w:rPr/>
        <w:t>、投资活动现金流出小计：本报告期</w:t>
      </w:r>
      <w:r>
        <w:rPr>
          <w:rFonts w:ascii="Times New Roman" w:hAnsi="Times New Roman" w:cs="Times New Roman" w:eastAsia="Times New Roman" w:hint="default"/>
        </w:rPr>
        <w:t>“</w:t>
      </w:r>
      <w:r>
        <w:rPr/>
        <w:t>投资活动现金流出小计</w:t>
      </w:r>
      <w:r>
        <w:rPr>
          <w:rFonts w:ascii="Times New Roman" w:hAnsi="Times New Roman" w:cs="Times New Roman" w:eastAsia="Times New Roman" w:hint="default"/>
        </w:rPr>
        <w:t>”790,002,810.42</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228.39%</w:t>
      </w:r>
      <w:r>
        <w:rPr/>
        <w:t>，主要原因系银行</w:t>
      </w:r>
      <w:r>
        <w:rPr>
          <w:spacing w:val="-83"/>
        </w:rPr>
        <w:t> </w:t>
      </w:r>
      <w:r>
        <w:rPr>
          <w:spacing w:val="-83"/>
        </w:rPr>
      </w:r>
      <w:r>
        <w:rPr>
          <w:spacing w:val="-2"/>
        </w:rPr>
        <w:t>短期理财产品投资、支付惠州茂硕生产基地的建设工程款，海宁茂硕光伏电站建设款、投资河南茂鑫、河南弘康茂硕、浙江</w:t>
      </w:r>
      <w:r>
        <w:rPr>
          <w:spacing w:val="-65"/>
        </w:rPr>
        <w:t> </w:t>
      </w:r>
      <w:r>
        <w:rPr>
          <w:spacing w:val="-65"/>
        </w:rPr>
      </w:r>
      <w:r>
        <w:rPr/>
        <w:t>国利英核等股权投资；</w:t>
      </w:r>
    </w:p>
    <w:p>
      <w:pPr>
        <w:pStyle w:val="BodyText"/>
        <w:spacing w:line="309" w:lineRule="auto" w:before="24"/>
        <w:ind w:left="153" w:right="1129"/>
        <w:jc w:val="left"/>
      </w:pPr>
      <w:r>
        <w:rPr>
          <w:rFonts w:ascii="Times New Roman" w:hAnsi="Times New Roman" w:cs="Times New Roman" w:eastAsia="Times New Roman" w:hint="default"/>
        </w:rPr>
        <w:t>4</w:t>
      </w:r>
      <w:r>
        <w:rPr/>
        <w:t>、投资活动产生的现金流量净额：本报告期</w:t>
      </w:r>
      <w:r>
        <w:rPr>
          <w:rFonts w:ascii="Times New Roman" w:hAnsi="Times New Roman" w:cs="Times New Roman" w:eastAsia="Times New Roman" w:hint="default"/>
        </w:rPr>
        <w:t>“</w:t>
      </w:r>
      <w:r>
        <w:rPr/>
        <w:t>投资活动产生的现金流量净额</w:t>
      </w:r>
      <w:r>
        <w:rPr>
          <w:rFonts w:ascii="Times New Roman" w:hAnsi="Times New Roman" w:cs="Times New Roman" w:eastAsia="Times New Roman" w:hint="default"/>
        </w:rPr>
        <w:t>”</w:t>
      </w:r>
      <w:r>
        <w:rPr>
          <w:rFonts w:ascii="Times New Roman" w:hAnsi="Times New Roman" w:cs="Times New Roman" w:eastAsia="Times New Roman" w:hint="default"/>
        </w:rPr>
        <w:t>-161,523,684.40</w:t>
      </w:r>
      <w:r>
        <w:rPr/>
        <w:t>元</w:t>
      </w:r>
      <w:r>
        <w:rPr>
          <w:rFonts w:ascii="Times New Roman" w:hAnsi="Times New Roman" w:cs="Times New Roman" w:eastAsia="Times New Roman" w:hint="default"/>
        </w:rPr>
        <w:t>,</w:t>
      </w:r>
      <w:r>
        <w:rPr/>
        <w:t>较上年同期减少</w:t>
      </w:r>
      <w:r>
        <w:rPr>
          <w:rFonts w:ascii="Times New Roman" w:hAnsi="Times New Roman" w:cs="Times New Roman" w:eastAsia="Times New Roman" w:hint="default"/>
        </w:rPr>
        <w:t>32.81%,</w:t>
      </w:r>
      <w:r>
        <w:rPr/>
        <w:t>主要</w:t>
      </w:r>
      <w:r>
        <w:rPr>
          <w:spacing w:val="1"/>
          <w:w w:val="99"/>
        </w:rPr>
        <w:t> </w:t>
      </w:r>
      <w:r>
        <w:rPr>
          <w:spacing w:val="-2"/>
        </w:rPr>
        <w:t>原因系支付惠州茂硕生产基地的建设工程款、海宁茂硕光伏电站建设款、投资弘康茂硕、浙江国利英核等增加，同时，银行</w:t>
      </w:r>
      <w:r>
        <w:rPr>
          <w:spacing w:val="-69"/>
        </w:rPr>
        <w:t> </w:t>
      </w:r>
      <w:r>
        <w:rPr>
          <w:spacing w:val="-69"/>
        </w:rPr>
      </w:r>
      <w:r>
        <w:rPr/>
        <w:t>短期理财产品赎回；</w:t>
      </w:r>
      <w:r>
        <w:rPr>
          <w:w w:val="99"/>
        </w:rPr>
        <w:t> </w:t>
      </w:r>
      <w:r>
        <w:rPr>
          <w:rFonts w:ascii="Times New Roman" w:hAnsi="Times New Roman" w:cs="Times New Roman" w:eastAsia="Times New Roman" w:hint="default"/>
          <w:spacing w:val="-1"/>
        </w:rPr>
        <w:t>5</w:t>
      </w:r>
      <w:r>
        <w:rPr>
          <w:spacing w:val="-1"/>
        </w:rPr>
        <w:t>、筹资活动现金流入小计：本报告期</w:t>
      </w:r>
      <w:r>
        <w:rPr>
          <w:rFonts w:ascii="Times New Roman" w:hAnsi="Times New Roman" w:cs="Times New Roman" w:eastAsia="Times New Roman" w:hint="default"/>
          <w:spacing w:val="-1"/>
        </w:rPr>
        <w:t>“</w:t>
      </w:r>
      <w:r>
        <w:rPr>
          <w:spacing w:val="-1"/>
        </w:rPr>
        <w:t>筹资活动现金流入小计</w:t>
      </w:r>
      <w:r>
        <w:rPr>
          <w:rFonts w:ascii="Times New Roman" w:hAnsi="Times New Roman" w:cs="Times New Roman" w:eastAsia="Times New Roman" w:hint="default"/>
          <w:spacing w:val="-1"/>
        </w:rPr>
        <w:t>”277,954,076.82</w:t>
      </w:r>
      <w:r>
        <w:rPr>
          <w:spacing w:val="-1"/>
        </w:rPr>
        <w:t>元</w:t>
      </w:r>
      <w:r>
        <w:rPr>
          <w:rFonts w:ascii="Times New Roman" w:hAnsi="Times New Roman" w:cs="Times New Roman" w:eastAsia="Times New Roman" w:hint="default"/>
          <w:spacing w:val="-1"/>
        </w:rPr>
        <w:t>,</w:t>
      </w:r>
      <w:r>
        <w:rPr>
          <w:spacing w:val="-1"/>
        </w:rPr>
        <w:t>较上年同期增长</w:t>
      </w:r>
      <w:r>
        <w:rPr>
          <w:rFonts w:ascii="Times New Roman" w:hAnsi="Times New Roman" w:cs="Times New Roman" w:eastAsia="Times New Roman" w:hint="default"/>
          <w:spacing w:val="-1"/>
        </w:rPr>
        <w:t>143.98%,</w:t>
      </w:r>
      <w:r>
        <w:rPr>
          <w:spacing w:val="-1"/>
        </w:rPr>
        <w:t>主要原因系银行短</w:t>
      </w:r>
      <w:r>
        <w:rPr>
          <w:spacing w:val="-62"/>
        </w:rPr>
        <w:t> </w:t>
      </w:r>
      <w:r>
        <w:rPr>
          <w:spacing w:val="-62"/>
        </w:rPr>
      </w:r>
      <w:r>
        <w:rPr/>
        <w:t>期借款增加，以及控股子公司吸收少数股东投资； </w:t>
      </w:r>
      <w:r>
        <w:rPr>
          <w:rFonts w:ascii="Times New Roman" w:hAnsi="Times New Roman" w:cs="Times New Roman" w:eastAsia="Times New Roman" w:hint="default"/>
        </w:rPr>
        <w:t>6</w:t>
      </w:r>
      <w:r>
        <w:rPr/>
        <w:t>、筹资活动现金流出小计：本报告期</w:t>
      </w:r>
      <w:r>
        <w:rPr>
          <w:rFonts w:ascii="Times New Roman" w:hAnsi="Times New Roman" w:cs="Times New Roman" w:eastAsia="Times New Roman" w:hint="default"/>
        </w:rPr>
        <w:t>“</w:t>
      </w:r>
      <w:r>
        <w:rPr/>
        <w:t>筹资活动现金流出小计</w:t>
      </w:r>
      <w:r>
        <w:rPr>
          <w:rFonts w:ascii="Times New Roman" w:hAnsi="Times New Roman" w:cs="Times New Roman" w:eastAsia="Times New Roman" w:hint="default"/>
        </w:rPr>
        <w:t>”133,634,029.90</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84.58%,</w:t>
      </w:r>
      <w:r>
        <w:rPr/>
        <w:t>主要原因系偿还银</w:t>
      </w:r>
      <w:r>
        <w:rPr>
          <w:spacing w:val="-44"/>
        </w:rPr>
        <w:t> </w:t>
      </w:r>
      <w:r>
        <w:rPr/>
        <w:t>行短期借款增加；</w:t>
      </w:r>
      <w:r>
        <w:rPr/>
        <w:t> </w:t>
      </w:r>
      <w:r>
        <w:rPr>
          <w:rFonts w:ascii="Times New Roman" w:hAnsi="Times New Roman" w:cs="Times New Roman" w:eastAsia="Times New Roman" w:hint="default"/>
          <w:spacing w:val="-1"/>
        </w:rPr>
        <w:t>7</w:t>
      </w:r>
      <w:r>
        <w:rPr>
          <w:spacing w:val="-1"/>
        </w:rPr>
        <w:t>、筹资活动产生的现金流量净额：本报告期</w:t>
      </w:r>
      <w:r>
        <w:rPr>
          <w:rFonts w:ascii="Times New Roman" w:hAnsi="Times New Roman" w:cs="Times New Roman" w:eastAsia="Times New Roman" w:hint="default"/>
          <w:spacing w:val="-1"/>
        </w:rPr>
        <w:t>“</w:t>
      </w:r>
      <w:r>
        <w:rPr>
          <w:spacing w:val="-1"/>
        </w:rPr>
        <w:t>筹资活动产生的现金流量净额</w:t>
      </w:r>
      <w:r>
        <w:rPr>
          <w:rFonts w:ascii="Times New Roman" w:hAnsi="Times New Roman" w:cs="Times New Roman" w:eastAsia="Times New Roman" w:hint="default"/>
          <w:spacing w:val="-1"/>
        </w:rPr>
        <w:t>”144,320,046.92</w:t>
      </w:r>
      <w:r>
        <w:rPr>
          <w:spacing w:val="-1"/>
        </w:rPr>
        <w:t>元</w:t>
      </w:r>
      <w:r>
        <w:rPr>
          <w:rFonts w:ascii="Times New Roman" w:hAnsi="Times New Roman" w:cs="Times New Roman" w:eastAsia="Times New Roman" w:hint="default"/>
          <w:spacing w:val="-1"/>
        </w:rPr>
        <w:t>,</w:t>
      </w:r>
      <w:r>
        <w:rPr>
          <w:spacing w:val="-1"/>
        </w:rPr>
        <w:t>较上年同期增长</w:t>
      </w:r>
      <w:r>
        <w:rPr>
          <w:rFonts w:ascii="Times New Roman" w:hAnsi="Times New Roman" w:cs="Times New Roman" w:eastAsia="Times New Roman" w:hint="default"/>
          <w:spacing w:val="-1"/>
        </w:rPr>
        <w:t>247.53%,</w:t>
      </w:r>
      <w:r>
        <w:rPr>
          <w:spacing w:val="-1"/>
        </w:rPr>
        <w:t>主要</w:t>
      </w:r>
      <w:r>
        <w:rPr>
          <w:spacing w:val="-58"/>
        </w:rPr>
        <w:t> </w:t>
      </w:r>
      <w:r>
        <w:rPr/>
        <w:t>原因系银行短期借款增加，以及控股子公司吸收少数股东投资； </w:t>
      </w:r>
      <w:r>
        <w:rPr>
          <w:rFonts w:ascii="Times New Roman" w:hAnsi="Times New Roman" w:cs="Times New Roman" w:eastAsia="Times New Roman" w:hint="default"/>
        </w:rPr>
        <w:t>8</w:t>
      </w:r>
      <w:r>
        <w:rPr/>
        <w:t>、现金及现金等价物净增加额：本报告期</w:t>
      </w:r>
      <w:r>
        <w:rPr>
          <w:rFonts w:ascii="Times New Roman" w:hAnsi="Times New Roman" w:cs="Times New Roman" w:eastAsia="Times New Roman" w:hint="default"/>
        </w:rPr>
        <w:t>“</w:t>
      </w:r>
      <w:r>
        <w:rPr/>
        <w:t>现金及现金等价物净增加额</w:t>
      </w:r>
      <w:r>
        <w:rPr>
          <w:rFonts w:ascii="Times New Roman" w:hAnsi="Times New Roman" w:cs="Times New Roman" w:eastAsia="Times New Roman" w:hint="default"/>
        </w:rPr>
        <w:t>”</w:t>
      </w:r>
      <w:r>
        <w:rPr>
          <w:rFonts w:ascii="Times New Roman" w:hAnsi="Times New Roman" w:cs="Times New Roman" w:eastAsia="Times New Roman" w:hint="default"/>
        </w:rPr>
        <w:t>-36,263,090.02</w:t>
      </w:r>
      <w:r>
        <w:rPr/>
        <w:t>元，较上年同期增加</w:t>
      </w:r>
      <w:r>
        <w:rPr>
          <w:rFonts w:ascii="Times New Roman" w:hAnsi="Times New Roman" w:cs="Times New Roman" w:eastAsia="Times New Roman" w:hint="default"/>
        </w:rPr>
        <w:t>81.40%</w:t>
      </w:r>
      <w:r>
        <w:rPr/>
        <w:t>，主要原</w:t>
      </w:r>
      <w:r>
        <w:rPr>
          <w:w w:val="99"/>
        </w:rPr>
        <w:t> </w:t>
      </w:r>
      <w:r>
        <w:rPr/>
        <w:t>因系银行短期借款增加，以及银行短期理财产品赎回。</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报告期内公司经营活动的现金流量与本年度净利润存在重大差异的原因说明</w:t>
      </w:r>
    </w:p>
    <w:p>
      <w:pPr>
        <w:pStyle w:val="BodyText"/>
        <w:spacing w:line="240" w:lineRule="auto" w:before="117"/>
        <w:ind w:left="153" w:right="0"/>
        <w:jc w:val="left"/>
      </w:pPr>
      <w:r>
        <w:rPr/>
        <w:t>√ 适用 □ 不适用</w:t>
      </w:r>
    </w:p>
    <w:p>
      <w:pPr>
        <w:pStyle w:val="BodyText"/>
        <w:spacing w:line="240" w:lineRule="auto" w:before="115"/>
        <w:ind w:right="0"/>
        <w:jc w:val="left"/>
      </w:pPr>
      <w:r>
        <w:rPr/>
        <w:t>本报告期内公司经营活动的现金流量净额为</w:t>
      </w:r>
      <w:r>
        <w:rPr>
          <w:rFonts w:ascii="Times New Roman" w:hAnsi="Times New Roman" w:cs="Times New Roman" w:eastAsia="Times New Roman" w:hint="default"/>
        </w:rPr>
        <w:t>-2,291.08</w:t>
      </w:r>
      <w:r>
        <w:rPr/>
        <w:t>万元，本年度净利润为</w:t>
      </w:r>
      <w:r>
        <w:rPr>
          <w:rFonts w:ascii="Times New Roman" w:hAnsi="Times New Roman" w:cs="Times New Roman" w:eastAsia="Times New Roman" w:hint="default"/>
        </w:rPr>
        <w:t>-4,951.13</w:t>
      </w:r>
      <w:r>
        <w:rPr/>
        <w:t>万元，差异为</w:t>
      </w:r>
      <w:r>
        <w:rPr>
          <w:rFonts w:ascii="Times New Roman" w:hAnsi="Times New Roman" w:cs="Times New Roman" w:eastAsia="Times New Roman" w:hint="default"/>
        </w:rPr>
        <w:t>2660</w:t>
      </w:r>
      <w:r>
        <w:rPr/>
        <w:t>万元，其主要原因系：</w:t>
      </w:r>
    </w:p>
    <w:p>
      <w:pPr>
        <w:pStyle w:val="BodyText"/>
        <w:spacing w:line="240" w:lineRule="auto" w:before="63"/>
        <w:ind w:right="0"/>
        <w:jc w:val="left"/>
      </w:pPr>
      <w:r>
        <w:rPr/>
        <w:t>（</w:t>
      </w:r>
      <w:r>
        <w:rPr>
          <w:rFonts w:ascii="Times New Roman" w:hAnsi="Times New Roman" w:cs="Times New Roman" w:eastAsia="Times New Roman" w:hint="default"/>
        </w:rPr>
        <w:t>1</w:t>
      </w:r>
      <w:r>
        <w:rPr/>
        <w:t>）本期计提了</w:t>
      </w:r>
      <w:r>
        <w:rPr>
          <w:rFonts w:ascii="Times New Roman" w:hAnsi="Times New Roman" w:cs="Times New Roman" w:eastAsia="Times New Roman" w:hint="default"/>
        </w:rPr>
        <w:t>1739.6</w:t>
      </w:r>
      <w:r>
        <w:rPr/>
        <w:t>万元的资产减值损失；（</w:t>
      </w:r>
      <w:r>
        <w:rPr>
          <w:rFonts w:ascii="Times New Roman" w:hAnsi="Times New Roman" w:cs="Times New Roman" w:eastAsia="Times New Roman" w:hint="default"/>
        </w:rPr>
        <w:t>2</w:t>
      </w:r>
      <w:r>
        <w:rPr/>
        <w:t>）</w:t>
      </w:r>
      <w:r>
        <w:rPr>
          <w:spacing w:val="-23"/>
        </w:rPr>
        <w:t> </w:t>
      </w:r>
      <w:r>
        <w:rPr/>
        <w:t>本期计提固定资产折旧</w:t>
      </w:r>
      <w:r>
        <w:rPr>
          <w:rFonts w:ascii="Times New Roman" w:hAnsi="Times New Roman" w:cs="Times New Roman" w:eastAsia="Times New Roman" w:hint="default"/>
        </w:rPr>
        <w:t>939.35</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628,224,567.94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535,847,568.31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410,092,835.17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360,821,348.54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184,681,018.35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146,658,585.34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7,182,811.88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4,950,282.61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通信电源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93,227.35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93,227.35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24,527,941.74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20,675,230.84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1,767.56%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EPC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464,134.00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62,448.90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324,401,034.19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281,642,528.27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302,640,934.30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251,618,595.31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233,471,876.6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20.09%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199,650,767.77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0.77%</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296,930,702.8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25.56%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278,938,190.49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26.99%</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-1.43%</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82,213,650.81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94,526,897.17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25,653,877.09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20,241,867.76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373,949,665.8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29,691,671.49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2.87%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29.32%</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惠州茂硕生产基地主体工程、光伏 电站转固定资产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7,840,620.36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118,486,633.90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11.46%</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-10.79%</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惠州茂硕生产基地主体工程及光伏 电站转固定资产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52"/>
        <w:gridCol w:w="1207"/>
        <w:gridCol w:w="1051"/>
        <w:gridCol w:w="810"/>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133,394,904.0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11.48%</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60,000,000.00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5.80%</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5.68%</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长期投资增加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8"/>
        <w:gridCol w:w="1195"/>
        <w:gridCol w:w="1196"/>
        <w:gridCol w:w="1194"/>
        <w:gridCol w:w="1198"/>
        <w:gridCol w:w="1196"/>
        <w:gridCol w:w="1194"/>
        <w:gridCol w:w="1184"/>
      </w:tblGrid>
      <w:tr>
        <w:trPr>
          <w:trHeight w:val="403"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本期公允价值</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计入权益的累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4" w:right="0"/>
              <w:jc w:val="left"/>
              <w:rPr>
                <w:rFonts w:ascii="宋体" w:hAnsi="宋体" w:cs="宋体" w:eastAsia="宋体" w:hint="default"/>
                <w:sz w:val="18"/>
                <w:szCs w:val="18"/>
              </w:rPr>
            </w:pPr>
            <w:r>
              <w:rPr>
                <w:rFonts w:ascii="宋体" w:hAnsi="宋体" w:cs="宋体" w:eastAsia="宋体" w:hint="default"/>
                <w:sz w:val="18"/>
                <w:szCs w:val="18"/>
              </w:rPr>
              <w:t>本期计提的减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76"/>
        <w:gridCol w:w="1207"/>
        <w:gridCol w:w="1202"/>
        <w:gridCol w:w="1183"/>
        <w:gridCol w:w="1204"/>
        <w:gridCol w:w="1197"/>
        <w:gridCol w:w="1194"/>
        <w:gridCol w:w="1195"/>
      </w:tblGrid>
      <w:tr>
        <w:trPr>
          <w:trHeight w:val="358"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496" w:right="45" w:hanging="451"/>
              <w:jc w:val="left"/>
              <w:rPr>
                <w:rFonts w:ascii="宋体" w:hAnsi="宋体" w:cs="宋体" w:eastAsia="宋体" w:hint="default"/>
                <w:sz w:val="18"/>
                <w:szCs w:val="18"/>
              </w:rPr>
            </w:pPr>
            <w:r>
              <w:rPr>
                <w:rFonts w:ascii="宋体" w:hAnsi="宋体" w:cs="宋体" w:eastAsia="宋体" w:hint="default"/>
                <w:sz w:val="18"/>
                <w:szCs w:val="18"/>
              </w:rPr>
              <w:t>计公允价值变 动</w:t>
            </w: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1,484,421.88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2,170,373.83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3,654,795.71</w:t>
            </w:r>
          </w:p>
        </w:tc>
      </w:tr>
      <w:tr>
        <w:trPr>
          <w:trHeight w:val="71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9,125,860.00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12,125,860.00</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4,484,421.88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2,170,373.83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9,125,860.00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15,780,655.71</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4,484,421.88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2,170,373.83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9,125,860.00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15,780,655.71</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jc w:val="left"/>
      </w:pPr>
      <w:r>
        <w:rPr>
          <w:rFonts w:ascii="Times New Roman" w:hAnsi="Times New Roman" w:cs="Times New Roman" w:eastAsia="Times New Roman" w:hint="default"/>
        </w:rPr>
        <w:t>1</w:t>
      </w:r>
      <w:r>
        <w:rPr/>
        <w:t>、研发和技术优势 </w:t>
      </w:r>
      <w:r>
        <w:rPr>
          <w:spacing w:val="-2"/>
        </w:rPr>
        <w:t>公司始终坚持</w:t>
      </w:r>
      <w:r>
        <w:rPr>
          <w:rFonts w:ascii="Times New Roman" w:hAnsi="Times New Roman" w:cs="Times New Roman" w:eastAsia="Times New Roman" w:hint="default"/>
          <w:spacing w:val="-2"/>
        </w:rPr>
        <w:t>“</w:t>
      </w:r>
      <w:r>
        <w:rPr>
          <w:spacing w:val="-2"/>
        </w:rPr>
        <w:t>卓越设计、稳定可靠；持续改进，客户满意</w:t>
      </w:r>
      <w:r>
        <w:rPr>
          <w:rFonts w:ascii="Times New Roman" w:hAnsi="Times New Roman" w:cs="Times New Roman" w:eastAsia="Times New Roman" w:hint="default"/>
          <w:spacing w:val="-2"/>
        </w:rPr>
        <w:t>”</w:t>
      </w:r>
      <w:r>
        <w:rPr>
          <w:spacing w:val="-2"/>
        </w:rPr>
        <w:t>的质量方针。在</w:t>
      </w:r>
      <w:r>
        <w:rPr>
          <w:rFonts w:ascii="Times New Roman" w:hAnsi="Times New Roman" w:cs="Times New Roman" w:eastAsia="Times New Roman" w:hint="default"/>
          <w:spacing w:val="-2"/>
        </w:rPr>
        <w:t>2014</w:t>
      </w:r>
      <w:r>
        <w:rPr>
          <w:spacing w:val="-2"/>
        </w:rPr>
        <w:t>年成功开发第六代驱动电源产品，该系</w:t>
      </w:r>
    </w:p>
    <w:p>
      <w:pPr>
        <w:pStyle w:val="BodyText"/>
        <w:spacing w:line="230" w:lineRule="exact"/>
        <w:ind w:right="0"/>
        <w:jc w:val="left"/>
      </w:pPr>
      <w:r>
        <w:rPr/>
        <w:t>列产品创新地将限功率恒流、</w:t>
      </w:r>
      <w:r>
        <w:rPr>
          <w:rFonts w:ascii="Times New Roman" w:hAnsi="Times New Roman" w:cs="Times New Roman" w:eastAsia="Times New Roman" w:hint="default"/>
        </w:rPr>
        <w:t>0-10V/PWM</w:t>
      </w:r>
      <w:r>
        <w:rPr/>
        <w:t>调光、时间控制等功能集成在一起，满足严苛工作环境；输出具有宽负载适应性，</w:t>
      </w:r>
    </w:p>
    <w:p>
      <w:pPr>
        <w:pStyle w:val="BodyText"/>
        <w:spacing w:line="319" w:lineRule="auto" w:before="63"/>
        <w:ind w:right="0"/>
        <w:jc w:val="left"/>
      </w:pPr>
      <w:r>
        <w:rPr>
          <w:spacing w:val="-4"/>
        </w:rPr>
        <w:t>能够通过配套的软件自定义输出规格；宽负载适应性及调光兼容性使得产品易于标准化，方便集中采购、生产和库存管理等。</w:t>
      </w:r>
      <w:r>
        <w:rPr>
          <w:spacing w:val="-44"/>
        </w:rPr>
        <w:t> </w:t>
      </w:r>
      <w:r>
        <w:rPr>
          <w:spacing w:val="-44"/>
        </w:rPr>
      </w:r>
      <w:r>
        <w:rPr/>
        <w:t>节能是最重要的特性之一，为将其性能发挥至极致，提出了</w:t>
      </w:r>
      <w:r>
        <w:rPr>
          <w:rFonts w:ascii="Times New Roman" w:hAnsi="Times New Roman" w:cs="Times New Roman" w:eastAsia="Times New Roman" w:hint="default"/>
        </w:rPr>
        <w:t>“</w:t>
      </w:r>
      <w:r>
        <w:rPr/>
        <w:t>二次节能</w:t>
      </w:r>
      <w:r>
        <w:rPr>
          <w:rFonts w:ascii="Times New Roman" w:hAnsi="Times New Roman" w:cs="Times New Roman" w:eastAsia="Times New Roman" w:hint="default"/>
        </w:rPr>
        <w:t>”</w:t>
      </w:r>
      <w:r>
        <w:rPr/>
        <w:t>的概念，开发出一系列的智能电源。</w:t>
      </w:r>
    </w:p>
    <w:p>
      <w:pPr>
        <w:pStyle w:val="BodyText"/>
        <w:spacing w:line="338" w:lineRule="auto" w:before="37"/>
        <w:ind w:left="514" w:right="0"/>
        <w:jc w:val="left"/>
      </w:pPr>
      <w:r>
        <w:rPr>
          <w:rFonts w:ascii="Times New Roman" w:hAnsi="Times New Roman" w:cs="Times New Roman" w:eastAsia="Times New Roman" w:hint="default"/>
        </w:rPr>
        <w:t>2</w:t>
      </w:r>
      <w:r>
        <w:rPr/>
        <w:t>、市场先发和品牌优势 </w:t>
      </w:r>
      <w:r>
        <w:rPr>
          <w:spacing w:val="-2"/>
        </w:rPr>
        <w:t>公司先发优势明显，早在产业发展的初期，公司就已充分认识到广阔的市场空间，随着产业的快速发展，公司产品开发</w:t>
      </w:r>
    </w:p>
    <w:p>
      <w:pPr>
        <w:pStyle w:val="BodyText"/>
        <w:spacing w:line="357" w:lineRule="auto" w:before="4"/>
        <w:ind w:left="513" w:right="0" w:hanging="360"/>
        <w:jc w:val="left"/>
      </w:pPr>
      <w:r>
        <w:rPr/>
        <w:t>能力的增强，市场的不断开拓和品牌的不断提升，公司已建立了与战略合作伙伴建立长期稳定的关系。 </w:t>
      </w:r>
      <w:r>
        <w:rPr>
          <w:spacing w:val="-4"/>
        </w:rPr>
        <w:t>公司一直把建立和完善企业的品牌形象作为长期发展战略的重要组成部分紧紧围绕品牌定位、品牌差异化、品牌可持续、</w:t>
      </w:r>
    </w:p>
    <w:p>
      <w:pPr>
        <w:pStyle w:val="BodyText"/>
        <w:spacing w:line="224" w:lineRule="exact"/>
        <w:ind w:left="153" w:right="0"/>
        <w:jc w:val="left"/>
      </w:pPr>
      <w:r>
        <w:rPr/>
        <w:t>品牌文化等四大方面，整合内外资源，结合国内外市场分析，加大对公司、产品、客户等多元化宣传的力度，形成了有效、</w:t>
      </w:r>
    </w:p>
    <w:p>
      <w:pPr>
        <w:pStyle w:val="BodyText"/>
        <w:spacing w:line="240" w:lineRule="auto" w:before="77"/>
        <w:ind w:left="153" w:right="0"/>
        <w:jc w:val="left"/>
      </w:pPr>
      <w:r>
        <w:rPr/>
        <w:t>可区隔的品牌壁垒，经过多年的经营发展后，得到市场和客户的认可。</w:t>
      </w:r>
    </w:p>
    <w:p>
      <w:pPr>
        <w:pStyle w:val="BodyText"/>
        <w:spacing w:line="338" w:lineRule="auto" w:before="116"/>
        <w:ind w:left="444" w:right="0" w:firstLine="69"/>
        <w:jc w:val="left"/>
      </w:pPr>
      <w:r>
        <w:rPr>
          <w:rFonts w:ascii="Times New Roman" w:hAnsi="Times New Roman" w:cs="Times New Roman" w:eastAsia="Times New Roman" w:hint="default"/>
        </w:rPr>
        <w:t>3</w:t>
      </w:r>
      <w:r>
        <w:rPr/>
        <w:t>、管理竞争优势 </w:t>
      </w:r>
      <w:r>
        <w:rPr>
          <w:spacing w:val="-1"/>
        </w:rPr>
        <w:t>公司从上市以来，经过多年的精益生产管理提升，公司内部已经建成标准化流程网络平台和生产质量控制体系，运行效</w:t>
      </w:r>
    </w:p>
    <w:p>
      <w:pPr>
        <w:pStyle w:val="BodyText"/>
        <w:spacing w:line="319" w:lineRule="auto" w:before="2"/>
        <w:ind w:right="0"/>
        <w:jc w:val="left"/>
      </w:pPr>
      <w:r>
        <w:rPr>
          <w:spacing w:val="-2"/>
        </w:rPr>
        <w:t>率逐年提升；并持续改善公司在生产、管理、营销方面的薄弱环节，全面提升核心竞争力，为公司做强做大提供强有力的支</w:t>
      </w:r>
      <w:r>
        <w:rPr>
          <w:spacing w:val="-66"/>
        </w:rPr>
        <w:t> </w:t>
      </w:r>
      <w:r>
        <w:rPr>
          <w:spacing w:val="-66"/>
        </w:rPr>
      </w:r>
      <w:r>
        <w:rPr/>
        <w:t>持和机制保障。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7"/>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760010pt;margin-top:549.820007pt;width:201.2pt;height:31.2pt;mso-position-horizontal-relative:page;mso-position-vertical-relative:page;z-index:-1048336" type="#_x0000_t202" filled="false" stroked="false">
            <v:textbox inset="0,0,0,0">
              <w:txbxContent>
                <w:p>
                  <w:pPr>
                    <w:pStyle w:val="BodyText"/>
                    <w:spacing w:line="240" w:lineRule="auto" w:before="51"/>
                    <w:ind w:left="0" w:right="0"/>
                    <w:jc w:val="left"/>
                  </w:pPr>
                  <w:r>
                    <w:rPr/>
                    <w:t>伏逆变器，</w:t>
                  </w:r>
                </w:p>
              </w:txbxContent>
            </v:textbox>
            <w10:wrap type="none"/>
          </v:shape>
        </w:pict>
      </w:r>
      <w:r>
        <w:rPr/>
        <w:pict>
          <v:shape style="position:absolute;margin-left:279.737pt;margin-top:632.320007pt;width:255.25pt;height:53.65pt;mso-position-horizontal-relative:page;mso-position-vertical-relative:page;z-index:-1048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智能电力电子变换装置、</w:t>
                  </w:r>
                </w:p>
              </w:txbxContent>
            </v:textbox>
            <w10:wrap type="none"/>
          </v:shape>
        </w:pict>
      </w:r>
      <w:r>
        <w:rPr/>
        <w:pict>
          <v:shape style="position:absolute;margin-left:279.737pt;margin-top:705.539978pt;width:255.25pt;height:53.65pt;mso-position-horizontal-relative:page;mso-position-vertical-relative:page;z-index:-1048288" type="#_x0000_t202" filled="false" stroked="false">
            <v:textbox inset="0,0,0,0">
              <w:txbxContent>
                <w:p>
                  <w:pPr>
                    <w:pStyle w:val="BodyText"/>
                    <w:spacing w:line="240" w:lineRule="auto" w:before="147"/>
                    <w:ind w:left="0" w:right="0" w:firstLine="718"/>
                    <w:jc w:val="left"/>
                  </w:pPr>
                  <w:r>
                    <w:rPr/>
                    <w:t>许可经营项目：</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智能电力电子变换装置、</w:t>
                  </w:r>
                </w:p>
              </w:txbxContent>
            </v:textbox>
            <w10:wrap type="none"/>
          </v:shape>
        </w:pict>
      </w:r>
      <w:r>
        <w:rPr/>
        <w:pict>
          <v:group style="position:absolute;margin-left:375.880005pt;margin-top:705.539978pt;width:159.1pt;height:53.65pt;mso-position-horizontal-relative:page;mso-position-vertical-relative:page;z-index:-1048264" coordorigin="7518,14111" coordsize="3182,1073">
            <v:shape style="position:absolute;left:7518;top:14111;width:3182;height:1073" coordorigin="7518,14111" coordsize="3182,1073" path="m7518,15184l10699,15184,10699,14111,7518,14111,7518,151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97,979,500.00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64,552,200.00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一般经营项目：工业控制设备、工业自 动化软件、高性能变频器、太阳能光伏 逆变器的技术开发与销售，电子电力器 材的销售，国内贸易，经营进出口业务</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（法律、行政法规、国务院决定禁止的 项目除外，限制的项目须取得许可后方 </w:t>
            </w:r>
            <w:r>
              <w:rPr>
                <w:rFonts w:ascii="宋体" w:hAnsi="宋体" w:cs="宋体" w:eastAsia="宋体" w:hint="default"/>
                <w:spacing w:val="-18"/>
                <w:sz w:val="18"/>
                <w:szCs w:val="18"/>
              </w:rPr>
              <w:t>可经营）。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67.80%</w:t>
            </w:r>
          </w:p>
        </w:tc>
      </w:tr>
      <w:tr>
        <w:trPr>
          <w:trHeight w:val="28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一般经营项目：投资管理（不含限制项 </w:t>
            </w:r>
            <w:r>
              <w:rPr>
                <w:rFonts w:ascii="宋体" w:hAnsi="宋体" w:cs="宋体" w:eastAsia="宋体" w:hint="default"/>
                <w:spacing w:val="-10"/>
                <w:sz w:val="18"/>
                <w:szCs w:val="18"/>
              </w:rPr>
              <w:t>目）；投资咨询（不含限制项目）；投资</w:t>
            </w:r>
            <w:r>
              <w:rPr>
                <w:rFonts w:ascii="宋体" w:hAnsi="宋体" w:cs="宋体" w:eastAsia="宋体" w:hint="default"/>
                <w:sz w:val="18"/>
                <w:szCs w:val="18"/>
              </w:rPr>
              <w:t> </w:t>
            </w:r>
            <w:r>
              <w:rPr>
                <w:rFonts w:ascii="宋体" w:hAnsi="宋体" w:cs="宋体" w:eastAsia="宋体" w:hint="default"/>
                <w:spacing w:val="-15"/>
                <w:sz w:val="18"/>
                <w:szCs w:val="18"/>
              </w:rPr>
              <w:t>顾问（不含限制项目）；投资兴办实业（具</w:t>
            </w:r>
            <w:r>
              <w:rPr>
                <w:rFonts w:ascii="宋体" w:hAnsi="宋体" w:cs="宋体" w:eastAsia="宋体" w:hint="default"/>
                <w:sz w:val="18"/>
                <w:szCs w:val="18"/>
              </w:rPr>
              <w:t> </w:t>
            </w:r>
            <w:r>
              <w:rPr>
                <w:rFonts w:ascii="宋体" w:hAnsi="宋体" w:cs="宋体" w:eastAsia="宋体" w:hint="default"/>
                <w:spacing w:val="-6"/>
                <w:sz w:val="18"/>
                <w:szCs w:val="18"/>
              </w:rPr>
              <w:t>体项目另行申报）；创业投资业务；受托</w:t>
            </w:r>
            <w:r>
              <w:rPr>
                <w:rFonts w:ascii="宋体" w:hAnsi="宋体" w:cs="宋体" w:eastAsia="宋体" w:hint="default"/>
                <w:sz w:val="18"/>
                <w:szCs w:val="18"/>
              </w:rPr>
              <w:t> 管理创业投资企业等机构或个人的创业 投资业务；创业投资咨询业务；为创业 企业提供创业管理服务业务；参与设立 创业投资企业与创业投资管理顾问；股 权投资；受托管理股权投资基金。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太阳能电站信息咨询、工程施工及实业 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70.60%</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国利英核</w:t>
            </w:r>
            <w:r>
              <w:rPr>
                <w:rFonts w:ascii="Times New Roman" w:hAnsi="Times New Roman" w:cs="Times New Roman" w:eastAsia="Times New Roman" w:hint="default"/>
                <w:sz w:val="18"/>
                <w:szCs w:val="18"/>
              </w:rPr>
              <w:t>(</w:t>
            </w:r>
            <w:r>
              <w:rPr>
                <w:rFonts w:ascii="宋体" w:hAnsi="宋体" w:cs="宋体" w:eastAsia="宋体" w:hint="default"/>
                <w:sz w:val="18"/>
                <w:szCs w:val="18"/>
              </w:rPr>
              <w:t>浙江</w:t>
            </w:r>
            <w:r>
              <w:rPr>
                <w:rFonts w:ascii="Times New Roman" w:hAnsi="Times New Roman" w:cs="Times New Roman" w:eastAsia="Times New Roman" w:hint="default"/>
                <w:sz w:val="18"/>
                <w:szCs w:val="18"/>
              </w:rPr>
              <w:t>)</w:t>
            </w:r>
            <w:r>
              <w:rPr>
                <w:rFonts w:ascii="宋体" w:hAnsi="宋体" w:cs="宋体" w:eastAsia="宋体" w:hint="default"/>
                <w:sz w:val="18"/>
                <w:szCs w:val="18"/>
              </w:rPr>
              <w:t>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服务：新能源技术开发、技术咨询、技 术服务、成果转让，节能技术的研发， 市场营销策划，实业投资，建筑工程的 设计、施工；批发、零售；节能产品、 光伏设备及材料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pacing w:val="-5"/>
                <w:sz w:val="18"/>
                <w:szCs w:val="18"/>
              </w:rPr>
              <w:t>智能驱动电源，太阳能光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大功率变频电源，大功率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电源， </w:t>
            </w:r>
            <w:r>
              <w:rPr>
                <w:rFonts w:ascii="Times New Roman" w:hAnsi="Times New Roman" w:cs="Times New Roman" w:eastAsia="Times New Roman" w:hint="default"/>
                <w:sz w:val="18"/>
                <w:szCs w:val="18"/>
              </w:rPr>
              <w:t>DC/DC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高效、高密度模块电源，医疗电 源，通信电源，开关电源，新能源汽车 智能充电桩的销售。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159.1pt;height:31.2pt;mso-position-horizontal-relative:char;mso-position-vertical-relative:line" coordorigin="0,0" coordsize="3182,624">
                  <v:group style="position:absolute;left:0;top:0;width:3182;height:624" coordorigin="0,0" coordsize="3182,624">
                    <v:shape style="position:absolute;left:0;top:0;width:3182;height:624" coordorigin="0,0" coordsize="3182,624" path="m0,624l3182,624,31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r>
      <w:tr>
        <w:trPr>
          <w:trHeight w:val="254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新能源汽车智能充电桩及充电柜、有线 及无线充电机、 智能监控与网络管理及装置、电气控制 设备的研发和销售；计算机及其周边设 备、软件产品的研发、销售及相关配套 业务；经营进出口业务。 新能源汽车智能充电桩及充电柜、有线 及无线充电机、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10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159.1pt;height:53.65pt;mso-position-horizontal-relative:char;mso-position-vertical-relative:line" coordorigin="0,0" coordsize="3182,1073">
                  <v:group style="position:absolute;left:0;top:0;width:3182;height:1073" coordorigin="0,0" coordsize="3182,1073">
                    <v:shape style="position:absolute;left:0;top:0;width:3182;height:1073" coordorigin="0,0" coordsize="3182,1073" path="m0,1073l3182,1073,3182,0,0,0,0,1073xe" filled="true" fillcolor="#ffffff" stroked="false">
                      <v:path arrowok="t"/>
                      <v:fill type="solid"/>
                    </v:shape>
                  </v:group>
                </v:group>
              </w:pict>
            </w:r>
            <w:r>
              <w:rPr>
                <w:rFonts w:ascii="Times New Roman" w:hAnsi="Times New Roman" w:cs="Times New Roman" w:eastAsia="Times New Roman" w:hint="default"/>
                <w:position w:val="-20"/>
                <w:sz w:val="20"/>
                <w:szCs w:val="20"/>
              </w:rPr>
            </w:r>
          </w:p>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739990pt;margin-top:106.199982pt;width:237.25pt;height:31.2pt;mso-position-horizontal-relative:page;mso-position-vertical-relative:page;z-index:-1048240" type="#_x0000_t202" filled="false" stroked="false">
            <v:textbox inset="0,0,0,0">
              <w:txbxContent>
                <w:p>
                  <w:pPr>
                    <w:pStyle w:val="BodyText"/>
                    <w:spacing w:line="240" w:lineRule="auto" w:before="51"/>
                    <w:ind w:left="0" w:right="0"/>
                    <w:jc w:val="left"/>
                  </w:pPr>
                  <w:r>
                    <w:rPr/>
                    <w:t>太阳能光伏逆变器，</w:t>
                  </w:r>
                </w:p>
              </w:txbxContent>
            </v:textbox>
            <w10:wrap type="none"/>
          </v:shape>
        </w:pict>
      </w:r>
      <w:r>
        <w:rPr/>
        <w:pict>
          <v:group style="position:absolute;margin-left:375.880005pt;margin-top:106.199982pt;width:159.1pt;height:31.2pt;mso-position-horizontal-relative:page;mso-position-vertical-relative:page;z-index:-1048216" coordorigin="7518,2124" coordsize="3182,624">
            <v:shape style="position:absolute;left:7518;top:2124;width:3182;height:624" coordorigin="7518,2124" coordsize="3182,624" path="m7518,2748l10699,2748,10699,2124,7518,2124,7518,27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1336"/>
        <w:gridCol w:w="1856"/>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智能监控与网络管理及装置、电气控制 设备的生产。</w:t>
            </w:r>
          </w:p>
        </w:tc>
        <w:tc>
          <w:tcPr>
            <w:tcW w:w="3191"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智能驱动电源，</w:t>
            </w:r>
            <w:r>
              <w:rPr>
                <w:rFonts w:ascii="宋体" w:hAnsi="宋体" w:cs="宋体" w:eastAsia="宋体" w:hint="default"/>
                <w:w w:val="99"/>
                <w:sz w:val="18"/>
                <w:szCs w:val="18"/>
              </w:rPr>
              <w:t> </w:t>
            </w:r>
            <w:r>
              <w:rPr>
                <w:rFonts w:ascii="宋体" w:hAnsi="宋体" w:cs="宋体" w:eastAsia="宋体" w:hint="default"/>
                <w:sz w:val="18"/>
                <w:szCs w:val="18"/>
              </w:rPr>
              <w:t>大功率变频电源，大功率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电源，高 效、高密度模块电源，医疗电源，通信 电源，开光电源，新能源汽车智能充电 桩的销售。</w:t>
            </w:r>
          </w:p>
        </w:tc>
        <w:tc>
          <w:tcPr>
            <w:tcW w:w="1336" w:type="dxa"/>
            <w:tcBorders>
              <w:top w:val="single" w:sz="4" w:space="0" w:color="000000"/>
              <w:left w:val="single" w:sz="4" w:space="0" w:color="000000"/>
              <w:bottom w:val="single" w:sz="4" w:space="0" w:color="000000"/>
              <w:right w:val="nil" w:sz="6" w:space="0" w:color="auto"/>
            </w:tcBorders>
          </w:tcPr>
          <w:p>
            <w:pPr/>
          </w:p>
        </w:tc>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r>
      <w:tr>
        <w:trPr>
          <w:trHeight w:val="35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深圳连硕自动化科技有限公司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一般经营项目：精密仪器及周边产品的 技术开发、销售，自动化系统解决方案 的研发与技术咨询，智能控制系统及远 程控制系统软件开发与销售，智能电网 的技术开发、销售及技术咨询，投资兴 </w:t>
            </w:r>
            <w:r>
              <w:rPr>
                <w:rFonts w:ascii="宋体" w:hAnsi="宋体" w:cs="宋体" w:eastAsia="宋体" w:hint="default"/>
                <w:spacing w:val="-6"/>
                <w:sz w:val="18"/>
                <w:szCs w:val="18"/>
              </w:rPr>
              <w:t>办实业（具体项目另行申报）；软件开发</w:t>
            </w:r>
            <w:r>
              <w:rPr>
                <w:rFonts w:ascii="宋体" w:hAnsi="宋体" w:cs="宋体" w:eastAsia="宋体" w:hint="default"/>
                <w:sz w:val="18"/>
                <w:szCs w:val="18"/>
              </w:rPr>
              <w:t> 及销售；机器人的研发与销售；机器人 控制软件的研发与销售；机器设备的租 </w:t>
            </w:r>
            <w:r>
              <w:rPr>
                <w:rFonts w:ascii="宋体" w:hAnsi="宋体" w:cs="宋体" w:eastAsia="宋体" w:hint="default"/>
                <w:spacing w:val="-6"/>
                <w:sz w:val="18"/>
                <w:szCs w:val="18"/>
              </w:rPr>
              <w:t>赁；国内贸易；货物及技术进出口。（法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律、行政法规、国务院决定规定在登记 前须批准的项目除外）</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河南茂鑫能源科技有限公司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节能技术服务，清洁能源技术服务，智 能化控制系统设计，节能工程设计与施 工（凭有效资质证经营）</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光伏及储能逆变器的销售；元器件及产 品的进出口业务；软件开发；技术咨询 及服务</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052"/>
        <w:jc w:val="left"/>
      </w:pPr>
      <w:r>
        <w:rPr/>
        <w:t>□ 适用 √ 不适用 公司报告期未持有金融企业股权。</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公司报告期不存在证券投资。</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公司报告期未持有其他上市公司股权。</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江南农村 商业银行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悦富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Y1301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255.22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 珠海分行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 珠海分行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24.44</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19.93</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平安银行 深圳高新 北支行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滚动型保 本人民币 公司理财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37.92</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平安银行 深圳高新 北支行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滚动型保 本人民币 公司理财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平安银行 深圳高新 北支行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滚动型保 本人民币 公司理财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71.01</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高新区支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固定年化 收益率 </w:t>
            </w:r>
            <w:r>
              <w:rPr>
                <w:rFonts w:ascii="Times New Roman" w:hAnsi="Times New Roman" w:cs="Times New Roman" w:eastAsia="Times New Roman" w:hint="default"/>
                <w:sz w:val="18"/>
                <w:szCs w:val="18"/>
              </w:rPr>
              <w:t>2.5%+</w:t>
            </w:r>
            <w:r>
              <w:rPr>
                <w:rFonts w:ascii="宋体" w:hAnsi="宋体" w:cs="宋体" w:eastAsia="宋体" w:hint="default"/>
                <w:sz w:val="18"/>
                <w:szCs w:val="18"/>
              </w:rPr>
              <w:t>浮</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兴业银行 股份有限 公司深圳 高新区支 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固定年化 收益率 </w:t>
            </w:r>
            <w:r>
              <w:rPr>
                <w:rFonts w:ascii="Times New Roman" w:hAnsi="Times New Roman" w:cs="Times New Roman" w:eastAsia="Times New Roman" w:hint="default"/>
                <w:sz w:val="18"/>
                <w:szCs w:val="18"/>
              </w:rPr>
              <w:t>2.7%+</w:t>
            </w:r>
            <w:r>
              <w:rPr>
                <w:rFonts w:ascii="宋体" w:hAnsi="宋体" w:cs="宋体" w:eastAsia="宋体" w:hint="default"/>
                <w:sz w:val="18"/>
                <w:szCs w:val="18"/>
              </w:rPr>
              <w:t>浮</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54,800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475.31</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超募资金和暂时闲置募集资金。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FFFFFF"/>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232"/>
        <w:jc w:val="left"/>
      </w:pPr>
      <w:r>
        <w:rPr/>
        <w:t>□ 适用 √ 不适用 公司报告期不存在衍生品投资。</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53"/>
        <w:gridCol w:w="881"/>
        <w:gridCol w:w="881"/>
        <w:gridCol w:w="882"/>
        <w:gridCol w:w="1437"/>
        <w:gridCol w:w="1435"/>
      </w:tblGrid>
      <w:tr>
        <w:trPr>
          <w:trHeight w:val="714" w:hRule="exact"/>
        </w:trPr>
        <w:tc>
          <w:tcPr>
            <w:tcW w:w="4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5" w:right="73" w:hanging="270"/>
              <w:jc w:val="left"/>
              <w:rPr>
                <w:rFonts w:ascii="宋体" w:hAnsi="宋体" w:cs="宋体" w:eastAsia="宋体" w:hint="default"/>
                <w:sz w:val="18"/>
                <w:szCs w:val="18"/>
              </w:rPr>
            </w:pPr>
            <w:r>
              <w:rPr>
                <w:rFonts w:ascii="宋体" w:hAnsi="宋体" w:cs="宋体" w:eastAsia="宋体" w:hint="default"/>
                <w:sz w:val="18"/>
                <w:szCs w:val="18"/>
              </w:rPr>
              <w:t>是否关联 方</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2" w:right="80" w:hanging="540"/>
              <w:jc w:val="left"/>
              <w:rPr>
                <w:rFonts w:ascii="宋体" w:hAnsi="宋体" w:cs="宋体" w:eastAsia="宋体" w:hint="default"/>
                <w:sz w:val="18"/>
                <w:szCs w:val="18"/>
              </w:rPr>
            </w:pPr>
            <w:r>
              <w:rPr>
                <w:rFonts w:ascii="宋体" w:hAnsi="宋体" w:cs="宋体" w:eastAsia="宋体" w:hint="default"/>
                <w:sz w:val="18"/>
                <w:szCs w:val="18"/>
              </w:rPr>
              <w:t>贷款对象资金用 途</w:t>
            </w:r>
          </w:p>
        </w:tc>
      </w:tr>
      <w:tr>
        <w:trPr>
          <w:trHeight w:val="102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海宁市诺耶科华 太阳能电力工程 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海宁光伏发电建 设</w:t>
            </w:r>
          </w:p>
        </w:tc>
      </w:tr>
      <w:tr>
        <w:trPr>
          <w:trHeight w:val="102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海宁市诺耶科华 太阳能电力工程 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海宁光伏发电建 设</w:t>
            </w:r>
          </w:p>
        </w:tc>
      </w:tr>
      <w:tr>
        <w:trPr>
          <w:trHeight w:val="402" w:hRule="exact"/>
        </w:trPr>
        <w:tc>
          <w:tcPr>
            <w:tcW w:w="4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55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5516" w:type="dxa"/>
            <w:gridSpan w:val="5"/>
            <w:tcBorders>
              <w:top w:val="single" w:sz="4" w:space="0" w:color="000000"/>
              <w:left w:val="single" w:sz="13"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41,418.55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11,481.68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23,002.28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194"/>
        <w:gridCol w:w="578"/>
        <w:gridCol w:w="780"/>
        <w:gridCol w:w="776"/>
        <w:gridCol w:w="781"/>
        <w:gridCol w:w="782"/>
        <w:gridCol w:w="785"/>
        <w:gridCol w:w="774"/>
        <w:gridCol w:w="790"/>
        <w:gridCol w:w="778"/>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11,300.89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22,213.92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92.25%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-634.16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288.11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17.38%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 设项目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162.35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31.66%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11,481.68</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23,002.28</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-634.16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5,000</w:t>
            </w:r>
          </w:p>
        </w:tc>
        <w:tc>
          <w:tcPr>
            <w:tcW w:w="7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8,112.96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8,112.96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4,112.96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8,112.96</w:t>
            </w:r>
          </w:p>
        </w:tc>
        <w:tc>
          <w:tcPr>
            <w:tcW w:w="7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13,112.96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4,112.96</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13,112.96</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40,429.96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15,594.64</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36,115.24</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-634.16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67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、惠州茂硕能源科技有限公司研发中心建设项目：因工厂刚落成投产，研发中心正在建设，预计</w:t>
            </w:r>
          </w:p>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、惠州茂硕能源科技有限公司信息化系统建设项目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、生产在逐步搬迁中，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tabs>
                <w:tab w:pos="1552" w:val="left" w:leader="none"/>
              </w:tabs>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许多项目未开展</w:t>
              <w:tab/>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、已实施项目未完工，分期付款部分款项未支付</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超额募集资金部分为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14,101.55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和归还银行贷款</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万元和购买理财产品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4,112.96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万元永久性补充流动资金，余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1,562.27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万元存放于募集资金专户中。</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、惠州茂硕能源科技有限公司电源驱动生产项目：截至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日，公司以自筹资金预先投</w:t>
            </w:r>
          </w:p>
          <w:p>
            <w:pPr>
              <w:pStyle w:val="TableParagraph"/>
              <w:spacing w:line="300" w:lineRule="auto" w:before="61"/>
              <w:ind w:left="22" w:right="21"/>
              <w:jc w:val="both"/>
              <w:rPr>
                <w:rFonts w:ascii="宋体" w:hAnsi="宋体" w:cs="宋体" w:eastAsia="宋体" w:hint="default"/>
                <w:sz w:val="18"/>
                <w:szCs w:val="18"/>
              </w:rPr>
            </w:pPr>
            <w:r>
              <w:rPr>
                <w:rFonts w:ascii="宋体" w:hAnsi="宋体" w:cs="宋体" w:eastAsia="宋体" w:hint="default"/>
                <w:sz w:val="18"/>
                <w:szCs w:val="18"/>
              </w:rPr>
              <w:t>入募集资金投资项目的实际投资额为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万元，经深圳市鹏城会计师事务所有限公司“深鹏所股 专字</w:t>
            </w:r>
            <w:r>
              <w:rPr>
                <w:rFonts w:ascii="Times New Roman" w:hAnsi="Times New Roman" w:cs="Times New Roman" w:eastAsia="Times New Roman" w:hint="default"/>
                <w:sz w:val="18"/>
                <w:szCs w:val="18"/>
              </w:rPr>
              <w:t>[20120478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”专项鉴证报告确认。经公司董事会审议通过，保荐机构发表明确同意意见后， 公司以募集资金置换预先已投入募集资金投资项目的自筹资金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w:t>
            </w:r>
          </w:p>
          <w:p>
            <w:pPr>
              <w:pStyle w:val="TableParagraph"/>
              <w:spacing w:line="307" w:lineRule="auto" w:before="13"/>
              <w:ind w:left="22" w:right="1"/>
              <w:jc w:val="both"/>
              <w:rPr>
                <w:rFonts w:ascii="宋体" w:hAnsi="宋体" w:cs="宋体" w:eastAsia="宋体" w:hint="default"/>
                <w:sz w:val="18"/>
                <w:szCs w:val="18"/>
              </w:rPr>
            </w:pPr>
            <w:r>
              <w:rPr>
                <w:rFonts w:ascii="宋体" w:hAnsi="宋体" w:cs="宋体" w:eastAsia="宋体" w:hint="default"/>
                <w:sz w:val="18"/>
                <w:szCs w:val="18"/>
              </w:rPr>
              <w:t>有限公司研发中心建设项目：截至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 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万元，经深圳市鹏城会计师事务所有限公司“深鹏所股专字</w:t>
            </w:r>
            <w:r>
              <w:rPr>
                <w:rFonts w:ascii="Times New Roman" w:hAnsi="Times New Roman" w:cs="Times New Roman" w:eastAsia="Times New Roman" w:hint="default"/>
                <w:sz w:val="18"/>
                <w:szCs w:val="18"/>
              </w:rPr>
              <w:t>[20120478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 专项鉴证报告确认。经公司董事会审议通过，保荐机构发表明确同意意见后，公司以募集资金置换 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万元做结构性存款，其余款项存放于募集资金专户中。</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r>
        <w:rPr/>
        <w:pict>
          <v:shape style="position:absolute;margin-left:224.302994pt;margin-top:632.979980pt;width:71.55pt;height:38.050pt;mso-position-horizontal-relative:page;mso-position-vertical-relative:page;z-index:-1048168" type="#_x0000_t202" filled="false" stroked="false">
            <v:textbox inset="0,0,0,0">
              <w:txbxContent>
                <w:p>
                  <w:pPr>
                    <w:pStyle w:val="BodyText"/>
                    <w:spacing w:line="240" w:lineRule="auto" w:before="51"/>
                    <w:ind w:left="0" w:right="0"/>
                    <w:jc w:val="left"/>
                  </w:pPr>
                  <w:r>
                    <w:rPr/>
                    <w:t>销售：</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8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深圳茂硕新 能源技术研 究院有限公 司（以下简 称“茂硕研 </w:t>
            </w:r>
            <w:r>
              <w:rPr>
                <w:rFonts w:ascii="宋体" w:hAnsi="宋体" w:cs="宋体" w:eastAsia="宋体" w:hint="default"/>
                <w:spacing w:val="-23"/>
                <w:sz w:val="18"/>
                <w:szCs w:val="18"/>
              </w:rPr>
              <w:t>究院”）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提供新能源 和再生能源 的储能系统 解决方案； </w:t>
            </w:r>
            <w:r>
              <w:rPr>
                <w:rFonts w:ascii="Times New Roman" w:hAnsi="Times New Roman" w:cs="Times New Roman" w:eastAsia="Times New Roman" w:hint="default"/>
                <w:sz w:val="18"/>
                <w:szCs w:val="18"/>
              </w:rPr>
              <w:t>DC/DC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 效、高密度 模块电源的 设计；</w:t>
            </w:r>
            <w:r>
              <w:rPr>
                <w:rFonts w:ascii="Times New Roman" w:hAnsi="Times New Roman" w:cs="Times New Roman" w:eastAsia="Times New Roman" w:hint="default"/>
                <w:sz w:val="18"/>
                <w:szCs w:val="18"/>
              </w:rPr>
              <w:t>LED </w:t>
            </w:r>
            <w:r>
              <w:rPr>
                <w:rFonts w:ascii="宋体" w:hAnsi="宋体" w:cs="宋体" w:eastAsia="宋体" w:hint="default"/>
                <w:sz w:val="18"/>
                <w:szCs w:val="18"/>
              </w:rPr>
              <w:t>新一代数字 驱动智能化 电源的设 计；计算机 的辅助设 计、模拟、 仿真系统服 务平台及测 试系统的开 发、销售及 相应的技术 服务（以上 法律、行政 法规、国务 院决定禁止 的项目除 外，限制的 项目须取得 许可后方可 </w:t>
            </w:r>
            <w:r>
              <w:rPr>
                <w:rFonts w:ascii="宋体" w:hAnsi="宋体" w:cs="宋体" w:eastAsia="宋体" w:hint="default"/>
                <w:spacing w:val="-23"/>
                <w:sz w:val="18"/>
                <w:szCs w:val="18"/>
              </w:rPr>
              <w:t>经营）。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1"/>
                <w:sz w:val="18"/>
              </w:rPr>
              <w:t>1,536,569.4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1,453,246.1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1"/>
                <w:sz w:val="18"/>
              </w:rPr>
              <w:t>-1,318,243.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-3,108,099.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r>
      <w:tr>
        <w:trPr>
          <w:trHeight w:val="254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惠州茂硕能 源科技有限 公司（以下 简称“惠州 </w:t>
            </w:r>
            <w:r>
              <w:rPr>
                <w:rFonts w:ascii="宋体" w:hAnsi="宋体" w:cs="宋体" w:eastAsia="宋体" w:hint="default"/>
                <w:spacing w:val="-23"/>
                <w:sz w:val="18"/>
                <w:szCs w:val="18"/>
              </w:rPr>
              <w:t>茂硕”）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生产、 大功率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w:t>
            </w: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电源、隧道 灯电源、汽 车充电器、 光伏并网逆 变器、开关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760"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47.35pt;height:38.050pt;mso-position-horizontal-relative:char;mso-position-vertical-relative:line" coordorigin="0,0" coordsize="947,761">
                  <v:group style="position:absolute;left:0;top:0;width:947;height:761" coordorigin="0,0" coordsize="947,761">
                    <v:shape style="position:absolute;left:0;top:0;width:947;height:761" coordorigin="0,0" coordsize="947,761" path="m0,761l947,761,947,0,0,0,0,761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5"/>
                <w:sz w:val="18"/>
              </w:rPr>
              <w:t>111,111,111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pacing w:val="-3"/>
                <w:sz w:val="18"/>
              </w:rPr>
              <w:t>.11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389,323,011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346,220,151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6,168,373.7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-2,383,784.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2.240005pt;margin-top:72.47998pt;width:53.6pt;height:142.5pt;mso-position-horizontal-relative:page;mso-position-vertical-relative:page;z-index:-1048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group style="position:absolute;margin-left:104.959999pt;margin-top:719.880005pt;width:47.35pt;height:39pt;mso-position-horizontal-relative:page;mso-position-vertical-relative:page;z-index:-1048096" coordorigin="2099,14398" coordsize="947,780">
            <v:shape style="position:absolute;left:2099;top:14398;width:947;height:780" coordorigin="2099,14398" coordsize="947,780" path="m2099,15178l3046,15178,3046,14398,2099,14398,2099,151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2859"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电源、变压 器、电子元 器件、五金 塑胶配件； 物货进出口</w:t>
            </w:r>
          </w:p>
          <w:p>
            <w:pPr>
              <w:pStyle w:val="TableParagraph"/>
              <w:spacing w:line="319" w:lineRule="auto" w:before="17"/>
              <w:ind w:left="22" w:right="23"/>
              <w:jc w:val="both"/>
              <w:rPr>
                <w:rFonts w:ascii="宋体" w:hAnsi="宋体" w:cs="宋体" w:eastAsia="宋体" w:hint="default"/>
                <w:sz w:val="18"/>
                <w:szCs w:val="18"/>
              </w:rPr>
            </w:pPr>
            <w:r>
              <w:rPr>
                <w:rFonts w:ascii="宋体" w:hAnsi="宋体" w:cs="宋体" w:eastAsia="宋体" w:hint="default"/>
                <w:sz w:val="18"/>
                <w:szCs w:val="18"/>
              </w:rPr>
              <w:t>（法律、行 政法规禁止 的、限制的 项目除外）</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47.35pt;height:142.5pt;mso-position-horizontal-relative:char;mso-position-vertical-relative:line" coordorigin="0,0" coordsize="947,2850">
                  <v:group style="position:absolute;left:0;top:0;width:947;height:2850" coordorigin="0,0" coordsize="947,2850">
                    <v:shape style="position:absolute;left:0;top:0;width:947;height:2850" coordorigin="0,0" coordsize="947,2850" path="m0,2849l947,2849,947,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开关电源、 变压器、电 感的设计、 技术开发、 生产和销 售；经营进 出口业务</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（法律、行 政法规、国 务院决定禁 止的项目除 外，限制的 项目须取得 许可后方可 </w:t>
            </w:r>
            <w:r>
              <w:rPr>
                <w:rFonts w:ascii="宋体" w:hAnsi="宋体" w:cs="宋体" w:eastAsia="宋体" w:hint="default"/>
                <w:spacing w:val="-23"/>
                <w:sz w:val="18"/>
                <w:szCs w:val="18"/>
              </w:rPr>
              <w:t>经营）。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176,984,852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44,548,906.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197,634,940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-18,580,468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-15,856,959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茂硕能源科 技（香港） 国际有限公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大功率</w:t>
            </w:r>
          </w:p>
          <w:p>
            <w:pPr>
              <w:pStyle w:val="TableParagraph"/>
              <w:spacing w:line="316" w:lineRule="auto" w:before="7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w:t>
            </w:r>
            <w:r>
              <w:rPr>
                <w:rFonts w:ascii="宋体" w:hAnsi="宋体" w:cs="宋体" w:eastAsia="宋体" w:hint="default"/>
                <w:w w:val="99"/>
                <w:sz w:val="18"/>
                <w:szCs w:val="18"/>
              </w:rPr>
              <w:t> </w:t>
            </w:r>
            <w:r>
              <w:rPr>
                <w:rFonts w:ascii="宋体" w:hAnsi="宋体" w:cs="宋体" w:eastAsia="宋体" w:hint="default"/>
                <w:sz w:val="18"/>
                <w:szCs w:val="18"/>
              </w:rPr>
              <w:t>电源、汽车</w:t>
            </w:r>
            <w:r>
              <w:rPr>
                <w:rFonts w:ascii="宋体" w:hAnsi="宋体" w:cs="宋体" w:eastAsia="宋体" w:hint="default"/>
                <w:w w:val="99"/>
                <w:sz w:val="18"/>
                <w:szCs w:val="18"/>
              </w:rPr>
              <w:t> </w:t>
            </w:r>
            <w:r>
              <w:rPr>
                <w:rFonts w:ascii="宋体" w:hAnsi="宋体" w:cs="宋体" w:eastAsia="宋体" w:hint="default"/>
                <w:sz w:val="18"/>
                <w:szCs w:val="18"/>
              </w:rPr>
              <w:t>充电器、太</w:t>
            </w:r>
            <w:r>
              <w:rPr>
                <w:rFonts w:ascii="宋体" w:hAnsi="宋体" w:cs="宋体" w:eastAsia="宋体" w:hint="default"/>
                <w:w w:val="99"/>
                <w:sz w:val="18"/>
                <w:szCs w:val="18"/>
              </w:rPr>
              <w:t> </w:t>
            </w:r>
            <w:r>
              <w:rPr>
                <w:rFonts w:ascii="宋体" w:hAnsi="宋体" w:cs="宋体" w:eastAsia="宋体" w:hint="default"/>
                <w:sz w:val="18"/>
                <w:szCs w:val="18"/>
              </w:rPr>
              <w:t>阳能逆变</w:t>
            </w:r>
            <w:r>
              <w:rPr>
                <w:rFonts w:ascii="宋体" w:hAnsi="宋体" w:cs="宋体" w:eastAsia="宋体" w:hint="default"/>
                <w:w w:val="99"/>
                <w:sz w:val="18"/>
                <w:szCs w:val="18"/>
              </w:rPr>
              <w:t> </w:t>
            </w:r>
            <w:r>
              <w:rPr>
                <w:rFonts w:ascii="宋体" w:hAnsi="宋体" w:cs="宋体" w:eastAsia="宋体" w:hint="default"/>
                <w:sz w:val="18"/>
                <w:szCs w:val="18"/>
              </w:rPr>
              <w:t>器、开关电</w:t>
            </w:r>
            <w:r>
              <w:rPr>
                <w:rFonts w:ascii="宋体" w:hAnsi="宋体" w:cs="宋体" w:eastAsia="宋体" w:hint="default"/>
                <w:w w:val="99"/>
                <w:sz w:val="18"/>
                <w:szCs w:val="18"/>
              </w:rPr>
              <w:t> </w:t>
            </w:r>
            <w:r>
              <w:rPr>
                <w:rFonts w:ascii="宋体" w:hAnsi="宋体" w:cs="宋体" w:eastAsia="宋体" w:hint="default"/>
                <w:sz w:val="18"/>
                <w:szCs w:val="18"/>
              </w:rPr>
              <w:t>源、变压器</w:t>
            </w:r>
            <w:r>
              <w:rPr>
                <w:rFonts w:ascii="宋体" w:hAnsi="宋体" w:cs="宋体" w:eastAsia="宋体" w:hint="default"/>
                <w:w w:val="99"/>
                <w:sz w:val="18"/>
                <w:szCs w:val="18"/>
              </w:rPr>
              <w:t> </w:t>
            </w:r>
            <w:r>
              <w:rPr>
                <w:rFonts w:ascii="宋体" w:hAnsi="宋体" w:cs="宋体" w:eastAsia="宋体" w:hint="default"/>
                <w:sz w:val="18"/>
                <w:szCs w:val="18"/>
              </w:rPr>
              <w:t>的采购和销</w:t>
            </w:r>
            <w:r>
              <w:rPr>
                <w:rFonts w:ascii="宋体" w:hAnsi="宋体" w:cs="宋体" w:eastAsia="宋体" w:hint="default"/>
                <w:w w:val="99"/>
                <w:sz w:val="18"/>
                <w:szCs w:val="18"/>
              </w:rPr>
              <w:t> </w:t>
            </w:r>
            <w:r>
              <w:rPr>
                <w:rFonts w:ascii="宋体" w:hAnsi="宋体" w:cs="宋体" w:eastAsia="宋体" w:hint="default"/>
                <w:sz w:val="18"/>
                <w:szCs w:val="18"/>
              </w:rPr>
              <w:t>售；电子元</w:t>
            </w:r>
            <w:r>
              <w:rPr>
                <w:rFonts w:ascii="宋体" w:hAnsi="宋体" w:cs="宋体" w:eastAsia="宋体" w:hint="default"/>
                <w:w w:val="99"/>
                <w:sz w:val="18"/>
                <w:szCs w:val="18"/>
              </w:rPr>
              <w:t> </w:t>
            </w:r>
            <w:r>
              <w:rPr>
                <w:rFonts w:ascii="宋体" w:hAnsi="宋体" w:cs="宋体" w:eastAsia="宋体" w:hint="default"/>
                <w:sz w:val="18"/>
                <w:szCs w:val="18"/>
              </w:rPr>
              <w:t>器件、五金</w:t>
            </w:r>
            <w:r>
              <w:rPr>
                <w:rFonts w:ascii="宋体" w:hAnsi="宋体" w:cs="宋体" w:eastAsia="宋体" w:hint="default"/>
                <w:w w:val="99"/>
                <w:sz w:val="18"/>
                <w:szCs w:val="18"/>
              </w:rPr>
              <w:t> </w:t>
            </w:r>
            <w:r>
              <w:rPr>
                <w:rFonts w:ascii="宋体" w:hAnsi="宋体" w:cs="宋体" w:eastAsia="宋体" w:hint="default"/>
                <w:sz w:val="18"/>
                <w:szCs w:val="18"/>
              </w:rPr>
              <w:t>塑胶配件的</w:t>
            </w:r>
            <w:r>
              <w:rPr>
                <w:rFonts w:ascii="宋体" w:hAnsi="宋体" w:cs="宋体" w:eastAsia="宋体" w:hint="default"/>
                <w:w w:val="99"/>
                <w:sz w:val="18"/>
                <w:szCs w:val="18"/>
              </w:rPr>
              <w:t> </w:t>
            </w:r>
            <w:r>
              <w:rPr>
                <w:rFonts w:ascii="宋体" w:hAnsi="宋体" w:cs="宋体" w:eastAsia="宋体" w:hint="default"/>
                <w:sz w:val="18"/>
                <w:szCs w:val="18"/>
              </w:rPr>
              <w:t>采购和销售</w:t>
            </w:r>
            <w:r>
              <w:rPr>
                <w:rFonts w:ascii="宋体" w:hAnsi="宋体" w:cs="宋体" w:eastAsia="宋体" w:hint="default"/>
                <w:w w:val="99"/>
                <w:sz w:val="18"/>
                <w:szCs w:val="18"/>
              </w:rPr>
              <w:t> </w:t>
            </w:r>
            <w:r>
              <w:rPr>
                <w:rFonts w:ascii="宋体" w:hAnsi="宋体" w:cs="宋体" w:eastAsia="宋体" w:hint="default"/>
                <w:sz w:val="18"/>
                <w:szCs w:val="18"/>
              </w:rPr>
              <w:t>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HKD10,000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13,131,214.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4,295,038.4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6,172,441.4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-3,845,949.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-3,198,826.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深圳茂硕新 能源科技有 限公司（以 下简称“茂 </w:t>
            </w:r>
            <w:r>
              <w:rPr>
                <w:rFonts w:ascii="宋体" w:hAnsi="宋体" w:cs="宋体" w:eastAsia="宋体" w:hint="default"/>
                <w:spacing w:val="-18"/>
                <w:sz w:val="18"/>
                <w:szCs w:val="18"/>
              </w:rPr>
              <w:t>硕新能源”</w:t>
            </w:r>
            <w:r>
              <w:rPr>
                <w:rFonts w:ascii="宋体" w:hAnsi="宋体" w:cs="宋体" w:eastAsia="宋体" w:hint="default"/>
                <w:sz w:val="18"/>
                <w:szCs w:val="18"/>
              </w:rPr>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both"/>
              <w:rPr>
                <w:rFonts w:ascii="宋体" w:hAnsi="宋体" w:cs="宋体" w:eastAsia="宋体" w:hint="default"/>
                <w:sz w:val="18"/>
                <w:szCs w:val="18"/>
              </w:rPr>
            </w:pPr>
            <w:r>
              <w:rPr>
                <w:rFonts w:ascii="宋体" w:hAnsi="宋体" w:cs="宋体" w:eastAsia="宋体" w:hint="default"/>
                <w:sz w:val="18"/>
                <w:szCs w:val="18"/>
              </w:rPr>
              <w:t>一般经营项 目：工业控 制设备、工 业自动化软 件、太阳能 光伏逆变器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22,825,000.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41,646,989.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26,068,198.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25,136,453.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-4,321,781.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-3,104,901.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72.47998pt;width:71.55pt;height:532.5pt;mso-position-horizontal-relative:page;mso-position-vertical-relative:page;z-index:-1048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施工、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17"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的技术开发</w:t>
            </w:r>
          </w:p>
        </w:tc>
        <w:tc>
          <w:tcPr>
            <w:tcW w:w="956" w:type="dxa"/>
            <w:vMerge w:val="restart"/>
            <w:tcBorders>
              <w:top w:val="single" w:sz="4" w:space="0" w:color="000000"/>
              <w:left w:val="single" w:sz="4" w:space="0" w:color="000000"/>
              <w:right w:val="single" w:sz="4" w:space="0" w:color="000000"/>
            </w:tcBorders>
          </w:tcPr>
          <w:p>
            <w:pPr>
              <w:pStyle w:val="TableParagraph"/>
              <w:spacing w:line="106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47.35pt;height:532.5pt;mso-position-horizontal-relative:char;mso-position-vertical-relative:line" coordorigin="0,0" coordsize="947,10650">
                  <v:group style="position:absolute;left:0;top:0;width:947;height:10650" coordorigin="0,0" coordsize="947,10650">
                    <v:shape style="position:absolute;left:0;top:0;width:947;height:10650" coordorigin="0,0" coordsize="947,10650" path="m0,10650l947,10650,947,0,0,0,0,10650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与销售、电</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子电力器材</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的销售，其</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他国内贸</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易，经营进</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（法律、行</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政法规、国</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务院决定禁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止的项目除</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外，限制的</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项目须取得</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许可后方可</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太阳</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能发电和电</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动汽车充电</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桩等新能源</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系统的设</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计、开发、</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监理以及工</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程项目总承</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包。许可经</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营项目：生</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产并网光伏</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逆变器、离</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并网一体光</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伏逆变器、</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光伏水泵逆</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变器、优化</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器（凭有效</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3"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许可证经</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海宁茂硕诺 华能源有限 公司（以下 简称“海宁 </w:t>
            </w:r>
            <w:r>
              <w:rPr>
                <w:rFonts w:ascii="宋体" w:hAnsi="宋体" w:cs="宋体" w:eastAsia="宋体" w:hint="default"/>
                <w:spacing w:val="-23"/>
                <w:sz w:val="18"/>
                <w:szCs w:val="18"/>
              </w:rPr>
              <w:t>茂硕”）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太阳能电站 信息咨询、 工程施工及 实业投资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126,420,327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49,734,233.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-351,498.30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-265,766.72</w:t>
            </w:r>
          </w:p>
        </w:tc>
      </w:tr>
      <w:tr>
        <w:trPr>
          <w:trHeight w:val="16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深圳茂硕电 气有限公司</w:t>
            </w:r>
          </w:p>
          <w:p>
            <w:pPr>
              <w:pStyle w:val="TableParagraph"/>
              <w:spacing w:line="316" w:lineRule="auto" w:before="19"/>
              <w:ind w:left="22" w:right="27"/>
              <w:jc w:val="left"/>
              <w:rPr>
                <w:rFonts w:ascii="宋体" w:hAnsi="宋体" w:cs="宋体" w:eastAsia="宋体" w:hint="default"/>
                <w:sz w:val="18"/>
                <w:szCs w:val="18"/>
              </w:rPr>
            </w:pPr>
            <w:r>
              <w:rPr>
                <w:rFonts w:ascii="宋体" w:hAnsi="宋体" w:cs="宋体" w:eastAsia="宋体" w:hint="default"/>
                <w:sz w:val="18"/>
                <w:szCs w:val="18"/>
              </w:rPr>
              <w:t>（以下简称 “茂硕电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新能源汽车 智能充电桩 及充电柜、 有线及无线 充电机、智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26,122,155.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4"/>
              <w:jc w:val="right"/>
              <w:rPr>
                <w:rFonts w:ascii="Times New Roman" w:hAnsi="Times New Roman" w:cs="Times New Roman" w:eastAsia="Times New Roman" w:hint="default"/>
                <w:sz w:val="18"/>
                <w:szCs w:val="18"/>
              </w:rPr>
            </w:pPr>
            <w:r>
              <w:rPr>
                <w:rFonts w:ascii="Times New Roman"/>
                <w:spacing w:val="-1"/>
                <w:sz w:val="18"/>
              </w:rPr>
              <w:t>9,809,526.1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12,237,321.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-222,925.93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-190,473.89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878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气</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能电力电子 变换装置、 智能监控与 网络管理及 装置、电气 控制设备的 研发和销 售；计算机 及其周边设 备、软件产 品的研发、 销售及相关 配套业务； 经营进出口 业务。许可 经营项目： 新能源汽车 智能充电桩 及充电柜、 有线及无线 充电机、智 能电力电子 变换装置、 智能监控与 网络管理及 装置、电气 控制设备的 生产。</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7"/>
              <w:jc w:val="both"/>
              <w:rPr>
                <w:rFonts w:ascii="宋体" w:hAnsi="宋体" w:cs="宋体" w:eastAsia="宋体" w:hint="default"/>
                <w:sz w:val="18"/>
                <w:szCs w:val="18"/>
              </w:rPr>
            </w:pPr>
            <w:r>
              <w:rPr>
                <w:rFonts w:ascii="宋体" w:hAnsi="宋体" w:cs="宋体" w:eastAsia="宋体" w:hint="default"/>
                <w:sz w:val="18"/>
                <w:szCs w:val="18"/>
              </w:rPr>
              <w:t>深圳茂硕钜 泽科技有限 公司（以下 简称“茂硕 </w:t>
            </w:r>
            <w:r>
              <w:rPr>
                <w:rFonts w:ascii="宋体" w:hAnsi="宋体" w:cs="宋体" w:eastAsia="宋体" w:hint="default"/>
                <w:spacing w:val="-23"/>
                <w:sz w:val="18"/>
                <w:szCs w:val="18"/>
              </w:rPr>
              <w:t>钜泽”）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w:t>
            </w:r>
            <w:r>
              <w:rPr>
                <w:rFonts w:ascii="宋体" w:hAnsi="宋体" w:cs="宋体" w:eastAsia="宋体" w:hint="default"/>
                <w:w w:val="99"/>
                <w:sz w:val="18"/>
                <w:szCs w:val="18"/>
              </w:rPr>
              <w:t> </w:t>
            </w:r>
            <w:r>
              <w:rPr>
                <w:rFonts w:ascii="宋体" w:hAnsi="宋体" w:cs="宋体" w:eastAsia="宋体" w:hint="default"/>
                <w:sz w:val="18"/>
                <w:szCs w:val="18"/>
              </w:rPr>
              <w:t>驱动电源，</w:t>
            </w:r>
            <w:r>
              <w:rPr>
                <w:rFonts w:ascii="宋体" w:hAnsi="宋体" w:cs="宋体" w:eastAsia="宋体" w:hint="default"/>
                <w:w w:val="99"/>
                <w:sz w:val="18"/>
                <w:szCs w:val="18"/>
              </w:rPr>
              <w:t> </w:t>
            </w:r>
            <w:r>
              <w:rPr>
                <w:rFonts w:ascii="宋体" w:hAnsi="宋体" w:cs="宋体" w:eastAsia="宋体" w:hint="default"/>
                <w:sz w:val="18"/>
                <w:szCs w:val="18"/>
              </w:rPr>
              <w:t>太阳能光伏</w:t>
            </w:r>
            <w:r>
              <w:rPr>
                <w:rFonts w:ascii="宋体" w:hAnsi="宋体" w:cs="宋体" w:eastAsia="宋体" w:hint="default"/>
                <w:w w:val="99"/>
                <w:sz w:val="18"/>
                <w:szCs w:val="18"/>
              </w:rPr>
              <w:t> </w:t>
            </w:r>
            <w:r>
              <w:rPr>
                <w:rFonts w:ascii="宋体" w:hAnsi="宋体" w:cs="宋体" w:eastAsia="宋体" w:hint="default"/>
                <w:sz w:val="18"/>
                <w:szCs w:val="18"/>
              </w:rPr>
              <w:t>逆变器，大</w:t>
            </w:r>
            <w:r>
              <w:rPr>
                <w:rFonts w:ascii="宋体" w:hAnsi="宋体" w:cs="宋体" w:eastAsia="宋体" w:hint="default"/>
                <w:w w:val="99"/>
                <w:sz w:val="18"/>
                <w:szCs w:val="18"/>
              </w:rPr>
              <w:t> </w:t>
            </w:r>
            <w:r>
              <w:rPr>
                <w:rFonts w:ascii="宋体" w:hAnsi="宋体" w:cs="宋体" w:eastAsia="宋体" w:hint="default"/>
                <w:sz w:val="18"/>
                <w:szCs w:val="18"/>
              </w:rPr>
              <w:t>功率变频电</w:t>
            </w:r>
            <w:r>
              <w:rPr>
                <w:rFonts w:ascii="宋体" w:hAnsi="宋体" w:cs="宋体" w:eastAsia="宋体" w:hint="default"/>
                <w:w w:val="99"/>
                <w:sz w:val="18"/>
                <w:szCs w:val="18"/>
              </w:rPr>
              <w:t> </w:t>
            </w:r>
            <w:r>
              <w:rPr>
                <w:rFonts w:ascii="宋体" w:hAnsi="宋体" w:cs="宋体" w:eastAsia="宋体" w:hint="default"/>
                <w:sz w:val="18"/>
                <w:szCs w:val="18"/>
              </w:rPr>
              <w:t>源，大功率</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电源， </w:t>
            </w:r>
            <w:r>
              <w:rPr>
                <w:rFonts w:ascii="Times New Roman" w:hAnsi="Times New Roman" w:cs="Times New Roman" w:eastAsia="Times New Roman" w:hint="default"/>
                <w:sz w:val="18"/>
                <w:szCs w:val="18"/>
              </w:rPr>
              <w:t>DC/DC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 效、高密度 模块电源， 医疗电源， 通信电源， 开关电源， 新能源汽车 智能充电桩 的销售。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Times New Roman" w:hAnsi="Times New Roman" w:cs="Times New Roman" w:eastAsia="Times New Roman" w:hint="default"/>
                <w:sz w:val="18"/>
                <w:szCs w:val="18"/>
              </w:rPr>
            </w:pPr>
            <w:r>
              <w:rPr>
                <w:rFonts w:ascii="Times New Roman"/>
                <w:sz w:val="18"/>
              </w:rPr>
              <w:t>863,612.51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Times New Roman" w:hAnsi="Times New Roman" w:cs="Times New Roman" w:eastAsia="Times New Roman" w:hint="default"/>
                <w:sz w:val="18"/>
                <w:szCs w:val="18"/>
              </w:rPr>
            </w:pPr>
            <w:r>
              <w:rPr>
                <w:rFonts w:ascii="Times New Roman"/>
                <w:sz w:val="18"/>
              </w:rPr>
              <w:t>863,112.51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3" w:right="0"/>
              <w:jc w:val="left"/>
              <w:rPr>
                <w:rFonts w:ascii="Times New Roman" w:hAnsi="Times New Roman" w:cs="Times New Roman" w:eastAsia="Times New Roman" w:hint="default"/>
                <w:sz w:val="18"/>
                <w:szCs w:val="18"/>
              </w:rPr>
            </w:pPr>
            <w:r>
              <w:rPr>
                <w:rFonts w:ascii="Times New Roman"/>
                <w:sz w:val="18"/>
              </w:rPr>
              <w:t>-141,374.43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3" w:right="0"/>
              <w:jc w:val="left"/>
              <w:rPr>
                <w:rFonts w:ascii="Times New Roman" w:hAnsi="Times New Roman" w:cs="Times New Roman" w:eastAsia="Times New Roman" w:hint="default"/>
                <w:sz w:val="18"/>
                <w:szCs w:val="18"/>
              </w:rPr>
            </w:pPr>
            <w:r>
              <w:rPr>
                <w:rFonts w:ascii="Times New Roman"/>
                <w:sz w:val="18"/>
              </w:rPr>
              <w:t>-136,887.49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455.439972pt;width:71.55pt;height:78pt;mso-position-horizontal-relative:page;mso-position-vertical-relative:page;z-index:-1048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pStyle w:val="BodyText"/>
                    <w:spacing w:line="240" w:lineRule="auto"/>
                    <w:ind w:left="0" w:right="0"/>
                    <w:jc w:val="left"/>
                  </w:pPr>
                  <w:r>
                    <w:rPr/>
                    <w:t>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508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27"/>
              <w:jc w:val="both"/>
              <w:rPr>
                <w:rFonts w:ascii="宋体" w:hAnsi="宋体" w:cs="宋体" w:eastAsia="宋体" w:hint="default"/>
                <w:sz w:val="18"/>
                <w:szCs w:val="18"/>
              </w:rPr>
            </w:pPr>
            <w:r>
              <w:rPr>
                <w:rFonts w:ascii="宋体" w:hAnsi="宋体" w:cs="宋体" w:eastAsia="宋体" w:hint="default"/>
                <w:sz w:val="18"/>
                <w:szCs w:val="18"/>
              </w:rPr>
              <w:t>深圳茂硕希 港科技有限 公司（以下 简称“茂硕 </w:t>
            </w:r>
            <w:r>
              <w:rPr>
                <w:rFonts w:ascii="宋体" w:hAnsi="宋体" w:cs="宋体" w:eastAsia="宋体" w:hint="default"/>
                <w:spacing w:val="-23"/>
                <w:sz w:val="18"/>
                <w:szCs w:val="18"/>
              </w:rPr>
              <w:t>希港”）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w:t>
            </w:r>
            <w:r>
              <w:rPr>
                <w:rFonts w:ascii="宋体" w:hAnsi="宋体" w:cs="宋体" w:eastAsia="宋体" w:hint="default"/>
                <w:w w:val="99"/>
                <w:sz w:val="18"/>
                <w:szCs w:val="18"/>
              </w:rPr>
              <w:t> </w:t>
            </w:r>
            <w:r>
              <w:rPr>
                <w:rFonts w:ascii="宋体" w:hAnsi="宋体" w:cs="宋体" w:eastAsia="宋体" w:hint="default"/>
                <w:sz w:val="18"/>
                <w:szCs w:val="18"/>
              </w:rPr>
              <w:t>驱动电源，</w:t>
            </w:r>
            <w:r>
              <w:rPr>
                <w:rFonts w:ascii="宋体" w:hAnsi="宋体" w:cs="宋体" w:eastAsia="宋体" w:hint="default"/>
                <w:w w:val="99"/>
                <w:sz w:val="18"/>
                <w:szCs w:val="18"/>
              </w:rPr>
              <w:t> </w:t>
            </w:r>
            <w:r>
              <w:rPr>
                <w:rFonts w:ascii="宋体" w:hAnsi="宋体" w:cs="宋体" w:eastAsia="宋体" w:hint="default"/>
                <w:sz w:val="18"/>
                <w:szCs w:val="18"/>
              </w:rPr>
              <w:t>太阳能光伏</w:t>
            </w:r>
            <w:r>
              <w:rPr>
                <w:rFonts w:ascii="宋体" w:hAnsi="宋体" w:cs="宋体" w:eastAsia="宋体" w:hint="default"/>
                <w:w w:val="99"/>
                <w:sz w:val="18"/>
                <w:szCs w:val="18"/>
              </w:rPr>
              <w:t> </w:t>
            </w:r>
            <w:r>
              <w:rPr>
                <w:rFonts w:ascii="宋体" w:hAnsi="宋体" w:cs="宋体" w:eastAsia="宋体" w:hint="default"/>
                <w:sz w:val="18"/>
                <w:szCs w:val="18"/>
              </w:rPr>
              <w:t>逆变器，大</w:t>
            </w:r>
            <w:r>
              <w:rPr>
                <w:rFonts w:ascii="宋体" w:hAnsi="宋体" w:cs="宋体" w:eastAsia="宋体" w:hint="default"/>
                <w:w w:val="99"/>
                <w:sz w:val="18"/>
                <w:szCs w:val="18"/>
              </w:rPr>
              <w:t> </w:t>
            </w:r>
            <w:r>
              <w:rPr>
                <w:rFonts w:ascii="宋体" w:hAnsi="宋体" w:cs="宋体" w:eastAsia="宋体" w:hint="default"/>
                <w:sz w:val="18"/>
                <w:szCs w:val="18"/>
              </w:rPr>
              <w:t>功率变频电</w:t>
            </w:r>
            <w:r>
              <w:rPr>
                <w:rFonts w:ascii="宋体" w:hAnsi="宋体" w:cs="宋体" w:eastAsia="宋体" w:hint="default"/>
                <w:w w:val="99"/>
                <w:sz w:val="18"/>
                <w:szCs w:val="18"/>
              </w:rPr>
              <w:t> </w:t>
            </w:r>
            <w:r>
              <w:rPr>
                <w:rFonts w:ascii="宋体" w:hAnsi="宋体" w:cs="宋体" w:eastAsia="宋体" w:hint="default"/>
                <w:sz w:val="18"/>
                <w:szCs w:val="18"/>
              </w:rPr>
              <w:t>源，大功率</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UPS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电源， 高效、高密 度模块电 源，医疗电 源，通信电 源，开光电 源，新能源 汽车智能充 电桩的销 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982,773.09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962,288.93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w w:val="95"/>
                <w:sz w:val="18"/>
              </w:rPr>
              <w:t>-41,430.19</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-37,711.07</w:t>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新余茂硕新 能源科技有 限公司（以 下简称“新 </w:t>
            </w:r>
            <w:r>
              <w:rPr>
                <w:rFonts w:ascii="宋体" w:hAnsi="宋体" w:cs="宋体" w:eastAsia="宋体" w:hint="default"/>
                <w:spacing w:val="-18"/>
                <w:sz w:val="18"/>
                <w:szCs w:val="18"/>
              </w:rPr>
              <w:t>余茂硕”）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售：电子电 力器材的销 售：太阳能 发电和能源 发电系统的 设计、 施工、监量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7.35pt;height:78pt;mso-position-horizontal-relative:char;mso-position-vertical-relative:line" coordorigin="0,0" coordsize="947,1560">
                  <v:group style="position:absolute;left:0;top:0;width:947;height:1560" coordorigin="0,0" coordsize="947,1560">
                    <v:shape style="position:absolute;left:0;top:0;width:947;height:1560" coordorigin="0,0" coordsize="947,1560" path="m0,1560l947,1560,947,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3,002,102.2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3,001,576.6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2,102.24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1,576.62</w:t>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深圳华智测 控技术有限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远程测控系 统和设备产 品的研发、 设计、销售 及相关产品 的技术支持 与服务（法 律、行政法 规、国务院 决定规定在 登记前须经 批准的项目 除外）</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8,119,577.0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4,391,125.3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8,166,806.5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-409,901.33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-291,746.53</w:t>
            </w:r>
            <w:r>
              <w:rPr>
                <w:rFonts w:ascii="Times New Roman"/>
                <w:sz w:val="18"/>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深圳市通新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76,609,496.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76,296,219.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-775,618.88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-775,618.88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2.240005pt;margin-top:121.79998pt;width:53.6pt;height:226.25pt;mso-position-horizontal-relative:page;mso-position-vertical-relative:page;z-index:-1047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9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源物业管理 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房地产经 纪、自有房 屋租赁。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深圳茂硕投 资发展有限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一般经营项 目：投资管 理（不含限 </w:t>
            </w:r>
            <w:r>
              <w:rPr>
                <w:rFonts w:ascii="宋体" w:hAnsi="宋体" w:cs="宋体" w:eastAsia="宋体" w:hint="default"/>
                <w:spacing w:val="-30"/>
                <w:sz w:val="18"/>
                <w:szCs w:val="18"/>
              </w:rPr>
              <w:t>制项目）；投</w:t>
            </w:r>
            <w:r>
              <w:rPr>
                <w:rFonts w:ascii="宋体" w:hAnsi="宋体" w:cs="宋体" w:eastAsia="宋体" w:hint="default"/>
                <w:sz w:val="18"/>
                <w:szCs w:val="18"/>
              </w:rPr>
              <w:t> 资咨询（不 含限制项 </w:t>
            </w:r>
            <w:r>
              <w:rPr>
                <w:rFonts w:ascii="宋体" w:hAnsi="宋体" w:cs="宋体" w:eastAsia="宋体" w:hint="default"/>
                <w:spacing w:val="-30"/>
                <w:sz w:val="18"/>
                <w:szCs w:val="18"/>
              </w:rPr>
              <w:t>目）；投资顾</w:t>
            </w:r>
            <w:r>
              <w:rPr>
                <w:rFonts w:ascii="宋体" w:hAnsi="宋体" w:cs="宋体" w:eastAsia="宋体" w:hint="default"/>
                <w:sz w:val="18"/>
                <w:szCs w:val="18"/>
              </w:rPr>
              <w:t> 问（不含限 </w:t>
            </w:r>
            <w:r>
              <w:rPr>
                <w:rFonts w:ascii="宋体" w:hAnsi="宋体" w:cs="宋体" w:eastAsia="宋体" w:hint="default"/>
                <w:spacing w:val="-30"/>
                <w:sz w:val="18"/>
                <w:szCs w:val="18"/>
              </w:rPr>
              <w:t>制项目）；投</w:t>
            </w:r>
            <w:r>
              <w:rPr>
                <w:rFonts w:ascii="宋体" w:hAnsi="宋体" w:cs="宋体" w:eastAsia="宋体" w:hint="default"/>
                <w:sz w:val="18"/>
                <w:szCs w:val="18"/>
              </w:rPr>
              <w:t> 资兴办实业</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（具体项目 另行申报） 创业投资业 务；受托管 理创业投资 企业等机构 或个人的创 业投资业 务；创业投 资咨询业 务；为创业 企业提供创 业管理服务 业务；参与 设立创业投 资企业与创 业投资管理 顾问；股权 投资；受托 管理股权投 资基金。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45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47.35pt;height:226.25pt;mso-position-horizontal-relative:char;mso-position-vertical-relative:line" coordorigin="0,0" coordsize="947,4525">
                  <v:group style="position:absolute;left:0;top:0;width:947;height:4525" coordorigin="0,0" coordsize="947,4525">
                    <v:shape style="position:absolute;left:0;top:0;width:947;height:4525" coordorigin="0,0" coordsize="947,4525" path="m0,4524l947,4524,947,0,0,0,0,4524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10,445,332.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10,097,593.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1,648,974.6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164,483.83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97,593.09</w:t>
            </w:r>
          </w:p>
        </w:tc>
      </w:tr>
      <w:tr>
        <w:trPr>
          <w:trHeight w:val="317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浙江国利英 核能源有限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服务：新能 源技术开 发、技术咨 询、技术服 务、成果转 让，节能技 术的研发， 市场营销策 划，实业投 资，建筑工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9,080,757.1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9,080,757.1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-519,242.88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-519,242.88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1.059998pt;margin-top:606.639954pt;width:224.3pt;height:24.45pt;mso-position-horizontal-relative:page;mso-position-vertical-relative:page;z-index:-1047856" type="#_x0000_t202" filled="false" stroked="false">
            <v:textbox inset="0,0,0,0">
              <w:txbxContent>
                <w:p>
                  <w:pPr>
                    <w:pStyle w:val="BodyText"/>
                    <w:spacing w:line="240" w:lineRule="auto" w:before="51"/>
                    <w:ind w:left="0" w:right="0"/>
                    <w:jc w:val="left"/>
                  </w:pPr>
                  <w:r>
                    <w:rPr/>
                    <w:t>公司基于产业布局的需要，</w:t>
                  </w:r>
                </w:p>
              </w:txbxContent>
            </v:textbox>
            <w10:wrap type="none"/>
          </v:shape>
        </w:pict>
      </w:r>
      <w:r>
        <w:rPr/>
        <w:pict>
          <v:group style="position:absolute;margin-left:296.200012pt;margin-top:606.639954pt;width:237.6pt;height:42pt;mso-position-horizontal-relative:page;mso-position-vertical-relative:page;z-index:-1047808" coordorigin="5924,12133" coordsize="4752,840">
            <v:group style="position:absolute;left:5924;top:12133;width:2383;height:489" coordorigin="5924,12133" coordsize="2383,489">
              <v:shape style="position:absolute;left:5924;top:12133;width:2383;height:489" coordorigin="5924,12133" coordsize="2383,489" path="m5924,12621l8306,12621,8306,12133,5924,12133,5924,12621xe" filled="true" fillcolor="#ffffff" stroked="false">
                <v:path arrowok="t"/>
                <v:fill type="solid"/>
              </v:shape>
            </v:group>
            <v:group style="position:absolute;left:8339;top:12661;width:2337;height:312" coordorigin="8339,12661" coordsize="2337,312">
              <v:shape style="position:absolute;left:8339;top:12661;width:2337;height:312" coordorigin="8339,12661" coordsize="2337,312" path="m8339,12973l10675,12973,10675,12661,8339,12661,8339,129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61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程的设计、 施工； 零售；节能 产品、光伏 设备及材料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47.35pt;height:80.1pt;mso-position-horizontal-relative:char;mso-position-vertical-relative:line" coordorigin="0,0" coordsize="947,1602">
                  <v:group style="position:absolute;left:0;top:0;width:947;height:1602" coordorigin="0,0" coordsize="947,1602">
                    <v:shape style="position:absolute;left:0;top:0;width:947;height:1602" coordorigin="0,0" coordsize="947,1602" path="m0,1601l947,1601,947,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shape style="position:absolute;margin-left:224.302994pt;margin-top:-80.558273pt;width:71.55pt;height:80.1pt;mso-position-horizontal-relative:page;mso-position-vertical-relative:paragraph;z-index:-104790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批发、</w:t>
                  </w:r>
                </w:p>
              </w:txbxContent>
            </v:textbox>
            <w10:wrap type="none"/>
          </v:shape>
        </w:pict>
      </w:r>
      <w:r>
        <w:rPr/>
        <w:t>主要子公司、参股公司情况说明</w:t>
      </w:r>
    </w:p>
    <w:p>
      <w:pPr>
        <w:pStyle w:val="BodyText"/>
        <w:spacing w:line="302" w:lineRule="auto" w:before="116"/>
        <w:ind w:right="1196"/>
        <w:jc w:val="left"/>
      </w:pPr>
      <w:r>
        <w:rPr>
          <w:spacing w:val="-12"/>
        </w:rPr>
        <w:t>（</w:t>
      </w:r>
      <w:r>
        <w:rPr>
          <w:rFonts w:ascii="Times New Roman" w:hAnsi="Times New Roman" w:cs="Times New Roman" w:eastAsia="Times New Roman" w:hint="default"/>
          <w:spacing w:val="-12"/>
        </w:rPr>
        <w:t>1</w:t>
      </w:r>
      <w:r>
        <w:rPr>
          <w:spacing w:val="-12"/>
        </w:rPr>
        <w:t>）、惠州茂硕</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1"/>
        </w:rPr>
        <w:t>年度净利润为</w:t>
      </w:r>
      <w:r>
        <w:rPr>
          <w:rFonts w:ascii="Times New Roman" w:hAnsi="Times New Roman" w:cs="Times New Roman" w:eastAsia="Times New Roman" w:hint="default"/>
          <w:spacing w:val="-1"/>
        </w:rPr>
        <w:t>-1,166,516.25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年度净利润为</w:t>
      </w:r>
      <w:r>
        <w:rPr>
          <w:spacing w:val="-42"/>
        </w:rPr>
        <w:t> </w:t>
      </w:r>
      <w:r>
        <w:rPr>
          <w:rFonts w:ascii="Times New Roman" w:hAnsi="Times New Roman" w:cs="Times New Roman" w:eastAsia="Times New Roman" w:hint="default"/>
          <w:spacing w:val="-1"/>
        </w:rPr>
        <w:t>2,442,822.93</w:t>
      </w:r>
      <w:r>
        <w:rPr>
          <w:rFonts w:ascii="Times New Roman" w:hAnsi="Times New Roman" w:cs="Times New Roman" w:eastAsia="Times New Roman" w:hint="default"/>
          <w:spacing w:val="4"/>
        </w:rPr>
        <w:t> </w:t>
      </w:r>
      <w:r>
        <w:rPr/>
        <w:t>元，减少了</w:t>
      </w:r>
      <w:r>
        <w:rPr>
          <w:spacing w:val="-42"/>
        </w:rPr>
        <w:t> </w:t>
      </w:r>
      <w:r>
        <w:rPr>
          <w:rFonts w:ascii="Times New Roman" w:hAnsi="Times New Roman" w:cs="Times New Roman" w:eastAsia="Times New Roman" w:hint="default"/>
        </w:rPr>
        <w:t>147.75%</w:t>
      </w:r>
      <w:r>
        <w:rPr/>
        <w:t>，主要原因系惠 州茂硕</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月才开始试投产，产量暂时较小，但厂房、机器设备等固定资产的折旧已经开始，所以导致亏损；</w:t>
      </w:r>
    </w:p>
    <w:p>
      <w:pPr>
        <w:pStyle w:val="BodyText"/>
        <w:spacing w:line="302" w:lineRule="auto" w:before="49"/>
        <w:ind w:left="153" w:right="1129"/>
        <w:jc w:val="left"/>
      </w:pPr>
      <w:r>
        <w:rPr>
          <w:spacing w:val="-12"/>
        </w:rPr>
        <w:t>（</w:t>
      </w:r>
      <w:r>
        <w:rPr>
          <w:rFonts w:ascii="Times New Roman" w:hAnsi="Times New Roman" w:cs="Times New Roman" w:eastAsia="Times New Roman" w:hint="default"/>
          <w:spacing w:val="-12"/>
        </w:rPr>
        <w:t>2</w:t>
      </w:r>
      <w:r>
        <w:rPr>
          <w:spacing w:val="-12"/>
        </w:rPr>
        <w:t>）、茂硕电子</w:t>
      </w:r>
      <w:r>
        <w:rPr>
          <w:spacing w:val="-45"/>
        </w:rPr>
        <w:t> </w:t>
      </w:r>
      <w:r>
        <w:rPr>
          <w:rFonts w:ascii="Times New Roman" w:hAnsi="Times New Roman" w:cs="Times New Roman" w:eastAsia="Times New Roman" w:hint="default"/>
        </w:rPr>
        <w:t>2014 </w:t>
      </w:r>
      <w:r>
        <w:rPr/>
        <w:t>年度净利润为</w:t>
      </w:r>
      <w:r>
        <w:rPr>
          <w:rFonts w:ascii="Times New Roman" w:hAnsi="Times New Roman" w:cs="Times New Roman" w:eastAsia="Times New Roman" w:hint="default"/>
        </w:rPr>
        <w:t>-15,856,959.41</w:t>
      </w:r>
      <w:r>
        <w:rPr>
          <w:rFonts w:ascii="Times New Roman" w:hAnsi="Times New Roman" w:cs="Times New Roman" w:eastAsia="Times New Roman" w:hint="default"/>
          <w:spacing w:val="1"/>
        </w:rPr>
        <w:t> </w:t>
      </w:r>
      <w:r>
        <w:rPr>
          <w:spacing w:val="-1"/>
        </w:rPr>
        <w:t>元，</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t>年度净利润为</w:t>
      </w:r>
      <w:r>
        <w:rPr>
          <w:spacing w:val="-45"/>
        </w:rPr>
        <w:t> </w:t>
      </w:r>
      <w:r>
        <w:rPr>
          <w:rFonts w:ascii="Times New Roman" w:hAnsi="Times New Roman" w:cs="Times New Roman" w:eastAsia="Times New Roman" w:hint="default"/>
        </w:rPr>
        <w:t>2,690,520.56</w:t>
      </w:r>
      <w:r>
        <w:rPr>
          <w:rFonts w:ascii="Times New Roman" w:hAnsi="Times New Roman" w:cs="Times New Roman" w:eastAsia="Times New Roman" w:hint="default"/>
          <w:spacing w:val="-1"/>
        </w:rPr>
        <w:t> </w:t>
      </w:r>
      <w:r>
        <w:rPr>
          <w:spacing w:val="-2"/>
        </w:rPr>
        <w:t>元，减少了</w:t>
      </w:r>
      <w:r>
        <w:rPr>
          <w:spacing w:val="-45"/>
        </w:rPr>
        <w:t> </w:t>
      </w:r>
      <w:r>
        <w:rPr>
          <w:rFonts w:ascii="Times New Roman" w:hAnsi="Times New Roman" w:cs="Times New Roman" w:eastAsia="Times New Roman" w:hint="default"/>
          <w:spacing w:val="-1"/>
        </w:rPr>
        <w:t>689.36%</w:t>
      </w:r>
      <w:r>
        <w:rPr>
          <w:spacing w:val="-1"/>
        </w:rPr>
        <w:t>，主要原因系公</w:t>
      </w:r>
      <w:r>
        <w:rPr/>
        <w:t> 司经营模式变更，茂硕电子</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年主要承担加工业务，而最低工资的上涨和厂房租金的增加导致亏损；</w:t>
      </w:r>
    </w:p>
    <w:p>
      <w:pPr>
        <w:pStyle w:val="BodyText"/>
        <w:spacing w:line="302" w:lineRule="auto" w:before="49"/>
        <w:ind w:left="153" w:right="1133"/>
        <w:jc w:val="left"/>
      </w:pPr>
      <w:r>
        <w:rPr/>
        <w:t>（</w:t>
      </w:r>
      <w:r>
        <w:rPr>
          <w:rFonts w:ascii="Times New Roman" w:hAnsi="Times New Roman" w:cs="Times New Roman" w:eastAsia="Times New Roman" w:hint="default"/>
        </w:rPr>
        <w:t>3</w:t>
      </w:r>
      <w:r>
        <w:rPr/>
        <w:t>）茂硕新能源</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年度净利润为</w:t>
      </w:r>
      <w:r>
        <w:rPr>
          <w:rFonts w:ascii="Times New Roman" w:hAnsi="Times New Roman" w:cs="Times New Roman" w:eastAsia="Times New Roman" w:hint="default"/>
        </w:rPr>
        <w:t>-3,104,901.01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年度净利润为</w:t>
      </w:r>
      <w:r>
        <w:rPr>
          <w:rFonts w:ascii="Times New Roman" w:hAnsi="Times New Roman" w:cs="Times New Roman" w:eastAsia="Times New Roman" w:hint="default"/>
        </w:rPr>
        <w:t>-4,904,746.58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增长了</w:t>
      </w:r>
      <w:r>
        <w:rPr>
          <w:spacing w:val="-47"/>
        </w:rPr>
        <w:t> </w:t>
      </w:r>
      <w:r>
        <w:rPr>
          <w:rFonts w:ascii="Times New Roman" w:hAnsi="Times New Roman" w:cs="Times New Roman" w:eastAsia="Times New Roman" w:hint="default"/>
        </w:rPr>
        <w:t>36.70%</w:t>
      </w:r>
      <w:r>
        <w:rPr/>
        <w:t>，主要原因系茂硕 新能源主营业务得到快速发展，公司经营规模增大，产品市场得到拓展。</w:t>
      </w:r>
    </w:p>
    <w:p>
      <w:pPr>
        <w:pStyle w:val="BodyText"/>
        <w:spacing w:line="240" w:lineRule="auto" w:before="70"/>
        <w:ind w:left="153" w:right="0"/>
        <w:jc w:val="left"/>
      </w:pPr>
      <w:r>
        <w:rPr/>
        <w:t>报告期内取得和处置子公司的情况</w:t>
      </w:r>
    </w:p>
    <w:p>
      <w:pPr>
        <w:pStyle w:val="BodyText"/>
        <w:spacing w:line="240" w:lineRule="auto" w:before="116"/>
        <w:ind w:left="153" w:right="0"/>
        <w:jc w:val="left"/>
      </w:pPr>
      <w:r>
        <w:rPr/>
        <w:pict>
          <v:shape style="position:absolute;margin-left:191.059998pt;margin-top:59.031719pt;width:224.3pt;height:24.4pt;mso-position-horizontal-relative:page;mso-position-vertical-relative:paragraph;z-index:-1047880" type="#_x0000_t202" filled="false" stroked="false">
            <v:textbox inset="0,0,0,0">
              <w:txbxContent>
                <w:p>
                  <w:pPr>
                    <w:pStyle w:val="BodyText"/>
                    <w:spacing w:line="240" w:lineRule="auto" w:before="51"/>
                    <w:ind w:left="0" w:right="0"/>
                    <w:jc w:val="left"/>
                  </w:pPr>
                  <w:r>
                    <w:rPr/>
                    <w:t>公司基于产业布局的需要，</w:t>
                  </w:r>
                </w:p>
              </w:txbxContent>
            </v:textbox>
            <w10:wrap type="none"/>
          </v:shape>
        </w:pict>
      </w:r>
      <w:r>
        <w:rPr/>
        <w:pict>
          <v:group style="position:absolute;margin-left:296.200012pt;margin-top:59.031719pt;width:237.6pt;height:49.8pt;mso-position-horizontal-relative:page;mso-position-vertical-relative:paragraph;z-index:-1047832" coordorigin="5924,1181" coordsize="4752,996">
            <v:group style="position:absolute;left:5924;top:1181;width:2383;height:488" coordorigin="5924,1181" coordsize="2383,488">
              <v:shape style="position:absolute;left:5924;top:1181;width:2383;height:488" coordorigin="5924,1181" coordsize="2383,488" path="m5924,1668l8306,1668,8306,1181,5924,1181,5924,1668xe" filled="true" fillcolor="#ffffff" stroked="false">
                <v:path arrowok="t"/>
                <v:fill type="solid"/>
              </v:shape>
            </v:group>
            <v:group style="position:absolute;left:8339;top:1512;width:2337;height:353" coordorigin="8339,1512" coordsize="2337,353">
              <v:shape style="position:absolute;left:8339;top:1512;width:2337;height:353" coordorigin="8339,1512" coordsize="2337,353" path="m8339,1865l10675,1865,10675,1512,8339,1512,8339,1865xe" filled="true" fillcolor="#ffffff" stroked="false">
                <v:path arrowok="t"/>
                <v:fill type="solid"/>
              </v:shape>
            </v:group>
            <v:group style="position:absolute;left:8339;top:1865;width:2337;height:312" coordorigin="8339,1865" coordsize="2337,312">
              <v:shape style="position:absolute;left:8339;top:1865;width:2337;height:312" coordorigin="8339,1865" coordsize="2337,312" path="m8339,2177l10675,2177,10675,1865,8339,1865,8339,2177xe" filled="true" fillcolor="#ffffff" stroked="false">
                <v:path arrowok="t"/>
                <v:fill type="solid"/>
              </v:shape>
            </v:group>
            <w10:wrap type="none"/>
          </v:group>
        </w:pict>
      </w: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69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河南茂鑫能源科技有限公司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2" w:lineRule="auto" w:before="61"/>
              <w:ind w:left="2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月出资投资河南茂 鑫；</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、因战略投资的调整，</w:t>
            </w:r>
            <w:r>
              <w:rPr>
                <w:rFonts w:ascii="Times New Roman" w:hAnsi="Times New Roman" w:cs="Times New Roman" w:eastAsia="Times New Roman" w:hint="default"/>
                <w:sz w:val="18"/>
                <w:szCs w:val="18"/>
              </w:rPr>
              <w:t>2014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月收回所有的投资款；</w:t>
            </w:r>
          </w:p>
        </w:tc>
        <w:tc>
          <w:tcPr>
            <w:tcW w:w="23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、以现金方式投资取得股权</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、转让股权收回现金</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48"/>
              <w:ind w:left="11" w:right="0"/>
              <w:jc w:val="left"/>
              <w:rPr>
                <w:rFonts w:ascii="宋体" w:hAnsi="宋体" w:cs="宋体" w:eastAsia="宋体" w:hint="default"/>
                <w:sz w:val="18"/>
                <w:szCs w:val="18"/>
              </w:rPr>
            </w:pPr>
            <w:r>
              <w:rPr>
                <w:rFonts w:ascii="宋体" w:hAnsi="宋体" w:cs="宋体" w:eastAsia="宋体" w:hint="default"/>
                <w:sz w:val="18"/>
                <w:szCs w:val="18"/>
              </w:rPr>
              <w:t>取得和出售均为原价转让，对</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公司正常生产经营不会造成</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公司基于产业布局的需要，投 资兴建太阳能光伏发电项目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因尚处于建设期，对公司正常 生产经营不会造成影响。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公司基于扩展逆变器生产和 产业布局的需要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因尚处于初创期，对公司正常 生产经营不会造成影响。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新余茂硕新能源科技有限公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公司基于产业布局的需要，投 资兴建太阳能光伏发电项目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因尚处于初创期，对公司正常 生产经营不会造成影响。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公司基于创新销售模式，加大 销售力度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因尚处于初创期，对公司正常 生产经营不会造成影响。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公司基于创新销售模式，加大 销售力度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因尚处于初创期，对公司正常 生产经营不会造成影响。</w:t>
            </w:r>
          </w:p>
        </w:tc>
      </w:tr>
      <w:tr>
        <w:trPr>
          <w:trHeight w:val="169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深圳连硕自动化科技有限公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2" w:lineRule="auto" w:before="6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月出资投资连硕自动 化；</w:t>
            </w:r>
          </w:p>
          <w:p>
            <w:pPr>
              <w:pStyle w:val="TableParagraph"/>
              <w:spacing w:line="240" w:lineRule="auto" w:before="6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、因战略投资的调整，</w:t>
            </w:r>
            <w:r>
              <w:rPr>
                <w:rFonts w:ascii="Times New Roman" w:hAnsi="Times New Roman" w:cs="Times New Roman" w:eastAsia="Times New Roman" w:hint="default"/>
                <w:sz w:val="18"/>
                <w:szCs w:val="18"/>
              </w:rPr>
              <w:t>2014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月收回所有的投资款；</w:t>
            </w:r>
          </w:p>
        </w:tc>
        <w:tc>
          <w:tcPr>
            <w:tcW w:w="23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4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、以现金方式投资取得股权；</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、转让股权收回现金</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07" w:lineRule="auto"/>
              <w:ind w:left="11" w:right="23"/>
              <w:jc w:val="left"/>
              <w:rPr>
                <w:rFonts w:ascii="宋体" w:hAnsi="宋体" w:cs="宋体" w:eastAsia="宋体" w:hint="default"/>
                <w:sz w:val="18"/>
                <w:szCs w:val="18"/>
              </w:rPr>
            </w:pPr>
            <w:r>
              <w:rPr>
                <w:rFonts w:ascii="宋体" w:hAnsi="宋体" w:cs="宋体" w:eastAsia="宋体" w:hint="default"/>
                <w:sz w:val="18"/>
                <w:szCs w:val="18"/>
              </w:rPr>
              <w:t>公司出资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2,078.95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万元，按照 </w:t>
            </w:r>
            <w:r>
              <w:rPr>
                <w:rFonts w:ascii="Times New Roman" w:hAnsi="Times New Roman" w:cs="Times New Roman" w:eastAsia="Times New Roman" w:hint="default"/>
                <w:sz w:val="18"/>
                <w:szCs w:val="18"/>
              </w:rPr>
              <w:t>20%</w:t>
            </w:r>
            <w:r>
              <w:rPr>
                <w:rFonts w:ascii="宋体" w:hAnsi="宋体" w:cs="宋体" w:eastAsia="宋体" w:hint="default"/>
                <w:sz w:val="18"/>
                <w:szCs w:val="18"/>
              </w:rPr>
              <w:t>的年化利率收回所有本金 及投资收益共计人民币 </w:t>
            </w:r>
            <w:r>
              <w:rPr>
                <w:rFonts w:ascii="Times New Roman" w:hAnsi="Times New Roman" w:cs="Times New Roman" w:eastAsia="Times New Roman" w:hint="default"/>
                <w:sz w:val="18"/>
                <w:szCs w:val="18"/>
              </w:rPr>
              <w:t>2,494.74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公司基于扩展逆变器生产和 产业布局的需要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以现金方式投资取得股权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因尚处于初创期，对公司正常 生产经营不会造成影响。</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公司报告期无非募集资金投资的重大项目。</w:t>
      </w:r>
    </w:p>
    <w:p>
      <w:pPr>
        <w:spacing w:line="240" w:lineRule="auto" w:before="5"/>
        <w:rPr>
          <w:rFonts w:ascii="宋体" w:hAnsi="宋体" w:cs="宋体" w:eastAsia="宋体" w:hint="default"/>
          <w:sz w:val="18"/>
          <w:szCs w:val="18"/>
        </w:rPr>
      </w:pPr>
    </w:p>
    <w:p>
      <w:pPr>
        <w:pStyle w:val="Heading2"/>
        <w:spacing w:line="240" w:lineRule="auto"/>
        <w:ind w:left="154" w:right="0"/>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（一）行业竞争格局</w:t>
      </w:r>
    </w:p>
    <w:p>
      <w:pPr>
        <w:pStyle w:val="BodyText"/>
        <w:spacing w:line="338" w:lineRule="auto" w:before="116"/>
        <w:ind w:left="514" w:right="106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开关电源行业市场现状 随着</w:t>
      </w:r>
      <w:r>
        <w:rPr>
          <w:rFonts w:ascii="Times New Roman" w:hAnsi="Times New Roman" w:cs="Times New Roman" w:eastAsia="Times New Roman" w:hint="default"/>
        </w:rPr>
        <w:t>LED</w:t>
      </w:r>
      <w:r>
        <w:rPr/>
        <w:t>照明行业的快速发展，</w:t>
      </w:r>
      <w:r>
        <w:rPr>
          <w:rFonts w:ascii="Times New Roman" w:hAnsi="Times New Roman" w:cs="Times New Roman" w:eastAsia="Times New Roman" w:hint="default"/>
        </w:rPr>
        <w:t>LED</w:t>
      </w:r>
      <w:r>
        <w:rPr/>
        <w:t>电源市场也快速膨胀。一方面，传统电源厂商纷纷推出</w:t>
      </w:r>
      <w:r>
        <w:rPr>
          <w:rFonts w:ascii="Times New Roman" w:hAnsi="Times New Roman" w:cs="Times New Roman" w:eastAsia="Times New Roman" w:hint="default"/>
        </w:rPr>
        <w:t>LED</w:t>
      </w:r>
      <w:r>
        <w:rPr/>
        <w:t>电源产品，另一方面，</w:t>
      </w:r>
    </w:p>
    <w:p>
      <w:pPr>
        <w:pStyle w:val="BodyText"/>
        <w:spacing w:line="218" w:lineRule="exact"/>
        <w:ind w:left="153" w:right="0"/>
        <w:jc w:val="left"/>
      </w:pPr>
      <w:r>
        <w:rPr/>
        <w:t>众多创业型的企业也纷纷成立。有关专家认为，市场最终会走向少数巨头主导的局面，营销策略和产品质量是胜负的关键。</w:t>
      </w:r>
    </w:p>
    <w:p>
      <w:pPr>
        <w:pStyle w:val="BodyText"/>
        <w:spacing w:line="338" w:lineRule="auto" w:before="117"/>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SPS</w:t>
      </w:r>
      <w:r>
        <w:rPr/>
        <w:t>开关电源行业市场现状 </w:t>
      </w:r>
      <w:r>
        <w:rPr>
          <w:spacing w:val="-1"/>
        </w:rPr>
        <w:t>开关电源市场竞争依然十分激烈。</w:t>
      </w:r>
      <w:r>
        <w:rPr>
          <w:rFonts w:ascii="Times New Roman" w:hAnsi="Times New Roman" w:cs="Times New Roman" w:eastAsia="Times New Roman" w:hint="default"/>
          <w:spacing w:val="-1"/>
        </w:rPr>
        <w:t>SPS</w:t>
      </w:r>
      <w:r>
        <w:rPr>
          <w:spacing w:val="-1"/>
        </w:rPr>
        <w:t>开关电源行业是一个充分市场化的领域，由于下游企业分布广、数量多，对电源</w:t>
      </w:r>
    </w:p>
    <w:p>
      <w:pPr>
        <w:pStyle w:val="BodyText"/>
        <w:spacing w:line="217" w:lineRule="exact"/>
        <w:ind w:left="153" w:right="0"/>
        <w:jc w:val="left"/>
      </w:pPr>
      <w:r>
        <w:rPr/>
        <w:t>产品的品质和价格要求差异较大，使得不同规模、水平的电源企业均可获得一定的市场份额。但随着优势企业技术水平、生</w:t>
      </w:r>
    </w:p>
    <w:p>
      <w:pPr>
        <w:pStyle w:val="BodyText"/>
        <w:spacing w:line="319" w:lineRule="auto" w:before="76"/>
        <w:ind w:left="153" w:right="0"/>
        <w:jc w:val="left"/>
      </w:pPr>
      <w:r>
        <w:rPr>
          <w:spacing w:val="-2"/>
        </w:rPr>
        <w:t>产能力的不断扩大及自身销售网络的不断拓展，以及下游企业对电源在节能、环保等方面要求的提升，小规模电源生产企业</w:t>
      </w:r>
      <w:r>
        <w:rPr>
          <w:spacing w:val="-66"/>
        </w:rPr>
        <w:t> </w:t>
      </w:r>
      <w:r>
        <w:rPr>
          <w:spacing w:val="-66"/>
        </w:rPr>
      </w:r>
      <w:r>
        <w:rPr/>
        <w:t>的市场空间正日趋缩小，拥有专业及规模效应的企业将获得更多客户信赖。</w:t>
      </w:r>
    </w:p>
    <w:p>
      <w:pPr>
        <w:pStyle w:val="BodyText"/>
        <w:spacing w:line="357" w:lineRule="auto" w:before="56"/>
        <w:ind w:left="513" w:right="0"/>
        <w:jc w:val="left"/>
        <w:rPr>
          <w:rFonts w:ascii="Times New Roman" w:hAnsi="Times New Roman" w:cs="Times New Roman" w:eastAsia="Times New Roman" w:hint="default"/>
        </w:rPr>
      </w:pPr>
      <w:r>
        <w:rPr/>
        <w:t>（３）、光伏逆变器行业市场现状 进入</w:t>
      </w:r>
      <w:r>
        <w:rPr>
          <w:rFonts w:ascii="Times New Roman" w:hAnsi="Times New Roman" w:cs="Times New Roman" w:eastAsia="Times New Roman" w:hint="default"/>
        </w:rPr>
        <w:t>2014</w:t>
      </w:r>
      <w:r>
        <w:rPr/>
        <w:t>年以来，我国光伏产业总体发展情况继续向好。全球光伏市场从以欧洲为核心区域逐步向亚洲转移，。</w:t>
      </w:r>
      <w:r>
        <w:rPr>
          <w:rFonts w:ascii="Times New Roman" w:hAnsi="Times New Roman" w:cs="Times New Roman" w:eastAsia="Times New Roman" w:hint="default"/>
        </w:rPr>
        <w:t>2014</w:t>
      </w:r>
    </w:p>
    <w:p>
      <w:pPr>
        <w:pStyle w:val="BodyText"/>
        <w:spacing w:line="214" w:lineRule="exact"/>
        <w:ind w:right="0"/>
        <w:jc w:val="left"/>
      </w:pPr>
      <w:r>
        <w:rPr/>
        <w:t>年上半年，受中国、日本光伏市场规模快速扩大，以及由于美国</w:t>
      </w:r>
      <w:r>
        <w:rPr>
          <w:rFonts w:ascii="Times New Roman" w:hAnsi="Times New Roman" w:cs="Times New Roman" w:eastAsia="Times New Roman" w:hint="default"/>
        </w:rPr>
        <w:t>“</w:t>
      </w:r>
      <w:r>
        <w:rPr/>
        <w:t>双反</w:t>
      </w:r>
      <w:r>
        <w:rPr>
          <w:rFonts w:ascii="Times New Roman" w:hAnsi="Times New Roman" w:cs="Times New Roman" w:eastAsia="Times New Roman" w:hint="default"/>
        </w:rPr>
        <w:t>”</w:t>
      </w:r>
      <w:r>
        <w:rPr/>
        <w:t>而带来的提前出货影响，使得对电池组件需求快速扩</w:t>
      </w:r>
    </w:p>
    <w:p>
      <w:pPr>
        <w:pStyle w:val="BodyText"/>
        <w:spacing w:line="240" w:lineRule="auto" w:before="64"/>
        <w:ind w:left="153" w:right="0"/>
        <w:jc w:val="left"/>
      </w:pPr>
      <w:r>
        <w:rPr/>
        <w:t>大。光伏市场前景非常看好，尤其是亚太地区，受中国和日本市场需求的驱动，亚太市场</w:t>
      </w:r>
      <w:r>
        <w:rPr>
          <w:rFonts w:ascii="Times New Roman" w:hAnsi="Times New Roman" w:cs="Times New Roman" w:eastAsia="Times New Roman" w:hint="default"/>
        </w:rPr>
        <w:t>2014</w:t>
      </w:r>
      <w:r>
        <w:rPr/>
        <w:t>年全年需求增长。</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（二）行业发展趋势</w:t>
      </w:r>
    </w:p>
    <w:p>
      <w:pPr>
        <w:pStyle w:val="BodyText"/>
        <w:spacing w:line="240" w:lineRule="auto" w:before="117"/>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SPS</w:t>
      </w:r>
      <w:r>
        <w:rPr/>
        <w:t>开关电源行业发展趋势</w:t>
      </w:r>
    </w:p>
    <w:p>
      <w:pPr>
        <w:pStyle w:val="BodyText"/>
        <w:spacing w:line="240" w:lineRule="auto" w:before="102"/>
        <w:ind w:left="513" w:right="0"/>
        <w:jc w:val="left"/>
      </w:pPr>
      <w:r>
        <w:rPr/>
        <w:t>①、产品低成本、小型化</w:t>
      </w:r>
    </w:p>
    <w:p>
      <w:pPr>
        <w:pStyle w:val="BodyText"/>
        <w:spacing w:line="240" w:lineRule="auto" w:before="116"/>
        <w:ind w:left="513" w:right="0"/>
        <w:jc w:val="left"/>
      </w:pPr>
      <w:r>
        <w:rPr/>
        <w:t>消费类电子产品价格总体来说是呈逐年下降趋势，</w:t>
      </w:r>
      <w:r>
        <w:rPr>
          <w:spacing w:val="-18"/>
        </w:rPr>
        <w:t> </w:t>
      </w:r>
      <w:r>
        <w:rPr/>
        <w:t>低成本、小型化是市场的主要诉求。</w:t>
      </w:r>
    </w:p>
    <w:p>
      <w:pPr>
        <w:pStyle w:val="BodyText"/>
        <w:spacing w:line="240" w:lineRule="auto" w:before="117"/>
        <w:ind w:left="513" w:right="0"/>
        <w:jc w:val="left"/>
      </w:pPr>
      <w:r>
        <w:rPr/>
        <w:t>②、能耗和环保要求更高</w:t>
      </w:r>
    </w:p>
    <w:p>
      <w:pPr>
        <w:pStyle w:val="BodyText"/>
        <w:spacing w:line="302" w:lineRule="auto" w:before="115"/>
        <w:ind w:left="153" w:right="1120" w:firstLine="360"/>
        <w:jc w:val="left"/>
      </w:pPr>
      <w:r>
        <w:rPr/>
        <w:t>随着能源紧张和人们环保意识加强，</w:t>
      </w:r>
      <w:r>
        <w:rPr>
          <w:spacing w:val="-28"/>
        </w:rPr>
        <w:t> </w:t>
      </w:r>
      <w:r>
        <w:rPr/>
        <w:t>电源产品的能耗等级要求也越来越高，</w:t>
      </w:r>
      <w:r>
        <w:rPr>
          <w:spacing w:val="-29"/>
        </w:rPr>
        <w:t> </w:t>
      </w:r>
      <w:r>
        <w:rPr/>
        <w:t>不久欧洲市场将切入</w:t>
      </w:r>
      <w:r>
        <w:rPr>
          <w:rFonts w:ascii="Times New Roman" w:hAnsi="Times New Roman" w:cs="Times New Roman" w:eastAsia="Times New Roman" w:hint="default"/>
        </w:rPr>
        <w:t>6</w:t>
      </w:r>
      <w:r>
        <w:rPr/>
        <w:t>级能耗标准，</w:t>
      </w:r>
      <w:r>
        <w:rPr>
          <w:spacing w:val="-30"/>
        </w:rPr>
        <w:t> </w:t>
      </w:r>
      <w:r>
        <w:rPr/>
        <w:t>另外</w:t>
      </w:r>
      <w:r>
        <w:rPr/>
        <w:t> 客户也持续提出了更高的环保标准，像无卤化生产，</w:t>
      </w:r>
      <w:r>
        <w:rPr>
          <w:rFonts w:ascii="Times New Roman" w:hAnsi="Times New Roman" w:cs="Times New Roman" w:eastAsia="Times New Roman" w:hint="default"/>
        </w:rPr>
        <w:t>PAH</w:t>
      </w:r>
      <w:r>
        <w:rPr>
          <w:rFonts w:ascii="Times New Roman" w:hAnsi="Times New Roman" w:cs="Times New Roman" w:eastAsia="Times New Roman" w:hint="default"/>
          <w:spacing w:val="27"/>
        </w:rPr>
        <w:t> </w:t>
      </w:r>
      <w:r>
        <w:rPr/>
        <w:t>要求等等。</w:t>
      </w:r>
    </w:p>
    <w:p>
      <w:pPr>
        <w:pStyle w:val="BodyText"/>
        <w:spacing w:line="240" w:lineRule="auto" w:before="50"/>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驱动电源行业发展趋势</w:t>
      </w:r>
    </w:p>
    <w:p>
      <w:pPr>
        <w:pStyle w:val="BodyText"/>
        <w:spacing w:line="300" w:lineRule="auto" w:before="102"/>
        <w:ind w:left="153" w:right="1059" w:firstLine="360"/>
        <w:jc w:val="both"/>
      </w:pPr>
      <w:r>
        <w:rPr>
          <w:rFonts w:ascii="Times New Roman" w:hAnsi="Times New Roman" w:cs="Times New Roman" w:eastAsia="Times New Roman" w:hint="default"/>
        </w:rPr>
        <w:t>2015</w:t>
      </w:r>
      <w:r>
        <w:rPr/>
        <w:t>年将是</w:t>
      </w:r>
      <w:r>
        <w:rPr>
          <w:rFonts w:ascii="Times New Roman" w:hAnsi="Times New Roman" w:cs="Times New Roman" w:eastAsia="Times New Roman" w:hint="default"/>
        </w:rPr>
        <w:t>LED</w:t>
      </w:r>
      <w:r>
        <w:rPr/>
        <w:t>照明行业风雨变化的一年，中国</w:t>
      </w:r>
      <w:r>
        <w:rPr>
          <w:rFonts w:ascii="Times New Roman" w:hAnsi="Times New Roman" w:cs="Times New Roman" w:eastAsia="Times New Roman" w:hint="default"/>
        </w:rPr>
        <w:t>LED</w:t>
      </w:r>
      <w:r>
        <w:rPr/>
        <w:t>市场从技术驱动向应用驱动转变，</w:t>
      </w:r>
      <w:r>
        <w:rPr>
          <w:rFonts w:ascii="Times New Roman" w:hAnsi="Times New Roman" w:cs="Times New Roman" w:eastAsia="Times New Roman" w:hint="default"/>
        </w:rPr>
        <w:t>LED</w:t>
      </w:r>
      <w:r>
        <w:rPr/>
        <w:t>照明市场空间打开，需求成 </w:t>
      </w:r>
      <w:r>
        <w:rPr>
          <w:spacing w:val="-2"/>
        </w:rPr>
        <w:t>倍扩大。同时，行业的高度发展也促使投资与整合活跃资源进一步集中，</w:t>
      </w:r>
      <w:r>
        <w:rPr>
          <w:rFonts w:ascii="Times New Roman" w:hAnsi="Times New Roman" w:cs="Times New Roman" w:eastAsia="Times New Roman" w:hint="default"/>
          <w:spacing w:val="-2"/>
        </w:rPr>
        <w:t>LED</w:t>
      </w:r>
      <w:r>
        <w:rPr>
          <w:spacing w:val="-2"/>
        </w:rPr>
        <w:t>照明市场的整合并购更加频繁，战略意图更加</w:t>
      </w:r>
      <w:r>
        <w:rPr>
          <w:spacing w:val="-53"/>
        </w:rPr>
        <w:t> </w:t>
      </w:r>
      <w:r>
        <w:rPr>
          <w:spacing w:val="-53"/>
        </w:rPr>
      </w:r>
      <w:r>
        <w:rPr>
          <w:spacing w:val="-2"/>
        </w:rPr>
        <w:t>多元化，优势资源进一步向行业龙头集中。行业的加速整合使得</w:t>
      </w:r>
      <w:r>
        <w:rPr>
          <w:rFonts w:ascii="Times New Roman" w:hAnsi="Times New Roman" w:cs="Times New Roman" w:eastAsia="Times New Roman" w:hint="default"/>
          <w:spacing w:val="-2"/>
        </w:rPr>
        <w:t>LED</w:t>
      </w:r>
      <w:r>
        <w:rPr>
          <w:spacing w:val="-2"/>
        </w:rPr>
        <w:t>市场有望推动产业进入新一轮周期。随着市场的相对成</w:t>
      </w:r>
      <w:r>
        <w:rPr>
          <w:spacing w:val="-53"/>
        </w:rPr>
        <w:t> </w:t>
      </w:r>
      <w:r>
        <w:rPr>
          <w:spacing w:val="-53"/>
        </w:rPr>
      </w:r>
      <w:r>
        <w:rPr/>
        <w:t>熟，企业竞争已由开始的技术竞争向规模以及成本的综合实力转变，整个</w:t>
      </w:r>
      <w:r>
        <w:rPr>
          <w:rFonts w:ascii="Times New Roman" w:hAnsi="Times New Roman" w:cs="Times New Roman" w:eastAsia="Times New Roman" w:hint="default"/>
        </w:rPr>
        <w:t>LED</w:t>
      </w:r>
      <w:r>
        <w:rPr/>
        <w:t>行业呈现出需求旺盛与竞争激烈并存的格局。</w:t>
      </w:r>
    </w:p>
    <w:p>
      <w:pPr>
        <w:pStyle w:val="BodyText"/>
        <w:spacing w:line="338" w:lineRule="auto" w:before="52"/>
        <w:ind w:left="513" w:right="0"/>
        <w:jc w:val="left"/>
      </w:pPr>
      <w:r>
        <w:rPr/>
        <w:t>（</w:t>
      </w:r>
      <w:r>
        <w:rPr>
          <w:rFonts w:ascii="Times New Roman" w:hAnsi="Times New Roman" w:cs="Times New Roman" w:eastAsia="Times New Roman" w:hint="default"/>
        </w:rPr>
        <w:t>3</w:t>
      </w:r>
      <w:r>
        <w:rPr/>
        <w:t>）、光伏逆变器行业发展趋势 </w:t>
      </w:r>
      <w:r>
        <w:rPr>
          <w:spacing w:val="-2"/>
        </w:rPr>
        <w:t>在市场需求的拉动下，我国的光伏发电行业链规模已经形成。从区域分布来看，中国光伏发电产业已经形成四个产业集</w:t>
      </w:r>
    </w:p>
    <w:p>
      <w:pPr>
        <w:pStyle w:val="BodyText"/>
        <w:spacing w:line="316" w:lineRule="auto" w:before="2"/>
        <w:ind w:left="153" w:right="1033"/>
        <w:jc w:val="left"/>
      </w:pPr>
      <w:r>
        <w:rPr>
          <w:spacing w:val="-2"/>
        </w:rPr>
        <w:t>聚区，环渤海地区、长三角地区、珠三角地区和中西部地区。从我国未来社会经济发展战略路径看，发展太阳能光伏产业是</w:t>
      </w:r>
      <w:r>
        <w:rPr>
          <w:spacing w:val="-66"/>
        </w:rPr>
        <w:t> </w:t>
      </w:r>
      <w:r>
        <w:rPr>
          <w:spacing w:val="-66"/>
        </w:rPr>
      </w:r>
      <w:r>
        <w:rPr/>
        <w:t>我国保障能源供应、建设低碳社会、推动经济结构调整、培育战略性新兴产业的重要方向。国家加大了光伏产业扶持力度， </w:t>
      </w:r>
      <w:r>
        <w:rPr>
          <w:spacing w:val="-4"/>
        </w:rPr>
        <w:t>国家电网也出台政策大力支持分布式光伏发电，这些都促使光伏装机容量迅速增长。</w:t>
      </w:r>
      <w:r>
        <w:rPr>
          <w:rFonts w:ascii="Times New Roman" w:hAnsi="Times New Roman" w:cs="Times New Roman" w:eastAsia="Times New Roman" w:hint="default"/>
          <w:spacing w:val="-4"/>
        </w:rPr>
        <w:t>2015</w:t>
      </w:r>
      <w:r>
        <w:rPr>
          <w:spacing w:val="-4"/>
        </w:rPr>
        <w:t>年，我国每年新增的光伏装机容量、</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分布式光伏发电和并网光伏发电数量也将显著增加</w:t>
      </w:r>
      <w:r>
        <w:rPr>
          <w:spacing w:val="-87"/>
        </w:rPr>
        <w:t>。</w:t>
      </w:r>
      <w:r>
        <w:rPr/>
        <w:t>随着国内市场的逐步启动</w:t>
      </w:r>
      <w:r>
        <w:rPr>
          <w:spacing w:val="-87"/>
        </w:rPr>
        <w:t>，</w:t>
      </w:r>
      <w:r>
        <w:rPr/>
        <w:t>中国正逐渐成为全球最重要的光伏市场之一。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13" w:right="7153"/>
        <w:jc w:val="left"/>
      </w:pPr>
      <w:r>
        <w:rPr/>
        <w:t>（三）发展战略 公司未来主要将着眼以下几点进行发展：</w:t>
      </w:r>
    </w:p>
    <w:p>
      <w:pPr>
        <w:pStyle w:val="BodyText"/>
        <w:spacing w:line="309" w:lineRule="auto" w:before="27"/>
        <w:ind w:right="1131" w:firstLine="360"/>
        <w:jc w:val="both"/>
      </w:pPr>
      <w:r>
        <w:rPr/>
        <w:t>（</w:t>
      </w:r>
      <w:r>
        <w:rPr>
          <w:rFonts w:ascii="Times New Roman" w:hAnsi="Times New Roman" w:cs="Times New Roman" w:eastAsia="Times New Roman" w:hint="default"/>
        </w:rPr>
        <w:t>1</w:t>
      </w:r>
      <w:r>
        <w:rPr/>
        <w:t>）开关电源方面，公司募投项目已启用，现有部分产线已正式生产，公司从去年就开始积极联系客户，现已有部分 </w:t>
      </w:r>
      <w:r>
        <w:rPr>
          <w:spacing w:val="-2"/>
        </w:rPr>
        <w:t>客户开始审厂通过，公司自动化生产效率的提高和大客户制订专线服务的理念得到客户的认可，为进一步提升盈利能力做出</w:t>
      </w:r>
      <w:r>
        <w:rPr>
          <w:spacing w:val="-64"/>
        </w:rPr>
        <w:t> </w:t>
      </w:r>
      <w:r>
        <w:rPr>
          <w:spacing w:val="-64"/>
        </w:rPr>
      </w:r>
      <w:r>
        <w:rPr/>
        <w:t>重要贡献。</w:t>
      </w:r>
    </w:p>
    <w:p>
      <w:pPr>
        <w:pStyle w:val="BodyText"/>
        <w:spacing w:line="302" w:lineRule="auto" w:before="64"/>
        <w:ind w:right="1118" w:firstLine="36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LED</w:t>
      </w:r>
      <w:r>
        <w:rPr>
          <w:spacing w:val="-1"/>
        </w:rPr>
        <w:t>驱动电源方面，公司的新产品</w:t>
      </w:r>
      <w:r>
        <w:rPr>
          <w:rFonts w:ascii="Times New Roman" w:hAnsi="Times New Roman" w:cs="Times New Roman" w:eastAsia="Times New Roman" w:hint="default"/>
          <w:spacing w:val="-1"/>
        </w:rPr>
        <w:t>G5H</w:t>
      </w:r>
      <w:r>
        <w:rPr>
          <w:spacing w:val="-1"/>
        </w:rPr>
        <w:t>和</w:t>
      </w:r>
      <w:r>
        <w:rPr>
          <w:rFonts w:ascii="Times New Roman" w:hAnsi="Times New Roman" w:cs="Times New Roman" w:eastAsia="Times New Roman" w:hint="default"/>
          <w:spacing w:val="-1"/>
        </w:rPr>
        <w:t>G6</w:t>
      </w:r>
      <w:r>
        <w:rPr>
          <w:spacing w:val="-1"/>
        </w:rPr>
        <w:t>产品的标准化自适应调节功能，标准品的生产有效的降低了公司的制</w:t>
      </w:r>
      <w:r>
        <w:rPr/>
        <w:t> 造成本</w:t>
      </w:r>
      <w:r>
        <w:rPr>
          <w:spacing w:val="-19"/>
        </w:rPr>
        <w:t> </w:t>
      </w:r>
      <w:r>
        <w:rPr/>
        <w:t>，使在一定的功率区间的设计需求得到满足。</w:t>
      </w:r>
    </w:p>
    <w:p>
      <w:pPr>
        <w:pStyle w:val="BodyText"/>
        <w:spacing w:line="302" w:lineRule="auto" w:before="68"/>
        <w:ind w:right="1122" w:firstLine="360"/>
        <w:jc w:val="left"/>
      </w:pPr>
      <w:r>
        <w:rPr/>
        <w:t>（</w:t>
      </w:r>
      <w:r>
        <w:rPr>
          <w:rFonts w:ascii="Times New Roman" w:hAnsi="Times New Roman" w:cs="Times New Roman" w:eastAsia="Times New Roman" w:hint="default"/>
        </w:rPr>
        <w:t>3</w:t>
      </w:r>
      <w:r>
        <w:rPr/>
        <w:t>）重点发展光伏电站应用领域，进一步发挥光伏电站和光伏逆变器产品销售的协同作用，掌握市场主动权，为公司 储备优质资产，实现对接平台，让更多的优势资源得到应用。</w:t>
      </w:r>
    </w:p>
    <w:p>
      <w:pPr>
        <w:pStyle w:val="BodyText"/>
        <w:spacing w:line="240" w:lineRule="auto" w:before="69"/>
        <w:ind w:left="514" w:right="0"/>
        <w:jc w:val="left"/>
      </w:pPr>
      <w:r>
        <w:rPr/>
        <w:t>（</w:t>
      </w:r>
      <w:r>
        <w:rPr>
          <w:rFonts w:ascii="Times New Roman" w:hAnsi="Times New Roman" w:cs="Times New Roman" w:eastAsia="Times New Roman" w:hint="default"/>
        </w:rPr>
        <w:t>4</w:t>
      </w:r>
      <w:r>
        <w:rPr/>
        <w:t>）开拓充电桩市场，作好技术储备，争取与大客户实现战略合作，加大市场拓展力度。</w:t>
      </w:r>
    </w:p>
    <w:p>
      <w:pPr>
        <w:pStyle w:val="BodyText"/>
        <w:spacing w:line="240" w:lineRule="auto" w:before="103"/>
        <w:ind w:left="51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FPC</w:t>
      </w:r>
      <w:r>
        <w:rPr/>
        <w:t>方面的协同发展，除巩固行业地位之外，未来将向智能穿戴方向延伸，以及配合上市公司自身的优势和平台。</w:t>
      </w:r>
    </w:p>
    <w:p>
      <w:pPr>
        <w:pStyle w:val="BodyText"/>
        <w:spacing w:line="302" w:lineRule="auto" w:before="101"/>
        <w:ind w:right="0" w:firstLine="360"/>
        <w:jc w:val="left"/>
      </w:pPr>
      <w:r>
        <w:rPr/>
        <w:t>（</w:t>
      </w:r>
      <w:r>
        <w:rPr>
          <w:rFonts w:ascii="Times New Roman" w:hAnsi="Times New Roman" w:cs="Times New Roman" w:eastAsia="Times New Roman" w:hint="default"/>
        </w:rPr>
        <w:t>6</w:t>
      </w:r>
      <w:r>
        <w:rPr/>
        <w:t>）投资方面，</w:t>
      </w:r>
      <w:r>
        <w:rPr>
          <w:rFonts w:ascii="Times New Roman" w:hAnsi="Times New Roman" w:cs="Times New Roman" w:eastAsia="Times New Roman" w:hint="default"/>
        </w:rPr>
        <w:t>VC</w:t>
      </w:r>
      <w:r>
        <w:rPr/>
        <w:t>、</w:t>
      </w:r>
      <w:r>
        <w:rPr>
          <w:rFonts w:ascii="Times New Roman" w:hAnsi="Times New Roman" w:cs="Times New Roman" w:eastAsia="Times New Roman" w:hint="default"/>
        </w:rPr>
        <w:t>PE</w:t>
      </w:r>
      <w:r>
        <w:rPr/>
        <w:t>方面主要投资产业范围包括新能源、新技术、新材料、机器人自动化、大数据、移动互联网 等，投资并购方面会围绕茂硕电源主业，加大并购及控股有价值企业的力度，从而快速提升公司市场竞争力。</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514" w:right="0"/>
        <w:jc w:val="left"/>
      </w:pPr>
      <w:r>
        <w:rPr/>
        <w:t>（四）</w:t>
      </w:r>
      <w:r>
        <w:rPr>
          <w:rFonts w:ascii="Times New Roman" w:hAnsi="Times New Roman" w:cs="Times New Roman" w:eastAsia="Times New Roman" w:hint="default"/>
        </w:rPr>
        <w:t>2015</w:t>
      </w:r>
      <w:r>
        <w:rPr/>
        <w:t>年年度经营计划</w:t>
      </w:r>
    </w:p>
    <w:p>
      <w:pPr>
        <w:pStyle w:val="BodyText"/>
        <w:spacing w:line="240" w:lineRule="auto" w:before="102"/>
        <w:ind w:left="514" w:right="0"/>
        <w:jc w:val="left"/>
      </w:pPr>
      <w:r>
        <w:rPr>
          <w:rFonts w:ascii="Times New Roman" w:hAnsi="Times New Roman" w:cs="Times New Roman" w:eastAsia="Times New Roman" w:hint="default"/>
        </w:rPr>
        <w:t>1</w:t>
      </w:r>
      <w:r>
        <w:rPr/>
        <w:t>、市场营销方面：</w:t>
      </w:r>
    </w:p>
    <w:p>
      <w:pPr>
        <w:pStyle w:val="BodyText"/>
        <w:spacing w:line="240" w:lineRule="auto" w:before="102"/>
        <w:ind w:left="514" w:right="0"/>
        <w:jc w:val="left"/>
      </w:pPr>
      <w:r>
        <w:rPr/>
        <w:t>（</w:t>
      </w:r>
      <w:r>
        <w:rPr>
          <w:rFonts w:ascii="Times New Roman" w:hAnsi="Times New Roman" w:cs="Times New Roman" w:eastAsia="Times New Roman" w:hint="default"/>
        </w:rPr>
        <w:t>1</w:t>
      </w:r>
      <w:r>
        <w:rPr/>
        <w:t>）提升销售内部运作管理，提升客户服务满意度，赢得客户持久信赖。</w:t>
      </w:r>
    </w:p>
    <w:p>
      <w:pPr>
        <w:pStyle w:val="BodyText"/>
        <w:spacing w:line="240" w:lineRule="auto" w:before="103"/>
        <w:ind w:left="513" w:right="0"/>
        <w:jc w:val="left"/>
      </w:pPr>
      <w:r>
        <w:rPr/>
        <w:t>（</w:t>
      </w:r>
      <w:r>
        <w:rPr>
          <w:rFonts w:ascii="Times New Roman" w:hAnsi="Times New Roman" w:cs="Times New Roman" w:eastAsia="Times New Roman" w:hint="default"/>
        </w:rPr>
        <w:t>2</w:t>
      </w:r>
      <w:r>
        <w:rPr/>
        <w:t>）拓展销集渠道，继续在热点地区投入较多的资源，确保对该区域建立较强的品牌影响力及市场占有率。</w:t>
      </w:r>
    </w:p>
    <w:p>
      <w:pPr>
        <w:pStyle w:val="BodyText"/>
        <w:spacing w:line="309" w:lineRule="auto" w:before="101"/>
        <w:ind w:right="1132" w:firstLine="360"/>
        <w:jc w:val="both"/>
      </w:pPr>
      <w:r>
        <w:rPr/>
        <w:t>（</w:t>
      </w:r>
      <w:r>
        <w:rPr>
          <w:rFonts w:ascii="Times New Roman" w:hAnsi="Times New Roman" w:cs="Times New Roman" w:eastAsia="Times New Roman" w:hint="default"/>
        </w:rPr>
        <w:t>3</w:t>
      </w:r>
      <w:r>
        <w:rPr/>
        <w:t>）对客户进行分级管理，调动公司资源，一切以客户为导向，提高客户服务质量，建立长久的战略合作关系：一方 </w:t>
      </w:r>
      <w:r>
        <w:rPr>
          <w:spacing w:val="-2"/>
        </w:rPr>
        <w:t>面，确定战略性重点客户，公司层面整合资源全力把战略大客户做大、做强；另一方面，对现存大客户制定翔实计划确保新</w:t>
      </w:r>
      <w:r>
        <w:rPr>
          <w:spacing w:val="-66"/>
        </w:rPr>
        <w:t> </w:t>
      </w:r>
      <w:r>
        <w:rPr>
          <w:spacing w:val="-66"/>
        </w:rPr>
      </w:r>
      <w:r>
        <w:rPr/>
        <w:t>项目的导入，提高占有率。</w:t>
      </w:r>
    </w:p>
    <w:p>
      <w:pPr>
        <w:pStyle w:val="BodyText"/>
        <w:spacing w:line="302" w:lineRule="auto" w:before="62"/>
        <w:ind w:right="1122" w:firstLine="360"/>
        <w:jc w:val="left"/>
      </w:pPr>
      <w:r>
        <w:rPr/>
        <w:t>（</w:t>
      </w:r>
      <w:r>
        <w:rPr>
          <w:rFonts w:ascii="Times New Roman" w:hAnsi="Times New Roman" w:cs="Times New Roman" w:eastAsia="Times New Roman" w:hint="default"/>
        </w:rPr>
        <w:t>3</w:t>
      </w:r>
      <w:r>
        <w:rPr/>
        <w:t>）优化销售模式，加强以直销模式为主、代理及分销模式为辅及特殊渠道为补充的多渠道分销，以达到销量、利润 及品牌目标的平衡发展。</w:t>
      </w:r>
    </w:p>
    <w:p>
      <w:pPr>
        <w:pStyle w:val="BodyText"/>
        <w:spacing w:line="240" w:lineRule="auto" w:before="70"/>
        <w:ind w:left="514" w:right="0"/>
        <w:jc w:val="left"/>
      </w:pPr>
      <w:r>
        <w:rPr>
          <w:rFonts w:ascii="Times New Roman" w:hAnsi="Times New Roman" w:cs="Times New Roman" w:eastAsia="Times New Roman" w:hint="default"/>
        </w:rPr>
        <w:t>2</w:t>
      </w:r>
      <w:r>
        <w:rPr/>
        <w:t>、产品研发及创新方面：</w:t>
      </w:r>
    </w:p>
    <w:p>
      <w:pPr>
        <w:pStyle w:val="BodyText"/>
        <w:spacing w:line="302" w:lineRule="auto" w:before="101"/>
        <w:ind w:right="1161" w:firstLine="360"/>
        <w:jc w:val="left"/>
      </w:pPr>
      <w:r>
        <w:rPr/>
        <w:t>（</w:t>
      </w:r>
      <w:r>
        <w:rPr>
          <w:rFonts w:ascii="Times New Roman" w:hAnsi="Times New Roman" w:cs="Times New Roman" w:eastAsia="Times New Roman" w:hint="default"/>
        </w:rPr>
        <w:t>1</w:t>
      </w:r>
      <w:r>
        <w:rPr/>
        <w:t>）产品标准化规划的改善，建立</w:t>
      </w:r>
      <w:r>
        <w:rPr>
          <w:rFonts w:ascii="Times New Roman" w:hAnsi="Times New Roman" w:cs="Times New Roman" w:eastAsia="Times New Roman" w:hint="default"/>
        </w:rPr>
        <w:t>PCB</w:t>
      </w:r>
      <w:r>
        <w:rPr/>
        <w:t>元器件标准库：图纸标准化；原理图和</w:t>
      </w:r>
      <w:r>
        <w:rPr>
          <w:rFonts w:ascii="Times New Roman" w:hAnsi="Times New Roman" w:cs="Times New Roman" w:eastAsia="Times New Roman" w:hint="default"/>
        </w:rPr>
        <w:t>PCB</w:t>
      </w:r>
      <w:r>
        <w:rPr/>
        <w:t>统一使用元器件库里的元器件，实 现器件选型归一化，降低成本。</w:t>
      </w:r>
    </w:p>
    <w:p>
      <w:pPr>
        <w:pStyle w:val="BodyText"/>
        <w:spacing w:line="240" w:lineRule="auto" w:before="69"/>
        <w:ind w:left="514" w:right="0"/>
        <w:jc w:val="left"/>
      </w:pPr>
      <w:r>
        <w:rPr/>
        <w:t>（</w:t>
      </w:r>
      <w:r>
        <w:rPr>
          <w:rFonts w:ascii="Times New Roman" w:hAnsi="Times New Roman" w:cs="Times New Roman" w:eastAsia="Times New Roman" w:hint="default"/>
        </w:rPr>
        <w:t>2</w:t>
      </w:r>
      <w:r>
        <w:rPr/>
        <w:t>）建立并运行物料替代流程，规范物料替代的判定标准；新产品设计输出确保满足物料替代要求。</w:t>
      </w:r>
    </w:p>
    <w:p>
      <w:pPr>
        <w:pStyle w:val="BodyText"/>
        <w:spacing w:line="302" w:lineRule="auto" w:before="102"/>
        <w:ind w:right="1122" w:firstLine="360"/>
        <w:jc w:val="left"/>
      </w:pPr>
      <w:r>
        <w:rPr/>
        <w:t>（</w:t>
      </w:r>
      <w:r>
        <w:rPr>
          <w:rFonts w:ascii="Times New Roman" w:hAnsi="Times New Roman" w:cs="Times New Roman" w:eastAsia="Times New Roman" w:hint="default"/>
        </w:rPr>
        <w:t>3</w:t>
      </w:r>
      <w:r>
        <w:rPr/>
        <w:t>）全面梳理现有产品中存在的生产异常与设计有关的问题，并进行有重点、有针对性的技术攻关，降低生产和维护 成本。</w:t>
      </w:r>
    </w:p>
    <w:p>
      <w:pPr>
        <w:pStyle w:val="BodyText"/>
        <w:spacing w:line="302" w:lineRule="auto" w:before="68"/>
        <w:ind w:right="1122" w:firstLine="360"/>
        <w:jc w:val="left"/>
      </w:pPr>
      <w:r>
        <w:rPr/>
        <w:t>（</w:t>
      </w:r>
      <w:r>
        <w:rPr>
          <w:rFonts w:ascii="Times New Roman" w:hAnsi="Times New Roman" w:cs="Times New Roman" w:eastAsia="Times New Roman" w:hint="default"/>
        </w:rPr>
        <w:t>4</w:t>
      </w:r>
      <w:r>
        <w:rPr/>
        <w:t>）全面梳理、优化现有研发流程，组织培训并顺利运行相关流程计划，建立研发项目总结制度，持续提升研发项目 管理水平。</w:t>
      </w:r>
    </w:p>
    <w:p>
      <w:pPr>
        <w:pStyle w:val="BodyText"/>
        <w:spacing w:line="240" w:lineRule="auto" w:before="69"/>
        <w:ind w:left="514" w:right="0"/>
        <w:jc w:val="left"/>
      </w:pPr>
      <w:r>
        <w:rPr/>
        <w:t>（</w:t>
      </w:r>
      <w:r>
        <w:rPr>
          <w:rFonts w:ascii="Times New Roman" w:hAnsi="Times New Roman" w:cs="Times New Roman" w:eastAsia="Times New Roman" w:hint="default"/>
        </w:rPr>
        <w:t>5</w:t>
      </w:r>
      <w:r>
        <w:rPr/>
        <w:t>）建立设计经验案例库，增强公司技术积累。</w:t>
      </w:r>
    </w:p>
    <w:p>
      <w:pPr>
        <w:pStyle w:val="BodyText"/>
        <w:spacing w:line="240" w:lineRule="auto" w:before="103"/>
        <w:ind w:left="514" w:right="0"/>
        <w:jc w:val="left"/>
      </w:pPr>
      <w:r>
        <w:rPr/>
        <w:t>（</w:t>
      </w:r>
      <w:r>
        <w:rPr>
          <w:rFonts w:ascii="Times New Roman" w:hAnsi="Times New Roman" w:cs="Times New Roman" w:eastAsia="Times New Roman" w:hint="default"/>
        </w:rPr>
        <w:t>6</w:t>
      </w:r>
      <w:r>
        <w:rPr/>
        <w:t>）优化研发团队，对现有研发核心骨干进行甄选及保留，进一步完成团队整合。</w:t>
      </w:r>
    </w:p>
    <w:p>
      <w:pPr>
        <w:pStyle w:val="BodyText"/>
        <w:spacing w:line="240" w:lineRule="auto" w:before="102"/>
        <w:ind w:left="513" w:right="0"/>
        <w:jc w:val="left"/>
      </w:pPr>
      <w:r>
        <w:rPr>
          <w:rFonts w:ascii="Times New Roman" w:hAnsi="Times New Roman" w:cs="Times New Roman" w:eastAsia="Times New Roman" w:hint="default"/>
        </w:rPr>
        <w:t>3</w:t>
      </w:r>
      <w:r>
        <w:rPr/>
        <w:t>、人才引进及培养方面：</w:t>
      </w:r>
    </w:p>
    <w:p>
      <w:pPr>
        <w:pStyle w:val="BodyText"/>
        <w:spacing w:line="240" w:lineRule="auto" w:before="102"/>
        <w:ind w:left="514" w:right="0"/>
        <w:jc w:val="left"/>
      </w:pPr>
      <w:r>
        <w:rPr/>
        <w:t>（</w:t>
      </w:r>
      <w:r>
        <w:rPr>
          <w:rFonts w:ascii="Times New Roman" w:hAnsi="Times New Roman" w:cs="Times New Roman" w:eastAsia="Times New Roman" w:hint="default"/>
        </w:rPr>
        <w:t>1</w:t>
      </w:r>
      <w:r>
        <w:rPr/>
        <w:t>）建立人才录用评选机制，选择适合于公司发展的人员。</w:t>
      </w:r>
    </w:p>
    <w:p>
      <w:pPr>
        <w:pStyle w:val="BodyText"/>
        <w:spacing w:line="240" w:lineRule="auto" w:before="104"/>
        <w:ind w:left="514" w:right="0"/>
        <w:jc w:val="left"/>
      </w:pPr>
      <w:r>
        <w:rPr/>
        <w:t>（</w:t>
      </w:r>
      <w:r>
        <w:rPr>
          <w:rFonts w:ascii="Times New Roman" w:hAnsi="Times New Roman" w:cs="Times New Roman" w:eastAsia="Times New Roman" w:hint="default"/>
        </w:rPr>
        <w:t>2</w:t>
      </w:r>
      <w:r>
        <w:rPr/>
        <w:t>）对薪酬方案作进一步完善，提升薪酬竞争优势。</w:t>
      </w:r>
    </w:p>
    <w:p>
      <w:pPr>
        <w:pStyle w:val="BodyText"/>
        <w:spacing w:line="240" w:lineRule="auto" w:before="102"/>
        <w:ind w:left="514" w:right="0"/>
        <w:jc w:val="left"/>
      </w:pPr>
      <w:r>
        <w:rPr/>
        <w:t>（</w:t>
      </w:r>
      <w:r>
        <w:rPr>
          <w:rFonts w:ascii="Times New Roman" w:hAnsi="Times New Roman" w:cs="Times New Roman" w:eastAsia="Times New Roman" w:hint="default"/>
        </w:rPr>
        <w:t>3</w:t>
      </w:r>
      <w:r>
        <w:rPr/>
        <w:t>）完善内部培训机制，优化培训课题，重点往人员素质及工作技能提升方面倾斜。</w:t>
      </w:r>
    </w:p>
    <w:p>
      <w:pPr>
        <w:pStyle w:val="BodyText"/>
        <w:spacing w:line="240" w:lineRule="auto" w:before="102"/>
        <w:ind w:left="513" w:right="0"/>
        <w:jc w:val="left"/>
      </w:pPr>
      <w:r>
        <w:rPr/>
        <w:t>（</w:t>
      </w:r>
      <w:r>
        <w:rPr>
          <w:rFonts w:ascii="Times New Roman" w:hAnsi="Times New Roman" w:cs="Times New Roman" w:eastAsia="Times New Roman" w:hint="default"/>
        </w:rPr>
        <w:t>4</w:t>
      </w:r>
      <w:r>
        <w:rPr/>
        <w:t>）多方面，多形式开展内部活动，提升员工对企业文化的认可度。</w:t>
      </w:r>
    </w:p>
    <w:p>
      <w:pPr>
        <w:pStyle w:val="BodyText"/>
        <w:spacing w:line="240" w:lineRule="auto" w:before="103"/>
        <w:ind w:left="513" w:right="0"/>
        <w:jc w:val="left"/>
      </w:pPr>
      <w:r>
        <w:rPr>
          <w:rFonts w:ascii="Times New Roman" w:hAnsi="Times New Roman" w:cs="Times New Roman" w:eastAsia="Times New Roman" w:hint="default"/>
        </w:rPr>
        <w:t>4</w:t>
      </w:r>
      <w:r>
        <w:rPr/>
        <w:t>、财务管理方面：</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）对子公司派出财务人员和定期巡检、内部审计相结合，加强对子公司的财务管控。</w:t>
      </w:r>
    </w:p>
    <w:p>
      <w:pPr>
        <w:pStyle w:val="BodyText"/>
        <w:spacing w:line="240" w:lineRule="auto" w:before="102"/>
        <w:ind w:left="513" w:right="0"/>
        <w:jc w:val="left"/>
      </w:pPr>
      <w:r>
        <w:rPr/>
        <w:t>（</w:t>
      </w:r>
      <w:r>
        <w:rPr>
          <w:rFonts w:ascii="Times New Roman" w:hAnsi="Times New Roman" w:cs="Times New Roman" w:eastAsia="Times New Roman" w:hint="default"/>
        </w:rPr>
        <w:t>2</w:t>
      </w:r>
      <w:r>
        <w:rPr/>
        <w:t>）根据公司不同的经营管理机制继续健全和完善相应的财务管理制度，规范财务行为，加强财务监督。</w:t>
      </w:r>
    </w:p>
    <w:p>
      <w:pPr>
        <w:pStyle w:val="BodyText"/>
        <w:spacing w:line="240" w:lineRule="auto" w:before="103"/>
        <w:ind w:left="513" w:right="0"/>
        <w:jc w:val="left"/>
      </w:pPr>
      <w:r>
        <w:rPr/>
        <w:t>（</w:t>
      </w:r>
      <w:r>
        <w:rPr>
          <w:rFonts w:ascii="Times New Roman" w:hAnsi="Times New Roman" w:cs="Times New Roman" w:eastAsia="Times New Roman" w:hint="default"/>
        </w:rPr>
        <w:t>3</w:t>
      </w:r>
      <w:r>
        <w:rPr/>
        <w:t>）通过内部培训与外部培训相结合，加强财务人员的整体业务能力和自身素质，提高财务人员的核算质量与效率。</w:t>
      </w:r>
    </w:p>
    <w:p>
      <w:pPr>
        <w:pStyle w:val="BodyText"/>
        <w:spacing w:line="240" w:lineRule="auto" w:before="102"/>
        <w:ind w:left="513" w:right="0"/>
        <w:jc w:val="left"/>
      </w:pPr>
      <w:r>
        <w:rPr/>
        <w:t>（</w:t>
      </w:r>
      <w:r>
        <w:rPr>
          <w:rFonts w:ascii="Times New Roman" w:hAnsi="Times New Roman" w:cs="Times New Roman" w:eastAsia="Times New Roman" w:hint="default"/>
        </w:rPr>
        <w:t>4</w:t>
      </w:r>
      <w:r>
        <w:rPr/>
        <w:t>）提高财务分析能力和财务分析水平，及时发现管理上存在的问题，为管理决策提供快速有效的参考依据。</w:t>
      </w:r>
    </w:p>
    <w:p>
      <w:pPr>
        <w:pStyle w:val="BodyText"/>
        <w:spacing w:line="302" w:lineRule="auto" w:before="101"/>
        <w:ind w:right="1122" w:firstLine="360"/>
        <w:jc w:val="left"/>
      </w:pPr>
      <w:r>
        <w:rPr/>
        <w:t>（</w:t>
      </w:r>
      <w:r>
        <w:rPr>
          <w:rFonts w:ascii="Times New Roman" w:hAnsi="Times New Roman" w:cs="Times New Roman" w:eastAsia="Times New Roman" w:hint="default"/>
        </w:rPr>
        <w:t>5</w:t>
      </w:r>
      <w:r>
        <w:rPr/>
        <w:t>）加强对公司资金的管控，做好资金使用计划，确保资金安全，和银行保持紧密联系和沟通，合理有效利用财务杠 杆，保证公司的各项工作顺利进行。</w:t>
      </w:r>
    </w:p>
    <w:p>
      <w:pPr>
        <w:pStyle w:val="BodyText"/>
        <w:spacing w:line="240" w:lineRule="auto" w:before="70"/>
        <w:ind w:left="514" w:right="0"/>
        <w:jc w:val="left"/>
      </w:pPr>
      <w:r>
        <w:rPr/>
        <w:t>（</w:t>
      </w:r>
      <w:r>
        <w:rPr>
          <w:rFonts w:ascii="Times New Roman" w:hAnsi="Times New Roman" w:cs="Times New Roman" w:eastAsia="Times New Roman" w:hint="default"/>
        </w:rPr>
        <w:t>6</w:t>
      </w:r>
      <w:r>
        <w:rPr/>
        <w:t>）积极参与和配合公司的投资行为，为管理层的投资决策提供分析和依据。</w:t>
      </w:r>
    </w:p>
    <w:p>
      <w:pPr>
        <w:pStyle w:val="BodyText"/>
        <w:spacing w:line="240" w:lineRule="auto" w:before="102"/>
        <w:ind w:left="513" w:right="0"/>
        <w:jc w:val="left"/>
      </w:pPr>
      <w:r>
        <w:rPr>
          <w:rFonts w:ascii="Times New Roman" w:hAnsi="Times New Roman" w:cs="Times New Roman" w:eastAsia="Times New Roman" w:hint="default"/>
        </w:rPr>
        <w:t>5</w:t>
      </w:r>
      <w:r>
        <w:rPr/>
        <w:t>、惠州茂硕投产</w:t>
      </w:r>
    </w:p>
    <w:p>
      <w:pPr>
        <w:pStyle w:val="BodyText"/>
        <w:spacing w:line="312" w:lineRule="auto" w:before="101"/>
        <w:ind w:left="153" w:right="1131"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日，募投项目电源驱动生产项目主体施工已完成，相关生产设备及工作人员已经陆续到位，产能陆续释 </w:t>
      </w:r>
      <w:r>
        <w:rPr>
          <w:spacing w:val="-2"/>
        </w:rPr>
        <w:t>放；随着电源驱动生产项目的竣工投产，惠州茂硕研发中心建设项目、信息化系统建设项目也在进行之中，公司高度重视募</w:t>
      </w:r>
      <w:r>
        <w:rPr>
          <w:spacing w:val="-66"/>
        </w:rPr>
        <w:t> </w:t>
      </w:r>
      <w:r>
        <w:rPr>
          <w:spacing w:val="-66"/>
        </w:rPr>
      </w:r>
      <w:r>
        <w:rPr>
          <w:spacing w:val="-2"/>
        </w:rPr>
        <w:t>投项目的运营进展情况，加强对募投项目的持续督导。目前公司正积极与客户进行沟通，尽快使其产能得到释放，带动公司</w:t>
      </w:r>
      <w:r>
        <w:rPr>
          <w:spacing w:val="-66"/>
        </w:rPr>
        <w:t> </w:t>
      </w:r>
      <w:r>
        <w:rPr>
          <w:spacing w:val="-66"/>
        </w:rPr>
      </w:r>
      <w:r>
        <w:rPr/>
        <w:t>销售业绩。</w:t>
      </w:r>
    </w:p>
    <w:p>
      <w:pPr>
        <w:pStyle w:val="BodyText"/>
        <w:spacing w:line="240" w:lineRule="auto" w:before="63"/>
        <w:ind w:left="514" w:right="0"/>
        <w:jc w:val="left"/>
      </w:pPr>
      <w:r>
        <w:rPr>
          <w:rFonts w:ascii="Times New Roman" w:hAnsi="Times New Roman" w:cs="Times New Roman" w:eastAsia="Times New Roman" w:hint="default"/>
        </w:rPr>
        <w:t>6</w:t>
      </w:r>
      <w:r>
        <w:rPr/>
        <w:t>、资本运作方面</w:t>
      </w:r>
    </w:p>
    <w:p>
      <w:pPr>
        <w:pStyle w:val="BodyText"/>
        <w:spacing w:line="338" w:lineRule="auto" w:before="103"/>
        <w:ind w:left="51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）新能源应用投资 </w:t>
      </w:r>
      <w:r>
        <w:rPr>
          <w:spacing w:val="-3"/>
        </w:rPr>
        <w:t>在国家政策利好的形势下，结合前期光伏应用投资资源的布局，新能源应用投资是</w:t>
      </w:r>
      <w:r>
        <w:rPr>
          <w:rFonts w:ascii="Times New Roman" w:hAnsi="Times New Roman" w:cs="Times New Roman" w:eastAsia="Times New Roman" w:hint="default"/>
          <w:spacing w:val="-3"/>
        </w:rPr>
        <w:t>2015</w:t>
      </w:r>
      <w:r>
        <w:rPr>
          <w:spacing w:val="-3"/>
        </w:rPr>
        <w:t>年的投资重点，力争完成</w:t>
      </w:r>
      <w:r>
        <w:rPr>
          <w:rFonts w:ascii="Times New Roman" w:hAnsi="Times New Roman" w:cs="Times New Roman" w:eastAsia="Times New Roman" w:hint="default"/>
          <w:spacing w:val="-3"/>
        </w:rPr>
        <w:t>100MW</w:t>
      </w:r>
    </w:p>
    <w:p>
      <w:pPr>
        <w:pStyle w:val="BodyText"/>
        <w:spacing w:line="218" w:lineRule="exact"/>
        <w:ind w:left="153" w:right="0"/>
        <w:jc w:val="both"/>
      </w:pPr>
      <w:r>
        <w:rPr/>
        <w:t>光伏项目建设投资。</w:t>
      </w:r>
    </w:p>
    <w:p>
      <w:pPr>
        <w:pStyle w:val="BodyText"/>
        <w:spacing w:line="338" w:lineRule="auto" w:before="117"/>
        <w:ind w:left="513" w:right="1118"/>
        <w:jc w:val="left"/>
      </w:pPr>
      <w:r>
        <w:rPr/>
        <w:t>（</w:t>
      </w:r>
      <w:r>
        <w:rPr>
          <w:rFonts w:ascii="Times New Roman" w:hAnsi="Times New Roman" w:cs="Times New Roman" w:eastAsia="Times New Roman" w:hint="default"/>
        </w:rPr>
        <w:t>2</w:t>
      </w:r>
      <w:r>
        <w:rPr/>
        <w:t>）产业并购 </w:t>
      </w:r>
      <w:r>
        <w:rPr>
          <w:spacing w:val="-2"/>
        </w:rPr>
        <w:t>围绕上市公司产业相关、具有较强的盈利能力的并购企业，公司继续推进产业并购工作，通过并购重组提升公司盈利及</w:t>
      </w:r>
    </w:p>
    <w:p>
      <w:pPr>
        <w:pStyle w:val="BodyText"/>
        <w:spacing w:line="240" w:lineRule="auto" w:before="4"/>
        <w:ind w:left="153" w:right="0"/>
        <w:jc w:val="both"/>
      </w:pPr>
      <w:r>
        <w:rPr/>
        <w:t>行业影响力。</w:t>
      </w:r>
    </w:p>
    <w:p>
      <w:pPr>
        <w:pStyle w:val="BodyText"/>
        <w:spacing w:line="340" w:lineRule="auto" w:before="116"/>
        <w:ind w:left="514" w:right="4092"/>
        <w:jc w:val="left"/>
      </w:pPr>
      <w:r>
        <w:rPr/>
        <w:t>（</w:t>
      </w:r>
      <w:r>
        <w:rPr>
          <w:rFonts w:ascii="Times New Roman" w:hAnsi="Times New Roman" w:cs="Times New Roman" w:eastAsia="Times New Roman" w:hint="default"/>
        </w:rPr>
        <w:t>3</w:t>
      </w:r>
      <w:r>
        <w:rPr/>
        <w:t>）参与设立基金 拟参与设立产业并购基金和政府引导基金，为公司资本运营储备战略资源项目。</w:t>
      </w:r>
    </w:p>
    <w:p>
      <w:pPr>
        <w:pStyle w:val="BodyText"/>
        <w:spacing w:line="240" w:lineRule="auto" w:before="40"/>
        <w:ind w:left="513" w:right="0"/>
        <w:jc w:val="left"/>
      </w:pPr>
      <w:r>
        <w:rPr/>
        <w:t>（五）面临的风险</w:t>
      </w:r>
    </w:p>
    <w:p>
      <w:pPr>
        <w:pStyle w:val="BodyText"/>
        <w:spacing w:line="338" w:lineRule="auto" w:before="116"/>
        <w:ind w:left="514" w:right="0"/>
        <w:jc w:val="left"/>
      </w:pPr>
      <w:r>
        <w:rPr>
          <w:rFonts w:ascii="Times New Roman" w:hAnsi="Times New Roman" w:cs="Times New Roman" w:eastAsia="Times New Roman" w:hint="default"/>
        </w:rPr>
        <w:t>1</w:t>
      </w:r>
      <w:r>
        <w:rPr/>
        <w:t>、收购整合风险 </w:t>
      </w:r>
      <w:r>
        <w:rPr>
          <w:spacing w:val="-2"/>
        </w:rPr>
        <w:t>公司旗下设立有茂硕新能源、海宁茂硕等多家子公司，随着使公司经营规模越来越大，业务模式也更为多样化，会增加</w:t>
      </w:r>
    </w:p>
    <w:p>
      <w:pPr>
        <w:pStyle w:val="BodyText"/>
        <w:spacing w:line="312" w:lineRule="auto" w:before="2"/>
        <w:ind w:left="153" w:right="1131"/>
        <w:jc w:val="both"/>
      </w:pPr>
      <w:r>
        <w:rPr>
          <w:spacing w:val="-2"/>
        </w:rPr>
        <w:t>公司在经营决策、组织管理和风险控制上的难度。同时，若收购方正达</w:t>
      </w:r>
      <w:r>
        <w:rPr>
          <w:rFonts w:ascii="Times New Roman" w:hAnsi="Times New Roman" w:cs="Times New Roman" w:eastAsia="Times New Roman" w:hint="default"/>
          <w:spacing w:val="-2"/>
        </w:rPr>
        <w:t>55</w:t>
      </w:r>
      <w:r>
        <w:rPr>
          <w:spacing w:val="-2"/>
        </w:rPr>
        <w:t>％的股权顺利完成，方正达将成为本公司的控股子</w:t>
      </w:r>
      <w:r>
        <w:rPr>
          <w:spacing w:val="-64"/>
        </w:rPr>
        <w:t> </w:t>
      </w:r>
      <w:r>
        <w:rPr>
          <w:spacing w:val="-64"/>
        </w:rPr>
      </w:r>
      <w:r>
        <w:rPr>
          <w:spacing w:val="-2"/>
        </w:rPr>
        <w:t>公司。从公司整体角度看，茂硕电源和方正达须在企业文化、管理模式等方面进行融合，茂硕电源和方正达之间能否顺利实</w:t>
      </w:r>
      <w:r>
        <w:rPr>
          <w:spacing w:val="-66"/>
        </w:rPr>
        <w:t> </w:t>
      </w:r>
      <w:r>
        <w:rPr>
          <w:spacing w:val="-66"/>
        </w:rPr>
      </w:r>
      <w:r>
        <w:rPr>
          <w:spacing w:val="-2"/>
        </w:rPr>
        <w:t>现整合具有不确定性，整合过程中若公司未能及时建立起与之相适应的文化体制、组织模式和管理制度，可能给上市公司带</w:t>
      </w:r>
      <w:r>
        <w:rPr>
          <w:spacing w:val="-66"/>
        </w:rPr>
        <w:t> </w:t>
      </w:r>
      <w:r>
        <w:rPr>
          <w:spacing w:val="-66"/>
        </w:rPr>
      </w:r>
      <w:r>
        <w:rPr/>
        <w:t>来整体盈利水平提高不能达到整合预期的风险。</w:t>
      </w:r>
    </w:p>
    <w:p>
      <w:pPr>
        <w:pStyle w:val="BodyText"/>
        <w:spacing w:line="300" w:lineRule="auto" w:before="61"/>
        <w:ind w:left="444" w:right="0" w:firstLine="69"/>
        <w:jc w:val="left"/>
      </w:pPr>
      <w:r>
        <w:rPr>
          <w:rFonts w:ascii="Times New Roman" w:hAnsi="Times New Roman" w:cs="Times New Roman" w:eastAsia="Times New Roman" w:hint="default"/>
        </w:rPr>
        <w:t>2</w:t>
      </w:r>
      <w:r>
        <w:rPr/>
        <w:t>、新增固定资产折旧影响经营业绩风险 </w:t>
      </w:r>
      <w:r>
        <w:rPr>
          <w:spacing w:val="-1"/>
        </w:rPr>
        <w:t>公司募投项目工程建设已完成，大幅新增的固定资产将使折旧费用增加，如果上述项目不能如期达产或产生预期经济效</w:t>
      </w:r>
    </w:p>
    <w:p>
      <w:pPr>
        <w:pStyle w:val="BodyText"/>
        <w:spacing w:line="316" w:lineRule="auto" w:before="31"/>
        <w:ind w:right="0"/>
        <w:jc w:val="left"/>
      </w:pPr>
      <w:r>
        <w:rPr>
          <w:spacing w:val="-2"/>
        </w:rPr>
        <w:t>益，则新增固定资产折旧会影响公司经营业绩。公司将积极引进客户，通过规模制造降低产品成本，提高产品竞争力，加大</w:t>
      </w:r>
      <w:r>
        <w:rPr>
          <w:spacing w:val="-66"/>
        </w:rPr>
        <w:t> </w:t>
      </w:r>
      <w:r>
        <w:rPr>
          <w:spacing w:val="-66"/>
        </w:rPr>
      </w:r>
      <w:r>
        <w:rPr/>
        <w:t>新增产能消化的市场开拓力度等手段，提升盈利能力。</w:t>
      </w:r>
    </w:p>
    <w:p>
      <w:pPr>
        <w:pStyle w:val="BodyText"/>
        <w:spacing w:line="338" w:lineRule="auto" w:before="59"/>
        <w:ind w:left="514" w:right="0"/>
        <w:jc w:val="left"/>
      </w:pPr>
      <w:r>
        <w:rPr>
          <w:rFonts w:ascii="Times New Roman" w:hAnsi="Times New Roman" w:cs="Times New Roman" w:eastAsia="Times New Roman" w:hint="default"/>
        </w:rPr>
        <w:t>3</w:t>
      </w:r>
      <w:r>
        <w:rPr/>
        <w:t>、人才流失风险 </w:t>
      </w:r>
      <w:r>
        <w:rPr>
          <w:spacing w:val="-2"/>
        </w:rPr>
        <w:t>作为国家高新技术企业，人才对企业的发展至关重要。公司根据市场和行业发展趋势，对未来的发展作了战略规划，包</w:t>
      </w:r>
    </w:p>
    <w:p>
      <w:pPr>
        <w:pStyle w:val="BodyText"/>
        <w:spacing w:line="319" w:lineRule="auto" w:before="2"/>
        <w:ind w:right="0"/>
        <w:jc w:val="left"/>
      </w:pPr>
      <w:r>
        <w:rPr>
          <w:spacing w:val="-2"/>
        </w:rPr>
        <w:t>括行业核心研发人才、销售人才及中高层管理团队的绩效考核等等。由于市场的激烈竞争及人才的双向选择，加上行业竞争</w:t>
      </w:r>
      <w:r>
        <w:rPr>
          <w:spacing w:val="-66"/>
        </w:rPr>
        <w:t> </w:t>
      </w:r>
      <w:r>
        <w:rPr>
          <w:spacing w:val="-66"/>
        </w:rPr>
      </w:r>
      <w:r>
        <w:rPr/>
        <w:t>对手对人才的挖角，不排除核心技术人员和中高层管理人员的流失给公司带来的人才流失风险。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8"/>
        <w:ind w:right="0"/>
        <w:jc w:val="both"/>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footerReference w:type="default" r:id="rId17"/>
          <w:pgSz w:w="11910" w:h="16840"/>
          <w:pgMar w:footer="979" w:header="747" w:top="1060" w:bottom="1160" w:left="980" w:right="0"/>
          <w:pgNumType w:start="34"/>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3" w:right="0"/>
        <w:jc w:val="left"/>
      </w:pPr>
      <w:r>
        <w:rPr/>
        <w:t>（</w:t>
      </w:r>
      <w:r>
        <w:rPr>
          <w:rFonts w:ascii="Times New Roman" w:hAnsi="Times New Roman" w:cs="Times New Roman" w:eastAsia="Times New Roman" w:hint="default"/>
        </w:rPr>
        <w:t>1</w:t>
      </w:r>
      <w:r>
        <w:rPr/>
        <w:t>）会计政策变更</w:t>
      </w:r>
    </w:p>
    <w:p>
      <w:pPr>
        <w:pStyle w:val="BodyText"/>
        <w:spacing w:line="240" w:lineRule="auto" w:before="63"/>
        <w:ind w:right="0"/>
        <w:jc w:val="left"/>
      </w:pPr>
      <w:r>
        <w:rPr/>
        <w:t>①因执行新企业会计准则导致的会计政策变更</w:t>
      </w:r>
    </w:p>
    <w:p>
      <w:pPr>
        <w:pStyle w:val="BodyText"/>
        <w:spacing w:line="302" w:lineRule="auto" w:before="76"/>
        <w:ind w:left="153" w:right="1123" w:firstLine="36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5"/>
        </w:rPr>
        <w:t> </w:t>
      </w:r>
      <w:r>
        <w:rPr>
          <w:spacing w:val="-65"/>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 经本公司第</w:t>
      </w:r>
      <w:r>
        <w:rPr>
          <w:rFonts w:ascii="Times New Roman" w:hAnsi="Times New Roman" w:cs="Times New Roman" w:eastAsia="Times New Roman" w:hint="default"/>
        </w:rPr>
        <w:t>3</w:t>
      </w:r>
      <w:r>
        <w:rPr/>
        <w:t>届董事会第</w:t>
      </w:r>
      <w:r>
        <w:rPr>
          <w:rFonts w:ascii="Times New Roman" w:hAnsi="Times New Roman" w:cs="Times New Roman" w:eastAsia="Times New Roman" w:hint="default"/>
        </w:rPr>
        <w:t>10</w:t>
      </w:r>
      <w:r>
        <w:rPr/>
        <w:t>次会议于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 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年年度财务报告时开始执行金融工具列报准则，并根据各准则衔接要求 进行了调整，对当期和列报前期财务报表项目及金额的影响如下：</w:t>
      </w:r>
    </w:p>
    <w:p>
      <w:pPr>
        <w:pStyle w:val="BodyText"/>
        <w:spacing w:line="240" w:lineRule="auto" w:before="29"/>
        <w:ind w:left="0" w:right="1130"/>
        <w:jc w:val="right"/>
      </w:pPr>
      <w:r>
        <w:rPr/>
        <w:t>单位：元</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7"/>
        <w:gridCol w:w="4252"/>
        <w:gridCol w:w="2128"/>
        <w:gridCol w:w="1842"/>
      </w:tblGrid>
      <w:tr>
        <w:trPr>
          <w:trHeight w:val="660"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575" w:right="575"/>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42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307" w:right="1127" w:hanging="180"/>
              <w:jc w:val="left"/>
              <w:rPr>
                <w:rFonts w:ascii="宋体" w:hAnsi="宋体" w:cs="宋体" w:eastAsia="宋体" w:hint="default"/>
                <w:sz w:val="18"/>
                <w:szCs w:val="18"/>
              </w:rPr>
            </w:pPr>
            <w:r>
              <w:rPr>
                <w:rFonts w:ascii="宋体" w:hAnsi="宋体" w:cs="宋体" w:eastAsia="宋体" w:hint="default"/>
                <w:sz w:val="18"/>
                <w:szCs w:val="18"/>
              </w:rPr>
              <w:t>会计政策变更的内容及其 对本公司的影响说明</w:t>
            </w:r>
          </w:p>
        </w:tc>
        <w:tc>
          <w:tcPr>
            <w:tcW w:w="397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806" w:right="807" w:firstLine="154"/>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 相关财务报表项目的影响金额</w:t>
            </w:r>
          </w:p>
        </w:tc>
      </w:tr>
      <w:tr>
        <w:trPr>
          <w:trHeight w:val="659" w:hRule="exact"/>
        </w:trPr>
        <w:tc>
          <w:tcPr>
            <w:tcW w:w="1527" w:type="dxa"/>
            <w:vMerge/>
            <w:tcBorders>
              <w:left w:val="single" w:sz="6" w:space="0" w:color="000000"/>
              <w:bottom w:val="single" w:sz="6" w:space="0" w:color="000000"/>
              <w:right w:val="single" w:sz="6" w:space="0" w:color="000000"/>
            </w:tcBorders>
          </w:tcPr>
          <w:p>
            <w:pPr/>
          </w:p>
        </w:tc>
        <w:tc>
          <w:tcPr>
            <w:tcW w:w="4252" w:type="dxa"/>
            <w:vMerge/>
            <w:tcBorders>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47" w:right="445"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542"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8"/>
                <w:sz w:val="18"/>
                <w:szCs w:val="18"/>
              </w:rPr>
              <w:t> </w:t>
            </w:r>
            <w:r>
              <w:rPr>
                <w:rFonts w:ascii="宋体" w:hAnsi="宋体" w:cs="宋体" w:eastAsia="宋体" w:hint="default"/>
                <w:spacing w:val="10"/>
                <w:sz w:val="18"/>
                <w:szCs w:val="18"/>
              </w:rPr>
              <w:t>会计</w:t>
            </w:r>
            <w:r>
              <w:rPr>
                <w:rFonts w:ascii="宋体" w:hAnsi="宋体" w:cs="宋体" w:eastAsia="宋体" w:hint="default"/>
                <w:spacing w:val="-68"/>
                <w:sz w:val="18"/>
                <w:szCs w:val="18"/>
              </w:rPr>
              <w:t> </w:t>
            </w:r>
            <w:r>
              <w:rPr>
                <w:rFonts w:ascii="宋体" w:hAnsi="宋体" w:cs="宋体" w:eastAsia="宋体" w:hint="default"/>
                <w:spacing w:val="14"/>
                <w:sz w:val="18"/>
                <w:szCs w:val="18"/>
              </w:rPr>
              <w:t>准则第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4252" w:type="dxa"/>
            <w:vMerge w:val="restart"/>
            <w:tcBorders>
              <w:top w:val="single" w:sz="6" w:space="0" w:color="000000"/>
              <w:left w:val="single" w:sz="6" w:space="0" w:color="000000"/>
              <w:right w:val="single" w:sz="6" w:space="0" w:color="000000"/>
            </w:tcBorders>
          </w:tcPr>
          <w:p>
            <w:pPr>
              <w:pStyle w:val="TableParagraph"/>
              <w:spacing w:line="319"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将持有的不具有控制、共同控制或重大影响且其在活跃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市场中没有报价、公允价值不可计量的长期股权投资重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分类调整至可供出售金融资产会计科目，并进行追溯调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42" w:hRule="exact"/>
        </w:trPr>
        <w:tc>
          <w:tcPr>
            <w:tcW w:w="1527" w:type="dxa"/>
            <w:vMerge/>
            <w:tcBorders>
              <w:left w:val="single" w:sz="6" w:space="0" w:color="000000"/>
              <w:bottom w:val="single" w:sz="6" w:space="0" w:color="000000"/>
              <w:right w:val="single" w:sz="6" w:space="0" w:color="000000"/>
            </w:tcBorders>
          </w:tcPr>
          <w:p>
            <w:pPr/>
          </w:p>
        </w:tc>
        <w:tc>
          <w:tcPr>
            <w:tcW w:w="4252" w:type="dxa"/>
            <w:vMerge/>
            <w:tcBorders>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3"/>
        <w:rPr>
          <w:rFonts w:ascii="宋体" w:hAnsi="宋体" w:cs="宋体" w:eastAsia="宋体" w:hint="default"/>
          <w:sz w:val="21"/>
          <w:szCs w:val="21"/>
        </w:rPr>
      </w:pPr>
    </w:p>
    <w:p>
      <w:pPr>
        <w:pStyle w:val="BodyText"/>
        <w:spacing w:line="304" w:lineRule="auto" w:before="44"/>
        <w:ind w:left="153" w:right="1123" w:firstLine="360"/>
        <w:jc w:val="left"/>
      </w:pPr>
      <w:r>
        <w:rPr/>
        <w:t>执行《企业会计准则第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 </w:t>
      </w:r>
      <w:r>
        <w:rPr>
          <w:spacing w:val="-2"/>
        </w:rPr>
        <w:t>合并财务报表》、《企业会计准则第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合营安排》和《企业会计准则第</w:t>
      </w:r>
      <w:r>
        <w:rPr>
          <w:spacing w:val="-63"/>
        </w:rPr>
        <w:t> </w:t>
      </w:r>
      <w:r>
        <w:rPr>
          <w:spacing w:val="-63"/>
        </w:rPr>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在其他主体中权益的披露》的相关情况： </w:t>
      </w:r>
      <w:r>
        <w:rPr>
          <w:spacing w:val="-2"/>
        </w:rPr>
        <w:t>公司本次会计政策变更之前财务报表中关于职工薪酬、财务报表列报、合并财务报表、公允价值计量、合营安排及与在其他</w:t>
      </w:r>
      <w:r>
        <w:rPr>
          <w:spacing w:val="-66"/>
        </w:rPr>
        <w:t> </w:t>
      </w:r>
      <w:r>
        <w:rPr>
          <w:spacing w:val="-66"/>
        </w:rPr>
      </w:r>
      <w:r>
        <w:rPr>
          <w:spacing w:val="-2"/>
        </w:rPr>
        <w:t>主体中权益的相关业务及事项，自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日起按上述准则的规定进行核算与披露。由于新准则的实施而进行的会计政策</w:t>
      </w:r>
      <w:r>
        <w:rPr>
          <w:spacing w:val="-58"/>
        </w:rPr>
        <w:t> </w:t>
      </w:r>
      <w:r>
        <w:rPr>
          <w:spacing w:val="-58"/>
        </w:rPr>
      </w:r>
      <w:r>
        <w:rPr/>
        <w:t>变更不会对公司</w:t>
      </w:r>
      <w:r>
        <w:rPr>
          <w:rFonts w:ascii="Times New Roman" w:hAnsi="Times New Roman" w:cs="Times New Roman" w:eastAsia="Times New Roman" w:hint="default"/>
        </w:rPr>
        <w:t>2013</w:t>
      </w:r>
      <w:r>
        <w:rPr/>
        <w:t>年度及本期财务报表产生影响，也无需进行追溯调整。</w:t>
      </w:r>
    </w:p>
    <w:p>
      <w:pPr>
        <w:pStyle w:val="BodyText"/>
        <w:spacing w:line="316" w:lineRule="auto" w:before="9"/>
        <w:ind w:left="423" w:right="9133" w:hanging="270"/>
        <w:jc w:val="left"/>
      </w:pPr>
      <w:r>
        <w:rPr/>
        <w:t>②其他会计政策变更 无</w:t>
      </w:r>
    </w:p>
    <w:p>
      <w:pPr>
        <w:pStyle w:val="BodyText"/>
        <w:spacing w:line="300" w:lineRule="auto" w:before="19"/>
        <w:ind w:left="444" w:right="9223" w:hanging="291"/>
        <w:jc w:val="left"/>
      </w:pPr>
      <w:r>
        <w:rPr/>
        <w:t>（</w:t>
      </w:r>
      <w:r>
        <w:rPr>
          <w:rFonts w:ascii="Times New Roman" w:hAnsi="Times New Roman" w:cs="Times New Roman" w:eastAsia="Times New Roman" w:hint="default"/>
        </w:rPr>
        <w:t>2</w:t>
      </w:r>
      <w:r>
        <w:rPr/>
        <w:t>）会计估计变更 无</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2"/>
        <w:jc w:val="left"/>
      </w:pPr>
      <w:r>
        <w:rPr/>
        <w:t>□ 适用 √ 不适用 公司报告期无重大会计差错更正需追溯重述的情况。</w:t>
      </w:r>
    </w:p>
    <w:p>
      <w:pPr>
        <w:spacing w:after="0" w:line="36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634" w:right="0"/>
        <w:jc w:val="left"/>
      </w:pPr>
      <w:r>
        <w:rPr>
          <w:rFonts w:ascii="Times New Roman" w:hAnsi="Times New Roman" w:cs="Times New Roman" w:eastAsia="Times New Roman" w:hint="default"/>
        </w:rPr>
        <w:t>2014</w:t>
      </w:r>
      <w:r>
        <w:rPr/>
        <w:t>年度，公司新设以下子公司，均纳入合并范围：</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819"/>
        <w:gridCol w:w="4822"/>
      </w:tblGrid>
      <w:tr>
        <w:trPr>
          <w:trHeight w:val="355" w:hRule="exact"/>
        </w:trPr>
        <w:tc>
          <w:tcPr>
            <w:tcW w:w="4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成立日期</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53"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新余茂硕新能源科技有限公司</w:t>
            </w:r>
            <w:r>
              <w:rPr>
                <w:rFonts w:ascii="Times New Roman" w:hAnsi="Times New Roman" w:cs="Times New Roman" w:eastAsia="Times New Roman" w:hint="default"/>
                <w:sz w:val="18"/>
                <w:szCs w:val="18"/>
              </w:rPr>
              <w:t>*</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53"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bl>
    <w:p>
      <w:pPr>
        <w:pStyle w:val="BodyText"/>
        <w:spacing w:line="240" w:lineRule="auto" w:before="51"/>
        <w:ind w:right="0"/>
        <w:jc w:val="left"/>
      </w:pPr>
      <w:r>
        <w:rPr>
          <w:rFonts w:ascii="Times New Roman" w:hAnsi="Times New Roman" w:cs="Times New Roman" w:eastAsia="Times New Roman" w:hint="default"/>
        </w:rPr>
        <w:t>*</w:t>
      </w:r>
      <w:r>
        <w:rPr/>
        <w:t>新余茂硕新能源科技有限公司为本公司控股子公司深圳茂硕新能源科技有限公司的全资子公司。</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报告期内利润分配政策的制定、执行或调整情况</w:t>
      </w:r>
    </w:p>
    <w:p>
      <w:pPr>
        <w:pStyle w:val="BodyText"/>
        <w:spacing w:line="357" w:lineRule="auto" w:before="116"/>
        <w:ind w:left="513" w:right="1118" w:hanging="360"/>
        <w:jc w:val="left"/>
      </w:pPr>
      <w:r>
        <w:rPr/>
        <w:t>√ 适用 □ 不适用 </w:t>
      </w:r>
      <w:r>
        <w:rPr>
          <w:spacing w:val="-2"/>
        </w:rPr>
        <w:t>为完善和健全公司科学、持续、稳定的分红决策和监督机制，积极回报投资者，引导投资者树立长期投资和理性投资理</w:t>
      </w:r>
    </w:p>
    <w:p>
      <w:pPr>
        <w:pStyle w:val="BodyText"/>
        <w:spacing w:line="237" w:lineRule="exact"/>
        <w:ind w:left="153" w:right="0"/>
        <w:jc w:val="left"/>
      </w:pPr>
      <w:r>
        <w:rPr/>
        <w:t>念，根据中国证监会《关于进一步落实上市公司现金分红有关事项的通知》、《上市公司监管指引第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w:t>
      </w:r>
    </w:p>
    <w:p>
      <w:pPr>
        <w:pStyle w:val="BodyText"/>
        <w:spacing w:line="302" w:lineRule="auto" w:before="63"/>
        <w:ind w:left="153" w:right="1039"/>
        <w:jc w:val="left"/>
      </w:pPr>
      <w:r>
        <w:rPr>
          <w:spacing w:val="-2"/>
        </w:rPr>
        <w:t>分红》及《公司章程》等相关文件规定，</w:t>
      </w:r>
      <w:r>
        <w:rPr>
          <w:rFonts w:ascii="Times New Roman" w:hAnsi="Times New Roman" w:cs="Times New Roman" w:eastAsia="Times New Roman" w:hint="default"/>
          <w:spacing w:val="-2"/>
        </w:rPr>
        <w:t>2014</w:t>
      </w:r>
      <w:r>
        <w:rPr>
          <w:spacing w:val="-2"/>
        </w:rPr>
        <w:t>年，公司董事会综合公司盈利能力、经营发展规划、股东回报、社会资金成本</w:t>
      </w:r>
      <w:r>
        <w:rPr>
          <w:spacing w:val="-63"/>
        </w:rPr>
        <w:t> </w:t>
      </w:r>
      <w:r>
        <w:rPr>
          <w:spacing w:val="-63"/>
        </w:rPr>
      </w:r>
      <w:r>
        <w:rPr>
          <w:spacing w:val="-1"/>
        </w:rPr>
        <w:t>以及外部融资环境等因素，对《公司章程》中关于利润分配政策的部分条款作出修改，并制定了《未来三年（</w:t>
      </w:r>
      <w:r>
        <w:rPr>
          <w:rFonts w:ascii="Times New Roman" w:hAnsi="Times New Roman" w:cs="Times New Roman" w:eastAsia="Times New Roman" w:hint="default"/>
          <w:spacing w:val="-1"/>
        </w:rPr>
        <w:t>2014-2016</w:t>
      </w:r>
      <w:r>
        <w:rPr>
          <w:spacing w:val="-1"/>
        </w:rPr>
        <w:t>年）</w:t>
      </w:r>
      <w:r>
        <w:rPr>
          <w:spacing w:val="-84"/>
        </w:rPr>
        <w:t> </w:t>
      </w:r>
      <w:r>
        <w:rPr/>
        <w:t>股东回报规划》。</w:t>
      </w:r>
    </w:p>
    <w:p>
      <w:pPr>
        <w:spacing w:line="240" w:lineRule="auto" w:before="3"/>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102"/>
        <w:ind w:left="153"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年度利润分配方案为：以公司总股本</w:t>
      </w:r>
      <w:r>
        <w:rPr>
          <w:rFonts w:ascii="Times New Roman" w:hAnsi="Times New Roman" w:cs="Times New Roman" w:eastAsia="Times New Roman" w:hint="default"/>
          <w:spacing w:val="-2"/>
        </w:rPr>
        <w:t>9,863.18</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w:t>
      </w:r>
      <w:r>
        <w:rPr/>
        <w:t> 同时进行资本公积金转增股本，以公司总股本</w:t>
      </w:r>
      <w:r>
        <w:rPr>
          <w:rFonts w:ascii="Times New Roman" w:hAnsi="Times New Roman" w:cs="Times New Roman" w:eastAsia="Times New Roman" w:hint="default"/>
        </w:rPr>
        <w:t>9,863.18</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股，转增后公司总股本将增加至</w:t>
      </w:r>
      <w:r>
        <w:rPr>
          <w:spacing w:val="-85"/>
        </w:rPr>
        <w:t> </w:t>
      </w:r>
      <w:r>
        <w:rPr>
          <w:spacing w:val="-85"/>
        </w:rPr>
      </w:r>
      <w:r>
        <w:rPr>
          <w:rFonts w:ascii="Times New Roman" w:hAnsi="Times New Roman" w:cs="Times New Roman" w:eastAsia="Times New Roman" w:hint="default"/>
        </w:rPr>
        <w:t>19,726.36</w:t>
      </w:r>
      <w:r>
        <w:rPr/>
        <w:t>万股。</w:t>
      </w:r>
    </w:p>
    <w:p>
      <w:pPr>
        <w:pStyle w:val="BodyText"/>
        <w:spacing w:line="300" w:lineRule="auto" w:before="13"/>
        <w:ind w:right="1036" w:firstLine="36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年度利润分配方案为：以公司总股本</w:t>
      </w:r>
      <w:r>
        <w:rPr>
          <w:rFonts w:ascii="Times New Roman" w:hAnsi="Times New Roman" w:cs="Times New Roman" w:eastAsia="Times New Roman" w:hint="default"/>
          <w:spacing w:val="-1"/>
        </w:rPr>
        <w:t>19416</w:t>
      </w:r>
      <w:r>
        <w:rPr>
          <w:spacing w:val="-1"/>
        </w:rPr>
        <w:t>万股为基数，向全体股东每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0.3</w:t>
      </w:r>
      <w:r>
        <w:rPr>
          <w:spacing w:val="-1"/>
        </w:rPr>
        <w:t>元人民币（含税）；</w:t>
      </w:r>
      <w:r>
        <w:rPr/>
        <w:t> </w:t>
      </w:r>
      <w:r>
        <w:rPr>
          <w:spacing w:val="4"/>
        </w:rPr>
        <w:t>同时进行资本公积金转增股本，以公司总股本</w:t>
      </w:r>
      <w:r>
        <w:rPr>
          <w:rFonts w:ascii="Times New Roman" w:hAnsi="Times New Roman" w:cs="Times New Roman" w:eastAsia="Times New Roman" w:hint="default"/>
          <w:spacing w:val="4"/>
        </w:rPr>
        <w:t>19416</w:t>
      </w:r>
      <w:r>
        <w:rPr>
          <w:spacing w:val="4"/>
        </w:rPr>
        <w:t>万股为基数向全体股东每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w:t>
      </w:r>
      <w:r>
        <w:rPr>
          <w:spacing w:val="4"/>
        </w:rPr>
        <w:t>股，转增后公司总股本将增加至</w:t>
      </w:r>
      <w:r>
        <w:rPr>
          <w:spacing w:val="-72"/>
        </w:rPr>
        <w:t> </w:t>
      </w:r>
      <w:r>
        <w:rPr>
          <w:spacing w:val="-72"/>
        </w:rPr>
      </w:r>
      <w:r>
        <w:rPr>
          <w:rFonts w:ascii="Times New Roman" w:hAnsi="Times New Roman" w:cs="Times New Roman" w:eastAsia="Times New Roman" w:hint="default"/>
        </w:rPr>
        <w:t>25240.8</w:t>
      </w:r>
      <w:r>
        <w:rPr/>
        <w:t>万股。</w:t>
      </w:r>
    </w:p>
    <w:p>
      <w:pPr>
        <w:pStyle w:val="BodyText"/>
        <w:spacing w:line="240" w:lineRule="auto" w:before="13"/>
        <w:ind w:left="514" w:right="0"/>
        <w:jc w:val="left"/>
      </w:pPr>
      <w:r>
        <w:rPr>
          <w:rFonts w:ascii="Times New Roman" w:hAnsi="Times New Roman" w:cs="Times New Roman" w:eastAsia="Times New Roman" w:hint="default"/>
        </w:rPr>
        <w:t>3</w:t>
      </w:r>
      <w:r>
        <w:rPr/>
        <w:t>、因公司经营业绩亏损，</w:t>
      </w:r>
      <w:r>
        <w:rPr>
          <w:rFonts w:ascii="Times New Roman" w:hAnsi="Times New Roman" w:cs="Times New Roman" w:eastAsia="Times New Roman" w:hint="default"/>
        </w:rPr>
        <w:t>2014</w:t>
      </w:r>
      <w:r>
        <w:rPr/>
        <w:t>年度公司计划不派发现金红利，不送红股，不以公积金转增股本。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397.963013pt;margin-top:665.619995pt;width:137pt;height:22.45pt;mso-position-horizontal-relative:page;mso-position-vertical-relative:page;z-index:-1047208" type="#_x0000_t202" filled="false" stroked="false">
            <v:textbox inset="0,0,0,0">
              <w:txbxContent>
                <w:p>
                  <w:pPr>
                    <w:pStyle w:val="BodyText"/>
                    <w:spacing w:line="240" w:lineRule="auto" w:before="51"/>
                    <w:ind w:left="0" w:right="0"/>
                    <w:jc w:val="left"/>
                  </w:pPr>
                  <w:r>
                    <w:rPr/>
                    <w:t>段迎晟；</w:t>
                  </w:r>
                </w:p>
              </w:txbxContent>
            </v:textbox>
            <w10:wrap type="none"/>
          </v:shape>
        </w:pict>
      </w:r>
      <w:r>
        <w:rPr/>
        <w:pict>
          <v:shape style="position:absolute;margin-left:397.959991pt;margin-top:738.839966pt;width:137pt;height:22.4pt;mso-position-horizontal-relative:page;mso-position-vertical-relative:page;z-index:-1047184" type="#_x0000_t202" filled="false" stroked="false">
            <v:textbox inset="0,0,0,0">
              <w:txbxContent>
                <w:p>
                  <w:pPr>
                    <w:pStyle w:val="BodyText"/>
                    <w:spacing w:line="240" w:lineRule="auto" w:before="146"/>
                    <w:ind w:left="0" w:right="0"/>
                    <w:jc w:val="left"/>
                  </w:pPr>
                  <w:r>
                    <w:rPr/>
                    <w:t>于建科；</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53"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-47,859,425.18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5,824,800.00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24,922,433.33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9,863,180.00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47,516,095.88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532"/>
        <w:jc w:val="left"/>
      </w:pPr>
      <w:r>
        <w:rPr/>
        <w:t>□ 适用 √ 不适用 公司计划年度不派发现金红利，不送红股，不以公积金转增股本。</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8"/>
        <w:rPr>
          <w:rFonts w:ascii="宋体" w:hAnsi="宋体" w:cs="宋体" w:eastAsia="宋体" w:hint="default"/>
          <w:sz w:val="7"/>
          <w:szCs w:val="7"/>
        </w:rPr>
      </w:pPr>
    </w:p>
    <w:p>
      <w:pPr>
        <w:spacing w:line="5734" w:lineRule="exact"/>
        <w:ind w:left="149" w:right="0" w:firstLine="0"/>
        <w:rPr>
          <w:rFonts w:ascii="宋体" w:hAnsi="宋体" w:cs="宋体" w:eastAsia="宋体" w:hint="default"/>
          <w:sz w:val="20"/>
          <w:szCs w:val="20"/>
        </w:rPr>
      </w:pPr>
      <w:r>
        <w:rPr>
          <w:rFonts w:ascii="宋体" w:hAnsi="宋体" w:cs="宋体" w:eastAsia="宋体" w:hint="default"/>
          <w:position w:val="-114"/>
          <w:sz w:val="20"/>
          <w:szCs w:val="20"/>
        </w:rPr>
        <w:pict>
          <v:group style="width:479pt;height:286.7pt;mso-position-horizontal-relative:char;mso-position-vertical-relative:line" coordorigin="0,0" coordsize="9580,5734">
            <v:group style="position:absolute;left:10;top:14;width:1485;height:156" coordorigin="10,14" coordsize="1485,156">
              <v:shape style="position:absolute;left:10;top:14;width:1485;height:156" coordorigin="10,14" coordsize="1485,156" path="m10,170l1494,170,1494,14,10,14,10,170xe" filled="true" fillcolor="#d2d2d2" stroked="false">
                <v:path arrowok="t"/>
                <v:fill type="solid"/>
              </v:shape>
            </v:group>
            <v:group style="position:absolute;left:21;top:170;width:2;height:393" coordorigin="21,170" coordsize="2,393">
              <v:shape style="position:absolute;left:21;top:170;width:2;height:393" coordorigin="21,170" coordsize="0,393" path="m21,170l21,563e" filled="false" stroked="true" strokeweight="1.140pt" strokecolor="#d2d2d2">
                <v:path arrowok="t"/>
              </v:shape>
            </v:group>
            <v:group style="position:absolute;left:1483;top:170;width:2;height:393" coordorigin="1483,170" coordsize="2,393">
              <v:shape style="position:absolute;left:1483;top:170;width:2;height:393" coordorigin="1483,170" coordsize="0,393" path="m1483,170l1483,563e" filled="false" stroked="true" strokeweight="1.140pt" strokecolor="#d2d2d2">
                <v:path arrowok="t"/>
              </v:shape>
            </v:group>
            <v:group style="position:absolute;left:10;top:563;width:1485;height:156" coordorigin="10,563" coordsize="1485,156">
              <v:shape style="position:absolute;left:10;top:563;width:1485;height:156" coordorigin="10,563" coordsize="1485,156" path="m10,719l1494,719,1494,563,10,563,10,719xe" filled="true" fillcolor="#d2d2d2" stroked="false">
                <v:path arrowok="t"/>
                <v:fill type="solid"/>
              </v:shape>
            </v:group>
            <v:group style="position:absolute;left:32;top:170;width:1440;height:393" coordorigin="32,170" coordsize="1440,393">
              <v:shape style="position:absolute;left:32;top:170;width:1440;height:393" coordorigin="32,170" coordsize="1440,393" path="m32,563l1472,563,1472,170,32,170,32,563xe" filled="true" fillcolor="#d2d2d2" stroked="false">
                <v:path arrowok="t"/>
                <v:fill type="solid"/>
              </v:shape>
            </v:group>
            <v:group style="position:absolute;left:1504;top:14;width:1487;height:156" coordorigin="1504,14" coordsize="1487,156">
              <v:shape style="position:absolute;left:1504;top:14;width:1487;height:156" coordorigin="1504,14" coordsize="1487,156" path="m1504,170l2991,170,2991,14,1504,14,1504,170xe" filled="true" fillcolor="#d2d2d2" stroked="false">
                <v:path arrowok="t"/>
                <v:fill type="solid"/>
              </v:shape>
            </v:group>
            <v:group style="position:absolute;left:1515;top:170;width:2;height:393" coordorigin="1515,170" coordsize="2,393">
              <v:shape style="position:absolute;left:1515;top:170;width:2;height:393" coordorigin="1515,170" coordsize="0,393" path="m1515,170l1515,563e" filled="false" stroked="true" strokeweight="1.140pt" strokecolor="#d2d2d2">
                <v:path arrowok="t"/>
              </v:shape>
            </v:group>
            <v:group style="position:absolute;left:2979;top:170;width:2;height:393" coordorigin="2979,170" coordsize="2,393">
              <v:shape style="position:absolute;left:2979;top:170;width:2;height:393" coordorigin="2979,170" coordsize="0,393" path="m2979,170l2979,563e" filled="false" stroked="true" strokeweight="1.140pt" strokecolor="#d2d2d2">
                <v:path arrowok="t"/>
              </v:shape>
            </v:group>
            <v:group style="position:absolute;left:1504;top:563;width:1487;height:156" coordorigin="1504,563" coordsize="1487,156">
              <v:shape style="position:absolute;left:1504;top:563;width:1487;height:156" coordorigin="1504,563" coordsize="1487,156" path="m1504,719l2991,719,2991,563,1504,563,1504,719xe" filled="true" fillcolor="#d2d2d2" stroked="false">
                <v:path arrowok="t"/>
                <v:fill type="solid"/>
              </v:shape>
            </v:group>
            <v:group style="position:absolute;left:1527;top:170;width:1442;height:393" coordorigin="1527,170" coordsize="1442,393">
              <v:shape style="position:absolute;left:1527;top:170;width:1442;height:393" coordorigin="1527,170" coordsize="1442,393" path="m1527,563l2968,563,2968,170,1527,170,1527,563xe" filled="true" fillcolor="#d2d2d2" stroked="false">
                <v:path arrowok="t"/>
                <v:fill type="solid"/>
              </v:shape>
            </v:group>
            <v:group style="position:absolute;left:3002;top:14;width:1488;height:156" coordorigin="3002,14" coordsize="1488,156">
              <v:shape style="position:absolute;left:3002;top:14;width:1488;height:156" coordorigin="3002,14" coordsize="1488,156" path="m3002,170l4489,170,4489,14,3002,14,3002,170xe" filled="true" fillcolor="#d2d2d2" stroked="false">
                <v:path arrowok="t"/>
                <v:fill type="solid"/>
              </v:shape>
            </v:group>
            <v:group style="position:absolute;left:3013;top:170;width:2;height:393" coordorigin="3013,170" coordsize="2,393">
              <v:shape style="position:absolute;left:3013;top:170;width:2;height:393" coordorigin="3013,170" coordsize="0,393" path="m3013,170l3013,563e" filled="false" stroked="true" strokeweight="1.140pt" strokecolor="#d2d2d2">
                <v:path arrowok="t"/>
              </v:shape>
            </v:group>
            <v:group style="position:absolute;left:4477;top:170;width:2;height:393" coordorigin="4477,170" coordsize="2,393">
              <v:shape style="position:absolute;left:4477;top:170;width:2;height:393" coordorigin="4477,170" coordsize="0,393" path="m4477,170l4477,563e" filled="false" stroked="true" strokeweight="1.140pt" strokecolor="#d2d2d2">
                <v:path arrowok="t"/>
              </v:shape>
            </v:group>
            <v:group style="position:absolute;left:3002;top:563;width:1488;height:156" coordorigin="3002,563" coordsize="1488,156">
              <v:shape style="position:absolute;left:3002;top:563;width:1488;height:156" coordorigin="3002,563" coordsize="1488,156" path="m3002,719l4489,719,4489,563,3002,563,3002,719xe" filled="true" fillcolor="#d2d2d2" stroked="false">
                <v:path arrowok="t"/>
                <v:fill type="solid"/>
              </v:shape>
            </v:group>
            <v:group style="position:absolute;left:3024;top:170;width:1442;height:393" coordorigin="3024,170" coordsize="1442,393">
              <v:shape style="position:absolute;left:3024;top:170;width:1442;height:393" coordorigin="3024,170" coordsize="1442,393" path="m3024,563l4466,563,4466,170,3024,170,3024,563xe" filled="true" fillcolor="#d2d2d2" stroked="false">
                <v:path arrowok="t"/>
                <v:fill type="solid"/>
              </v:shape>
            </v:group>
            <v:group style="position:absolute;left:4498;top:14;width:1487;height:156" coordorigin="4498,14" coordsize="1487,156">
              <v:shape style="position:absolute;left:4498;top:14;width:1487;height:156" coordorigin="4498,14" coordsize="1487,156" path="m4498,170l5985,170,5985,14,4498,14,4498,170xe" filled="true" fillcolor="#d2d2d2" stroked="false">
                <v:path arrowok="t"/>
                <v:fill type="solid"/>
              </v:shape>
            </v:group>
            <v:group style="position:absolute;left:4510;top:170;width:2;height:393" coordorigin="4510,170" coordsize="2,393">
              <v:shape style="position:absolute;left:4510;top:170;width:2;height:393" coordorigin="4510,170" coordsize="0,393" path="m4510,170l4510,563e" filled="false" stroked="true" strokeweight="1.140pt" strokecolor="#d2d2d2">
                <v:path arrowok="t"/>
              </v:shape>
            </v:group>
            <v:group style="position:absolute;left:5974;top:170;width:2;height:393" coordorigin="5974,170" coordsize="2,393">
              <v:shape style="position:absolute;left:5974;top:170;width:2;height:393" coordorigin="5974,170" coordsize="0,393" path="m5974,170l5974,563e" filled="false" stroked="true" strokeweight="1.140pt" strokecolor="#d2d2d2">
                <v:path arrowok="t"/>
              </v:shape>
            </v:group>
            <v:group style="position:absolute;left:4498;top:563;width:1487;height:156" coordorigin="4498,563" coordsize="1487,156">
              <v:shape style="position:absolute;left:4498;top:563;width:1487;height:156" coordorigin="4498,563" coordsize="1487,156" path="m4498,719l5985,719,5985,563,4498,563,4498,719xe" filled="true" fillcolor="#d2d2d2" stroked="false">
                <v:path arrowok="t"/>
                <v:fill type="solid"/>
              </v:shape>
            </v:group>
            <v:group style="position:absolute;left:4521;top:170;width:1442;height:393" coordorigin="4521,170" coordsize="1442,393">
              <v:shape style="position:absolute;left:4521;top:170;width:1442;height:393" coordorigin="4521,170" coordsize="1442,393" path="m4521,563l5962,563,5962,170,4521,170,4521,563xe" filled="true" fillcolor="#d2d2d2" stroked="false">
                <v:path arrowok="t"/>
                <v:fill type="solid"/>
              </v:shape>
            </v:group>
            <v:group style="position:absolute;left:5996;top:14;width:1488;height:156" coordorigin="5996,14" coordsize="1488,156">
              <v:shape style="position:absolute;left:5996;top:14;width:1488;height:156" coordorigin="5996,14" coordsize="1488,156" path="m5996,170l7483,170,7483,14,5996,14,5996,170xe" filled="true" fillcolor="#d2d2d2" stroked="false">
                <v:path arrowok="t"/>
                <v:fill type="solid"/>
              </v:shape>
            </v:group>
            <v:group style="position:absolute;left:6007;top:170;width:2;height:393" coordorigin="6007,170" coordsize="2,393">
              <v:shape style="position:absolute;left:6007;top:170;width:2;height:393" coordorigin="6007,170" coordsize="0,393" path="m6007,170l6007,563e" filled="false" stroked="true" strokeweight="1.140pt" strokecolor="#d2d2d2">
                <v:path arrowok="t"/>
              </v:shape>
            </v:group>
            <v:group style="position:absolute;left:7472;top:170;width:2;height:393" coordorigin="7472,170" coordsize="2,393">
              <v:shape style="position:absolute;left:7472;top:170;width:2;height:393" coordorigin="7472,170" coordsize="0,393" path="m7472,170l7472,563e" filled="false" stroked="true" strokeweight="1.140pt" strokecolor="#d2d2d2">
                <v:path arrowok="t"/>
              </v:shape>
            </v:group>
            <v:group style="position:absolute;left:5996;top:563;width:1488;height:156" coordorigin="5996,563" coordsize="1488,156">
              <v:shape style="position:absolute;left:5996;top:563;width:1488;height:156" coordorigin="5996,563" coordsize="1488,156" path="m5996,719l7483,719,7483,563,5996,563,5996,719xe" filled="true" fillcolor="#d2d2d2" stroked="false">
                <v:path arrowok="t"/>
                <v:fill type="solid"/>
              </v:shape>
            </v:group>
            <v:group style="position:absolute;left:6019;top:170;width:1442;height:393" coordorigin="6019,170" coordsize="1442,393">
              <v:shape style="position:absolute;left:6019;top:170;width:1442;height:393" coordorigin="6019,170" coordsize="1442,393" path="m6019,563l7460,563,7460,170,6019,170,6019,563xe" filled="true" fillcolor="#d2d2d2" stroked="false">
                <v:path arrowok="t"/>
                <v:fill type="solid"/>
              </v:shape>
            </v:group>
            <v:group style="position:absolute;left:7504;top:14;width:2;height:705" coordorigin="7504,14" coordsize="2,705">
              <v:shape style="position:absolute;left:7504;top:14;width:2;height:705" coordorigin="7504,14" coordsize="0,705" path="m7504,14l7504,719e" filled="false" stroked="true" strokeweight="1.140pt" strokecolor="#d2d2d2">
                <v:path arrowok="t"/>
              </v:shape>
            </v:group>
            <v:group style="position:absolute;left:9559;top:14;width:2;height:705" coordorigin="9559,14" coordsize="2,705">
              <v:shape style="position:absolute;left:9559;top:14;width:2;height:705" coordorigin="9559,14" coordsize="0,705" path="m9559,14l9559,719e" filled="false" stroked="true" strokeweight="1.140pt" strokecolor="#d2d2d2">
                <v:path arrowok="t"/>
              </v:shape>
            </v:group>
            <v:group style="position:absolute;left:7516;top:14;width:2032;height:353" coordorigin="7516,14" coordsize="2032,353">
              <v:shape style="position:absolute;left:7516;top:14;width:2032;height:353" coordorigin="7516,14" coordsize="2032,353" path="m7516,367l9547,367,9547,14,7516,14,7516,367xe" filled="true" fillcolor="#d2d2d2" stroked="false">
                <v:path arrowok="t"/>
                <v:fill type="solid"/>
              </v:shape>
            </v:group>
            <v:group style="position:absolute;left:7516;top:367;width:2032;height:352" coordorigin="7516,367" coordsize="2032,352">
              <v:shape style="position:absolute;left:7516;top:367;width:2032;height:352" coordorigin="7516,367" coordsize="2032,352" path="m7516,719l9547,719,9547,367,7516,367,7516,719xe" filled="true" fillcolor="#d2d2d2" stroked="false">
                <v:path arrowok="t"/>
                <v:fill type="solid"/>
              </v:shape>
            </v:group>
            <v:group style="position:absolute;left:10;top:10;width:1485;height:2" coordorigin="10,10" coordsize="1485,2">
              <v:shape style="position:absolute;left:10;top:10;width:1485;height:2" coordorigin="10,10" coordsize="1485,0" path="m10,10l1494,10e" filled="false" stroked="true" strokeweight=".48pt" strokecolor="#000000">
                <v:path arrowok="t"/>
              </v:shape>
            </v:group>
            <v:group style="position:absolute;left:1504;top:10;width:1488;height:2" coordorigin="1504,10" coordsize="1488,2">
              <v:shape style="position:absolute;left:1504;top:10;width:1488;height:2" coordorigin="1504,10" coordsize="1488,0" path="m1504,10l2992,10e" filled="false" stroked="true" strokeweight=".48pt" strokecolor="#000000">
                <v:path arrowok="t"/>
              </v:shape>
            </v:group>
            <v:group style="position:absolute;left:3002;top:10;width:1488;height:2" coordorigin="3002,10" coordsize="1488,2">
              <v:shape style="position:absolute;left:3002;top:10;width:1488;height:2" coordorigin="3002,10" coordsize="1488,0" path="m3002,10l4489,10e" filled="false" stroked="true" strokeweight=".48pt" strokecolor="#000000">
                <v:path arrowok="t"/>
              </v:shape>
            </v:group>
            <v:group style="position:absolute;left:4498;top:10;width:1488;height:2" coordorigin="4498,10" coordsize="1488,2">
              <v:shape style="position:absolute;left:4498;top:10;width:1488;height:2" coordorigin="4498,10" coordsize="1488,0" path="m4498,10l5986,10e" filled="false" stroked="true" strokeweight=".48pt" strokecolor="#000000">
                <v:path arrowok="t"/>
              </v:shape>
            </v:group>
            <v:group style="position:absolute;left:5996;top:10;width:1488;height:2" coordorigin="5996,10" coordsize="1488,2">
              <v:shape style="position:absolute;left:5996;top:10;width:1488;height:2" coordorigin="5996,10" coordsize="1488,0" path="m5996,10l7483,10e" filled="false" stroked="true" strokeweight=".48pt" strokecolor="#000000">
                <v:path arrowok="t"/>
              </v:shape>
            </v:group>
            <v:group style="position:absolute;left:7493;top:10;width:2078;height:2" coordorigin="7493,10" coordsize="2078,2">
              <v:shape style="position:absolute;left:7493;top:10;width:2078;height:2" coordorigin="7493,10" coordsize="2078,0" path="m7493,10l9570,10e" filled="false" stroked="true" strokeweight=".48pt" strokecolor="#000000">
                <v:path arrowok="t"/>
              </v:shape>
            </v:group>
            <v:group style="position:absolute;left:10;top:724;width:1485;height:2" coordorigin="10,724" coordsize="1485,2">
              <v:shape style="position:absolute;left:10;top:724;width:1485;height:2" coordorigin="10,724" coordsize="1485,0" path="m10,724l1494,724e" filled="false" stroked="true" strokeweight=".48pt" strokecolor="#000000">
                <v:path arrowok="t"/>
              </v:shape>
            </v:group>
            <v:group style="position:absolute;left:1504;top:724;width:1488;height:2" coordorigin="1504,724" coordsize="1488,2">
              <v:shape style="position:absolute;left:1504;top:724;width:1488;height:2" coordorigin="1504,724" coordsize="1488,0" path="m1504,724l2992,724e" filled="false" stroked="true" strokeweight=".48pt" strokecolor="#000000">
                <v:path arrowok="t"/>
              </v:shape>
            </v:group>
            <v:group style="position:absolute;left:3002;top:724;width:1488;height:2" coordorigin="3002,724" coordsize="1488,2">
              <v:shape style="position:absolute;left:3002;top:724;width:1488;height:2" coordorigin="3002,724" coordsize="1488,0" path="m3002,724l4489,724e" filled="false" stroked="true" strokeweight=".48pt" strokecolor="#000000">
                <v:path arrowok="t"/>
              </v:shape>
            </v:group>
            <v:group style="position:absolute;left:4498;top:724;width:1488;height:2" coordorigin="4498,724" coordsize="1488,2">
              <v:shape style="position:absolute;left:4498;top:724;width:1488;height:2" coordorigin="4498,724" coordsize="1488,0" path="m4498,724l5986,724e" filled="false" stroked="true" strokeweight=".48pt" strokecolor="#000000">
                <v:path arrowok="t"/>
              </v:shape>
            </v:group>
            <v:group style="position:absolute;left:5996;top:724;width:1488;height:2" coordorigin="5996,724" coordsize="1488,2">
              <v:shape style="position:absolute;left:5996;top:724;width:1488;height:2" coordorigin="5996,724" coordsize="1488,0" path="m5996,724l7483,724e" filled="false" stroked="true" strokeweight=".48pt" strokecolor="#000000">
                <v:path arrowok="t"/>
              </v:shape>
            </v:group>
            <v:group style="position:absolute;left:7493;top:724;width:2078;height:2" coordorigin="7493,724" coordsize="2078,2">
              <v:shape style="position:absolute;left:7493;top:724;width:2078;height:2" coordorigin="7493,724" coordsize="2078,0" path="m7493,724l9570,724e" filled="false" stroked="true" strokeweight=".48pt" strokecolor="#000000">
                <v:path arrowok="t"/>
              </v:shape>
            </v:group>
            <v:group style="position:absolute;left:10;top:1750;width:1485;height:2" coordorigin="10,1750" coordsize="1485,2">
              <v:shape style="position:absolute;left:10;top:1750;width:1485;height:2" coordorigin="10,1750" coordsize="1485,0" path="m10,1750l1494,1750e" filled="false" stroked="true" strokeweight=".48pt" strokecolor="#000000">
                <v:path arrowok="t"/>
              </v:shape>
            </v:group>
            <v:group style="position:absolute;left:1504;top:1750;width:1488;height:2" coordorigin="1504,1750" coordsize="1488,2">
              <v:shape style="position:absolute;left:1504;top:1750;width:1488;height:2" coordorigin="1504,1750" coordsize="1488,0" path="m1504,1750l2992,1750e" filled="false" stroked="true" strokeweight=".48pt" strokecolor="#000000">
                <v:path arrowok="t"/>
              </v:shape>
            </v:group>
            <v:group style="position:absolute;left:3002;top:1750;width:1488;height:2" coordorigin="3002,1750" coordsize="1488,2">
              <v:shape style="position:absolute;left:3002;top:1750;width:1488;height:2" coordorigin="3002,1750" coordsize="1488,0" path="m3002,1750l4489,1750e" filled="false" stroked="true" strokeweight=".48pt" strokecolor="#000000">
                <v:path arrowok="t"/>
              </v:shape>
            </v:group>
            <v:group style="position:absolute;left:4498;top:1750;width:1488;height:2" coordorigin="4498,1750" coordsize="1488,2">
              <v:shape style="position:absolute;left:4498;top:1750;width:1488;height:2" coordorigin="4498,1750" coordsize="1488,0" path="m4498,1750l5986,1750e" filled="false" stroked="true" strokeweight=".48pt" strokecolor="#000000">
                <v:path arrowok="t"/>
              </v:shape>
            </v:group>
            <v:group style="position:absolute;left:5996;top:1750;width:1488;height:2" coordorigin="5996,1750" coordsize="1488,2">
              <v:shape style="position:absolute;left:5996;top:1750;width:1488;height:2" coordorigin="5996,1750" coordsize="1488,0" path="m5996,1750l7483,1750e" filled="false" stroked="true" strokeweight=".48pt" strokecolor="#000000">
                <v:path arrowok="t"/>
              </v:shape>
            </v:group>
            <v:group style="position:absolute;left:7493;top:1750;width:2078;height:2" coordorigin="7493,1750" coordsize="2078,2">
              <v:shape style="position:absolute;left:7493;top:1750;width:2078;height:2" coordorigin="7493,1750" coordsize="2078,0" path="m7493,1750l9570,1750e" filled="false" stroked="true" strokeweight=".48pt" strokecolor="#000000">
                <v:path arrowok="t"/>
              </v:shape>
            </v:group>
            <v:group style="position:absolute;left:10;top:2776;width:1485;height:2" coordorigin="10,2776" coordsize="1485,2">
              <v:shape style="position:absolute;left:10;top:2776;width:1485;height:2" coordorigin="10,2776" coordsize="1485,0" path="m10,2776l1494,2776e" filled="false" stroked="true" strokeweight=".48pt" strokecolor="#000000">
                <v:path arrowok="t"/>
              </v:shape>
            </v:group>
            <v:group style="position:absolute;left:1504;top:2776;width:1488;height:2" coordorigin="1504,2776" coordsize="1488,2">
              <v:shape style="position:absolute;left:1504;top:2776;width:1488;height:2" coordorigin="1504,2776" coordsize="1488,0" path="m1504,2776l2992,2776e" filled="false" stroked="true" strokeweight=".48pt" strokecolor="#000000">
                <v:path arrowok="t"/>
              </v:shape>
            </v:group>
            <v:group style="position:absolute;left:3002;top:2776;width:1488;height:2" coordorigin="3002,2776" coordsize="1488,2">
              <v:shape style="position:absolute;left:3002;top:2776;width:1488;height:2" coordorigin="3002,2776" coordsize="1488,0" path="m3002,2776l4489,2776e" filled="false" stroked="true" strokeweight=".48pt" strokecolor="#000000">
                <v:path arrowok="t"/>
              </v:shape>
            </v:group>
            <v:group style="position:absolute;left:4498;top:2776;width:1488;height:2" coordorigin="4498,2776" coordsize="1488,2">
              <v:shape style="position:absolute;left:4498;top:2776;width:1488;height:2" coordorigin="4498,2776" coordsize="1488,0" path="m4498,2776l5986,2776e" filled="false" stroked="true" strokeweight=".48pt" strokecolor="#000000">
                <v:path arrowok="t"/>
              </v:shape>
            </v:group>
            <v:group style="position:absolute;left:5996;top:2776;width:1488;height:2" coordorigin="5996,2776" coordsize="1488,2">
              <v:shape style="position:absolute;left:5996;top:2776;width:1488;height:2" coordorigin="5996,2776" coordsize="1488,0" path="m5996,2776l7483,2776e" filled="false" stroked="true" strokeweight=".48pt" strokecolor="#000000">
                <v:path arrowok="t"/>
              </v:shape>
            </v:group>
            <v:group style="position:absolute;left:7493;top:2776;width:2078;height:2" coordorigin="7493,2776" coordsize="2078,2">
              <v:shape style="position:absolute;left:7493;top:2776;width:2078;height:2" coordorigin="7493,2776" coordsize="2078,0" path="m7493,2776l9570,2776e" filled="false" stroked="true" strokeweight=".48pt" strokecolor="#000000">
                <v:path arrowok="t"/>
              </v:shape>
            </v:group>
            <v:group style="position:absolute;left:7493;top:3806;width:2078;height:449" coordorigin="7493,3806" coordsize="2078,449">
              <v:shape style="position:absolute;left:7493;top:3806;width:2078;height:449" coordorigin="7493,3806" coordsize="2078,449" path="m7493,4255l9570,4255,9570,3806,7493,3806,7493,4255xe" filled="true" fillcolor="#ffffff" stroked="false">
                <v:path arrowok="t"/>
                <v:fill type="solid"/>
              </v:shape>
            </v:group>
            <v:group style="position:absolute;left:7504;top:4255;width:2;height:1016" coordorigin="7504,4255" coordsize="2,1016">
              <v:shape style="position:absolute;left:7504;top:4255;width:2;height:1016" coordorigin="7504,4255" coordsize="0,1016" path="m7504,4255l7504,5271e" filled="false" stroked="true" strokeweight="1.140pt" strokecolor="#ffffff">
                <v:path arrowok="t"/>
              </v:shape>
            </v:group>
            <v:group style="position:absolute;left:7493;top:5271;width:2078;height:448" coordorigin="7493,5271" coordsize="2078,448">
              <v:shape style="position:absolute;left:7493;top:5271;width:2078;height:448" coordorigin="7493,5271" coordsize="2078,448" path="m7493,5718l9570,5718,9570,5271,7493,5271,7493,5718xe" filled="true" fillcolor="#ffffff" stroked="false">
                <v:path arrowok="t"/>
                <v:fill type="solid"/>
              </v:shape>
            </v:group>
            <v:group style="position:absolute;left:7516;top:4255;width:2032;height:352" coordorigin="7516,4255" coordsize="2032,352">
              <v:shape style="position:absolute;left:7516;top:4255;width:2032;height:352" coordorigin="7516,4255" coordsize="2032,352" path="m7516,4607l9547,4607,9547,4255,7516,4255,7516,4607xe" filled="true" fillcolor="#ffffff" stroked="false">
                <v:path arrowok="t"/>
                <v:fill type="solid"/>
              </v:shape>
            </v:group>
            <v:group style="position:absolute;left:7516;top:4607;width:2032;height:312" coordorigin="7516,4607" coordsize="2032,312">
              <v:shape style="position:absolute;left:7516;top:4607;width:2032;height:312" coordorigin="7516,4607" coordsize="2032,312" path="m7516,4919l9547,4919,9547,4607,7516,4607,7516,4919xe" filled="true" fillcolor="#ffffff" stroked="false">
                <v:path arrowok="t"/>
                <v:fill type="solid"/>
              </v:shape>
            </v:group>
            <v:group style="position:absolute;left:7516;top:4919;width:2032;height:352" coordorigin="7516,4919" coordsize="2032,352">
              <v:shape style="position:absolute;left:7516;top:4919;width:2032;height:352" coordorigin="7516,4919" coordsize="2032,352" path="m7516,5271l9547,5271,9547,4919,7516,4919,7516,5271xe" filled="true" fillcolor="#ffffff" stroked="false">
                <v:path arrowok="t"/>
                <v:fill type="solid"/>
              </v:shape>
            </v:group>
            <v:group style="position:absolute;left:10;top:3802;width:1485;height:2" coordorigin="10,3802" coordsize="1485,2">
              <v:shape style="position:absolute;left:10;top:3802;width:1485;height:2" coordorigin="10,3802" coordsize="1485,0" path="m10,3802l1494,3802e" filled="false" stroked="true" strokeweight=".48pt" strokecolor="#000000">
                <v:path arrowok="t"/>
              </v:shape>
            </v:group>
            <v:group style="position:absolute;left:1504;top:3802;width:1488;height:2" coordorigin="1504,3802" coordsize="1488,2">
              <v:shape style="position:absolute;left:1504;top:3802;width:1488;height:2" coordorigin="1504,3802" coordsize="1488,0" path="m1504,3802l2992,3802e" filled="false" stroked="true" strokeweight=".48pt" strokecolor="#000000">
                <v:path arrowok="t"/>
              </v:shape>
            </v:group>
            <v:group style="position:absolute;left:3002;top:3802;width:1488;height:2" coordorigin="3002,3802" coordsize="1488,2">
              <v:shape style="position:absolute;left:3002;top:3802;width:1488;height:2" coordorigin="3002,3802" coordsize="1488,0" path="m3002,3802l4489,3802e" filled="false" stroked="true" strokeweight=".48pt" strokecolor="#000000">
                <v:path arrowok="t"/>
              </v:shape>
            </v:group>
            <v:group style="position:absolute;left:4498;top:3802;width:1488;height:2" coordorigin="4498,3802" coordsize="1488,2">
              <v:shape style="position:absolute;left:4498;top:3802;width:1488;height:2" coordorigin="4498,3802" coordsize="1488,0" path="m4498,3802l5986,3802e" filled="false" stroked="true" strokeweight=".48pt" strokecolor="#000000">
                <v:path arrowok="t"/>
              </v:shape>
            </v:group>
            <v:group style="position:absolute;left:5996;top:3802;width:1488;height:2" coordorigin="5996,3802" coordsize="1488,2">
              <v:shape style="position:absolute;left:5996;top:3802;width:1488;height:2" coordorigin="5996,3802" coordsize="1488,0" path="m5996,3802l7483,3802e" filled="false" stroked="true" strokeweight=".48pt" strokecolor="#000000">
                <v:path arrowok="t"/>
              </v:shape>
            </v:group>
            <v:group style="position:absolute;left:7493;top:3802;width:2078;height:2" coordorigin="7493,3802" coordsize="2078,2">
              <v:shape style="position:absolute;left:7493;top:3802;width:2078;height:2" coordorigin="7493,3802" coordsize="2078,0" path="m7493,3802l9570,3802e" filled="false" stroked="true" strokeweight=".48pt" strokecolor="#000000">
                <v:path arrowok="t"/>
              </v:shape>
            </v:group>
            <v:group style="position:absolute;left:5;top:5;width:2;height:5725" coordorigin="5,5" coordsize="2,5725">
              <v:shape style="position:absolute;left:5;top:5;width:2;height:5725" coordorigin="5,5" coordsize="0,5725" path="m5,5l5,5729e" filled="false" stroked="true" strokeweight=".48pt" strokecolor="#000000">
                <v:path arrowok="t"/>
              </v:shape>
            </v:group>
            <v:group style="position:absolute;left:10;top:5724;width:1485;height:2" coordorigin="10,5724" coordsize="1485,2">
              <v:shape style="position:absolute;left:10;top:5724;width:1485;height:2" coordorigin="10,5724" coordsize="1485,0" path="m10,5724l1494,5724e" filled="false" stroked="true" strokeweight=".48pt" strokecolor="#000000">
                <v:path arrowok="t"/>
              </v:shape>
            </v:group>
            <v:group style="position:absolute;left:1499;top:5;width:2;height:5725" coordorigin="1499,5" coordsize="2,5725">
              <v:shape style="position:absolute;left:1499;top:5;width:2;height:5725" coordorigin="1499,5" coordsize="0,5725" path="m1499,5l1499,5729e" filled="false" stroked="true" strokeweight=".48pt" strokecolor="#000000">
                <v:path arrowok="t"/>
              </v:shape>
            </v:group>
            <v:group style="position:absolute;left:1504;top:5724;width:1488;height:2" coordorigin="1504,5724" coordsize="1488,2">
              <v:shape style="position:absolute;left:1504;top:5724;width:1488;height:2" coordorigin="1504,5724" coordsize="1488,0" path="m1504,5724l2992,5724e" filled="false" stroked="true" strokeweight=".48pt" strokecolor="#000000">
                <v:path arrowok="t"/>
              </v:shape>
            </v:group>
            <v:group style="position:absolute;left:2997;top:5;width:2;height:5725" coordorigin="2997,5" coordsize="2,5725">
              <v:shape style="position:absolute;left:2997;top:5;width:2;height:5725" coordorigin="2997,5" coordsize="0,5725" path="m2997,5l2997,5729e" filled="false" stroked="true" strokeweight=".48pt" strokecolor="#000000">
                <v:path arrowok="t"/>
              </v:shape>
            </v:group>
            <v:group style="position:absolute;left:3002;top:5724;width:1488;height:2" coordorigin="3002,5724" coordsize="1488,2">
              <v:shape style="position:absolute;left:3002;top:5724;width:1488;height:2" coordorigin="3002,5724" coordsize="1488,0" path="m3002,5724l4489,5724e" filled="false" stroked="true" strokeweight=".48pt" strokecolor="#000000">
                <v:path arrowok="t"/>
              </v:shape>
            </v:group>
            <v:group style="position:absolute;left:4494;top:5;width:2;height:5725" coordorigin="4494,5" coordsize="2,5725">
              <v:shape style="position:absolute;left:4494;top:5;width:2;height:5725" coordorigin="4494,5" coordsize="0,5725" path="m4494,5l4494,5729e" filled="false" stroked="true" strokeweight=".48pt" strokecolor="#000000">
                <v:path arrowok="t"/>
              </v:shape>
            </v:group>
            <v:group style="position:absolute;left:4498;top:5724;width:1488;height:2" coordorigin="4498,5724" coordsize="1488,2">
              <v:shape style="position:absolute;left:4498;top:5724;width:1488;height:2" coordorigin="4498,5724" coordsize="1488,0" path="m4498,5724l5986,5724e" filled="false" stroked="true" strokeweight=".48pt" strokecolor="#000000">
                <v:path arrowok="t"/>
              </v:shape>
            </v:group>
            <v:group style="position:absolute;left:5991;top:5;width:2;height:5725" coordorigin="5991,5" coordsize="2,5725">
              <v:shape style="position:absolute;left:5991;top:5;width:2;height:5725" coordorigin="5991,5" coordsize="0,5725" path="m5991,5l5991,5729e" filled="false" stroked="true" strokeweight=".48pt" strokecolor="#000000">
                <v:path arrowok="t"/>
              </v:shape>
            </v:group>
            <v:group style="position:absolute;left:5996;top:5724;width:1488;height:2" coordorigin="5996,5724" coordsize="1488,2">
              <v:shape style="position:absolute;left:5996;top:5724;width:1488;height:2" coordorigin="5996,5724" coordsize="1488,0" path="m5996,5724l7483,5724e" filled="false" stroked="true" strokeweight=".48pt" strokecolor="#000000">
                <v:path arrowok="t"/>
              </v:shape>
            </v:group>
            <v:group style="position:absolute;left:7488;top:5;width:2;height:5725" coordorigin="7488,5" coordsize="2,5725">
              <v:shape style="position:absolute;left:7488;top:5;width:2;height:5725" coordorigin="7488,5" coordsize="0,5725" path="m7488,5l7488,5729e" filled="false" stroked="true" strokeweight=".48pt" strokecolor="#000000">
                <v:path arrowok="t"/>
              </v:shape>
            </v:group>
            <v:group style="position:absolute;left:7493;top:5724;width:2078;height:2" coordorigin="7493,5724" coordsize="2078,2">
              <v:shape style="position:absolute;left:7493;top:5724;width:2078;height:2" coordorigin="7493,5724" coordsize="2078,0" path="m7493,5724l9570,5724e" filled="false" stroked="true" strokeweight=".48pt" strokecolor="#000000">
                <v:path arrowok="t"/>
              </v:shape>
            </v:group>
            <v:group style="position:absolute;left:9575;top:5;width:2;height:5725" coordorigin="9575,5" coordsize="2,5725">
              <v:shape style="position:absolute;left:9575;top:5;width:2;height:5725" coordorigin="9575,5" coordsize="0,5725" path="m9575,5l9575,5729e" filled="false" stroked="true" strokeweight=".48pt" strokecolor="#000000">
                <v:path arrowok="t"/>
              </v:shape>
              <v:shape style="position:absolute;left:391;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接待时间</w:t>
                      </w:r>
                    </w:p>
                  </w:txbxContent>
                </v:textbox>
                <w10:wrap type="none"/>
              </v:shape>
              <v:shape style="position:absolute;left:1887;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接待地点</w:t>
                      </w:r>
                    </w:p>
                  </w:txbxContent>
                </v:textbox>
                <w10:wrap type="none"/>
              </v:shape>
              <v:shape style="position:absolute;left:3384;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接待方式</w:t>
                      </w:r>
                    </w:p>
                  </w:txbxContent>
                </v:textbox>
                <w10:wrap type="none"/>
              </v:shape>
              <v:shape style="position:absolute;left:4701;top:27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接待对象类型</w:t>
                      </w:r>
                    </w:p>
                  </w:txbxContent>
                </v:textbox>
                <w10:wrap type="none"/>
              </v:shape>
              <v:shape style="position:absolute;left:6379;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接待对象</w:t>
                      </w:r>
                    </w:p>
                  </w:txbxContent>
                </v:textbox>
                <w10:wrap type="none"/>
              </v:shape>
              <v:shape style="position:absolute;left:7541;top:121;width:1980;height:494"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谈论的主要内容及提供的</w:t>
                      </w:r>
                    </w:p>
                    <w:p>
                      <w:pPr>
                        <w:spacing w:before="77"/>
                        <w:ind w:left="0" w:right="0" w:firstLine="0"/>
                        <w:jc w:val="center"/>
                        <w:rPr>
                          <w:rFonts w:ascii="宋体" w:hAnsi="宋体" w:cs="宋体" w:eastAsia="宋体" w:hint="default"/>
                          <w:sz w:val="18"/>
                          <w:szCs w:val="18"/>
                        </w:rPr>
                      </w:pPr>
                      <w:r>
                        <w:rPr>
                          <w:rFonts w:ascii="宋体" w:hAnsi="宋体" w:cs="宋体" w:eastAsia="宋体" w:hint="default"/>
                          <w:sz w:val="18"/>
                          <w:szCs w:val="18"/>
                        </w:rPr>
                        <w:t>资料</w:t>
                      </w:r>
                    </w:p>
                  </w:txbxContent>
                </v:textbox>
                <w10:wrap type="none"/>
              </v:shape>
              <v:shape style="position:absolute;left:32;top:1147;width:239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35"/>
                          <w:sz w:val="18"/>
                          <w:szCs w:val="18"/>
                        </w:rPr>
                        <w:t> </w:t>
                      </w:r>
                      <w:r>
                        <w:rPr>
                          <w:rFonts w:ascii="宋体" w:hAnsi="宋体" w:cs="宋体" w:eastAsia="宋体" w:hint="default"/>
                          <w:sz w:val="18"/>
                          <w:szCs w:val="18"/>
                        </w:rPr>
                        <w:t>公司会议室</w:t>
                      </w:r>
                    </w:p>
                  </w:txbxContent>
                </v:textbox>
                <w10:wrap type="none"/>
              </v:shape>
              <v:shape style="position:absolute;left:3024;top:114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4521;top:114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6019;top:835;width:3477;height:806" type="#_x0000_t202" filled="false" stroked="false">
                <v:textbox inset="0,0,0,0">
                  <w:txbxContent>
                    <w:p>
                      <w:pPr>
                        <w:spacing w:line="180" w:lineRule="exact" w:before="0"/>
                        <w:ind w:left="1496" w:right="0" w:firstLine="0"/>
                        <w:jc w:val="left"/>
                        <w:rPr>
                          <w:rFonts w:ascii="宋体" w:hAnsi="宋体" w:cs="宋体" w:eastAsia="宋体" w:hint="default"/>
                          <w:sz w:val="18"/>
                          <w:szCs w:val="18"/>
                        </w:rPr>
                      </w:pPr>
                      <w:r>
                        <w:rPr>
                          <w:rFonts w:ascii="宋体" w:hAnsi="宋体" w:cs="宋体" w:eastAsia="宋体" w:hint="default"/>
                          <w:sz w:val="18"/>
                          <w:szCs w:val="18"/>
                        </w:rPr>
                        <w:t>公司基本情况及客户情</w:t>
                      </w:r>
                    </w:p>
                    <w:p>
                      <w:pPr>
                        <w:tabs>
                          <w:tab w:pos="1496" w:val="left" w:leader="none"/>
                        </w:tabs>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国信证券：刘翔</w:t>
                        <w:tab/>
                        <w:t>况；未来发展目标；业绩</w:t>
                      </w:r>
                    </w:p>
                    <w:p>
                      <w:pPr>
                        <w:spacing w:before="77"/>
                        <w:ind w:left="1496" w:right="0" w:firstLine="0"/>
                        <w:jc w:val="left"/>
                        <w:rPr>
                          <w:rFonts w:ascii="宋体" w:hAnsi="宋体" w:cs="宋体" w:eastAsia="宋体" w:hint="default"/>
                          <w:sz w:val="18"/>
                          <w:szCs w:val="18"/>
                        </w:rPr>
                      </w:pPr>
                      <w:r>
                        <w:rPr>
                          <w:rFonts w:ascii="宋体" w:hAnsi="宋体" w:cs="宋体" w:eastAsia="宋体" w:hint="default"/>
                          <w:sz w:val="18"/>
                          <w:szCs w:val="18"/>
                        </w:rPr>
                        <w:t>下滑的原因等</w:t>
                      </w:r>
                    </w:p>
                  </w:txbxContent>
                </v:textbox>
                <w10:wrap type="none"/>
              </v:shape>
              <v:shape style="position:absolute;left:32;top:2173;width:239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xbxContent>
                </v:textbox>
                <w10:wrap type="none"/>
              </v:shape>
              <v:shape style="position:absolute;left:3024;top:217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4521;top:217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个人</w:t>
                      </w:r>
                    </w:p>
                  </w:txbxContent>
                </v:textbox>
                <w10:wrap type="none"/>
              </v:shape>
              <v:shape style="position:absolute;left:6019;top:217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陶晓海、田川</w:t>
                      </w:r>
                    </w:p>
                  </w:txbxContent>
                </v:textbox>
                <w10:wrap type="none"/>
              </v:shape>
              <v:shape style="position:absolute;left:7516;top:1861;width:1980;height:8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募投项目情况；公司未来</w:t>
                      </w:r>
                    </w:p>
                    <w:p>
                      <w:pPr>
                        <w:spacing w:line="314" w:lineRule="exact" w:before="35"/>
                        <w:ind w:left="0" w:right="0" w:firstLine="0"/>
                        <w:jc w:val="left"/>
                        <w:rPr>
                          <w:rFonts w:ascii="宋体" w:hAnsi="宋体" w:cs="宋体" w:eastAsia="宋体" w:hint="default"/>
                          <w:sz w:val="18"/>
                          <w:szCs w:val="18"/>
                        </w:rPr>
                      </w:pPr>
                      <w:r>
                        <w:rPr>
                          <w:rFonts w:ascii="宋体" w:hAnsi="宋体" w:cs="宋体" w:eastAsia="宋体" w:hint="default"/>
                          <w:sz w:val="18"/>
                          <w:szCs w:val="18"/>
                        </w:rPr>
                        <w:t>投资方向；公司技术能力 等</w:t>
                      </w:r>
                    </w:p>
                  </w:txbxContent>
                </v:textbox>
                <w10:wrap type="none"/>
              </v:shape>
              <v:shape style="position:absolute;left:32;top:3199;width:239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xbxContent>
                </v:textbox>
                <w10:wrap type="none"/>
              </v:shape>
              <v:shape style="position:absolute;left:3024;top:319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4521;top:31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个人</w:t>
                      </w:r>
                    </w:p>
                  </w:txbxContent>
                </v:textbox>
                <w10:wrap type="none"/>
              </v:shape>
              <v:shape style="position:absolute;left:6019;top:2887;width:3477;height:1206" type="#_x0000_t202" filled="false" stroked="false">
                <v:textbox inset="0,0,0,0">
                  <w:txbxContent>
                    <w:p>
                      <w:pPr>
                        <w:spacing w:line="140" w:lineRule="exact" w:before="0"/>
                        <w:ind w:left="1496" w:right="0" w:firstLine="0"/>
                        <w:jc w:val="left"/>
                        <w:rPr>
                          <w:rFonts w:ascii="宋体" w:hAnsi="宋体" w:cs="宋体" w:eastAsia="宋体" w:hint="default"/>
                          <w:sz w:val="18"/>
                          <w:szCs w:val="18"/>
                        </w:rPr>
                      </w:pPr>
                      <w:r>
                        <w:rPr>
                          <w:rFonts w:ascii="宋体" w:hAnsi="宋体" w:cs="宋体" w:eastAsia="宋体" w:hint="default"/>
                          <w:sz w:val="18"/>
                          <w:szCs w:val="18"/>
                        </w:rPr>
                        <w:t>公司未来的激励计划；管</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赵建平、陶晓海、</w:t>
                      </w:r>
                    </w:p>
                    <w:p>
                      <w:pPr>
                        <w:spacing w:line="157" w:lineRule="exact" w:before="0"/>
                        <w:ind w:left="1496" w:right="0" w:firstLine="0"/>
                        <w:jc w:val="left"/>
                        <w:rPr>
                          <w:rFonts w:ascii="宋体" w:hAnsi="宋体" w:cs="宋体" w:eastAsia="宋体" w:hint="default"/>
                          <w:sz w:val="18"/>
                          <w:szCs w:val="18"/>
                        </w:rPr>
                      </w:pPr>
                      <w:r>
                        <w:rPr>
                          <w:rFonts w:ascii="宋体" w:hAnsi="宋体" w:cs="宋体" w:eastAsia="宋体" w:hint="default"/>
                          <w:sz w:val="18"/>
                          <w:szCs w:val="18"/>
                        </w:rPr>
                        <w:t>理层变动情况；未来发展</w:t>
                      </w:r>
                    </w:p>
                    <w:p>
                      <w:pPr>
                        <w:spacing w:line="15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田川、李宇崇</w:t>
                      </w:r>
                    </w:p>
                    <w:p>
                      <w:pPr>
                        <w:spacing w:line="196" w:lineRule="exact" w:before="0"/>
                        <w:ind w:left="1496" w:right="0" w:firstLine="0"/>
                        <w:jc w:val="left"/>
                        <w:rPr>
                          <w:rFonts w:ascii="宋体" w:hAnsi="宋体" w:cs="宋体" w:eastAsia="宋体" w:hint="default"/>
                          <w:sz w:val="18"/>
                          <w:szCs w:val="18"/>
                        </w:rPr>
                      </w:pPr>
                      <w:r>
                        <w:rPr>
                          <w:rFonts w:ascii="宋体" w:hAnsi="宋体" w:cs="宋体" w:eastAsia="宋体" w:hint="default"/>
                          <w:sz w:val="18"/>
                          <w:szCs w:val="18"/>
                        </w:rPr>
                        <w:t>方向等</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华创证券：</w:t>
                      </w:r>
                    </w:p>
                  </w:txbxContent>
                </v:textbox>
                <w10:wrap type="none"/>
              </v:shape>
              <v:shape style="position:absolute;left:32;top:4675;width:239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p>
                  </w:txbxContent>
                </v:textbox>
                <w10:wrap type="none"/>
              </v:shape>
              <v:shape style="position:absolute;left:3024;top:467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4521;top:467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6019;top:4225;width:3477;height:1428" type="#_x0000_t202" filled="false" stroked="false">
                <v:textbox inset="0,0,0,0">
                  <w:txbxContent>
                    <w:p>
                      <w:pPr>
                        <w:spacing w:line="13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中证投资</w:t>
                      </w:r>
                      <w:r>
                        <w:rPr>
                          <w:rFonts w:ascii="宋体" w:hAnsi="宋体" w:cs="宋体" w:eastAsia="宋体" w:hint="default"/>
                          <w:spacing w:val="-89"/>
                          <w:sz w:val="18"/>
                          <w:szCs w:val="18"/>
                        </w:rPr>
                        <w:t>、</w:t>
                      </w:r>
                      <w:r>
                        <w:rPr>
                          <w:rFonts w:ascii="宋体" w:hAnsi="宋体" w:cs="宋体" w:eastAsia="宋体" w:hint="default"/>
                          <w:sz w:val="18"/>
                          <w:szCs w:val="18"/>
                        </w:rPr>
                        <w:t>曾绍鹏；</w:t>
                      </w:r>
                    </w:p>
                    <w:p>
                      <w:pPr>
                        <w:spacing w:line="177" w:lineRule="auto" w:before="5"/>
                        <w:ind w:left="0" w:right="0" w:firstLine="1496"/>
                        <w:jc w:val="left"/>
                        <w:rPr>
                          <w:rFonts w:ascii="宋体" w:hAnsi="宋体" w:cs="宋体" w:eastAsia="宋体" w:hint="default"/>
                          <w:sz w:val="18"/>
                          <w:szCs w:val="18"/>
                        </w:rPr>
                      </w:pPr>
                      <w:r>
                        <w:rPr>
                          <w:rFonts w:ascii="宋体" w:hAnsi="宋体" w:cs="宋体" w:eastAsia="宋体" w:hint="default"/>
                          <w:sz w:val="18"/>
                          <w:szCs w:val="18"/>
                        </w:rPr>
                        <w:t>公司业绩情况；募投项目 </w:t>
                      </w:r>
                      <w:r>
                        <w:rPr>
                          <w:rFonts w:ascii="宋体" w:hAnsi="宋体" w:cs="宋体" w:eastAsia="宋体" w:hint="default"/>
                          <w:spacing w:val="-10"/>
                          <w:sz w:val="18"/>
                          <w:szCs w:val="18"/>
                        </w:rPr>
                        <w:t>信达奥银、冯明远；</w:t>
                      </w:r>
                    </w:p>
                    <w:p>
                      <w:pPr>
                        <w:spacing w:line="113" w:lineRule="exact" w:before="0"/>
                        <w:ind w:left="1496" w:right="0" w:firstLine="0"/>
                        <w:jc w:val="left"/>
                        <w:rPr>
                          <w:rFonts w:ascii="宋体" w:hAnsi="宋体" w:cs="宋体" w:eastAsia="宋体" w:hint="default"/>
                          <w:sz w:val="18"/>
                          <w:szCs w:val="18"/>
                        </w:rPr>
                      </w:pPr>
                      <w:r>
                        <w:rPr>
                          <w:rFonts w:ascii="宋体" w:hAnsi="宋体" w:cs="宋体" w:eastAsia="宋体" w:hint="default"/>
                          <w:sz w:val="18"/>
                          <w:szCs w:val="18"/>
                        </w:rPr>
                        <w:t>情况；投资方向的选择和</w:t>
                      </w:r>
                    </w:p>
                    <w:p>
                      <w:pPr>
                        <w:spacing w:line="15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平安证券</w:t>
                      </w:r>
                      <w:r>
                        <w:rPr>
                          <w:rFonts w:ascii="宋体" w:hAnsi="宋体" w:cs="宋体" w:eastAsia="宋体" w:hint="default"/>
                          <w:spacing w:val="-89"/>
                          <w:sz w:val="18"/>
                          <w:szCs w:val="18"/>
                        </w:rPr>
                        <w:t>：</w:t>
                      </w:r>
                      <w:r>
                        <w:rPr>
                          <w:rFonts w:ascii="宋体" w:hAnsi="宋体" w:cs="宋体" w:eastAsia="宋体" w:hint="default"/>
                          <w:sz w:val="18"/>
                          <w:szCs w:val="18"/>
                        </w:rPr>
                        <w:t>林照天；</w:t>
                      </w:r>
                    </w:p>
                    <w:p>
                      <w:pPr>
                        <w:spacing w:line="177" w:lineRule="auto" w:before="5"/>
                        <w:ind w:left="0" w:right="1438" w:firstLine="1496"/>
                        <w:jc w:val="left"/>
                        <w:rPr>
                          <w:rFonts w:ascii="宋体" w:hAnsi="宋体" w:cs="宋体" w:eastAsia="宋体" w:hint="default"/>
                          <w:sz w:val="18"/>
                          <w:szCs w:val="18"/>
                        </w:rPr>
                      </w:pPr>
                      <w:r>
                        <w:rPr>
                          <w:rFonts w:ascii="宋体" w:hAnsi="宋体" w:cs="宋体" w:eastAsia="宋体" w:hint="default"/>
                          <w:sz w:val="18"/>
                          <w:szCs w:val="18"/>
                        </w:rPr>
                        <w:t>目的等 </w:t>
                      </w:r>
                      <w:r>
                        <w:rPr>
                          <w:rFonts w:ascii="宋体" w:hAnsi="宋体" w:cs="宋体" w:eastAsia="宋体" w:hint="default"/>
                          <w:spacing w:val="-10"/>
                          <w:sz w:val="18"/>
                          <w:szCs w:val="18"/>
                        </w:rPr>
                        <w:t>长城基金：陈良栋；</w:t>
                      </w:r>
                    </w:p>
                    <w:p>
                      <w:pPr>
                        <w:spacing w:before="83"/>
                        <w:ind w:left="0" w:right="0" w:firstLine="0"/>
                        <w:jc w:val="left"/>
                        <w:rPr>
                          <w:rFonts w:ascii="宋体" w:hAnsi="宋体" w:cs="宋体" w:eastAsia="宋体" w:hint="default"/>
                          <w:sz w:val="18"/>
                          <w:szCs w:val="18"/>
                        </w:rPr>
                      </w:pPr>
                      <w:r>
                        <w:rPr>
                          <w:rFonts w:ascii="宋体" w:hAnsi="宋体" w:cs="宋体" w:eastAsia="宋体" w:hint="default"/>
                          <w:sz w:val="18"/>
                          <w:szCs w:val="18"/>
                        </w:rPr>
                        <w:t>银泰证券：</w:t>
                      </w:r>
                    </w:p>
                  </w:txbxContent>
                </v:textbox>
                <w10:wrap type="none"/>
              </v:shape>
            </v:group>
          </v:group>
        </w:pict>
      </w:r>
      <w:r>
        <w:rPr>
          <w:rFonts w:ascii="宋体" w:hAnsi="宋体" w:cs="宋体" w:eastAsia="宋体" w:hint="default"/>
          <w:position w:val="-114"/>
          <w:sz w:val="20"/>
          <w:szCs w:val="20"/>
        </w:rPr>
      </w:r>
    </w:p>
    <w:p>
      <w:pPr>
        <w:spacing w:after="0" w:line="573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7.963013pt;margin-top:72.47998pt;width:137pt;height:142.5pt;mso-position-horizontal-relative:page;mso-position-vertical-relative:page;z-index:-1047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316" w:lineRule="auto"/>
                    <w:ind w:left="0" w:right="2017"/>
                    <w:jc w:val="right"/>
                  </w:pPr>
                  <w:r>
                    <w:rPr/>
                    <w:t>刘玉江； 余彬； 薛冀颖；</w:t>
                  </w:r>
                </w:p>
              </w:txbxContent>
            </v:textbox>
            <w10:wrap type="none"/>
          </v:shape>
        </w:pict>
      </w:r>
      <w:r>
        <w:rPr/>
        <w:pict>
          <v:shape style="position:absolute;margin-left:388.963013pt;margin-top:215.419983pt;width:146pt;height:101.4pt;mso-position-horizontal-relative:page;mso-position-vertical-relative:page;z-index:-1047136" type="#_x0000_t202" filled="false" stroked="false">
            <v:textbox inset="0,0,0,0">
              <w:txbxContent>
                <w:p>
                  <w:pPr>
                    <w:pStyle w:val="BodyText"/>
                    <w:spacing w:line="316" w:lineRule="auto" w:before="51"/>
                    <w:ind w:left="0" w:right="2017" w:firstLine="180"/>
                    <w:jc w:val="right"/>
                  </w:pPr>
                  <w:r>
                    <w:rPr/>
                    <w:t>崔古昕； 方佳佳； 赵迪； 许兴军、</w:t>
                  </w:r>
                </w:p>
                <w:p>
                  <w:pPr>
                    <w:spacing w:line="240" w:lineRule="auto" w:before="0"/>
                    <w:rPr>
                      <w:rFonts w:ascii="Times New Roman" w:hAnsi="Times New Roman" w:cs="Times New Roman" w:eastAsia="Times New Roman" w:hint="default"/>
                      <w:sz w:val="18"/>
                      <w:szCs w:val="18"/>
                    </w:rPr>
                  </w:pPr>
                </w:p>
                <w:p>
                  <w:pPr>
                    <w:pStyle w:val="BodyText"/>
                    <w:spacing w:line="240" w:lineRule="auto" w:before="124"/>
                    <w:ind w:left="0" w:right="2017"/>
                    <w:jc w:val="right"/>
                  </w:pPr>
                  <w:r>
                    <w:rPr/>
                    <w:t>财富证券：</w:t>
                  </w:r>
                </w:p>
              </w:txbxContent>
            </v:textbox>
            <w10:wrap type="none"/>
          </v:shape>
        </w:pict>
      </w:r>
      <w:r>
        <w:rPr/>
        <w:pict>
          <v:shape style="position:absolute;margin-left:397.963013pt;margin-top:383.23999pt;width:137pt;height:101.45pt;mso-position-horizontal-relative:page;mso-position-vertical-relative:page;z-index:-1047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李宇崇、</w:t>
                  </w:r>
                </w:p>
              </w:txbxContent>
            </v:textbox>
            <w10:wrap type="none"/>
          </v:shape>
        </w:pict>
      </w:r>
      <w:r>
        <w:rPr/>
        <w:pict>
          <v:shape style="position:absolute;margin-left:397.963013pt;margin-top:552.039978pt;width:137pt;height:61.4pt;mso-position-horizontal-relative:page;mso-position-vertical-relative:page;z-index:-1047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肖瑞瑾；</w:t>
                  </w:r>
                </w:p>
              </w:txbxContent>
            </v:textbox>
            <w10:wrap type="none"/>
          </v:shape>
        </w:pict>
      </w:r>
      <w:r>
        <w:rPr/>
        <w:pict>
          <v:group style="position:absolute;margin-left:431.100006pt;margin-top:72.47998pt;width:103.9pt;height:244.35pt;mso-position-horizontal-relative:page;mso-position-vertical-relative:page;z-index:-1047064" coordorigin="8622,1450" coordsize="2078,4887">
            <v:group style="position:absolute;left:8622;top:1450;width:2078;height:2850" coordorigin="8622,1450" coordsize="2078,2850">
              <v:shape style="position:absolute;left:8622;top:1450;width:2078;height:2850" coordorigin="8622,1450" coordsize="2078,2850" path="m8622,4299l10699,4299,10699,1450,8622,1450,8622,4299xe" filled="true" fillcolor="#ffffff" stroked="false">
                <v:path arrowok="t"/>
                <v:fill type="solid"/>
              </v:shape>
            </v:group>
            <v:group style="position:absolute;left:8622;top:4308;width:2078;height:2028" coordorigin="8622,4308" coordsize="2078,2028">
              <v:shape style="position:absolute;left:8622;top:4308;width:2078;height:2028" coordorigin="8622,4308" coordsize="2078,2028" path="m8622,6336l10699,6336,10699,4308,8622,4308,8622,6336xe" filled="true" fillcolor="#ffffff" stroked="false">
                <v:path arrowok="t"/>
                <v:fill type="solid"/>
              </v:shape>
            </v:group>
            <w10:wrap type="none"/>
          </v:group>
        </w:pict>
      </w:r>
      <w:r>
        <w:rPr/>
        <w:pict>
          <v:group style="position:absolute;margin-left:431.100006pt;margin-top:383.23999pt;width:103.9pt;height:161.1pt;mso-position-horizontal-relative:page;mso-position-vertical-relative:page;z-index:-1047040" coordorigin="8622,7665" coordsize="2078,3222">
            <v:group style="position:absolute;left:8622;top:7665;width:2078;height:2029" coordorigin="8622,7665" coordsize="2078,2029">
              <v:shape style="position:absolute;left:8622;top:7665;width:2078;height:2029" coordorigin="8622,7665" coordsize="2078,2029" path="m8622,9693l10699,9693,10699,7665,8622,7665,8622,9693xe" filled="true" fillcolor="#ffffff" stroked="false">
                <v:path arrowok="t"/>
                <v:fill type="solid"/>
              </v:shape>
            </v:group>
            <v:group style="position:absolute;left:8622;top:9703;width:2078;height:156" coordorigin="8622,9703" coordsize="2078,156">
              <v:shape style="position:absolute;left:8622;top:9703;width:2078;height:156" coordorigin="8622,9703" coordsize="2078,156" path="m8622,9859l10699,9859,10699,9703,8622,9703,8622,9859xe" filled="true" fillcolor="#ffffff" stroked="false">
                <v:path arrowok="t"/>
                <v:fill type="solid"/>
              </v:shape>
            </v:group>
            <v:group style="position:absolute;left:8633;top:9859;width:2;height:1017" coordorigin="8633,9859" coordsize="2,1017">
              <v:shape style="position:absolute;left:8633;top:9859;width:2;height:1017" coordorigin="8633,9859" coordsize="0,1017" path="m8633,9859l8633,10875e" filled="false" stroked="true" strokeweight="1.140pt" strokecolor="#ffffff">
                <v:path arrowok="t"/>
              </v:shape>
            </v:group>
            <v:group style="position:absolute;left:8645;top:9859;width:2032;height:352" coordorigin="8645,9859" coordsize="2032,352">
              <v:shape style="position:absolute;left:8645;top:9859;width:2032;height:352" coordorigin="8645,9859" coordsize="2032,352" path="m8645,10210l10676,10210,10676,9859,8645,9859,8645,10210xe" filled="true" fillcolor="#ffffff" stroked="false">
                <v:path arrowok="t"/>
                <v:fill type="solid"/>
              </v:shape>
            </v:group>
            <v:group style="position:absolute;left:8645;top:10210;width:2032;height:312" coordorigin="8645,10210" coordsize="2032,312">
              <v:shape style="position:absolute;left:8645;top:10210;width:2032;height:312" coordorigin="8645,10210" coordsize="2032,312" path="m8645,10522l10676,10522,10676,10210,8645,10210,8645,10522xe" filled="true" fillcolor="#ffffff" stroked="false">
                <v:path arrowok="t"/>
                <v:fill type="solid"/>
              </v:shape>
            </v:group>
            <v:group style="position:absolute;left:8645;top:10522;width:2032;height:353" coordorigin="8645,10522" coordsize="2032,353">
              <v:shape style="position:absolute;left:8645;top:10522;width:2032;height:353" coordorigin="8645,10522" coordsize="2032,353" path="m8645,10875l10676,10875,10676,10522,8645,10522,8645,10875xe" filled="true" fillcolor="#ffffff" stroked="false">
                <v:path arrowok="t"/>
                <v:fill type="solid"/>
              </v:shape>
            </v:group>
            <w10:wrap type="none"/>
          </v:group>
        </w:pict>
      </w:r>
      <w:r>
        <w:rPr/>
        <w:pict>
          <v:group style="position:absolute;margin-left:431.100006pt;margin-top:552.039978pt;width:103.9pt;height:61.4pt;mso-position-horizontal-relative:page;mso-position-vertical-relative:page;z-index:-1047016" coordorigin="8622,11041" coordsize="2078,1228">
            <v:shape style="position:absolute;left:8622;top:11041;width:2078;height:1228" coordorigin="8622,11041" coordsize="2078,1228" path="m8622,12268l10699,12268,10699,11041,8622,11041,8622,12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17"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大成基金：王磊、</w:t>
            </w:r>
          </w:p>
        </w:tc>
        <w:tc>
          <w:tcPr>
            <w:tcW w:w="2087" w:type="dxa"/>
            <w:vMerge w:val="restart"/>
            <w:tcBorders>
              <w:top w:val="single" w:sz="4" w:space="0" w:color="000000"/>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李本刚、肖燕松；</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国信证券：杨运、</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高阳；摩根士丹利</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华鑫基金：</w:t>
            </w:r>
          </w:p>
        </w:tc>
        <w:tc>
          <w:tcPr>
            <w:tcW w:w="2087" w:type="dxa"/>
            <w:vMerge/>
            <w:tcBorders>
              <w:left w:val="single" w:sz="4" w:space="0" w:color="000000"/>
              <w:right w:val="single" w:sz="4" w:space="0" w:color="000000"/>
            </w:tcBorders>
          </w:tcPr>
          <w:p>
            <w:pPr/>
          </w:p>
        </w:tc>
      </w:tr>
      <w:tr>
        <w:trPr>
          <w:trHeight w:val="317"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inside</w:t>
            </w:r>
            <w:r>
              <w:rPr>
                <w:rFonts w:ascii="宋体" w:hAnsi="宋体" w:cs="宋体" w:eastAsia="宋体" w:hint="default"/>
                <w:sz w:val="18"/>
                <w:szCs w:val="18"/>
              </w:rPr>
              <w:t>：</w:t>
            </w:r>
          </w:p>
        </w:tc>
        <w:tc>
          <w:tcPr>
            <w:tcW w:w="2087" w:type="dxa"/>
            <w:vMerge/>
            <w:tcBorders>
              <w:left w:val="single" w:sz="4" w:space="0" w:color="000000"/>
              <w:right w:val="single" w:sz="4" w:space="0" w:color="000000"/>
            </w:tcBorders>
          </w:tcPr>
          <w:p>
            <w:pPr/>
          </w:p>
        </w:tc>
      </w:tr>
      <w:tr>
        <w:trPr>
          <w:trHeight w:val="307"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鹏华基金：</w:t>
            </w:r>
          </w:p>
        </w:tc>
        <w:tc>
          <w:tcPr>
            <w:tcW w:w="2087" w:type="dxa"/>
            <w:vMerge/>
            <w:tcBorders>
              <w:left w:val="single" w:sz="4" w:space="0" w:color="000000"/>
              <w:right w:val="single" w:sz="4" w:space="0" w:color="000000"/>
            </w:tcBorders>
          </w:tcPr>
          <w:p>
            <w:pPr/>
          </w:p>
        </w:tc>
      </w:tr>
      <w:tr>
        <w:trPr>
          <w:trHeight w:val="31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德威资本：梁伟；</w:t>
            </w:r>
          </w:p>
        </w:tc>
        <w:tc>
          <w:tcPr>
            <w:tcW w:w="2087" w:type="dxa"/>
            <w:vMerge/>
            <w:tcBorders>
              <w:left w:val="single" w:sz="4" w:space="0" w:color="000000"/>
              <w:right w:val="single" w:sz="4" w:space="0" w:color="000000"/>
            </w:tcBorders>
          </w:tcPr>
          <w:p>
            <w:pPr/>
          </w:p>
        </w:tc>
      </w:tr>
      <w:tr>
        <w:trPr>
          <w:trHeight w:val="357"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中金蓝海：胡巍</w:t>
            </w:r>
          </w:p>
        </w:tc>
        <w:tc>
          <w:tcPr>
            <w:tcW w:w="2087" w:type="dxa"/>
            <w:vMerge/>
            <w:tcBorders>
              <w:left w:val="single" w:sz="4" w:space="0" w:color="000000"/>
              <w:bottom w:val="single" w:sz="4" w:space="0" w:color="000000"/>
              <w:right w:val="single" w:sz="4" w:space="0" w:color="000000"/>
            </w:tcBorders>
          </w:tcPr>
          <w:p>
            <w:pP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新华基金：</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展博投资：</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富安达投资：</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王亮；华泰证券：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周华仙；</w:t>
            </w:r>
          </w:p>
        </w:tc>
        <w:tc>
          <w:tcPr>
            <w:tcW w:w="208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李艳武；清水源投 资：袁煜森；金元 证券：徐传豹、黄 斌、刘鹏；宗毅润 邦：熊丹；太和投</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公司未来规划及如何实现 该目标；公司业绩情况； 公司前期与其他企业的合 作情况等</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资：张佑民；津渡</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资本：冯从文；华</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光资本：谢曜；鼎</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诺投资：蓝勇；个</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人投资者：</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吴为民</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pacing w:val="-12"/>
                <w:sz w:val="18"/>
                <w:szCs w:val="18"/>
              </w:rPr>
              <w:t>创海富信：张轶乾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兴业证券：代云龙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安信证券：周海波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华夏基金：朱晋</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上半年度度业绩下滑的主</w:t>
            </w:r>
          </w:p>
          <w:p>
            <w:pPr>
              <w:pStyle w:val="TableParagraph"/>
              <w:spacing w:line="15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2" w:right="0"/>
              <w:jc w:val="left"/>
              <w:rPr>
                <w:rFonts w:ascii="宋体" w:hAnsi="宋体" w:cs="宋体" w:eastAsia="宋体" w:hint="default"/>
                <w:sz w:val="18"/>
                <w:szCs w:val="18"/>
              </w:rPr>
            </w:pPr>
            <w:r>
              <w:rPr>
                <w:rFonts w:ascii="宋体" w:hAnsi="宋体" w:cs="宋体" w:eastAsia="宋体" w:hint="default"/>
                <w:sz w:val="18"/>
                <w:szCs w:val="18"/>
              </w:rPr>
              <w:t>要原因；未来的产业发展</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方向；募投项目情况等</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招商基金：熊俊；</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招商证券：黄瑜；</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兴业全球基金：钱</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鑫；申银万国：陆</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公司发行股份及支付现金</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士杰；长润资产：</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购买资产并向特定对象募</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顾怀怀；华泰柏瑞</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集配套资金事项的相关情</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基金：舒立；尚诚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况；公司未来的战略发展</w:t>
            </w:r>
          </w:p>
        </w:tc>
      </w:tr>
      <w:tr>
        <w:trPr>
          <w:trHeight w:val="32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资产：黄向前、朱</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布局等</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明儒；西南证券：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李孝林、罗聪、张</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婷；南方基金：方</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建；齐鲁证券：林</w:t>
            </w:r>
          </w:p>
        </w:tc>
        <w:tc>
          <w:tcPr>
            <w:tcW w:w="208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63013pt;margin-top:72.47998pt;width:146pt;height:158.1pt;mso-position-horizontal-relative:page;mso-position-vertical-relative:page;z-index:-1046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316" w:lineRule="auto"/>
                    <w:ind w:left="0" w:right="2017" w:firstLine="359"/>
                    <w:jc w:val="right"/>
                  </w:pPr>
                  <w:r>
                    <w:rPr/>
                    <w:t>沈然； 王学兵、 信达证券： 银泰证券： 兴业证券：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17"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照天；国海证券：</w:t>
            </w:r>
          </w:p>
        </w:tc>
        <w:tc>
          <w:tcPr>
            <w:tcW w:w="2087" w:type="dxa"/>
            <w:vMerge w:val="restart"/>
            <w:tcBorders>
              <w:top w:val="single" w:sz="4" w:space="0" w:color="000000"/>
              <w:left w:val="single" w:sz="4" w:space="0" w:color="000000"/>
              <w:right w:val="single" w:sz="4" w:space="0" w:color="000000"/>
            </w:tcBorders>
          </w:tcPr>
          <w:p>
            <w:pPr>
              <w:pStyle w:val="TableParagraph"/>
              <w:spacing w:line="31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103.9pt;height:158.1pt;mso-position-horizontal-relative:char;mso-position-vertical-relative:line" coordorigin="0,0" coordsize="2078,3162">
                  <v:group style="position:absolute;left:0;top:0;width:2078;height:3162" coordorigin="0,0" coordsize="2078,3162">
                    <v:shape style="position:absolute;left:0;top:0;width:2078;height:3162" coordorigin="0,0" coordsize="2078,3162" path="m0,3161l2077,3161,2077,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王凌涛；微纳点石</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基金：徐峥；鼎诺</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投资：蓝勇、徐伟</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刚、王红卫、</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鹏华基金：</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王光兵；</w:t>
            </w:r>
          </w:p>
        </w:tc>
        <w:tc>
          <w:tcPr>
            <w:tcW w:w="2087" w:type="dxa"/>
            <w:vMerge/>
            <w:tcBorders>
              <w:left w:val="single" w:sz="4" w:space="0" w:color="000000"/>
              <w:right w:val="single" w:sz="4" w:space="0" w:color="000000"/>
            </w:tcBorders>
          </w:tcPr>
          <w:p>
            <w:pPr/>
          </w:p>
        </w:tc>
      </w:tr>
      <w:tr>
        <w:trPr>
          <w:trHeight w:val="31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于建科；</w:t>
            </w:r>
          </w:p>
        </w:tc>
        <w:tc>
          <w:tcPr>
            <w:tcW w:w="2087" w:type="dxa"/>
            <w:vMerge/>
            <w:tcBorders>
              <w:left w:val="single" w:sz="4" w:space="0" w:color="000000"/>
              <w:right w:val="single" w:sz="4" w:space="0" w:color="000000"/>
            </w:tcBorders>
          </w:tcPr>
          <w:p>
            <w:pPr/>
          </w:p>
        </w:tc>
      </w:tr>
      <w:tr>
        <w:trPr>
          <w:trHeight w:val="357"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赵一路</w:t>
            </w:r>
          </w:p>
        </w:tc>
        <w:tc>
          <w:tcPr>
            <w:tcW w:w="208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01"/>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本报告期公司无媒体普遍质疑事项。</w:t>
      </w:r>
    </w:p>
    <w:p>
      <w:pPr>
        <w:spacing w:line="240" w:lineRule="auto" w:before="3"/>
        <w:rPr>
          <w:rFonts w:ascii="宋体" w:hAnsi="宋体" w:cs="宋体" w:eastAsia="宋体" w:hint="default"/>
          <w:sz w:val="18"/>
          <w:szCs w:val="18"/>
        </w:rPr>
      </w:pPr>
    </w:p>
    <w:p>
      <w:pPr>
        <w:pStyle w:val="Heading2"/>
        <w:spacing w:line="240" w:lineRule="auto"/>
        <w:ind w:left="154"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4" w:right="23"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瑞华核字</w:t>
            </w:r>
            <w:r>
              <w:rPr>
                <w:rFonts w:ascii="Times New Roman" w:hAnsi="Times New Roman" w:cs="Times New Roman" w:eastAsia="Times New Roman" w:hint="default"/>
                <w:sz w:val="18"/>
                <w:szCs w:val="18"/>
              </w:rPr>
              <w:t>[2015] 48060011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after="0" w:line="357"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772"/>
        <w:jc w:val="left"/>
      </w:pPr>
      <w:r>
        <w:rPr/>
        <w:t>□ 适用 √ 不适用 公司报告期未收购资产。</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89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杨娅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9"/>
              <w:jc w:val="both"/>
              <w:rPr>
                <w:rFonts w:ascii="宋体" w:hAnsi="宋体" w:cs="宋体" w:eastAsia="宋体" w:hint="default"/>
                <w:sz w:val="18"/>
                <w:szCs w:val="18"/>
              </w:rPr>
            </w:pPr>
            <w:r>
              <w:rPr>
                <w:rFonts w:ascii="宋体" w:hAnsi="宋体" w:cs="宋体" w:eastAsia="宋体" w:hint="default"/>
                <w:sz w:val="18"/>
                <w:szCs w:val="18"/>
              </w:rPr>
              <w:t>深圳连 硕自动 化科技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-27.25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出售增 加税后 净利润</w:t>
            </w:r>
          </w:p>
          <w:p>
            <w:pPr>
              <w:pStyle w:val="TableParagraph"/>
              <w:spacing w:line="240" w:lineRule="auto" w:before="57"/>
              <w:ind w:left="22" w:right="0"/>
              <w:jc w:val="both"/>
              <w:rPr>
                <w:rFonts w:ascii="Times New Roman" w:hAnsi="Times New Roman" w:cs="Times New Roman" w:eastAsia="Times New Roman" w:hint="default"/>
                <w:sz w:val="18"/>
                <w:szCs w:val="18"/>
              </w:rPr>
            </w:pPr>
            <w:r>
              <w:rPr>
                <w:rFonts w:ascii="Times New Roman"/>
                <w:sz w:val="18"/>
              </w:rPr>
              <w:t>376.58</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-7.61%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按投资 收益 </w:t>
            </w: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化收益 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关于连 硕自动 化股权 转让的 公告</w:t>
            </w:r>
          </w:p>
          <w:p>
            <w:pPr>
              <w:pStyle w:val="TableParagraph"/>
              <w:spacing w:line="338" w:lineRule="auto" w:before="17"/>
              <w:ind w:left="22"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2014-10</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4731"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12"/>
              <w:jc w:val="both"/>
              <w:rPr>
                <w:rFonts w:ascii="宋体" w:hAnsi="宋体" w:cs="宋体" w:eastAsia="宋体" w:hint="default"/>
                <w:sz w:val="18"/>
                <w:szCs w:val="18"/>
              </w:rPr>
            </w:pPr>
            <w:r>
              <w:rPr>
                <w:rFonts w:ascii="宋体" w:hAnsi="宋体" w:cs="宋体" w:eastAsia="宋体" w:hint="default"/>
                <w:sz w:val="18"/>
                <w:szCs w:val="18"/>
              </w:rPr>
              <w:t>河南省 鑫阳能 源科技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河南茂 鑫能源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4" w:right="0"/>
              <w:jc w:val="left"/>
              <w:rPr>
                <w:rFonts w:ascii="Times New Roman" w:hAnsi="Times New Roman" w:cs="Times New Roman" w:eastAsia="Times New Roman" w:hint="default"/>
                <w:sz w:val="18"/>
                <w:szCs w:val="18"/>
              </w:rPr>
            </w:pPr>
            <w:r>
              <w:rPr>
                <w:rFonts w:ascii="Times New Roman"/>
                <w:sz w:val="18"/>
              </w:rPr>
              <w:t>1,530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不会对 公司经 营状况 和财务 产生不 利影 响，也 不存在 损害公 司及全 体股东 利益的 情形。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将茂硕 电源所 持河南 茂鑫的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316" w:lineRule="auto"/>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权（实 缴出资 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pacing w:val="-17"/>
                <w:sz w:val="18"/>
                <w:szCs w:val="18"/>
              </w:rPr>
              <w:t>元）以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元转让 给河南 鑫阳， 同时茂 硕电源 收回前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关于河 南茂鑫 股权转 让的公 告（公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1923" w:hRule="exact"/>
        </w:trPr>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期对河 南茂鑫 的所有 投资款 </w:t>
            </w:r>
            <w:r>
              <w:rPr>
                <w:rFonts w:ascii="Times New Roman" w:hAnsi="Times New Roman" w:cs="Times New Roman" w:eastAsia="Times New Roman" w:hint="default"/>
                <w:sz w:val="18"/>
                <w:szCs w:val="18"/>
              </w:rPr>
              <w:t>1530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052"/>
        <w:jc w:val="left"/>
      </w:pPr>
      <w:r>
        <w:rPr/>
        <w:t>□ 适用 √ 不适用 公司报告期未发生企业合并情况。</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00" w:lineRule="auto" w:before="116"/>
        <w:ind w:left="153" w:right="1130" w:firstLine="300"/>
        <w:jc w:val="both"/>
      </w:pPr>
      <w:r>
        <w:rPr>
          <w:spacing w:val="-1"/>
        </w:rPr>
        <w:t>（一）</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日，公司召开了第三届董事会</w:t>
      </w:r>
      <w:r>
        <w:rPr>
          <w:rFonts w:ascii="Times New Roman" w:hAnsi="Times New Roman" w:cs="Times New Roman" w:eastAsia="Times New Roman" w:hint="default"/>
          <w:spacing w:val="-1"/>
        </w:rPr>
        <w:t>2014</w:t>
      </w:r>
      <w:r>
        <w:rPr>
          <w:spacing w:val="-1"/>
        </w:rPr>
        <w:t>年第</w:t>
      </w:r>
      <w:r>
        <w:rPr>
          <w:rFonts w:ascii="Times New Roman" w:hAnsi="Times New Roman" w:cs="Times New Roman" w:eastAsia="Times New Roman" w:hint="default"/>
          <w:spacing w:val="-1"/>
        </w:rPr>
        <w:t>10</w:t>
      </w:r>
      <w:r>
        <w:rPr>
          <w:spacing w:val="-1"/>
        </w:rPr>
        <w:t>次临时会议，审议通过了《茂硕电源科技股份有限公司限</w:t>
      </w:r>
      <w:r>
        <w:rPr/>
        <w:t> </w:t>
      </w:r>
      <w:r>
        <w:rPr>
          <w:spacing w:val="-2"/>
        </w:rPr>
        <w:t>制性股票激励计划（草案）》（以下简称</w:t>
      </w:r>
      <w:r>
        <w:rPr>
          <w:rFonts w:ascii="Times New Roman" w:hAnsi="Times New Roman" w:cs="Times New Roman" w:eastAsia="Times New Roman" w:hint="default"/>
          <w:spacing w:val="-2"/>
        </w:rPr>
        <w:t>“</w:t>
      </w:r>
      <w:r>
        <w:rPr>
          <w:spacing w:val="-2"/>
        </w:rPr>
        <w:t>《激励计划（草案）》</w:t>
      </w:r>
      <w:r>
        <w:rPr>
          <w:rFonts w:ascii="Times New Roman" w:hAnsi="Times New Roman" w:cs="Times New Roman" w:eastAsia="Times New Roman" w:hint="default"/>
          <w:spacing w:val="-2"/>
        </w:rPr>
        <w:t>”</w:t>
      </w:r>
      <w:r>
        <w:rPr>
          <w:spacing w:val="-2"/>
        </w:rPr>
        <w:t>）及其摘要、《茂硕电源科技股份有限公司限制性股票激</w:t>
      </w:r>
      <w:r>
        <w:rPr>
          <w:spacing w:val="-44"/>
        </w:rPr>
        <w:t> </w:t>
      </w:r>
      <w:r>
        <w:rPr>
          <w:spacing w:val="-44"/>
        </w:rPr>
      </w:r>
      <w:r>
        <w:rPr>
          <w:spacing w:val="-2"/>
        </w:rPr>
        <w:t>励计划实施考核管理办法》（以下简称</w:t>
      </w:r>
      <w:r>
        <w:rPr>
          <w:rFonts w:ascii="Times New Roman" w:hAnsi="Times New Roman" w:cs="Times New Roman" w:eastAsia="Times New Roman" w:hint="default"/>
          <w:spacing w:val="-2"/>
        </w:rPr>
        <w:t>“</w:t>
      </w:r>
      <w:r>
        <w:rPr>
          <w:spacing w:val="-2"/>
        </w:rPr>
        <w:t>《考核管理办法》</w:t>
      </w:r>
      <w:r>
        <w:rPr>
          <w:rFonts w:ascii="Times New Roman" w:hAnsi="Times New Roman" w:cs="Times New Roman" w:eastAsia="Times New Roman" w:hint="default"/>
          <w:spacing w:val="-2"/>
        </w:rPr>
        <w:t>”</w:t>
      </w:r>
      <w:r>
        <w:rPr>
          <w:spacing w:val="-2"/>
        </w:rPr>
        <w:t>）、《关于提请股东大会授权董事会办理限制性股票激励相关事</w:t>
      </w:r>
      <w:r>
        <w:rPr>
          <w:spacing w:val="-44"/>
        </w:rPr>
        <w:t> </w:t>
      </w:r>
      <w:r>
        <w:rPr>
          <w:spacing w:val="-44"/>
        </w:rPr>
      </w:r>
      <w:r>
        <w:rPr/>
        <w:t>宜的议案》。公司独立董事对《激励计划（草案）》发表了独立意见。同日，公司召开了第三届监事会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9</w:t>
      </w:r>
      <w:r>
        <w:rPr/>
        <w:t>次临时会 议，审议通过了《激励计划（草案）》及其摘要、《考核管理办法》和《关于核实公司</w:t>
      </w:r>
      <w:r>
        <w:rPr>
          <w:rFonts w:ascii="Times New Roman" w:hAnsi="Times New Roman" w:cs="Times New Roman" w:eastAsia="Times New Roman" w:hint="default"/>
        </w:rPr>
        <w:t>&lt;</w:t>
      </w:r>
      <w:r>
        <w:rPr/>
        <w:t>限制性股票激励计划之激励对象名 单</w:t>
      </w:r>
      <w:r>
        <w:rPr>
          <w:rFonts w:ascii="Times New Roman" w:hAnsi="Times New Roman" w:cs="Times New Roman" w:eastAsia="Times New Roman" w:hint="default"/>
        </w:rPr>
        <w:t>&gt;</w:t>
      </w:r>
      <w:r>
        <w:rPr/>
        <w:t>的议案》，对本计划中的激励对象进行了核查，认为列入公司本计划激励对象名单的人员作为本次限制性股票激励对象 的主体资格合法、有效。参见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日刊登的：茂硕电源第三届董事会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10</w:t>
      </w:r>
      <w:r>
        <w:rPr/>
        <w:t>次临时会议决议（</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105</w:t>
      </w:r>
      <w:r>
        <w:rPr/>
        <w:t>）巨 潮资讯网（</w:t>
      </w:r>
      <w:hyperlink r:id="rId12">
        <w:r>
          <w:rPr>
            <w:rFonts w:ascii="Times New Roman" w:hAnsi="Times New Roman" w:cs="Times New Roman" w:eastAsia="Times New Roman" w:hint="default"/>
          </w:rPr>
          <w:t>http://www.cninfo.com.cn</w:t>
        </w:r>
      </w:hyperlink>
      <w:r>
        <w:rPr/>
        <w:t>）。</w:t>
      </w:r>
    </w:p>
    <w:p>
      <w:pPr>
        <w:pStyle w:val="BodyText"/>
        <w:spacing w:line="307" w:lineRule="auto" w:before="13"/>
        <w:ind w:left="153" w:right="1132" w:firstLine="300"/>
        <w:jc w:val="both"/>
      </w:pPr>
      <w:r>
        <w:rPr>
          <w:spacing w:val="-1"/>
        </w:rPr>
        <w:t>（二）《激励计划（草案）》经中国证监会备案无异议后，公司于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日召开了</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1</w:t>
      </w:r>
      <w:r>
        <w:rPr>
          <w:spacing w:val="-1"/>
        </w:rPr>
        <w:t>次临时股东大会，会</w:t>
      </w:r>
      <w:r>
        <w:rPr/>
        <w:t> </w:t>
      </w:r>
      <w:r>
        <w:rPr>
          <w:spacing w:val="-2"/>
        </w:rPr>
        <w:t>议以特别决议审议通过了《激励计划（草案）》及其摘要、《考核管理办法》、《关于提请股东大会授权董事会办理限制性</w:t>
      </w:r>
      <w:r>
        <w:rPr>
          <w:spacing w:val="-69"/>
        </w:rPr>
        <w:t> </w:t>
      </w:r>
      <w:r>
        <w:rPr>
          <w:spacing w:val="-69"/>
        </w:rPr>
      </w:r>
      <w:r>
        <w:rPr/>
        <w:t>股票激励相关适宜的议案》。参见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日刊登的：茂硕电源第三届董事会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1</w:t>
      </w:r>
      <w:r>
        <w:rPr/>
        <w:t>次临时会议决议（</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004</w:t>
      </w:r>
      <w:r>
        <w:rPr/>
        <w:t>） 巨潮资讯网（</w:t>
      </w:r>
      <w:hyperlink r:id="rId12">
        <w:r>
          <w:rPr>
            <w:rFonts w:ascii="Times New Roman" w:hAnsi="Times New Roman" w:cs="Times New Roman" w:eastAsia="Times New Roman" w:hint="default"/>
          </w:rPr>
          <w:t>http://www.cninfo.com.cn</w:t>
        </w:r>
      </w:hyperlink>
      <w:r>
        <w:rPr/>
        <w:t>）。</w:t>
      </w:r>
    </w:p>
    <w:p>
      <w:pPr>
        <w:pStyle w:val="BodyText"/>
        <w:spacing w:line="300" w:lineRule="auto" w:before="7"/>
        <w:ind w:left="153" w:right="1132" w:firstLine="300"/>
        <w:jc w:val="both"/>
      </w:pPr>
      <w:r>
        <w:rPr>
          <w:spacing w:val="-1"/>
        </w:rPr>
        <w:t>（三）</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日，公司召开了第三届董事会</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1</w:t>
      </w:r>
      <w:r>
        <w:rPr>
          <w:spacing w:val="-1"/>
        </w:rPr>
        <w:t>次临时会议，审议通过了《关于向激励对象授予限制性股票</w:t>
      </w:r>
      <w:r>
        <w:rPr/>
        <w:t> 的议案》。公司独立董事对相关事项发表了独立意见。同日，公司召开了第三届监事会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1</w:t>
      </w:r>
      <w:r>
        <w:rPr/>
        <w:t>次临时会议，审议通过了</w:t>
      </w:r>
    </w:p>
    <w:p>
      <w:pPr>
        <w:pStyle w:val="BodyText"/>
        <w:spacing w:line="240" w:lineRule="auto" w:before="13"/>
        <w:ind w:left="153" w:right="0"/>
        <w:jc w:val="left"/>
      </w:pPr>
      <w:r>
        <w:rPr/>
        <w:t>《关于向激励对象授予限制性股票的议案》。参见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日刊登的：茂硕电源第三届董事会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1</w:t>
      </w:r>
      <w:r>
        <w:rPr/>
        <w:t>次临时会议决议</w:t>
      </w:r>
    </w:p>
    <w:p>
      <w:pPr>
        <w:pStyle w:val="BodyText"/>
        <w:spacing w:line="300" w:lineRule="auto" w:before="63"/>
        <w:ind w:left="153" w:right="0"/>
        <w:jc w:val="left"/>
      </w:pPr>
      <w:r>
        <w:rPr>
          <w:spacing w:val="-4"/>
        </w:rPr>
        <w:t>（</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004</w:t>
      </w:r>
      <w:r>
        <w:rPr>
          <w:spacing w:val="-4"/>
        </w:rPr>
        <w:t>）、第三届监事会</w:t>
      </w:r>
      <w:r>
        <w:rPr>
          <w:rFonts w:ascii="Times New Roman" w:hAnsi="Times New Roman" w:cs="Times New Roman" w:eastAsia="Times New Roman" w:hint="default"/>
          <w:spacing w:val="-4"/>
        </w:rPr>
        <w:t>2015</w:t>
      </w:r>
      <w:r>
        <w:rPr>
          <w:spacing w:val="-4"/>
        </w:rPr>
        <w:t>年第</w:t>
      </w:r>
      <w:r>
        <w:rPr>
          <w:rFonts w:ascii="Times New Roman" w:hAnsi="Times New Roman" w:cs="Times New Roman" w:eastAsia="Times New Roman" w:hint="default"/>
          <w:spacing w:val="-4"/>
        </w:rPr>
        <w:t>1</w:t>
      </w:r>
      <w:r>
        <w:rPr>
          <w:spacing w:val="-4"/>
        </w:rPr>
        <w:t>次临时会议决议（</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005</w:t>
      </w:r>
      <w:r>
        <w:rPr>
          <w:spacing w:val="-4"/>
        </w:rPr>
        <w:t>）、关于向激励对象授予限制性股票的公告（</w:t>
      </w:r>
      <w:r>
        <w:rPr>
          <w:rFonts w:ascii="Times New Roman" w:hAnsi="Times New Roman" w:cs="Times New Roman" w:eastAsia="Times New Roman" w:hint="default"/>
          <w:spacing w:val="-4"/>
        </w:rPr>
        <w:t>2015-006</w:t>
      </w:r>
      <w:r>
        <w:rPr>
          <w:spacing w:val="-4"/>
        </w:rPr>
        <w:t>）</w:t>
      </w:r>
      <w:r>
        <w:rPr>
          <w:spacing w:val="-49"/>
        </w:rPr>
        <w:t> </w:t>
      </w:r>
      <w:r>
        <w:rPr/>
        <w:t>巨潮资讯网（</w:t>
      </w:r>
      <w:hyperlink r:id="rId12">
        <w:r>
          <w:rPr>
            <w:rFonts w:ascii="Times New Roman" w:hAnsi="Times New Roman" w:cs="Times New Roman" w:eastAsia="Times New Roman" w:hint="default"/>
          </w:rPr>
          <w:t>http://www.cninfo.com.cn</w:t>
        </w:r>
      </w:hyperlink>
      <w:r>
        <w:rPr/>
        <w:t>）。</w:t>
      </w:r>
    </w:p>
    <w:p>
      <w:pPr>
        <w:pStyle w:val="BodyText"/>
        <w:spacing w:line="309" w:lineRule="auto" w:before="13"/>
        <w:ind w:left="153" w:right="1133" w:firstLine="300"/>
        <w:jc w:val="both"/>
      </w:pPr>
      <w:r>
        <w:rPr>
          <w:spacing w:val="-1"/>
        </w:rPr>
        <w:t>公司实施本次授予已经取得现阶段必要的批准和授权，符合《上市公司股权激励管理办法（试行）》、《股权激励有关</w:t>
      </w:r>
      <w:r>
        <w:rPr/>
        <w:t> 事项备忘录</w:t>
      </w:r>
      <w:r>
        <w:rPr>
          <w:rFonts w:ascii="Times New Roman" w:hAnsi="Times New Roman" w:cs="Times New Roman" w:eastAsia="Times New Roman" w:hint="default"/>
        </w:rPr>
        <w:t>1</w:t>
      </w:r>
      <w:r>
        <w:rPr/>
        <w:t>号》、《股权激励有关事项备忘录</w:t>
      </w:r>
      <w:r>
        <w:rPr>
          <w:rFonts w:ascii="Times New Roman" w:hAnsi="Times New Roman" w:cs="Times New Roman" w:eastAsia="Times New Roman" w:hint="default"/>
        </w:rPr>
        <w:t>2</w:t>
      </w:r>
      <w:r>
        <w:rPr/>
        <w:t>号》和《股权激励有关事项备忘录</w:t>
      </w:r>
      <w:r>
        <w:rPr>
          <w:rFonts w:ascii="Times New Roman" w:hAnsi="Times New Roman" w:cs="Times New Roman" w:eastAsia="Times New Roman" w:hint="default"/>
        </w:rPr>
        <w:t>3</w:t>
      </w:r>
      <w:r>
        <w:rPr/>
        <w:t>号》的相关规定。该股权激励计划尚未 正式完成，待正式完成后公司将另行公告。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公司报告期未发生与日常经营相关的重大关联交易。</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38"/>
        <w:gridCol w:w="936"/>
        <w:gridCol w:w="1213"/>
        <w:gridCol w:w="1176"/>
        <w:gridCol w:w="1089"/>
        <w:gridCol w:w="1021"/>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深圳茂硕电子科技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 能源科技有限公司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深圳茂硕电子科技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412.43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深圳茂硕电子科技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深圳茂硕电子科技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深圳茂硕电子科技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60,000.00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844.73</w:t>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60,000.00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59,155.27</w:t>
            </w:r>
          </w:p>
        </w:tc>
      </w:tr>
      <w:tr>
        <w:trPr>
          <w:trHeight w:val="396"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60000.00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844.73</w:t>
            </w:r>
          </w:p>
        </w:tc>
      </w:tr>
      <w:tr>
        <w:trPr>
          <w:trHeight w:val="715"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60,000.00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59,155.27</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90.53%</w:t>
            </w:r>
          </w:p>
        </w:tc>
      </w:tr>
      <w:tr>
        <w:trPr>
          <w:trHeight w:val="39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27,330.05</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采用复合方式担保的具体情况说明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违规对外担保情况" w:id="82"/>
      <w:bookmarkEnd w:id="82"/>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其他重大合同" w:id="83"/>
      <w:bookmarkEnd w:id="83"/>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其他重大交易" w:id="84"/>
      <w:bookmarkEnd w:id="84"/>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3" w:right="107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日召开的第三届董事会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4</w:t>
      </w:r>
      <w:r>
        <w:rPr/>
        <w:t>次临时会议审议通过《关于与诺耶科华联合投资光伏发电项目暨设立子公 </w:t>
      </w:r>
      <w:r>
        <w:rPr>
          <w:spacing w:val="-2"/>
        </w:rPr>
        <w:t>司的议案》，同意公司与海宁市诺耶科华太阳能电力工程有限公司（以下简称</w:t>
      </w:r>
      <w:r>
        <w:rPr>
          <w:rFonts w:ascii="Times New Roman" w:hAnsi="Times New Roman" w:cs="Times New Roman" w:eastAsia="Times New Roman" w:hint="default"/>
          <w:spacing w:val="-2"/>
        </w:rPr>
        <w:t>“</w:t>
      </w:r>
      <w:r>
        <w:rPr>
          <w:spacing w:val="-2"/>
        </w:rPr>
        <w:t>诺耶科华</w:t>
      </w:r>
      <w:r>
        <w:rPr>
          <w:rFonts w:ascii="Times New Roman" w:hAnsi="Times New Roman" w:cs="Times New Roman" w:eastAsia="Times New Roman" w:hint="default"/>
          <w:spacing w:val="-2"/>
        </w:rPr>
        <w:t>”</w:t>
      </w:r>
      <w:r>
        <w:rPr>
          <w:spacing w:val="-2"/>
        </w:rPr>
        <w:t>）共同投资设立海宁茂硕诺华能源</w:t>
      </w:r>
      <w:r>
        <w:rPr>
          <w:spacing w:val="-44"/>
        </w:rPr>
        <w:t> </w:t>
      </w:r>
      <w:r>
        <w:rPr>
          <w:spacing w:val="-44"/>
        </w:rPr>
      </w:r>
      <w:r>
        <w:rPr/>
        <w:t>有限公司，其中公司以现金投资</w:t>
      </w:r>
      <w:r>
        <w:rPr>
          <w:rFonts w:ascii="Times New Roman" w:hAnsi="Times New Roman" w:cs="Times New Roman" w:eastAsia="Times New Roman" w:hint="default"/>
        </w:rPr>
        <w:t>2550</w:t>
      </w:r>
      <w:r>
        <w:rPr/>
        <w:t>万元，占海宁茂硕注册资本的</w:t>
      </w:r>
      <w:r>
        <w:rPr>
          <w:rFonts w:ascii="Times New Roman" w:hAnsi="Times New Roman" w:cs="Times New Roman" w:eastAsia="Times New Roman" w:hint="default"/>
        </w:rPr>
        <w:t>51%</w:t>
      </w:r>
      <w:r>
        <w:rPr/>
        <w:t>，本项目指定诺耶科华作为该项目的工程总承包商， 采购价格按市场价由双方协商确定，此价格不高于市场的该项目整体系统造价。公司于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日发布了《关于与诺耶</w:t>
      </w:r>
      <w:r>
        <w:rPr>
          <w:spacing w:val="-82"/>
        </w:rPr>
        <w:t> </w:t>
      </w:r>
      <w:r>
        <w:rPr>
          <w:spacing w:val="-82"/>
        </w:rPr>
      </w:r>
      <w:r>
        <w:rPr/>
        <w:t>科华联合投资光伏发电项目暨设立子公司的公告》。</w:t>
      </w:r>
    </w:p>
    <w:p>
      <w:pPr>
        <w:pStyle w:val="BodyText"/>
        <w:spacing w:line="300" w:lineRule="auto" w:before="68"/>
        <w:ind w:left="153" w:right="1138"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日召开第三届董事会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6</w:t>
      </w:r>
      <w:r>
        <w:rPr/>
        <w:t>次临时会议审议通过了《关于向控股子公司茂硕诺华增资及股权调整的议 案》，海宁茂硕预计增加第二期注册资金</w:t>
      </w:r>
      <w:r>
        <w:rPr>
          <w:rFonts w:ascii="Times New Roman" w:hAnsi="Times New Roman" w:cs="Times New Roman" w:eastAsia="Times New Roman" w:hint="default"/>
        </w:rPr>
        <w:t>2000</w:t>
      </w:r>
      <w:r>
        <w:rPr/>
        <w:t>万元，诺耶科华放弃本次增资，剩余</w:t>
      </w:r>
      <w:r>
        <w:rPr>
          <w:rFonts w:ascii="Times New Roman" w:hAnsi="Times New Roman" w:cs="Times New Roman" w:eastAsia="Times New Roman" w:hint="default"/>
        </w:rPr>
        <w:t>2000</w:t>
      </w:r>
      <w:r>
        <w:rPr/>
        <w:t>万元资金由茂硕电源出资。两期资 金全部到位后，茂硕诺华股权比例调整为：茂硕电源占</w:t>
      </w:r>
      <w:r>
        <w:rPr>
          <w:rFonts w:ascii="Times New Roman" w:hAnsi="Times New Roman" w:cs="Times New Roman" w:eastAsia="Times New Roman" w:hint="default"/>
        </w:rPr>
        <w:t>70.60%</w:t>
      </w:r>
      <w:r>
        <w:rPr/>
        <w:t>，诺耶科华占</w:t>
      </w:r>
      <w:r>
        <w:rPr>
          <w:rFonts w:ascii="Times New Roman" w:hAnsi="Times New Roman" w:cs="Times New Roman" w:eastAsia="Times New Roman" w:hint="default"/>
        </w:rPr>
        <w:t>29.40%</w:t>
      </w:r>
      <w:r>
        <w:rPr/>
        <w:t>，茂硕诺华总投资为</w:t>
      </w:r>
      <w:r>
        <w:rPr>
          <w:rFonts w:ascii="Times New Roman" w:hAnsi="Times New Roman" w:cs="Times New Roman" w:eastAsia="Times New Roman" w:hint="default"/>
        </w:rPr>
        <w:t>1.155</w:t>
      </w:r>
      <w:r>
        <w:rPr/>
        <w:t>亿元，注册资 金</w:t>
      </w:r>
      <w:r>
        <w:rPr>
          <w:rFonts w:ascii="Times New Roman" w:hAnsi="Times New Roman" w:cs="Times New Roman" w:eastAsia="Times New Roman" w:hint="default"/>
        </w:rPr>
        <w:t>5000</w:t>
      </w:r>
      <w:r>
        <w:rPr/>
        <w:t>万元，剩余</w:t>
      </w:r>
      <w:r>
        <w:rPr>
          <w:rFonts w:ascii="Times New Roman" w:hAnsi="Times New Roman" w:cs="Times New Roman" w:eastAsia="Times New Roman" w:hint="default"/>
        </w:rPr>
        <w:t>6550</w:t>
      </w:r>
      <w:r>
        <w:rPr/>
        <w:t>万元资金筹措工作，由茂硕电源主导，诺耶科华配合。</w:t>
      </w:r>
    </w:p>
    <w:p>
      <w:pPr>
        <w:pStyle w:val="BodyText"/>
        <w:spacing w:line="240" w:lineRule="auto" w:before="52"/>
        <w:ind w:left="513" w:right="0"/>
        <w:jc w:val="left"/>
      </w:pPr>
      <w:r>
        <w:rPr/>
        <w:t>具体方案：</w:t>
      </w:r>
    </w:p>
    <w:p>
      <w:pPr>
        <w:pStyle w:val="BodyText"/>
        <w:spacing w:line="240" w:lineRule="auto" w:before="116"/>
        <w:ind w:left="513" w:right="0"/>
        <w:jc w:val="left"/>
      </w:pPr>
      <w:r>
        <w:rPr/>
        <w:t>（</w:t>
      </w:r>
      <w:r>
        <w:rPr>
          <w:rFonts w:ascii="Times New Roman" w:hAnsi="Times New Roman" w:cs="Times New Roman" w:eastAsia="Times New Roman" w:hint="default"/>
        </w:rPr>
        <w:t>1</w:t>
      </w:r>
      <w:r>
        <w:rPr/>
        <w:t>）茂硕电源提供第一期</w:t>
      </w:r>
      <w:r>
        <w:rPr>
          <w:rFonts w:ascii="Times New Roman" w:hAnsi="Times New Roman" w:cs="Times New Roman" w:eastAsia="Times New Roman" w:hint="default"/>
        </w:rPr>
        <w:t>3000</w:t>
      </w:r>
      <w:r>
        <w:rPr/>
        <w:t>万元借款，资金占用年利率为</w:t>
      </w:r>
      <w:r>
        <w:rPr>
          <w:rFonts w:ascii="Times New Roman" w:hAnsi="Times New Roman" w:cs="Times New Roman" w:eastAsia="Times New Roman" w:hint="default"/>
        </w:rPr>
        <w:t>10%</w:t>
      </w:r>
      <w:r>
        <w:rPr/>
        <w:t>，由茂硕诺华承担，期限</w:t>
      </w:r>
      <w:r>
        <w:rPr>
          <w:rFonts w:ascii="Times New Roman" w:hAnsi="Times New Roman" w:cs="Times New Roman" w:eastAsia="Times New Roman" w:hint="default"/>
        </w:rPr>
        <w:t>1</w:t>
      </w:r>
      <w:r>
        <w:rPr/>
        <w:t>年；</w:t>
      </w:r>
    </w:p>
    <w:p>
      <w:pPr>
        <w:pStyle w:val="BodyText"/>
        <w:spacing w:line="240" w:lineRule="auto" w:before="103"/>
        <w:ind w:left="513" w:right="0"/>
        <w:jc w:val="left"/>
      </w:pPr>
      <w:r>
        <w:rPr/>
        <w:t>（</w:t>
      </w:r>
      <w:r>
        <w:rPr>
          <w:rFonts w:ascii="Times New Roman" w:hAnsi="Times New Roman" w:cs="Times New Roman" w:eastAsia="Times New Roman" w:hint="default"/>
        </w:rPr>
        <w:t>2</w:t>
      </w:r>
      <w:r>
        <w:rPr/>
        <w:t>）茂硕电源提供第二期</w:t>
      </w:r>
      <w:r>
        <w:rPr>
          <w:rFonts w:ascii="Times New Roman" w:hAnsi="Times New Roman" w:cs="Times New Roman" w:eastAsia="Times New Roman" w:hint="default"/>
        </w:rPr>
        <w:t>3550</w:t>
      </w:r>
      <w:r>
        <w:rPr/>
        <w:t>万元借款，资金占用年利率为</w:t>
      </w:r>
      <w:r>
        <w:rPr>
          <w:rFonts w:ascii="Times New Roman" w:hAnsi="Times New Roman" w:cs="Times New Roman" w:eastAsia="Times New Roman" w:hint="default"/>
        </w:rPr>
        <w:t>12%</w:t>
      </w:r>
      <w:r>
        <w:rPr/>
        <w:t>，由茂硕诺华承担，</w:t>
      </w:r>
      <w:r>
        <w:rPr>
          <w:spacing w:val="-46"/>
        </w:rPr>
        <w:t> </w:t>
      </w:r>
      <w:r>
        <w:rPr/>
        <w:t>期限</w:t>
      </w:r>
      <w:r>
        <w:rPr>
          <w:rFonts w:ascii="Times New Roman" w:hAnsi="Times New Roman" w:cs="Times New Roman" w:eastAsia="Times New Roman" w:hint="default"/>
        </w:rPr>
        <w:t>1</w:t>
      </w:r>
      <w:r>
        <w:rPr/>
        <w:t>年；</w:t>
      </w:r>
    </w:p>
    <w:p>
      <w:pPr>
        <w:pStyle w:val="BodyText"/>
        <w:spacing w:line="240" w:lineRule="auto" w:before="102"/>
        <w:ind w:left="514" w:right="0"/>
        <w:jc w:val="left"/>
      </w:pPr>
      <w:r>
        <w:rPr/>
        <w:t>（</w:t>
      </w:r>
      <w:r>
        <w:rPr>
          <w:rFonts w:ascii="Times New Roman" w:hAnsi="Times New Roman" w:cs="Times New Roman" w:eastAsia="Times New Roman" w:hint="default"/>
        </w:rPr>
        <w:t>3</w:t>
      </w:r>
      <w:r>
        <w:rPr/>
        <w:t>）诺耶科华将持有茂硕诺华</w:t>
      </w:r>
      <w:r>
        <w:rPr>
          <w:rFonts w:ascii="Times New Roman" w:hAnsi="Times New Roman" w:cs="Times New Roman" w:eastAsia="Times New Roman" w:hint="default"/>
        </w:rPr>
        <w:t>29.40%</w:t>
      </w:r>
      <w:r>
        <w:rPr/>
        <w:t>股份质押给茂硕电源，作为融资借款担保条件；</w:t>
      </w:r>
    </w:p>
    <w:p>
      <w:pPr>
        <w:pStyle w:val="BodyText"/>
        <w:spacing w:line="340" w:lineRule="auto" w:before="102"/>
        <w:ind w:left="513" w:right="3403"/>
        <w:jc w:val="left"/>
      </w:pPr>
      <w:r>
        <w:rPr/>
        <w:t>（</w:t>
      </w:r>
      <w:r>
        <w:rPr>
          <w:rFonts w:ascii="Times New Roman" w:hAnsi="Times New Roman" w:cs="Times New Roman" w:eastAsia="Times New Roman" w:hint="default"/>
        </w:rPr>
        <w:t>4</w:t>
      </w:r>
      <w:r>
        <w:rPr/>
        <w:t>）海宁科技园区</w:t>
      </w:r>
      <w:r>
        <w:rPr>
          <w:rFonts w:ascii="Times New Roman" w:hAnsi="Times New Roman" w:cs="Times New Roman" w:eastAsia="Times New Roman" w:hint="default"/>
        </w:rPr>
        <w:t>15MWp</w:t>
      </w:r>
      <w:r>
        <w:rPr/>
        <w:t>分布式电站完工发电后，该项目发电收入优先偿还以上借款。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hyperlink r:id="rId18">
        <w:r>
          <w:rPr/>
          <w:t>日发布了《关于向控股子公司茂硕诺华增资及股权调整的公告</w:t>
        </w:r>
      </w:hyperlink>
      <w:r>
        <w:rPr/>
        <w:t>》。</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bookmarkStart w:name="九、承诺事项履行情况" w:id="85"/>
      <w:bookmarkEnd w:id="85"/>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或持股5%以上股东在报告期内发生或以前期间发生但持续到报告期内的承诺事项" w:id="86"/>
      <w:bookmarkEnd w:id="86"/>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82"/>
        <w:gridCol w:w="1287"/>
        <w:gridCol w:w="1276"/>
        <w:gridCol w:w="1276"/>
        <w:gridCol w:w="1277"/>
        <w:gridCol w:w="1260"/>
      </w:tblGrid>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本公司实际控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2015-03-16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128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制人顾永德承 </w:t>
            </w:r>
            <w:r>
              <w:rPr>
                <w:rFonts w:ascii="宋体" w:hAnsi="宋体" w:cs="宋体" w:eastAsia="宋体" w:hint="default"/>
                <w:spacing w:val="-6"/>
                <w:sz w:val="18"/>
                <w:szCs w:val="18"/>
              </w:rPr>
              <w:t>诺，自公司股票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在深圳证券交 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 托他人管理本 人直接或者间 接持有的公司 公开发行股票 前已发行的股 </w:t>
            </w:r>
            <w:r>
              <w:rPr>
                <w:rFonts w:ascii="宋体" w:hAnsi="宋体" w:cs="宋体" w:eastAsia="宋体" w:hint="default"/>
                <w:spacing w:val="-6"/>
                <w:sz w:val="18"/>
                <w:szCs w:val="18"/>
              </w:rPr>
              <w:t>份，也不由公司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回购该部分股 </w:t>
            </w:r>
            <w:r>
              <w:rPr>
                <w:rFonts w:ascii="宋体" w:hAnsi="宋体" w:cs="宋体" w:eastAsia="宋体" w:hint="default"/>
                <w:spacing w:val="-6"/>
                <w:sz w:val="18"/>
                <w:szCs w:val="18"/>
              </w:rPr>
              <w:t>份。作为公司的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董事，本人所持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公司股份在上 述锁定期限届 </w:t>
            </w:r>
            <w:r>
              <w:rPr>
                <w:rFonts w:ascii="宋体" w:hAnsi="宋体" w:cs="宋体" w:eastAsia="宋体" w:hint="default"/>
                <w:spacing w:val="-6"/>
                <w:sz w:val="18"/>
                <w:szCs w:val="18"/>
              </w:rPr>
              <w:t>满后，在任职期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间每年转让公 司股份的比例 不超过所持公 司股份总数的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；公司上市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后如离任，离任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个月内，不</w:t>
            </w:r>
            <w:r>
              <w:rPr>
                <w:rFonts w:ascii="宋体" w:hAnsi="宋体" w:cs="宋体" w:eastAsia="宋体" w:hint="default"/>
                <w:sz w:val="18"/>
                <w:szCs w:val="18"/>
              </w:rPr>
              <w:t> 转让本人所持</w:t>
            </w:r>
          </w:p>
          <w:p>
            <w:pPr>
              <w:pStyle w:val="TableParagraph"/>
              <w:spacing w:line="316"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有的公司股份； 在申报离任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w:t>
            </w:r>
          </w:p>
          <w:p>
            <w:pPr>
              <w:pStyle w:val="TableParagraph"/>
              <w:spacing w:line="314" w:lineRule="auto"/>
              <w:ind w:left="22" w:right="72"/>
              <w:jc w:val="left"/>
              <w:rPr>
                <w:rFonts w:ascii="宋体" w:hAnsi="宋体" w:cs="宋体" w:eastAsia="宋体" w:hint="default"/>
                <w:sz w:val="18"/>
                <w:szCs w:val="18"/>
              </w:rPr>
            </w:pPr>
            <w:r>
              <w:rPr>
                <w:rFonts w:ascii="宋体" w:hAnsi="宋体" w:cs="宋体" w:eastAsia="宋体" w:hint="default"/>
                <w:sz w:val="18"/>
                <w:szCs w:val="18"/>
              </w:rPr>
              <w:t>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内通过交易所 挂牌交易出售 本公司股票数 量占其所持有 本公司股票总 数的比例不得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1"/>
              <w:jc w:val="left"/>
              <w:rPr>
                <w:rFonts w:ascii="宋体" w:hAnsi="宋体" w:cs="宋体" w:eastAsia="宋体" w:hint="default"/>
                <w:sz w:val="18"/>
                <w:szCs w:val="18"/>
              </w:rPr>
            </w:pPr>
            <w:r>
              <w:rPr>
                <w:rFonts w:ascii="宋体" w:hAnsi="宋体" w:cs="宋体" w:eastAsia="宋体" w:hint="default"/>
                <w:sz w:val="18"/>
                <w:szCs w:val="18"/>
              </w:rPr>
              <w:t>深圳德旺投资 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本公司控股股 东德旺投资承 </w:t>
            </w:r>
            <w:r>
              <w:rPr>
                <w:rFonts w:ascii="宋体" w:hAnsi="宋体" w:cs="宋体" w:eastAsia="宋体" w:hint="default"/>
                <w:spacing w:val="-6"/>
                <w:sz w:val="18"/>
                <w:szCs w:val="18"/>
              </w:rPr>
              <w:t>诺，自公司股票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在深圳证券交 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 托他人管理本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2015-03-16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92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公司直接持有 的公司公开发 行股票前已发 </w:t>
            </w:r>
            <w:r>
              <w:rPr>
                <w:rFonts w:ascii="宋体" w:hAnsi="宋体" w:cs="宋体" w:eastAsia="宋体" w:hint="default"/>
                <w:spacing w:val="-6"/>
                <w:sz w:val="18"/>
                <w:szCs w:val="18"/>
              </w:rPr>
              <w:t>行的股份，也不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由公司回购该 部分股份。</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现金分红的承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89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111"/>
              <w:jc w:val="both"/>
              <w:rPr>
                <w:rFonts w:ascii="宋体" w:hAnsi="宋体" w:cs="宋体" w:eastAsia="宋体" w:hint="default"/>
                <w:sz w:val="18"/>
                <w:szCs w:val="18"/>
              </w:rPr>
            </w:pPr>
            <w:r>
              <w:rPr>
                <w:rFonts w:ascii="宋体" w:hAnsi="宋体" w:cs="宋体" w:eastAsia="宋体" w:hint="default"/>
                <w:sz w:val="18"/>
                <w:szCs w:val="18"/>
              </w:rPr>
              <w:t>深圳德旺投资 发展有限公司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顾永德</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为避免未来可 能存在的同业 </w:t>
            </w:r>
            <w:r>
              <w:rPr>
                <w:rFonts w:ascii="宋体" w:hAnsi="宋体" w:cs="宋体" w:eastAsia="宋体" w:hint="default"/>
                <w:spacing w:val="-6"/>
                <w:sz w:val="18"/>
                <w:szCs w:val="18"/>
              </w:rPr>
              <w:t>竞争，公司控股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股东德旺投资、 实际控制人顾 永德先生向本 </w:t>
            </w:r>
            <w:r>
              <w:rPr>
                <w:rFonts w:ascii="宋体" w:hAnsi="宋体" w:cs="宋体" w:eastAsia="宋体" w:hint="default"/>
                <w:spacing w:val="-6"/>
                <w:sz w:val="18"/>
                <w:szCs w:val="18"/>
              </w:rPr>
              <w:t>公司出具了《避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免同业竞争承 诺函》</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6954" w:hRule="exact"/>
        </w:trPr>
        <w:tc>
          <w:tcPr>
            <w:tcW w:w="3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公司承诺在使 用超募资金偿 还银行贷款和 永久性补充流 动资金的前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个月内未进行 证券投资等高 </w:t>
            </w:r>
            <w:r>
              <w:rPr>
                <w:rFonts w:ascii="宋体" w:hAnsi="宋体" w:cs="宋体" w:eastAsia="宋体" w:hint="default"/>
                <w:spacing w:val="-6"/>
                <w:sz w:val="18"/>
                <w:szCs w:val="18"/>
              </w:rPr>
              <w:t>风险投资，并承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诺在使用超募 资金偿还银行 贷款和永久性 补充流动资金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不进行证券投 资等高风险投 资及为他人提 </w:t>
            </w:r>
            <w:r>
              <w:rPr>
                <w:rFonts w:ascii="宋体" w:hAnsi="宋体" w:cs="宋体" w:eastAsia="宋体" w:hint="default"/>
                <w:spacing w:val="-6"/>
                <w:sz w:val="18"/>
                <w:szCs w:val="18"/>
              </w:rPr>
              <w:t>供财务资助，且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补充流动资金 每十二个月内 累计金额不超 过超募资金总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2014-04-10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29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1"/>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公司承诺在按 照实际需求补 充流动资金后 十二个月内不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2015-05-17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859"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进行证券投资 等高风险投资 及为他人提供 </w:t>
            </w:r>
            <w:r>
              <w:rPr>
                <w:rFonts w:ascii="宋体" w:hAnsi="宋体" w:cs="宋体" w:eastAsia="宋体" w:hint="default"/>
                <w:spacing w:val="-6"/>
                <w:sz w:val="18"/>
                <w:szCs w:val="18"/>
              </w:rPr>
              <w:t>财务资助，且补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充流动资金每 十二个月内累 计金额不超过 超募资金总额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8"/>
      <w:bookmarkEnd w:id="88"/>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侯立勋、李梅</w:t>
            </w:r>
          </w:p>
        </w:tc>
      </w:tr>
    </w:tbl>
    <w:p>
      <w:pPr>
        <w:pStyle w:val="BodyText"/>
        <w:spacing w:line="240" w:lineRule="auto" w:before="51"/>
        <w:ind w:right="0"/>
        <w:jc w:val="left"/>
      </w:pPr>
      <w:r>
        <w:rPr/>
        <w:t>当期是否改聘会计师事务所</w:t>
      </w:r>
    </w:p>
    <w:p>
      <w:pPr>
        <w:pStyle w:val="BodyText"/>
        <w:spacing w:line="338" w:lineRule="auto" w:before="117"/>
        <w:ind w:left="15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监事会、独立董事（如适用）对会计师事务所本报告期“非标准审计报告”的说明" w:id="89"/>
      <w:bookmarkEnd w:id="89"/>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90"/>
      <w:bookmarkEnd w:id="90"/>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2"/>
        <w:ind w:right="1031" w:firstLine="360"/>
        <w:jc w:val="left"/>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日起接受了深圳证监局对我公司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年年报的专项现场检查，并于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日收到了深 </w:t>
      </w:r>
      <w:r>
        <w:rPr>
          <w:spacing w:val="-1"/>
        </w:rPr>
        <w:t>圳证监局下发的深证局公司字</w:t>
      </w:r>
      <w:r>
        <w:rPr>
          <w:rFonts w:ascii="Times New Roman" w:hAnsi="Times New Roman" w:cs="Times New Roman" w:eastAsia="Times New Roman" w:hint="default"/>
          <w:spacing w:val="-1"/>
        </w:rPr>
        <w:t>[2014]40</w:t>
      </w:r>
      <w:r>
        <w:rPr>
          <w:rFonts w:ascii="Times New Roman" w:hAnsi="Times New Roman" w:cs="Times New Roman" w:eastAsia="Times New Roman" w:hint="default"/>
          <w:spacing w:val="17"/>
        </w:rPr>
        <w:t> </w:t>
      </w:r>
      <w:r>
        <w:rPr>
          <w:spacing w:val="-13"/>
        </w:rPr>
        <w:t>号《深圳证监局关于茂硕电源股份有限公司的监管关注函》（以下简称“《监管函》”）。</w:t>
      </w:r>
      <w:r>
        <w:rPr>
          <w:spacing w:val="-87"/>
        </w:rPr>
        <w:t> </w:t>
      </w:r>
      <w:r>
        <w:rPr>
          <w:spacing w:val="-87"/>
        </w:rPr>
      </w:r>
      <w:r>
        <w:rPr>
          <w:spacing w:val="-2"/>
        </w:rPr>
        <w:t>接到《监管函》后，公司领导高度重视，第一时间向全体董事、监事和高级管理人员传达本次年报现场检查结果，并召集各</w:t>
      </w:r>
      <w:r>
        <w:rPr>
          <w:spacing w:val="-68"/>
        </w:rPr>
        <w:t> </w:t>
      </w:r>
      <w:r>
        <w:rPr>
          <w:spacing w:val="-68"/>
        </w:rPr>
      </w:r>
      <w:r>
        <w:rPr/>
        <w:t>相关部门和人员，针对《监管函》所提及的问题，认真研究、分析和学习，制定了整改计划并进行整改。</w:t>
      </w:r>
    </w:p>
    <w:p>
      <w:pPr>
        <w:pStyle w:val="BodyText"/>
        <w:spacing w:line="302" w:lineRule="auto" w:before="64"/>
        <w:ind w:left="153" w:right="1120" w:firstLine="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日，公司第三届董事会</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次定期会议审议通过了《关于深圳证监局监管关注函的整改报告的 </w:t>
      </w:r>
      <w:r>
        <w:rPr>
          <w:spacing w:val="-6"/>
        </w:rPr>
        <w:t>议案》，并向深圳证监局反馈了《关于深圳证监局监管关注函的整改报告》。</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0" w:firstLine="360"/>
        <w:jc w:val="left"/>
      </w:pPr>
      <w:r>
        <w:rPr>
          <w:spacing w:val="-2"/>
        </w:rPr>
        <w:t>董事会督促相关部门、负责人执行整改，并呈请监管部门持续跟踪、监督、指导，公司以本次整改为契机，严格执行监</w:t>
      </w:r>
      <w:r>
        <w:rPr/>
        <w:t> </w:t>
      </w:r>
      <w:r>
        <w:rPr>
          <w:spacing w:val="-2"/>
        </w:rPr>
        <w:t>管部门要求，将进一步夯实各项财务基础工作，高度重视会计核算与披露质量，不断提高从业人员职业素质、理论素养，持</w:t>
      </w:r>
      <w:r>
        <w:rPr>
          <w:spacing w:val="-66"/>
        </w:rPr>
        <w:t> </w:t>
      </w:r>
      <w:r>
        <w:rPr>
          <w:spacing w:val="-66"/>
        </w:rPr>
      </w:r>
      <w:r>
        <w:rPr>
          <w:spacing w:val="-4"/>
        </w:rPr>
        <w:t>续保持专业胜任能力，严格执行《企业会计准则》、相关财税规定及公司财务管理制度，切实提高财务管理和会计核算水平，</w:t>
      </w:r>
      <w:r>
        <w:rPr>
          <w:spacing w:val="-44"/>
        </w:rPr>
        <w:t> </w:t>
      </w:r>
      <w:r>
        <w:rPr>
          <w:spacing w:val="-44"/>
        </w:rPr>
      </w:r>
      <w:r>
        <w:rPr/>
        <w:t>进一步提高会计信息质量，保证各项披露工作的规范化以满足上市公司财务及管理需要。</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三、年度报告披露后面临暂停上市和终止上市情况" w:id="91"/>
      <w:bookmarkEnd w:id="9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四、其他重大事项的说明" w:id="92"/>
      <w:bookmarkEnd w:id="9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月，第二届董事会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5</w:t>
      </w:r>
      <w:r>
        <w:rPr>
          <w:spacing w:val="-2"/>
        </w:rPr>
        <w:t>次临时会议审议通过了《关于子公司香港茂硕参股新加坡</w:t>
      </w:r>
      <w:r>
        <w:rPr>
          <w:rFonts w:ascii="Times New Roman" w:hAnsi="Times New Roman" w:cs="Times New Roman" w:eastAsia="Times New Roman" w:hint="default"/>
          <w:spacing w:val="-2"/>
        </w:rPr>
        <w:t>SR</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
        </w:rPr>
        <w:t>Illumination</w:t>
      </w:r>
      <w:r>
        <w:rPr>
          <w:spacing w:val="-1"/>
        </w:rPr>
        <w:t>公司的</w:t>
      </w:r>
      <w:r>
        <w:rPr/>
        <w:t> 议案》。因双方具体合作方案尚未达成共识，该事项尚未完成。</w:t>
      </w:r>
    </w:p>
    <w:p>
      <w:pPr>
        <w:pStyle w:val="BodyText"/>
        <w:spacing w:line="300" w:lineRule="auto" w:before="69"/>
        <w:ind w:left="153" w:right="1130" w:firstLine="36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月，香港茂硕计划拟以不超过</w:t>
      </w:r>
      <w:r>
        <w:rPr>
          <w:rFonts w:ascii="Times New Roman" w:hAnsi="Times New Roman" w:cs="Times New Roman" w:eastAsia="Times New Roman" w:hint="default"/>
          <w:spacing w:val="-3"/>
        </w:rPr>
        <w:t>100</w:t>
      </w:r>
      <w:r>
        <w:rPr>
          <w:spacing w:val="-3"/>
        </w:rPr>
        <w:t>万美元分阶段认购</w:t>
      </w:r>
      <w:r>
        <w:rPr>
          <w:rFonts w:ascii="Times New Roman" w:hAnsi="Times New Roman" w:cs="Times New Roman" w:eastAsia="Times New Roman" w:hint="default"/>
          <w:spacing w:val="-3"/>
        </w:rPr>
        <w:t>BRILLIANT</w:t>
      </w:r>
      <w:r>
        <w:rPr>
          <w:spacing w:val="-3"/>
        </w:rPr>
        <w:t>公司</w:t>
      </w:r>
      <w:r>
        <w:rPr>
          <w:rFonts w:ascii="Times New Roman" w:hAnsi="Times New Roman" w:cs="Times New Roman" w:eastAsia="Times New Roman" w:hint="default"/>
          <w:spacing w:val="-3"/>
        </w:rPr>
        <w:t>73,333</w:t>
      </w:r>
      <w:r>
        <w:rPr>
          <w:spacing w:val="-3"/>
        </w:rPr>
        <w:t>股普通股，占</w:t>
      </w:r>
      <w:r>
        <w:rPr>
          <w:rFonts w:ascii="Times New Roman" w:hAnsi="Times New Roman" w:cs="Times New Roman" w:eastAsia="Times New Roman" w:hint="default"/>
          <w:spacing w:val="-3"/>
        </w:rPr>
        <w:t>BRILLIANT</w:t>
      </w:r>
      <w:r>
        <w:rPr>
          <w:spacing w:val="-3"/>
        </w:rPr>
        <w:t>公司</w:t>
      </w:r>
      <w:r>
        <w:rPr>
          <w:rFonts w:ascii="Times New Roman" w:hAnsi="Times New Roman" w:cs="Times New Roman" w:eastAsia="Times New Roman" w:hint="default"/>
          <w:spacing w:val="-3"/>
        </w:rPr>
        <w:t>55%</w:t>
      </w:r>
      <w:r>
        <w:rPr>
          <w:rFonts w:ascii="Times New Roman" w:hAnsi="Times New Roman" w:cs="Times New Roman" w:eastAsia="Times New Roman" w:hint="default"/>
        </w:rPr>
        <w:t> </w:t>
      </w:r>
      <w:r>
        <w:rPr>
          <w:spacing w:val="-2"/>
        </w:rPr>
        <w:t>的股权比例。公司已于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月完成第一阶段</w:t>
      </w:r>
      <w:r>
        <w:rPr>
          <w:rFonts w:ascii="Times New Roman" w:hAnsi="Times New Roman" w:cs="Times New Roman" w:eastAsia="Times New Roman" w:hint="default"/>
          <w:spacing w:val="-2"/>
        </w:rPr>
        <w:t>20</w:t>
      </w:r>
      <w:r>
        <w:rPr>
          <w:spacing w:val="-2"/>
        </w:rPr>
        <w:t>万美元的付款，持有其</w:t>
      </w:r>
      <w:r>
        <w:rPr>
          <w:rFonts w:ascii="Times New Roman" w:hAnsi="Times New Roman" w:cs="Times New Roman" w:eastAsia="Times New Roman" w:hint="default"/>
          <w:spacing w:val="-2"/>
        </w:rPr>
        <w:t>20</w:t>
      </w:r>
      <w:r>
        <w:rPr>
          <w:spacing w:val="-2"/>
        </w:rPr>
        <w:t>％的股权比例。公司于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日发布了《关</w:t>
      </w:r>
      <w:r>
        <w:rPr>
          <w:spacing w:val="-51"/>
        </w:rPr>
        <w:t> </w:t>
      </w:r>
      <w:r>
        <w:rPr>
          <w:spacing w:val="-51"/>
        </w:rPr>
      </w:r>
      <w:r>
        <w:rPr/>
        <w:t>于对外投资的公告》。</w:t>
      </w:r>
    </w:p>
    <w:p>
      <w:pPr>
        <w:pStyle w:val="BodyText"/>
        <w:spacing w:line="300" w:lineRule="auto" w:before="70"/>
        <w:ind w:left="153" w:right="1129"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月，公司及控股子公司茂硕投资与深圳市远致富海投资管理有限公司（以下简称</w:t>
      </w:r>
      <w:r>
        <w:rPr>
          <w:rFonts w:ascii="Times New Roman" w:hAnsi="Times New Roman" w:cs="Times New Roman" w:eastAsia="Times New Roman" w:hint="default"/>
          <w:spacing w:val="-2"/>
        </w:rPr>
        <w:t>“</w:t>
      </w:r>
      <w:r>
        <w:rPr>
          <w:spacing w:val="-2"/>
        </w:rPr>
        <w:t>远致富海</w:t>
      </w:r>
      <w:r>
        <w:rPr>
          <w:rFonts w:ascii="Times New Roman" w:hAnsi="Times New Roman" w:cs="Times New Roman" w:eastAsia="Times New Roman" w:hint="default"/>
          <w:spacing w:val="-2"/>
        </w:rPr>
        <w:t>”</w:t>
      </w:r>
      <w:r>
        <w:rPr>
          <w:spacing w:val="-2"/>
        </w:rPr>
        <w:t>）签订了《合作</w:t>
      </w:r>
      <w:r>
        <w:rPr/>
        <w:t> 框架协议》。现阶段公司与远致富海尚未就具体项目达成合作共识，但相关项目正在洽谈和考察。公司于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日发</w:t>
      </w:r>
      <w:r>
        <w:rPr>
          <w:spacing w:val="-85"/>
        </w:rPr>
        <w:t> </w:t>
      </w:r>
      <w:r>
        <w:rPr/>
        <w:t>布了《关于与远致富海签订〈合作框架协议〉的公告》。</w:t>
      </w:r>
    </w:p>
    <w:p>
      <w:pPr>
        <w:pStyle w:val="BodyText"/>
        <w:spacing w:line="240" w:lineRule="auto" w:before="70"/>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月，公司与南网能源签订了《代理协议》，相互确定为合作伙伴关系。公司现已开始向南网能源供货，截至</w:t>
      </w:r>
    </w:p>
    <w:p>
      <w:pPr>
        <w:pStyle w:val="BodyText"/>
        <w:spacing w:line="302" w:lineRule="auto" w:before="63"/>
        <w:ind w:left="15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日为止公司与南网能源的交易金额总计</w:t>
      </w:r>
      <w:r>
        <w:rPr>
          <w:rFonts w:ascii="Times New Roman" w:hAnsi="Times New Roman" w:cs="Times New Roman" w:eastAsia="Times New Roman" w:hint="default"/>
        </w:rPr>
        <w:t>370.27</w:t>
      </w:r>
      <w:r>
        <w:rPr/>
        <w:t>万元（含税）。公司于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日发布了《关于与南方电网</w:t>
      </w:r>
      <w:r>
        <w:rPr>
          <w:spacing w:val="-48"/>
        </w:rPr>
        <w:t> </w:t>
      </w:r>
      <w:r>
        <w:rPr>
          <w:spacing w:val="-48"/>
        </w:rPr>
      </w:r>
      <w:r>
        <w:rPr/>
        <w:t>综合能源有限公司签订〈代理协议〉的公告》。</w:t>
      </w:r>
    </w:p>
    <w:p>
      <w:pPr>
        <w:pStyle w:val="BodyText"/>
        <w:spacing w:line="300" w:lineRule="auto" w:before="69"/>
        <w:ind w:left="153" w:right="113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月，公司与鲁证创业投资有限公司（以下简称</w:t>
      </w:r>
      <w:r>
        <w:rPr>
          <w:rFonts w:ascii="Times New Roman" w:hAnsi="Times New Roman" w:cs="Times New Roman" w:eastAsia="Times New Roman" w:hint="default"/>
        </w:rPr>
        <w:t>“</w:t>
      </w:r>
      <w:r>
        <w:rPr/>
        <w:t>鲁证创投</w:t>
      </w:r>
      <w:r>
        <w:rPr>
          <w:rFonts w:ascii="Times New Roman" w:hAnsi="Times New Roman" w:cs="Times New Roman" w:eastAsia="Times New Roman" w:hint="default"/>
        </w:rPr>
        <w:t>”</w:t>
      </w:r>
      <w:r>
        <w:rPr/>
        <w:t>）签订了《关于联合发起产业并购基金的框架方 </w:t>
      </w:r>
      <w:r>
        <w:rPr>
          <w:spacing w:val="-2"/>
        </w:rPr>
        <w:t>案》，由茂硕电源和鲁证创投共同发起设立鲁证茂硕产业发展合伙企业（有限合伙）（以下简称</w:t>
      </w:r>
      <w:r>
        <w:rPr>
          <w:rFonts w:ascii="Times New Roman" w:hAnsi="Times New Roman" w:cs="Times New Roman" w:eastAsia="Times New Roman" w:hint="default"/>
          <w:spacing w:val="-2"/>
        </w:rPr>
        <w:t>“</w:t>
      </w:r>
      <w:r>
        <w:rPr>
          <w:spacing w:val="-2"/>
        </w:rPr>
        <w:t>鲁证茂硕</w:t>
      </w:r>
      <w:r>
        <w:rPr>
          <w:rFonts w:ascii="Times New Roman" w:hAnsi="Times New Roman" w:cs="Times New Roman" w:eastAsia="Times New Roman" w:hint="default"/>
          <w:spacing w:val="-2"/>
        </w:rPr>
        <w:t>”</w:t>
      </w:r>
      <w:r>
        <w:rPr>
          <w:spacing w:val="-2"/>
        </w:rPr>
        <w:t>，名称以工商局</w:t>
      </w:r>
      <w:r>
        <w:rPr>
          <w:spacing w:val="-44"/>
        </w:rPr>
        <w:t> </w:t>
      </w:r>
      <w:r>
        <w:rPr>
          <w:spacing w:val="-44"/>
        </w:rPr>
      </w:r>
      <w:r>
        <w:rPr/>
        <w:t>核准为准），作为茂硕电源产业并购整合的平台，该事项尚待完成。</w:t>
      </w:r>
    </w:p>
    <w:p>
      <w:pPr>
        <w:pStyle w:val="BodyText"/>
        <w:spacing w:line="302" w:lineRule="auto" w:before="70"/>
        <w:ind w:left="153" w:right="1130" w:firstLine="360"/>
        <w:jc w:val="both"/>
      </w:pPr>
      <w:r>
        <w:rPr>
          <w:rFonts w:ascii="Times New Roman" w:hAnsi="Times New Roman" w:cs="Times New Roman" w:eastAsia="Times New Roman" w:hint="default"/>
          <w:spacing w:val="-1"/>
        </w:rPr>
        <w:t>6</w:t>
      </w:r>
      <w:r>
        <w:rPr>
          <w:spacing w:val="-1"/>
        </w:rPr>
        <w:t>、公司拟非公开发行股份及支付现金购买湖南省方正达电子科技有限公司</w:t>
      </w:r>
      <w:r>
        <w:rPr>
          <w:rFonts w:ascii="Times New Roman" w:hAnsi="Times New Roman" w:cs="Times New Roman" w:eastAsia="Times New Roman" w:hint="default"/>
          <w:spacing w:val="-1"/>
        </w:rPr>
        <w:t>55%</w:t>
      </w:r>
      <w:r>
        <w:rPr>
          <w:spacing w:val="-1"/>
        </w:rPr>
        <w:t>股权，并同时向宗佩民、曹国熊</w:t>
      </w:r>
      <w:r>
        <w:rPr>
          <w:rFonts w:ascii="Times New Roman" w:hAnsi="Times New Roman" w:cs="Times New Roman" w:eastAsia="Times New Roman" w:hint="default"/>
          <w:spacing w:val="-1"/>
        </w:rPr>
        <w:t>2</w:t>
      </w:r>
      <w:r>
        <w:rPr>
          <w:spacing w:val="-1"/>
        </w:rPr>
        <w:t>名特定</w:t>
      </w:r>
      <w:r>
        <w:rPr/>
        <w:t> 对象非公开发行股份募集配套资金，本次交易金额为</w:t>
      </w:r>
      <w:r>
        <w:rPr>
          <w:rFonts w:ascii="Times New Roman" w:hAnsi="Times New Roman" w:cs="Times New Roman" w:eastAsia="Times New Roman" w:hint="default"/>
        </w:rPr>
        <w:t>19,166</w:t>
      </w:r>
      <w:r>
        <w:rPr/>
        <w:t>万元。</w:t>
      </w:r>
    </w:p>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bookmarkStart w:name="十五、公司子公司重要事项" w:id="93"/>
      <w:bookmarkEnd w:id="93"/>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both"/>
      </w:pPr>
      <w:r>
        <w:rPr/>
        <w:t>√ 适用 □ 不适用</w:t>
      </w:r>
    </w:p>
    <w:p>
      <w:pPr>
        <w:pStyle w:val="BodyText"/>
        <w:spacing w:line="240" w:lineRule="auto" w:before="116"/>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88"/>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w:t>
      </w:r>
      <w:r>
        <w:rPr/>
        <w:t>次临时会议审议通过</w:t>
      </w:r>
      <w:r>
        <w:rPr>
          <w:spacing w:val="-88"/>
        </w:rPr>
        <w:t>了</w:t>
      </w:r>
      <w:r>
        <w:rPr/>
        <w:t>《关于投资参股连硕设备的议案</w:t>
      </w:r>
      <w:r>
        <w:rPr>
          <w:spacing w:val="-88"/>
        </w:rPr>
        <w:t>》，</w:t>
      </w:r>
      <w:r>
        <w:rPr>
          <w:spacing w:val="-2"/>
        </w:rPr>
        <w:t>同</w:t>
      </w:r>
      <w:r>
        <w:rPr/>
        <w:t>意公司出</w:t>
      </w:r>
      <w:r>
        <w:rPr>
          <w:spacing w:val="1"/>
        </w:rPr>
        <w:t>资</w:t>
      </w:r>
      <w:r>
        <w:rPr>
          <w:rFonts w:ascii="Times New Roman" w:hAnsi="Times New Roman" w:cs="Times New Roman" w:eastAsia="Times New Roman" w:hint="default"/>
        </w:rPr>
        <w:t>2,0</w:t>
      </w:r>
      <w:r>
        <w:rPr>
          <w:rFonts w:ascii="Times New Roman" w:hAnsi="Times New Roman" w:cs="Times New Roman" w:eastAsia="Times New Roman" w:hint="default"/>
          <w:spacing w:val="-2"/>
        </w:rPr>
        <w:t>7</w:t>
      </w:r>
      <w:r>
        <w:rPr>
          <w:rFonts w:ascii="Times New Roman" w:hAnsi="Times New Roman" w:cs="Times New Roman" w:eastAsia="Times New Roman" w:hint="default"/>
        </w:rPr>
        <w:t>8.95</w:t>
      </w:r>
    </w:p>
    <w:p>
      <w:pPr>
        <w:pStyle w:val="BodyText"/>
        <w:spacing w:line="240" w:lineRule="auto" w:before="64"/>
        <w:ind w:left="153" w:right="0"/>
        <w:jc w:val="both"/>
      </w:pPr>
      <w:r>
        <w:rPr/>
        <w:t>万元，持有连硕自动化</w:t>
      </w:r>
      <w:r>
        <w:rPr>
          <w:rFonts w:ascii="Times New Roman" w:hAnsi="Times New Roman" w:cs="Times New Roman" w:eastAsia="Times New Roman" w:hint="default"/>
        </w:rPr>
        <w:t>20.7895%</w:t>
      </w:r>
      <w:r>
        <w:rPr/>
        <w:t>的股权比例。公司于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日发布了《关于对外投资的公告》。</w:t>
      </w:r>
    </w:p>
    <w:p>
      <w:pPr>
        <w:pStyle w:val="BodyText"/>
        <w:spacing w:line="240" w:lineRule="auto" w:before="101"/>
        <w:ind w:left="514" w:right="0"/>
        <w:jc w:val="left"/>
      </w:pPr>
      <w:r>
        <w:rPr>
          <w:rFonts w:ascii="Arial" w:hAnsi="Arial" w:cs="Arial" w:eastAsia="Arial" w:hint="default"/>
        </w:rPr>
        <w:t>2014</w:t>
      </w:r>
      <w:r>
        <w:rPr/>
        <w:t>年</w:t>
      </w:r>
      <w:r>
        <w:rPr>
          <w:rFonts w:ascii="Arial" w:hAnsi="Arial" w:cs="Arial" w:eastAsia="Arial" w:hint="default"/>
        </w:rPr>
        <w:t>11</w:t>
      </w:r>
      <w:r>
        <w:rPr/>
        <w:t>月</w:t>
      </w:r>
      <w:r>
        <w:rPr>
          <w:rFonts w:ascii="Arial" w:hAnsi="Arial" w:cs="Arial" w:eastAsia="Arial" w:hint="default"/>
        </w:rPr>
        <w:t>17</w:t>
      </w:r>
      <w:r>
        <w:rPr/>
        <w:t>日第三届董事会</w:t>
      </w:r>
      <w:r>
        <w:rPr>
          <w:rFonts w:ascii="Arial" w:hAnsi="Arial" w:cs="Arial" w:eastAsia="Arial" w:hint="default"/>
        </w:rPr>
        <w:t>2014</w:t>
      </w:r>
      <w:r>
        <w:rPr/>
        <w:t>年第</w:t>
      </w:r>
      <w:r>
        <w:rPr>
          <w:rFonts w:ascii="Arial" w:hAnsi="Arial" w:cs="Arial" w:eastAsia="Arial" w:hint="default"/>
        </w:rPr>
        <w:t>10</w:t>
      </w:r>
      <w:r>
        <w:rPr/>
        <w:t>次临时会议审议通过了《关于连硕自动化股权转让的议案》，同意公司以</w:t>
      </w:r>
    </w:p>
    <w:p>
      <w:pPr>
        <w:pStyle w:val="BodyText"/>
        <w:spacing w:line="309" w:lineRule="auto" w:before="63"/>
        <w:ind w:right="1130"/>
        <w:jc w:val="both"/>
      </w:pPr>
      <w:r>
        <w:rPr>
          <w:rFonts w:ascii="Arial" w:hAnsi="Arial" w:cs="Arial" w:eastAsia="Arial" w:hint="default"/>
        </w:rPr>
        <w:t>2,494.74</w:t>
      </w:r>
      <w:r>
        <w:rPr/>
        <w:t>万元转让参股子公司连硕自动化</w:t>
      </w:r>
      <w:r>
        <w:rPr>
          <w:rFonts w:ascii="Arial" w:hAnsi="Arial" w:cs="Arial" w:eastAsia="Arial" w:hint="default"/>
        </w:rPr>
        <w:t>20.7895%</w:t>
      </w:r>
      <w:r>
        <w:rPr/>
        <w:t>股权；同时，茂硕电源放弃对连硕自动化原股东的所有业绩承诺要求及</w:t>
      </w:r>
      <w:r>
        <w:rPr>
          <w:spacing w:val="-72"/>
        </w:rPr>
        <w:t> </w:t>
      </w:r>
      <w:r>
        <w:rPr>
          <w:spacing w:val="-72"/>
        </w:rPr>
      </w:r>
      <w:r>
        <w:rPr>
          <w:spacing w:val="-2"/>
        </w:rPr>
        <w:t>未达到业绩承诺的补偿请求权，股权转让完成后，公司不再持有连硕自动化股权。公司于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日发布了《</w:t>
      </w:r>
      <w:hyperlink r:id="rId19">
        <w:r>
          <w:rPr>
            <w:spacing w:val="-2"/>
            <w:u w:val="single" w:color="000000"/>
          </w:rPr>
          <w:t>关于连硕</w:t>
        </w:r>
        <w:r>
          <w:rPr>
            <w:spacing w:val="-59"/>
            <w:u w:val="single" w:color="000000"/>
          </w:rPr>
          <w:t> </w:t>
        </w:r>
        <w:r>
          <w:rPr>
            <w:spacing w:val="-59"/>
          </w:rPr>
        </w:r>
      </w:hyperlink>
      <w:r>
        <w:rPr>
          <w:spacing w:val="-59"/>
        </w:rPr>
      </w:r>
      <w:hyperlink r:id="rId19">
        <w:r>
          <w:rPr>
            <w:spacing w:val="-59"/>
          </w:rPr>
        </w:r>
        <w:r>
          <w:rPr>
            <w:u w:val="single" w:color="000000"/>
          </w:rPr>
          <w:t>自动化股权转让的公告</w:t>
        </w:r>
        <w:r>
          <w:rPr/>
        </w:r>
      </w:hyperlink>
      <w:r>
        <w:rPr/>
        <w:t>》。</w:t>
      </w:r>
    </w:p>
    <w:p>
      <w:pPr>
        <w:pStyle w:val="BodyText"/>
        <w:spacing w:line="300" w:lineRule="auto" w:before="62"/>
        <w:ind w:left="153"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日召开第三届董事会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2</w:t>
      </w:r>
      <w:r>
        <w:rPr/>
        <w:t>次临时会议审议通过了《关于与关联方共同设立子公司的议案》，同意 </w:t>
      </w:r>
      <w:r>
        <w:rPr>
          <w:spacing w:val="-2"/>
        </w:rPr>
        <w:t>公司与深圳君合弘睿投资管理有限公司（以下简称</w:t>
      </w:r>
      <w:r>
        <w:rPr>
          <w:rFonts w:ascii="Times New Roman" w:hAnsi="Times New Roman" w:cs="Times New Roman" w:eastAsia="Times New Roman" w:hint="default"/>
          <w:spacing w:val="-2"/>
        </w:rPr>
        <w:t>“</w:t>
      </w:r>
      <w:r>
        <w:rPr>
          <w:spacing w:val="-2"/>
        </w:rPr>
        <w:t>君弘投资</w:t>
      </w:r>
      <w:r>
        <w:rPr>
          <w:rFonts w:ascii="Times New Roman" w:hAnsi="Times New Roman" w:cs="Times New Roman" w:eastAsia="Times New Roman" w:hint="default"/>
          <w:spacing w:val="-2"/>
        </w:rPr>
        <w:t>”</w:t>
      </w:r>
      <w:r>
        <w:rPr>
          <w:spacing w:val="-2"/>
        </w:rPr>
        <w:t>）共同投资设立深圳茂硕投资发展有限公司，其中茂硕电源投</w:t>
      </w:r>
      <w:r>
        <w:rPr>
          <w:spacing w:val="-45"/>
        </w:rPr>
        <w:t> </w:t>
      </w:r>
      <w:r>
        <w:rPr>
          <w:spacing w:val="-45"/>
        </w:rPr>
      </w:r>
      <w:r>
        <w:rPr>
          <w:spacing w:val="-1"/>
        </w:rPr>
        <w:t>资人民币</w:t>
      </w:r>
      <w:r>
        <w:rPr>
          <w:rFonts w:ascii="Times New Roman" w:hAnsi="Times New Roman" w:cs="Times New Roman" w:eastAsia="Times New Roman" w:hint="default"/>
          <w:spacing w:val="-1"/>
        </w:rPr>
        <w:t>750</w:t>
      </w:r>
      <w:r>
        <w:rPr>
          <w:spacing w:val="-1"/>
        </w:rPr>
        <w:t>万元，占茂硕投资注册资本的</w:t>
      </w:r>
      <w:r>
        <w:rPr>
          <w:rFonts w:ascii="Times New Roman" w:hAnsi="Times New Roman" w:cs="Times New Roman" w:eastAsia="Times New Roman" w:hint="default"/>
          <w:spacing w:val="-1"/>
        </w:rPr>
        <w:t>75%</w:t>
      </w:r>
      <w:r>
        <w:rPr>
          <w:spacing w:val="-1"/>
        </w:rPr>
        <w:t>；君弘投资投资人民币</w:t>
      </w:r>
      <w:r>
        <w:rPr>
          <w:rFonts w:ascii="Times New Roman" w:hAnsi="Times New Roman" w:cs="Times New Roman" w:eastAsia="Times New Roman" w:hint="default"/>
          <w:spacing w:val="-1"/>
        </w:rPr>
        <w:t>250</w:t>
      </w:r>
      <w:r>
        <w:rPr>
          <w:spacing w:val="-1"/>
        </w:rPr>
        <w:t>万元，占茂硕投资注册资本的</w:t>
      </w:r>
      <w:r>
        <w:rPr>
          <w:rFonts w:ascii="Times New Roman" w:hAnsi="Times New Roman" w:cs="Times New Roman" w:eastAsia="Times New Roman" w:hint="default"/>
          <w:spacing w:val="-1"/>
        </w:rPr>
        <w:t>25%</w:t>
      </w:r>
      <w:r>
        <w:rPr>
          <w:spacing w:val="-1"/>
        </w:rPr>
        <w:t>。公司于</w:t>
      </w:r>
      <w:r>
        <w:rPr>
          <w:rFonts w:ascii="Times New Roman" w:hAnsi="Times New Roman" w:cs="Times New Roman" w:eastAsia="Times New Roman" w:hint="default"/>
          <w:spacing w:val="-1"/>
        </w:rPr>
        <w:t>2014</w:t>
      </w:r>
      <w:r>
        <w:rPr>
          <w:spacing w:val="-1"/>
        </w:rPr>
        <w:t>年</w:t>
      </w:r>
      <w:r>
        <w:rPr>
          <w:spacing w:val="-52"/>
        </w:rPr>
        <w:t>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日发布了《</w:t>
      </w:r>
      <w:hyperlink r:id="rId20">
        <w:r>
          <w:rPr>
            <w:u w:val="single" w:color="000000"/>
          </w:rPr>
          <w:t>关于设立深圳茂硕投资发展有限公司的公告</w:t>
        </w:r>
        <w:r>
          <w:rPr/>
        </w:r>
      </w:hyperlink>
      <w:r>
        <w:rPr/>
        <w:t>》。</w:t>
      </w:r>
    </w:p>
    <w:p>
      <w:pPr>
        <w:pStyle w:val="BodyText"/>
        <w:spacing w:line="240" w:lineRule="auto" w:before="51"/>
        <w:ind w:left="5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日召开第三届董事会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7</w:t>
      </w:r>
      <w:r>
        <w:rPr/>
        <w:t>次临时会议审议通过了《关于茂硕投资股权调整的议案》。茂硕投资注册资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30"/>
        <w:jc w:val="both"/>
      </w:pPr>
      <w:r>
        <w:rPr>
          <w:spacing w:val="-2"/>
        </w:rPr>
        <w:t>本人民币</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600</w:t>
      </w:r>
      <w:r>
        <w:rPr>
          <w:spacing w:val="-2"/>
        </w:rPr>
        <w:t>万元，茂硕电源出资</w:t>
      </w:r>
      <w:r>
        <w:rPr>
          <w:rFonts w:ascii="Times New Roman" w:hAnsi="Times New Roman" w:cs="Times New Roman" w:eastAsia="Times New Roman" w:hint="default"/>
          <w:spacing w:val="-2"/>
        </w:rPr>
        <w:t>450</w:t>
      </w:r>
      <w:r>
        <w:rPr>
          <w:spacing w:val="-2"/>
        </w:rPr>
        <w:t>万元，持有其</w:t>
      </w:r>
      <w:r>
        <w:rPr>
          <w:rFonts w:ascii="Times New Roman" w:hAnsi="Times New Roman" w:cs="Times New Roman" w:eastAsia="Times New Roman" w:hint="default"/>
          <w:spacing w:val="-2"/>
        </w:rPr>
        <w:t>75%</w:t>
      </w:r>
      <w:r>
        <w:rPr>
          <w:spacing w:val="-2"/>
        </w:rPr>
        <w:t>的股权比例，君弘投资出资</w:t>
      </w:r>
      <w:r>
        <w:rPr>
          <w:rFonts w:ascii="Times New Roman" w:hAnsi="Times New Roman" w:cs="Times New Roman" w:eastAsia="Times New Roman" w:hint="default"/>
          <w:spacing w:val="-2"/>
        </w:rPr>
        <w:t>150</w:t>
      </w:r>
      <w:r>
        <w:rPr>
          <w:spacing w:val="-2"/>
        </w:rPr>
        <w:t>万元，持有其</w:t>
      </w:r>
      <w:r>
        <w:rPr>
          <w:rFonts w:ascii="Times New Roman" w:hAnsi="Times New Roman" w:cs="Times New Roman" w:eastAsia="Times New Roman" w:hint="default"/>
          <w:spacing w:val="-2"/>
        </w:rPr>
        <w:t>25%</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的股权比例。经君弘投资与公司友好协商，茂硕投资剩余注册资本</w:t>
      </w:r>
      <w:r>
        <w:rPr>
          <w:rFonts w:ascii="Times New Roman" w:hAnsi="Times New Roman" w:cs="Times New Roman" w:eastAsia="Times New Roman" w:hint="default"/>
        </w:rPr>
        <w:t>400</w:t>
      </w:r>
      <w:r>
        <w:rPr/>
        <w:t>万元由君弘投资认缴，茂硕电源放弃出资，资金到位</w:t>
      </w:r>
      <w:r>
        <w:rPr>
          <w:spacing w:val="-82"/>
        </w:rPr>
        <w:t> </w:t>
      </w:r>
      <w:r>
        <w:rPr>
          <w:spacing w:val="-82"/>
        </w:rPr>
      </w:r>
      <w:r>
        <w:rPr>
          <w:spacing w:val="-1"/>
        </w:rPr>
        <w:t>后，茂硕投资股权比例调整为：茂硕电源出资</w:t>
      </w:r>
      <w:r>
        <w:rPr>
          <w:rFonts w:ascii="Times New Roman" w:hAnsi="Times New Roman" w:cs="Times New Roman" w:eastAsia="Times New Roman" w:hint="default"/>
          <w:spacing w:val="-1"/>
        </w:rPr>
        <w:t>450</w:t>
      </w:r>
      <w:r>
        <w:rPr>
          <w:spacing w:val="-1"/>
        </w:rPr>
        <w:t>万元，持有其</w:t>
      </w:r>
      <w:r>
        <w:rPr>
          <w:rFonts w:ascii="Times New Roman" w:hAnsi="Times New Roman" w:cs="Times New Roman" w:eastAsia="Times New Roman" w:hint="default"/>
          <w:spacing w:val="-1"/>
        </w:rPr>
        <w:t>45%</w:t>
      </w:r>
      <w:r>
        <w:rPr>
          <w:spacing w:val="-1"/>
        </w:rPr>
        <w:t>的股权比例，君弘投资出资</w:t>
      </w:r>
      <w:r>
        <w:rPr>
          <w:rFonts w:ascii="Times New Roman" w:hAnsi="Times New Roman" w:cs="Times New Roman" w:eastAsia="Times New Roman" w:hint="default"/>
          <w:spacing w:val="-1"/>
        </w:rPr>
        <w:t>550</w:t>
      </w:r>
      <w:r>
        <w:rPr>
          <w:spacing w:val="-1"/>
        </w:rPr>
        <w:t>万元，持有其</w:t>
      </w:r>
      <w:r>
        <w:rPr>
          <w:rFonts w:ascii="Times New Roman" w:hAnsi="Times New Roman" w:cs="Times New Roman" w:eastAsia="Times New Roman" w:hint="default"/>
          <w:spacing w:val="-1"/>
        </w:rPr>
        <w:t>55%</w:t>
      </w:r>
      <w:r>
        <w:rPr>
          <w:spacing w:val="-1"/>
        </w:rPr>
        <w:t>的股权</w:t>
      </w:r>
      <w:r>
        <w:rPr>
          <w:spacing w:val="-55"/>
        </w:rPr>
        <w:t> </w:t>
      </w:r>
      <w:r>
        <w:rPr>
          <w:spacing w:val="-55"/>
        </w:rPr>
      </w:r>
      <w:r>
        <w:rPr/>
        <w:t>比例。公司于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日发布了《</w:t>
      </w:r>
      <w:hyperlink r:id="rId21">
        <w:r>
          <w:rPr>
            <w:u w:val="single" w:color="000000"/>
          </w:rPr>
          <w:t>关于茂硕投资股权调整的公告</w:t>
        </w:r>
        <w:r>
          <w:rPr/>
        </w:r>
      </w:hyperlink>
      <w:r>
        <w:rPr/>
        <w:t>》。</w:t>
      </w:r>
    </w:p>
    <w:p>
      <w:pPr>
        <w:pStyle w:val="BodyText"/>
        <w:spacing w:line="300" w:lineRule="auto" w:before="51"/>
        <w:ind w:left="153" w:right="1053"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3</w:t>
      </w:r>
      <w:r>
        <w:rPr>
          <w:spacing w:val="-2"/>
        </w:rPr>
        <w:t>次临时会议审议通过了《关于惠州茂硕进行股权融资暨变更为合资经营方</w:t>
      </w:r>
      <w:r>
        <w:rPr/>
        <w:t> 式的议案》。广东省粤科财政股权投资有限公司（以下简称</w:t>
      </w:r>
      <w:r>
        <w:rPr>
          <w:rFonts w:ascii="Times New Roman" w:hAnsi="Times New Roman" w:cs="Times New Roman" w:eastAsia="Times New Roman" w:hint="default"/>
        </w:rPr>
        <w:t>“</w:t>
      </w:r>
      <w:r>
        <w:rPr/>
        <w:t>粤科财政投资</w:t>
      </w:r>
      <w:r>
        <w:rPr>
          <w:rFonts w:ascii="Times New Roman" w:hAnsi="Times New Roman" w:cs="Times New Roman" w:eastAsia="Times New Roman" w:hint="default"/>
        </w:rPr>
        <w:t>”</w:t>
      </w:r>
      <w:r>
        <w:rPr/>
        <w:t>）以人民币</w:t>
      </w:r>
      <w:r>
        <w:rPr>
          <w:rFonts w:ascii="Times New Roman" w:hAnsi="Times New Roman" w:cs="Times New Roman" w:eastAsia="Times New Roman" w:hint="default"/>
        </w:rPr>
        <w:t>6000</w:t>
      </w:r>
      <w:r>
        <w:rPr/>
        <w:t>万元对惠州茂硕进行股权投资， 其中</w:t>
      </w:r>
      <w:r>
        <w:rPr>
          <w:rFonts w:ascii="Times New Roman" w:hAnsi="Times New Roman" w:cs="Times New Roman" w:eastAsia="Times New Roman" w:hint="default"/>
        </w:rPr>
        <w:t>1111.1111</w:t>
      </w:r>
      <w:r>
        <w:rPr/>
        <w:t>万元计入惠州茂硕的注册资本，粤科财政投资获得增资后惠州茂硕</w:t>
      </w:r>
      <w:r>
        <w:rPr>
          <w:rFonts w:ascii="Times New Roman" w:hAnsi="Times New Roman" w:cs="Times New Roman" w:eastAsia="Times New Roman" w:hint="default"/>
        </w:rPr>
        <w:t>10%</w:t>
      </w:r>
      <w:r>
        <w:rPr/>
        <w:t>的股权，溢价部分</w:t>
      </w:r>
      <w:r>
        <w:rPr>
          <w:rFonts w:ascii="Times New Roman" w:hAnsi="Times New Roman" w:cs="Times New Roman" w:eastAsia="Times New Roman" w:hint="default"/>
        </w:rPr>
        <w:t>4888.8889</w:t>
      </w:r>
      <w:r>
        <w:rPr/>
        <w:t>万元计入</w:t>
      </w:r>
      <w:r>
        <w:rPr>
          <w:spacing w:val="-59"/>
        </w:rPr>
        <w:t> </w:t>
      </w:r>
      <w:r>
        <w:rPr/>
        <w:t>惠州茂硕的资本公积。公司于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日发布了《</w:t>
      </w:r>
      <w:hyperlink r:id="rId22">
        <w:r>
          <w:rPr>
            <w:u w:val="single" w:color="000000"/>
          </w:rPr>
          <w:t>关于惠州茂硕进行股权融资暨变更为合资经营方式的公告</w:t>
        </w:r>
        <w:r>
          <w:rPr/>
        </w:r>
      </w:hyperlink>
      <w:r>
        <w:rPr/>
        <w:t>》。</w:t>
      </w:r>
    </w:p>
    <w:p>
      <w:pPr>
        <w:pStyle w:val="BodyText"/>
        <w:spacing w:line="300" w:lineRule="auto" w:before="52"/>
        <w:ind w:left="153" w:right="112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3</w:t>
      </w:r>
      <w:r>
        <w:rPr>
          <w:spacing w:val="-2"/>
        </w:rPr>
        <w:t>次临时会议审议通过了《关于控股子公司深圳富凌增资的议案》，公司同</w:t>
      </w:r>
      <w:r>
        <w:rPr/>
        <w:t> 意以人民币</w:t>
      </w:r>
      <w:r>
        <w:rPr>
          <w:rFonts w:ascii="Times New Roman" w:hAnsi="Times New Roman" w:cs="Times New Roman" w:eastAsia="Times New Roman" w:hint="default"/>
        </w:rPr>
        <w:t>765</w:t>
      </w:r>
      <w:r>
        <w:rPr/>
        <w:t>万元增资茂硕新能源（原名</w:t>
      </w:r>
      <w:r>
        <w:rPr>
          <w:rFonts w:ascii="Times New Roman" w:hAnsi="Times New Roman" w:cs="Times New Roman" w:eastAsia="Times New Roman" w:hint="default"/>
        </w:rPr>
        <w:t>“</w:t>
      </w:r>
      <w:r>
        <w:rPr/>
        <w:t>深圳富凌</w:t>
      </w:r>
      <w:r>
        <w:rPr>
          <w:rFonts w:ascii="Times New Roman" w:hAnsi="Times New Roman" w:cs="Times New Roman" w:eastAsia="Times New Roman" w:hint="default"/>
        </w:rPr>
        <w:t>”</w:t>
      </w:r>
      <w:r>
        <w:rPr/>
        <w:t>），增资后公司依然拥有茂硕新能源</w:t>
      </w:r>
      <w:r>
        <w:rPr>
          <w:rFonts w:ascii="Times New Roman" w:hAnsi="Times New Roman" w:cs="Times New Roman" w:eastAsia="Times New Roman" w:hint="default"/>
        </w:rPr>
        <w:t>51</w:t>
      </w:r>
      <w:r>
        <w:rPr/>
        <w:t>％的股权比例。在增资的过程</w:t>
      </w:r>
      <w:r>
        <w:rPr>
          <w:spacing w:val="-68"/>
        </w:rPr>
        <w:t> </w:t>
      </w:r>
      <w:r>
        <w:rPr>
          <w:spacing w:val="-68"/>
        </w:rPr>
      </w:r>
      <w:r>
        <w:rPr>
          <w:spacing w:val="-5"/>
        </w:rPr>
        <w:t>中，茂硕新能源其余股东放弃本次增资计划，茂硕电源原定增资方案不变，自此茂硕电源持有的茂硕新能源的股权比例由</w:t>
      </w:r>
      <w:r>
        <w:rPr>
          <w:rFonts w:ascii="Times New Roman" w:hAnsi="Times New Roman" w:cs="Times New Roman" w:eastAsia="Times New Roman" w:hint="default"/>
          <w:spacing w:val="-5"/>
        </w:rPr>
        <w:t>51%</w:t>
      </w:r>
      <w:r>
        <w:rPr>
          <w:rFonts w:ascii="Times New Roman" w:hAnsi="Times New Roman" w:cs="Times New Roman" w:eastAsia="Times New Roman" w:hint="default"/>
          <w:spacing w:val="5"/>
        </w:rPr>
        <w:t> </w:t>
      </w:r>
      <w:r>
        <w:rPr/>
        <w:t>增加至</w:t>
      </w:r>
      <w:r>
        <w:rPr>
          <w:rFonts w:ascii="Times New Roman" w:hAnsi="Times New Roman" w:cs="Times New Roman" w:eastAsia="Times New Roman" w:hint="default"/>
        </w:rPr>
        <w:t>60.9562%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日发布了《</w:t>
      </w:r>
      <w:hyperlink r:id="rId23">
        <w:r>
          <w:rPr>
            <w:u w:val="single" w:color="000000"/>
          </w:rPr>
          <w:t>关于向控股子公司深圳富凌增资的公告</w:t>
        </w:r>
        <w:r>
          <w:rPr/>
        </w:r>
      </w:hyperlink>
      <w:r>
        <w:rPr/>
        <w:t>》。</w:t>
      </w:r>
    </w:p>
    <w:p>
      <w:pPr>
        <w:pStyle w:val="BodyText"/>
        <w:spacing w:line="300" w:lineRule="auto" w:before="51"/>
        <w:ind w:left="153"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1</w:t>
      </w:r>
      <w:r>
        <w:rPr>
          <w:spacing w:val="-2"/>
        </w:rPr>
        <w:t>次定期会议审议通过了《关于向控股子公司深圳富凌增资的议案》，茂硕电</w:t>
      </w:r>
      <w:r>
        <w:rPr/>
        <w:t> 源向茂硕新能源增资人民币</w:t>
      </w:r>
      <w:r>
        <w:rPr>
          <w:rFonts w:ascii="Times New Roman" w:hAnsi="Times New Roman" w:cs="Times New Roman" w:eastAsia="Times New Roman" w:hint="default"/>
        </w:rPr>
        <w:t>800</w:t>
      </w:r>
      <w:r>
        <w:rPr/>
        <w:t>万元，此次增资完成后公司持有茂硕新能源</w:t>
      </w:r>
      <w:r>
        <w:rPr>
          <w:rFonts w:ascii="Times New Roman" w:hAnsi="Times New Roman" w:cs="Times New Roman" w:eastAsia="Times New Roman" w:hint="default"/>
        </w:rPr>
        <w:t>67.7985</w:t>
      </w:r>
      <w:r>
        <w:rPr/>
        <w:t>％的股权比例。公司于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日发</w:t>
      </w:r>
      <w:r>
        <w:rPr>
          <w:spacing w:val="-43"/>
        </w:rPr>
        <w:t> </w:t>
      </w:r>
      <w:r>
        <w:rPr/>
        <w:t>布了《</w:t>
      </w:r>
      <w:hyperlink r:id="rId24">
        <w:r>
          <w:rPr>
            <w:u w:val="single" w:color="000000"/>
          </w:rPr>
          <w:t>关于向控股子公司深圳富凌增资的公告</w:t>
        </w:r>
        <w:r>
          <w:rPr/>
        </w:r>
      </w:hyperlink>
      <w:r>
        <w:rPr/>
        <w:t>》。</w:t>
      </w:r>
    </w:p>
    <w:p>
      <w:pPr>
        <w:pStyle w:val="BodyText"/>
        <w:spacing w:line="240" w:lineRule="auto" w:before="70"/>
        <w:ind w:left="5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日召开的第三届董事会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12</w:t>
      </w:r>
      <w:r>
        <w:rPr/>
        <w:t>次临时会议审议通过《关于茂硕新能源股权调整的议案》，公司同意以</w:t>
      </w:r>
    </w:p>
    <w:p>
      <w:pPr>
        <w:pStyle w:val="BodyText"/>
        <w:spacing w:line="302" w:lineRule="auto" w:before="63"/>
        <w:ind w:left="153" w:right="1132"/>
        <w:jc w:val="both"/>
      </w:pPr>
      <w:r>
        <w:rPr>
          <w:rFonts w:ascii="Times New Roman" w:hAnsi="Times New Roman" w:cs="Times New Roman" w:eastAsia="Times New Roman" w:hint="default"/>
          <w:spacing w:val="-1"/>
        </w:rPr>
        <w:t>1070</w:t>
      </w:r>
      <w:r>
        <w:rPr>
          <w:spacing w:val="-1"/>
        </w:rPr>
        <w:t>万元购买台州富凌电气有限公司以</w:t>
      </w:r>
      <w:r>
        <w:rPr>
          <w:rFonts w:ascii="Times New Roman" w:hAnsi="Times New Roman" w:cs="Times New Roman" w:eastAsia="Times New Roman" w:hint="default"/>
          <w:spacing w:val="-1"/>
        </w:rPr>
        <w:t>535</w:t>
      </w:r>
      <w:r>
        <w:rPr>
          <w:spacing w:val="-1"/>
        </w:rPr>
        <w:t>万元出资额持有的茂硕新能源</w:t>
      </w:r>
      <w:r>
        <w:rPr>
          <w:rFonts w:ascii="Times New Roman" w:hAnsi="Times New Roman" w:cs="Times New Roman" w:eastAsia="Times New Roman" w:hint="default"/>
          <w:spacing w:val="-1"/>
        </w:rPr>
        <w:t>23.44%</w:t>
      </w:r>
      <w:r>
        <w:rPr>
          <w:spacing w:val="-1"/>
        </w:rPr>
        <w:t>的股权比例，本次股权调整后公司拥有茂硕</w:t>
      </w:r>
      <w:r>
        <w:rPr>
          <w:spacing w:val="-40"/>
        </w:rPr>
        <w:t> </w:t>
      </w:r>
      <w:r>
        <w:rPr>
          <w:spacing w:val="-40"/>
        </w:rPr>
      </w:r>
      <w:r>
        <w:rPr/>
        <w:t>新能源</w:t>
      </w:r>
      <w:r>
        <w:rPr>
          <w:rFonts w:ascii="Times New Roman" w:hAnsi="Times New Roman" w:cs="Times New Roman" w:eastAsia="Times New Roman" w:hint="default"/>
        </w:rPr>
        <w:t>91.24</w:t>
      </w:r>
      <w:r>
        <w:rPr/>
        <w:t>％的股权比例。公司于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日发布了《</w:t>
      </w:r>
      <w:hyperlink r:id="rId25">
        <w:r>
          <w:rPr>
            <w:u w:val="single" w:color="000000"/>
          </w:rPr>
          <w:t>关于茂硕新能源股权调整的公告</w:t>
        </w:r>
        <w:r>
          <w:rPr/>
        </w:r>
      </w:hyperlink>
      <w:r>
        <w:rPr/>
        <w:t>》。</w:t>
      </w:r>
    </w:p>
    <w:p>
      <w:pPr>
        <w:pStyle w:val="BodyText"/>
        <w:spacing w:line="300" w:lineRule="auto" w:before="50"/>
        <w:ind w:left="153" w:right="1130"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4</w:t>
      </w:r>
      <w:r>
        <w:rPr>
          <w:spacing w:val="-2"/>
        </w:rPr>
        <w:t>次临时会议审议通过《关于与诺耶科华联合投资光伏发电项目暨设立子</w:t>
      </w:r>
      <w:r>
        <w:rPr/>
        <w:t> </w:t>
      </w:r>
      <w:r>
        <w:rPr>
          <w:spacing w:val="-2"/>
        </w:rPr>
        <w:t>公司的议案》，同意公司与海宁市诺耶科华太阳能电力工程有限公司（以下简称</w:t>
      </w:r>
      <w:r>
        <w:rPr>
          <w:rFonts w:ascii="Times New Roman" w:hAnsi="Times New Roman" w:cs="Times New Roman" w:eastAsia="Times New Roman" w:hint="default"/>
          <w:spacing w:val="-2"/>
        </w:rPr>
        <w:t>“</w:t>
      </w:r>
      <w:r>
        <w:rPr>
          <w:spacing w:val="-2"/>
        </w:rPr>
        <w:t>诺耶科华</w:t>
      </w:r>
      <w:r>
        <w:rPr>
          <w:rFonts w:ascii="Times New Roman" w:hAnsi="Times New Roman" w:cs="Times New Roman" w:eastAsia="Times New Roman" w:hint="default"/>
          <w:spacing w:val="-2"/>
        </w:rPr>
        <w:t>”</w:t>
      </w:r>
      <w:r>
        <w:rPr>
          <w:spacing w:val="-2"/>
        </w:rPr>
        <w:t>）共同投资设立海宁茂硕诺华能</w:t>
      </w:r>
      <w:r>
        <w:rPr>
          <w:spacing w:val="-44"/>
        </w:rPr>
        <w:t> </w:t>
      </w:r>
      <w:r>
        <w:rPr>
          <w:spacing w:val="-44"/>
        </w:rPr>
      </w:r>
      <w:r>
        <w:rPr/>
        <w:t>源有限公司，其中公司以现金投资</w:t>
      </w:r>
      <w:r>
        <w:rPr>
          <w:rFonts w:ascii="Times New Roman" w:hAnsi="Times New Roman" w:cs="Times New Roman" w:eastAsia="Times New Roman" w:hint="default"/>
        </w:rPr>
        <w:t>2550</w:t>
      </w:r>
      <w:r>
        <w:rPr/>
        <w:t>万元，占海宁茂硕注册资本的</w:t>
      </w:r>
      <w:r>
        <w:rPr>
          <w:rFonts w:ascii="Times New Roman" w:hAnsi="Times New Roman" w:cs="Times New Roman" w:eastAsia="Times New Roman" w:hint="default"/>
        </w:rPr>
        <w:t>51%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日发布了《关于与诺耶科华</w:t>
      </w:r>
      <w:r>
        <w:rPr>
          <w:spacing w:val="-59"/>
        </w:rPr>
        <w:t> </w:t>
      </w:r>
      <w:r>
        <w:rPr>
          <w:spacing w:val="-59"/>
        </w:rPr>
      </w:r>
      <w:r>
        <w:rPr/>
        <w:t>联合投资光伏发电项目暨设立子公司的公告》。</w:t>
      </w:r>
    </w:p>
    <w:p>
      <w:pPr>
        <w:pStyle w:val="BodyText"/>
        <w:spacing w:line="300" w:lineRule="auto" w:before="70"/>
        <w:ind w:left="153" w:right="113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日召开第三届董事会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6</w:t>
      </w:r>
      <w:r>
        <w:rPr/>
        <w:t>次临时会议审议通过了《关于向控股子公司茂硕诺华增资及股权调整的议 </w:t>
      </w:r>
      <w:r>
        <w:rPr>
          <w:spacing w:val="-2"/>
        </w:rPr>
        <w:t>案》，海宁茂硕预计增加第二期注册资金</w:t>
      </w:r>
      <w:r>
        <w:rPr>
          <w:rFonts w:ascii="Times New Roman" w:hAnsi="Times New Roman" w:cs="Times New Roman" w:eastAsia="Times New Roman" w:hint="default"/>
          <w:spacing w:val="-2"/>
        </w:rPr>
        <w:t>2000</w:t>
      </w:r>
      <w:r>
        <w:rPr>
          <w:spacing w:val="-2"/>
        </w:rPr>
        <w:t>万元，诺耶科华放弃本次增资，剩余</w:t>
      </w:r>
      <w:r>
        <w:rPr>
          <w:rFonts w:ascii="Times New Roman" w:hAnsi="Times New Roman" w:cs="Times New Roman" w:eastAsia="Times New Roman" w:hint="default"/>
          <w:spacing w:val="-2"/>
        </w:rPr>
        <w:t>2000</w:t>
      </w:r>
      <w:r>
        <w:rPr>
          <w:spacing w:val="-2"/>
        </w:rPr>
        <w:t>万元资金由茂硕电源出资。两期资金</w:t>
      </w:r>
      <w:r>
        <w:rPr>
          <w:spacing w:val="-58"/>
        </w:rPr>
        <w:t> </w:t>
      </w:r>
      <w:r>
        <w:rPr>
          <w:spacing w:val="-58"/>
        </w:rPr>
      </w:r>
      <w:r>
        <w:rPr>
          <w:spacing w:val="-1"/>
        </w:rPr>
        <w:t>全部到位后，茂硕诺华股权比例调整为：茂硕电源占</w:t>
      </w:r>
      <w:r>
        <w:rPr>
          <w:rFonts w:ascii="Times New Roman" w:hAnsi="Times New Roman" w:cs="Times New Roman" w:eastAsia="Times New Roman" w:hint="default"/>
          <w:spacing w:val="-1"/>
        </w:rPr>
        <w:t>70.60%</w:t>
      </w:r>
      <w:r>
        <w:rPr>
          <w:spacing w:val="-1"/>
        </w:rPr>
        <w:t>，诺耶科华占</w:t>
      </w:r>
      <w:r>
        <w:rPr>
          <w:rFonts w:ascii="Times New Roman" w:hAnsi="Times New Roman" w:cs="Times New Roman" w:eastAsia="Times New Roman" w:hint="default"/>
          <w:spacing w:val="-1"/>
        </w:rPr>
        <w:t>29.40%</w:t>
      </w: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日发布了《</w:t>
      </w:r>
      <w:hyperlink r:id="rId18">
        <w:r>
          <w:rPr>
            <w:spacing w:val="-1"/>
            <w:u w:val="single" w:color="000000"/>
          </w:rPr>
          <w:t>关于向控</w:t>
        </w:r>
        <w:r>
          <w:rPr>
            <w:spacing w:val="-53"/>
            <w:u w:val="single" w:color="000000"/>
          </w:rPr>
          <w:t> </w:t>
        </w:r>
        <w:r>
          <w:rPr>
            <w:spacing w:val="-53"/>
          </w:rPr>
        </w:r>
      </w:hyperlink>
      <w:r>
        <w:rPr>
          <w:spacing w:val="-53"/>
        </w:rPr>
      </w:r>
      <w:hyperlink r:id="rId18">
        <w:r>
          <w:rPr>
            <w:spacing w:val="-53"/>
          </w:rPr>
        </w:r>
        <w:r>
          <w:rPr>
            <w:u w:val="single" w:color="000000"/>
          </w:rPr>
          <w:t>股子公司茂硕诺华增资及股权调整的公告</w:t>
        </w:r>
        <w:r>
          <w:rPr/>
        </w:r>
      </w:hyperlink>
      <w:r>
        <w:rPr/>
        <w:t>》。</w:t>
      </w:r>
    </w:p>
    <w:p>
      <w:pPr>
        <w:pStyle w:val="BodyText"/>
        <w:spacing w:line="300" w:lineRule="auto" w:before="70"/>
        <w:ind w:right="1130"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5</w:t>
      </w:r>
      <w:r>
        <w:rPr/>
        <w:t>次临时会议审议通过《关于使用部分超募资金对外投资的议案》，同 </w:t>
      </w:r>
      <w:r>
        <w:rPr>
          <w:spacing w:val="-2"/>
        </w:rPr>
        <w:t>意公司与河南省鑫阳能源科技有限公司合作投资设立河南茂鑫能源科技有限公司，公司投资合计</w:t>
      </w:r>
      <w:r>
        <w:rPr>
          <w:rFonts w:ascii="Times New Roman" w:hAnsi="Times New Roman" w:cs="Times New Roman" w:eastAsia="Times New Roman" w:hint="default"/>
          <w:spacing w:val="-2"/>
        </w:rPr>
        <w:t>5100</w:t>
      </w:r>
      <w:r>
        <w:rPr>
          <w:spacing w:val="-2"/>
        </w:rPr>
        <w:t>万元，其中第一期投资</w:t>
      </w:r>
      <w:r>
        <w:rPr>
          <w:spacing w:val="-59"/>
        </w:rPr>
        <w:t> </w:t>
      </w:r>
      <w:r>
        <w:rPr>
          <w:spacing w:val="-59"/>
        </w:rPr>
      </w:r>
      <w:r>
        <w:rPr>
          <w:rFonts w:ascii="Times New Roman" w:hAnsi="Times New Roman" w:cs="Times New Roman" w:eastAsia="Times New Roman" w:hint="default"/>
        </w:rPr>
        <w:t>1530</w:t>
      </w:r>
      <w:r>
        <w:rPr/>
        <w:t>万元，占项目公司注册资本的</w:t>
      </w:r>
      <w:r>
        <w:rPr>
          <w:rFonts w:ascii="Times New Roman" w:hAnsi="Times New Roman" w:cs="Times New Roman" w:eastAsia="Times New Roman" w:hint="default"/>
        </w:rPr>
        <w:t>51%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日发布了《</w:t>
      </w:r>
      <w:hyperlink r:id="rId26">
        <w:r>
          <w:rPr>
            <w:u w:val="single" w:color="000000"/>
          </w:rPr>
          <w:t>关于使用部分超募资金对外投资的公告</w:t>
        </w:r>
        <w:r>
          <w:rPr/>
        </w:r>
      </w:hyperlink>
      <w:r>
        <w:rPr/>
        <w:t>》。</w:t>
      </w:r>
    </w:p>
    <w:p>
      <w:pPr>
        <w:pStyle w:val="BodyText"/>
        <w:spacing w:line="300" w:lineRule="auto" w:before="52"/>
        <w:ind w:left="153" w:right="112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日召开的第三届董事会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12</w:t>
      </w:r>
      <w:r>
        <w:rPr>
          <w:spacing w:val="-2"/>
        </w:rPr>
        <w:t>次临时会议审议通过《关于河南茂鑫股权转让的议案》。经双方友好协</w:t>
      </w:r>
      <w:r>
        <w:rPr/>
        <w:t> </w:t>
      </w:r>
      <w:r>
        <w:rPr>
          <w:spacing w:val="-1"/>
        </w:rPr>
        <w:t>商，决定将茂硕电源所持河南茂鑫的</w:t>
      </w:r>
      <w:r>
        <w:rPr>
          <w:rFonts w:ascii="Times New Roman" w:hAnsi="Times New Roman" w:cs="Times New Roman" w:eastAsia="Times New Roman" w:hint="default"/>
          <w:spacing w:val="-1"/>
        </w:rPr>
        <w:t>51%</w:t>
      </w:r>
      <w:r>
        <w:rPr>
          <w:spacing w:val="-1"/>
        </w:rPr>
        <w:t>股权（实缴出资额为</w:t>
      </w:r>
      <w:r>
        <w:rPr>
          <w:rFonts w:ascii="Times New Roman" w:hAnsi="Times New Roman" w:cs="Times New Roman" w:eastAsia="Times New Roman" w:hint="default"/>
          <w:spacing w:val="-1"/>
        </w:rPr>
        <w:t>0</w:t>
      </w:r>
      <w:r>
        <w:rPr>
          <w:spacing w:val="-1"/>
        </w:rPr>
        <w:t>元）以</w:t>
      </w:r>
      <w:r>
        <w:rPr>
          <w:rFonts w:ascii="Times New Roman" w:hAnsi="Times New Roman" w:cs="Times New Roman" w:eastAsia="Times New Roman" w:hint="default"/>
          <w:spacing w:val="-1"/>
        </w:rPr>
        <w:t>1</w:t>
      </w:r>
      <w:r>
        <w:rPr>
          <w:spacing w:val="-1"/>
        </w:rPr>
        <w:t>元转让给河南鑫阳，同时茂硕电源收回前期对河南茂</w:t>
      </w:r>
      <w:r>
        <w:rPr/>
        <w:t> 鑫的所有投资款</w:t>
      </w:r>
      <w:r>
        <w:rPr>
          <w:rFonts w:ascii="Times New Roman" w:hAnsi="Times New Roman" w:cs="Times New Roman" w:eastAsia="Times New Roman" w:hint="default"/>
        </w:rPr>
        <w:t>1530</w:t>
      </w:r>
      <w:r>
        <w:rPr/>
        <w:t>万元。截至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日，公司已收回所有投资款</w:t>
      </w:r>
      <w:r>
        <w:rPr>
          <w:rFonts w:ascii="Times New Roman" w:hAnsi="Times New Roman" w:cs="Times New Roman" w:eastAsia="Times New Roman" w:hint="default"/>
        </w:rPr>
        <w:t>1530.68</w:t>
      </w:r>
      <w:r>
        <w:rPr/>
        <w:t>万元（本金</w:t>
      </w:r>
      <w:r>
        <w:rPr>
          <w:rFonts w:ascii="Times New Roman" w:hAnsi="Times New Roman" w:cs="Times New Roman" w:eastAsia="Times New Roman" w:hint="default"/>
        </w:rPr>
        <w:t>1530</w:t>
      </w:r>
      <w:r>
        <w:rPr/>
        <w:t>万元及活期利息）。公司</w:t>
      </w:r>
      <w:r>
        <w:rPr>
          <w:spacing w:val="-47"/>
        </w:rPr>
        <w:t> </w:t>
      </w:r>
      <w:r>
        <w:rPr>
          <w:spacing w:val="-47"/>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日发布了《关于河南茂鑫股权转让的公告》。</w:t>
      </w:r>
    </w:p>
    <w:p>
      <w:pPr>
        <w:pStyle w:val="BodyText"/>
        <w:spacing w:line="300" w:lineRule="auto" w:before="51"/>
        <w:ind w:left="153" w:right="1128" w:firstLine="360"/>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2</w:t>
      </w:r>
      <w:r>
        <w:rPr>
          <w:spacing w:val="-2"/>
        </w:rPr>
        <w:t>次定期会议审议通过了《关于茂硕电气股权调整的议案》。深圳茂硕电</w:t>
      </w:r>
      <w:r>
        <w:rPr/>
        <w:t> </w:t>
      </w:r>
      <w:r>
        <w:rPr>
          <w:spacing w:val="-2"/>
        </w:rPr>
        <w:t>气有限公司是公司的控股孙公司，成立日期为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日，注册资本人民币</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500</w:t>
      </w:r>
      <w:r>
        <w:rPr>
          <w:spacing w:val="-2"/>
        </w:rPr>
        <w:t>万元，茂硕新能源出</w:t>
      </w:r>
      <w:r>
        <w:rPr>
          <w:spacing w:val="-53"/>
        </w:rPr>
        <w:t> </w:t>
      </w:r>
      <w:r>
        <w:rPr>
          <w:spacing w:val="-53"/>
        </w:rPr>
      </w:r>
      <w:r>
        <w:rPr>
          <w:spacing w:val="-2"/>
        </w:rPr>
        <w:t>资</w:t>
      </w:r>
      <w:r>
        <w:rPr>
          <w:rFonts w:ascii="Times New Roman" w:hAnsi="Times New Roman" w:cs="Times New Roman" w:eastAsia="Times New Roman" w:hint="default"/>
          <w:spacing w:val="-2"/>
        </w:rPr>
        <w:t>400</w:t>
      </w:r>
      <w:r>
        <w:rPr>
          <w:spacing w:val="-2"/>
        </w:rPr>
        <w:t>万元，持有茂硕电气</w:t>
      </w:r>
      <w:r>
        <w:rPr>
          <w:rFonts w:ascii="Times New Roman" w:hAnsi="Times New Roman" w:cs="Times New Roman" w:eastAsia="Times New Roman" w:hint="default"/>
          <w:spacing w:val="-2"/>
        </w:rPr>
        <w:t>80%</w:t>
      </w:r>
      <w:r>
        <w:rPr>
          <w:spacing w:val="-2"/>
        </w:rPr>
        <w:t>的股权比例，未出资部分为</w:t>
      </w:r>
      <w:r>
        <w:rPr>
          <w:rFonts w:ascii="Times New Roman" w:hAnsi="Times New Roman" w:cs="Times New Roman" w:eastAsia="Times New Roman" w:hint="default"/>
          <w:spacing w:val="-2"/>
        </w:rPr>
        <w:t>400</w:t>
      </w:r>
      <w:r>
        <w:rPr>
          <w:spacing w:val="-2"/>
        </w:rPr>
        <w:t>万元；深圳合生力技术有限公司（以下简称</w:t>
      </w:r>
      <w:r>
        <w:rPr>
          <w:rFonts w:ascii="Times New Roman" w:hAnsi="Times New Roman" w:cs="Times New Roman" w:eastAsia="Times New Roman" w:hint="default"/>
          <w:spacing w:val="-2"/>
        </w:rPr>
        <w:t>“</w:t>
      </w:r>
      <w:r>
        <w:rPr>
          <w:spacing w:val="-2"/>
        </w:rPr>
        <w:t>合生力</w:t>
      </w:r>
      <w:r>
        <w:rPr>
          <w:rFonts w:ascii="Times New Roman" w:hAnsi="Times New Roman" w:cs="Times New Roman" w:eastAsia="Times New Roman" w:hint="default"/>
          <w:spacing w:val="-2"/>
        </w:rPr>
        <w:t>”</w:t>
      </w:r>
      <w:r>
        <w:rPr>
          <w:spacing w:val="-2"/>
        </w:rPr>
        <w:t>）出资</w:t>
      </w:r>
      <w:r>
        <w:rPr>
          <w:rFonts w:ascii="Times New Roman" w:hAnsi="Times New Roman" w:cs="Times New Roman" w:eastAsia="Times New Roman" w:hint="default"/>
          <w:spacing w:val="-2"/>
        </w:rPr>
        <w:t>100</w:t>
      </w:r>
      <w:r>
        <w:rPr>
          <w:rFonts w:ascii="Times New Roman" w:hAnsi="Times New Roman" w:cs="Times New Roman" w:eastAsia="Times New Roman" w:hint="default"/>
        </w:rPr>
        <w:t> </w:t>
      </w:r>
      <w:r>
        <w:rPr/>
        <w:t>万元，持有茂硕电气</w:t>
      </w:r>
      <w:r>
        <w:rPr>
          <w:rFonts w:ascii="Times New Roman" w:hAnsi="Times New Roman" w:cs="Times New Roman" w:eastAsia="Times New Roman" w:hint="default"/>
        </w:rPr>
        <w:t>20%</w:t>
      </w:r>
      <w:r>
        <w:rPr/>
        <w:t>的股权比例，未出资部分为</w:t>
      </w:r>
      <w:r>
        <w:rPr>
          <w:rFonts w:ascii="Times New Roman" w:hAnsi="Times New Roman" w:cs="Times New Roman" w:eastAsia="Times New Roman" w:hint="default"/>
        </w:rPr>
        <w:t>100</w:t>
      </w:r>
      <w:r>
        <w:rPr/>
        <w:t>万元。经过多方友好协商，茂硕新能源将未实际出资</w:t>
      </w:r>
      <w:r>
        <w:rPr>
          <w:rFonts w:ascii="Times New Roman" w:hAnsi="Times New Roman" w:cs="Times New Roman" w:eastAsia="Times New Roman" w:hint="default"/>
        </w:rPr>
        <w:t>400</w:t>
      </w:r>
      <w:r>
        <w:rPr/>
        <w:t>万元中</w:t>
      </w:r>
      <w:r>
        <w:rPr>
          <w:rFonts w:ascii="Times New Roman" w:hAnsi="Times New Roman" w:cs="Times New Roman" w:eastAsia="Times New Roman" w:hint="default"/>
        </w:rPr>
        <w:t>300</w:t>
      </w:r>
      <w:r>
        <w:rPr>
          <w:rFonts w:ascii="Times New Roman" w:hAnsi="Times New Roman" w:cs="Times New Roman" w:eastAsia="Times New Roman" w:hint="default"/>
          <w:spacing w:val="-9"/>
        </w:rPr>
        <w:t> </w:t>
      </w:r>
      <w:r>
        <w:rPr/>
        <w:t>万元对应</w:t>
      </w:r>
      <w:r>
        <w:rPr>
          <w:rFonts w:ascii="Times New Roman" w:hAnsi="Times New Roman" w:cs="Times New Roman" w:eastAsia="Times New Roman" w:hint="default"/>
        </w:rPr>
        <w:t>30%</w:t>
      </w:r>
      <w:r>
        <w:rPr/>
        <w:t>股权转让给茂硕电源、</w:t>
      </w:r>
      <w:r>
        <w:rPr>
          <w:rFonts w:ascii="Times New Roman" w:hAnsi="Times New Roman" w:cs="Times New Roman" w:eastAsia="Times New Roman" w:hint="default"/>
        </w:rPr>
        <w:t>100</w:t>
      </w:r>
      <w:r>
        <w:rPr/>
        <w:t>万元对应</w:t>
      </w:r>
      <w:r>
        <w:rPr>
          <w:rFonts w:ascii="Times New Roman" w:hAnsi="Times New Roman" w:cs="Times New Roman" w:eastAsia="Times New Roman" w:hint="default"/>
        </w:rPr>
        <w:t>10%</w:t>
      </w:r>
      <w:r>
        <w:rPr/>
        <w:t>股权转让给茂硕投资，合生力认缴剩余</w:t>
      </w:r>
      <w:r>
        <w:rPr>
          <w:rFonts w:ascii="Times New Roman" w:hAnsi="Times New Roman" w:cs="Times New Roman" w:eastAsia="Times New Roman" w:hint="default"/>
        </w:rPr>
        <w:t>10%</w:t>
      </w:r>
      <w:r>
        <w:rPr/>
        <w:t>（对应出资额</w:t>
      </w:r>
      <w:r>
        <w:rPr>
          <w:rFonts w:ascii="Times New Roman" w:hAnsi="Times New Roman" w:cs="Times New Roman" w:eastAsia="Times New Roman" w:hint="default"/>
        </w:rPr>
        <w:t>100</w:t>
      </w:r>
      <w:r>
        <w:rPr/>
        <w:t>万元）股</w:t>
      </w:r>
      <w:r>
        <w:rPr>
          <w:spacing w:val="-85"/>
        </w:rPr>
        <w:t> </w:t>
      </w:r>
      <w:r>
        <w:rPr>
          <w:spacing w:val="-85"/>
        </w:rPr>
      </w:r>
      <w:r>
        <w:rPr>
          <w:spacing w:val="-3"/>
        </w:rPr>
        <w:t>权，并放弃优先认购茂硕新能源股权转让权。资金到位后，茂硕电气股权比例调整为：茂硕新能源出资</w:t>
      </w:r>
      <w:r>
        <w:rPr>
          <w:rFonts w:ascii="Times New Roman" w:hAnsi="Times New Roman" w:cs="Times New Roman" w:eastAsia="Times New Roman" w:hint="default"/>
          <w:spacing w:val="-3"/>
        </w:rPr>
        <w:t>400</w:t>
      </w:r>
      <w:r>
        <w:rPr>
          <w:spacing w:val="-3"/>
        </w:rPr>
        <w:t>万元，持有其</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1"/>
        </w:rPr>
        <w:t>的股权比例；合生力出资</w:t>
      </w:r>
      <w:r>
        <w:rPr>
          <w:rFonts w:ascii="Times New Roman" w:hAnsi="Times New Roman" w:cs="Times New Roman" w:eastAsia="Times New Roman" w:hint="default"/>
          <w:spacing w:val="-1"/>
        </w:rPr>
        <w:t>200</w:t>
      </w:r>
      <w:r>
        <w:rPr>
          <w:spacing w:val="-1"/>
        </w:rPr>
        <w:t>万元，持有其</w:t>
      </w:r>
      <w:r>
        <w:rPr>
          <w:rFonts w:ascii="Times New Roman" w:hAnsi="Times New Roman" w:cs="Times New Roman" w:eastAsia="Times New Roman" w:hint="default"/>
          <w:spacing w:val="-1"/>
        </w:rPr>
        <w:t>20%</w:t>
      </w:r>
      <w:r>
        <w:rPr>
          <w:spacing w:val="-1"/>
        </w:rPr>
        <w:t>的股权比例；茂硕电源出资</w:t>
      </w:r>
      <w:r>
        <w:rPr>
          <w:rFonts w:ascii="Times New Roman" w:hAnsi="Times New Roman" w:cs="Times New Roman" w:eastAsia="Times New Roman" w:hint="default"/>
          <w:spacing w:val="-1"/>
        </w:rPr>
        <w:t>300</w:t>
      </w:r>
      <w:r>
        <w:rPr>
          <w:spacing w:val="-1"/>
        </w:rPr>
        <w:t>万元，持有其</w:t>
      </w:r>
      <w:r>
        <w:rPr>
          <w:rFonts w:ascii="Times New Roman" w:hAnsi="Times New Roman" w:cs="Times New Roman" w:eastAsia="Times New Roman" w:hint="default"/>
          <w:spacing w:val="-1"/>
        </w:rPr>
        <w:t>30%</w:t>
      </w:r>
      <w:r>
        <w:rPr>
          <w:spacing w:val="-1"/>
        </w:rPr>
        <w:t>的股权比例；茂硕投资出资</w:t>
      </w:r>
      <w:r>
        <w:rPr>
          <w:spacing w:val="-55"/>
        </w:rPr>
        <w:t> </w:t>
      </w:r>
      <w:r>
        <w:rPr>
          <w:spacing w:val="-55"/>
        </w:rPr>
      </w:r>
      <w:r>
        <w:rPr>
          <w:rFonts w:ascii="Times New Roman" w:hAnsi="Times New Roman" w:cs="Times New Roman" w:eastAsia="Times New Roman" w:hint="default"/>
        </w:rPr>
        <w:t>100</w:t>
      </w:r>
      <w:r>
        <w:rPr/>
        <w:t>万元，持有其</w:t>
      </w:r>
      <w:r>
        <w:rPr>
          <w:rFonts w:ascii="Times New Roman" w:hAnsi="Times New Roman" w:cs="Times New Roman" w:eastAsia="Times New Roman" w:hint="default"/>
        </w:rPr>
        <w:t>10%</w:t>
      </w:r>
      <w:r>
        <w:rPr/>
        <w:t>的股权比例。公司于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日发布了《</w:t>
      </w:r>
      <w:hyperlink r:id="rId27">
        <w:r>
          <w:rPr>
            <w:u w:val="single" w:color="000000"/>
          </w:rPr>
          <w:t>关于茂硕电气股权调整的公告</w:t>
        </w:r>
        <w:r>
          <w:rPr/>
        </w:r>
      </w:hyperlink>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444" w:right="0"/>
        <w:jc w:val="left"/>
      </w:pPr>
      <w:r>
        <w:rPr/>
        <w:t>前述公告内容详见公司在指定披露媒体《证券时报》、《中国证券报》、《上海证券报》、《证券日报》及巨潮资讯网</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w:t>
      </w:r>
      <w:hyperlink r:id="rId12">
        <w:r>
          <w:rPr>
            <w:rFonts w:ascii="Times New Roman" w:hAnsi="Times New Roman" w:cs="Times New Roman" w:eastAsia="Times New Roman" w:hint="default"/>
          </w:rPr>
          <w:t>www.cninfo.com.cn</w:t>
        </w:r>
      </w:hyperlink>
      <w:r>
        <w:rPr/>
        <w:t>）发布的相关公告。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公司发行公司债券的情况" w:id="94"/>
      <w:bookmarkEnd w:id="94"/>
      <w:r>
        <w:rPr>
          <w:b w:val="0"/>
          <w:bCs w:val="0"/>
        </w:rPr>
      </w:r>
      <w:r>
        <w:rPr/>
        <w:t>十六、公司发行公司债券的情况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5"/>
      <w:bookmarkEnd w:id="95"/>
      <w:r>
        <w:rPr>
          <w:b w:val="0"/>
          <w:bCs w:val="0"/>
        </w:rPr>
      </w:r>
      <w:bookmarkStart w:name="_bookmark5" w:id="96"/>
      <w:bookmarkEnd w:id="9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7"/>
      <w:bookmarkEnd w:id="97"/>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81,245,45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41.84%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-6,865,792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38.55%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81,245,45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41.84%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22,914,58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-6,865,792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38.55%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24.10%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24.10%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34,445,45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17.74%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8,874,585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-6,865,792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2,008,793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36,454,24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14.44%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58.16%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6,865,792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42,199,20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61.45%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58.16%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6,865,792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42,199,20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61.45%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194,160,0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252,408,0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left="153" w:right="0"/>
        <w:jc w:val="left"/>
      </w:pPr>
      <w:r>
        <w:rPr/>
        <w:t>√ 适用 □ 不适用</w:t>
      </w:r>
    </w:p>
    <w:p>
      <w:pPr>
        <w:pStyle w:val="BodyText"/>
        <w:spacing w:line="240" w:lineRule="auto" w:before="115"/>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月，公司实施</w:t>
      </w:r>
      <w:r>
        <w:rPr>
          <w:rFonts w:ascii="Times New Roman" w:hAnsi="Times New Roman" w:cs="Times New Roman" w:eastAsia="Times New Roman" w:hint="default"/>
        </w:rPr>
        <w:t>2013</w:t>
      </w:r>
      <w:r>
        <w:rPr/>
        <w:t>年度利润分配：以公司总股本</w:t>
      </w:r>
      <w:r>
        <w:rPr>
          <w:rFonts w:ascii="Times New Roman" w:hAnsi="Times New Roman" w:cs="Times New Roman" w:eastAsia="Times New Roman" w:hint="default"/>
        </w:rPr>
        <w:t>194,160,000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w:t>
      </w:r>
    </w:p>
    <w:p>
      <w:pPr>
        <w:pStyle w:val="BodyText"/>
        <w:spacing w:line="240" w:lineRule="auto" w:before="63"/>
        <w:ind w:left="153" w:right="0"/>
        <w:jc w:val="left"/>
      </w:pPr>
      <w:r>
        <w:rPr/>
        <w:t>元人民币（含税）；同时进行资本公积金转增股本，向全体股东每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股，转增后公司总股本增加至</w:t>
      </w:r>
      <w:r>
        <w:rPr>
          <w:rFonts w:ascii="Times New Roman" w:hAnsi="Times New Roman" w:cs="Times New Roman" w:eastAsia="Times New Roman" w:hint="default"/>
        </w:rPr>
        <w:t>252,408,000</w:t>
      </w:r>
      <w:r>
        <w:rPr/>
        <w:t>股。</w:t>
      </w:r>
    </w:p>
    <w:p>
      <w:pPr>
        <w:pStyle w:val="BodyText"/>
        <w:spacing w:line="240" w:lineRule="auto" w:before="63"/>
        <w:ind w:left="444" w:right="0"/>
        <w:jc w:val="left"/>
      </w:pPr>
      <w:r>
        <w:rPr>
          <w:rFonts w:ascii="Times New Roman" w:hAnsi="Times New Roman" w:cs="Times New Roman" w:eastAsia="Times New Roman" w:hint="default"/>
        </w:rPr>
        <w:t>2</w:t>
      </w:r>
      <w:r>
        <w:rPr/>
        <w:t>、公司部分离任董监高离任期满</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/18</w:t>
      </w:r>
      <w:r>
        <w:rPr/>
        <w:t>个月，部分股份相应解除限售。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股份变动的批准情况</w:t>
      </w:r>
    </w:p>
    <w:p>
      <w:pPr>
        <w:pStyle w:val="BodyText"/>
        <w:spacing w:line="240" w:lineRule="auto" w:before="116"/>
        <w:ind w:left="153" w:right="0"/>
        <w:jc w:val="left"/>
      </w:pPr>
      <w:r>
        <w:rPr/>
        <w:t>√ 适用 □ 不适用</w:t>
      </w:r>
    </w:p>
    <w:p>
      <w:pPr>
        <w:pStyle w:val="BodyText"/>
        <w:spacing w:line="240" w:lineRule="auto" w:before="116"/>
        <w:ind w:left="44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2013</w:t>
      </w:r>
      <w:r>
        <w:rPr/>
        <w:t>年年度股东大会审议通过《关于公司</w:t>
      </w:r>
      <w:r>
        <w:rPr>
          <w:rFonts w:ascii="Times New Roman" w:hAnsi="Times New Roman" w:cs="Times New Roman" w:eastAsia="Times New Roman" w:hint="default"/>
        </w:rPr>
        <w:t>2013</w:t>
      </w:r>
      <w:r>
        <w:rPr/>
        <w:t>年度利润分配的议案》。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3" w:right="0"/>
        <w:jc w:val="left"/>
      </w:pPr>
      <w:r>
        <w:rPr/>
        <w:t>股份变动的过户情况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left="153" w:right="13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月，公司完成</w:t>
      </w:r>
      <w:r>
        <w:rPr>
          <w:rFonts w:ascii="Times New Roman" w:hAnsi="Times New Roman" w:cs="Times New Roman" w:eastAsia="Times New Roman" w:hint="default"/>
        </w:rPr>
        <w:t>2013</w:t>
      </w:r>
      <w:r>
        <w:rPr/>
        <w:t>年度利润分配事宜。 股份变动对最近一年和最近一期基本每股收益和稀释每股收益、归属于公司普通股股东的每股净资产等财务指标的影响</w:t>
      </w:r>
    </w:p>
    <w:p>
      <w:pPr>
        <w:pStyle w:val="BodyText"/>
        <w:spacing w:line="240" w:lineRule="auto" w:before="4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3425"/>
        <w:gridCol w:w="1080"/>
        <w:gridCol w:w="1080"/>
        <w:gridCol w:w="1080"/>
        <w:gridCol w:w="1080"/>
        <w:gridCol w:w="1080"/>
        <w:gridCol w:w="1080"/>
      </w:tblGrid>
      <w:tr>
        <w:trPr>
          <w:trHeight w:val="322"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2" w:hRule="exact"/>
        </w:trPr>
        <w:tc>
          <w:tcPr>
            <w:tcW w:w="3425" w:type="dxa"/>
            <w:vMerge/>
            <w:tcBorders>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5" w:right="173" w:hanging="181"/>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考虑资本公积转增后</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考虑资本公积转增前</w:t>
            </w:r>
          </w:p>
        </w:tc>
      </w:tr>
      <w:tr>
        <w:trPr>
          <w:trHeight w:val="635" w:hRule="exact"/>
        </w:trPr>
        <w:tc>
          <w:tcPr>
            <w:tcW w:w="342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55" w:right="173"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55" w:right="173" w:hanging="181"/>
              <w:jc w:val="left"/>
              <w:rPr>
                <w:rFonts w:ascii="宋体" w:hAnsi="宋体" w:cs="宋体" w:eastAsia="宋体" w:hint="default"/>
                <w:sz w:val="18"/>
                <w:szCs w:val="18"/>
              </w:rPr>
            </w:pPr>
            <w:r>
              <w:rPr>
                <w:rFonts w:ascii="宋体" w:hAnsi="宋体" w:cs="宋体" w:eastAsia="宋体" w:hint="default"/>
                <w:sz w:val="18"/>
                <w:szCs w:val="18"/>
              </w:rPr>
              <w:t>稀释每股 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55" w:right="173"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55" w:right="173"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0.13</w:t>
            </w:r>
          </w:p>
        </w:tc>
      </w:tr>
      <w:tr>
        <w:trPr>
          <w:trHeight w:val="635"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636" w:type="dxa"/>
        <w:tblLayout w:type="fixed"/>
        <w:tblCellMar>
          <w:top w:w="0" w:type="dxa"/>
          <w:left w:w="0" w:type="dxa"/>
          <w:bottom w:w="0" w:type="dxa"/>
          <w:right w:w="0" w:type="dxa"/>
        </w:tblCellMar>
        <w:tblLook w:val="01E0"/>
      </w:tblPr>
      <w:tblGrid>
        <w:gridCol w:w="3845"/>
        <w:gridCol w:w="2263"/>
        <w:gridCol w:w="2555"/>
      </w:tblGrid>
      <w:tr>
        <w:trPr>
          <w:trHeight w:val="634"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46" w:right="134" w:hanging="81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12" w:right="191" w:hanging="721"/>
              <w:jc w:val="left"/>
              <w:rPr>
                <w:rFonts w:ascii="宋体" w:hAnsi="宋体" w:cs="宋体" w:eastAsia="宋体" w:hint="default"/>
                <w:sz w:val="18"/>
                <w:szCs w:val="18"/>
              </w:rPr>
            </w:pPr>
            <w:r>
              <w:rPr>
                <w:rFonts w:ascii="宋体" w:hAnsi="宋体" w:cs="宋体" w:eastAsia="宋体" w:hint="default"/>
                <w:sz w:val="18"/>
                <w:szCs w:val="18"/>
              </w:rPr>
              <w:t>归属于公司普通股股东的每 股净资产</w:t>
            </w: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653,399,019.47</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50"/>
              <w:jc w:val="right"/>
              <w:rPr>
                <w:rFonts w:ascii="宋体" w:hAnsi="宋体" w:cs="宋体" w:eastAsia="宋体" w:hint="default"/>
                <w:sz w:val="18"/>
                <w:szCs w:val="18"/>
              </w:rPr>
            </w:pPr>
            <w:r>
              <w:rPr>
                <w:rFonts w:ascii="宋体"/>
                <w:sz w:val="18"/>
              </w:rPr>
              <w:t>2.59</w:t>
            </w:r>
          </w:p>
        </w:tc>
      </w:tr>
      <w:tr>
        <w:trPr>
          <w:trHeight w:val="323"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年（考虑资本公积转增后）</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685,683,314.88</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50"/>
              <w:jc w:val="right"/>
              <w:rPr>
                <w:rFonts w:ascii="宋体" w:hAnsi="宋体" w:cs="宋体" w:eastAsia="宋体" w:hint="default"/>
                <w:sz w:val="18"/>
                <w:szCs w:val="18"/>
              </w:rPr>
            </w:pPr>
            <w:r>
              <w:rPr>
                <w:rFonts w:ascii="宋体"/>
                <w:sz w:val="18"/>
              </w:rPr>
              <w:t>2.72</w:t>
            </w: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年（考虑资本公积转增前）</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685,683,314.88</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0"/>
              <w:jc w:val="right"/>
              <w:rPr>
                <w:rFonts w:ascii="宋体" w:hAnsi="宋体" w:cs="宋体" w:eastAsia="宋体" w:hint="default"/>
                <w:sz w:val="18"/>
                <w:szCs w:val="18"/>
              </w:rPr>
            </w:pPr>
            <w:r>
              <w:rPr>
                <w:rFonts w:ascii="宋体"/>
                <w:sz w:val="18"/>
              </w:rPr>
              <w:t>3.53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153" w:right="0"/>
        <w:jc w:val="left"/>
      </w:pPr>
      <w:r>
        <w:rPr/>
        <w:t>公司认为必要或证券监管机构要求披露的其他内容</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末近三年历次证券发行情况" w:id="99"/>
      <w:bookmarkEnd w:id="9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4,850,000</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1,708,800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1,708,800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right="0"/>
        <w:jc w:val="left"/>
      </w:pPr>
      <w:r>
        <w:rPr/>
        <w:t>前三年历次证券发行情况的说明</w:t>
      </w:r>
    </w:p>
    <w:p>
      <w:pPr>
        <w:pStyle w:val="BodyText"/>
        <w:spacing w:line="300" w:lineRule="auto" w:before="116"/>
        <w:ind w:right="1047" w:firstLine="43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2009</w:t>
      </w:r>
      <w:r>
        <w:rPr/>
        <w:t>年年度股东大会决议，公司注册资本增加至人民币</w:t>
      </w:r>
      <w:r>
        <w:rPr>
          <w:rFonts w:ascii="Times New Roman" w:hAnsi="Times New Roman" w:cs="Times New Roman" w:eastAsia="Times New Roman" w:hint="default"/>
        </w:rPr>
        <w:t>7,280</w:t>
      </w:r>
      <w:r>
        <w:rPr/>
        <w:t>万元，增资以资本公积金向全体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股，共增加注册资本</w:t>
      </w:r>
      <w:r>
        <w:rPr>
          <w:rFonts w:ascii="Times New Roman" w:hAnsi="Times New Roman" w:cs="Times New Roman" w:eastAsia="Times New Roman" w:hint="default"/>
        </w:rPr>
        <w:t>1,680</w:t>
      </w:r>
      <w:r>
        <w:rPr/>
        <w:t>万元。本次增资业经深圳鹏城出具的深鹏所验字</w:t>
      </w:r>
      <w:r>
        <w:rPr>
          <w:rFonts w:ascii="Times New Roman" w:hAnsi="Times New Roman" w:cs="Times New Roman" w:eastAsia="Times New Roman" w:hint="default"/>
        </w:rPr>
        <w:t>[2010]162</w:t>
      </w:r>
      <w:r>
        <w:rPr/>
        <w:t>号验资报告审验在案。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日，深圳市市场监督管理局核准了增资变更登记。</w:t>
      </w:r>
    </w:p>
    <w:p>
      <w:pPr>
        <w:pStyle w:val="BodyText"/>
        <w:spacing w:line="300" w:lineRule="auto" w:before="13"/>
        <w:ind w:left="153" w:right="1131" w:firstLine="434"/>
        <w:jc w:val="both"/>
      </w:pPr>
      <w:r>
        <w:rPr>
          <w:rFonts w:ascii="Times New Roman" w:hAnsi="Times New Roman" w:cs="Times New Roman" w:eastAsia="Times New Roman" w:hint="default"/>
          <w:spacing w:val="-2"/>
        </w:rPr>
        <w:t>2</w:t>
      </w:r>
      <w:r>
        <w:rPr>
          <w:spacing w:val="-2"/>
        </w:rPr>
        <w:t>、经中国证券监督管理委员会（以下简称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[2012]186</w:t>
      </w:r>
      <w:r>
        <w:rPr>
          <w:spacing w:val="-2"/>
        </w:rPr>
        <w:t>号文核准，本公司首次公开发行人民币普</w:t>
      </w:r>
      <w:r>
        <w:rPr/>
        <w:t> </w:t>
      </w:r>
      <w:r>
        <w:rPr>
          <w:spacing w:val="-3"/>
        </w:rPr>
        <w:t>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不超过</w:t>
      </w:r>
      <w:r>
        <w:rPr>
          <w:rFonts w:ascii="Times New Roman" w:hAnsi="Times New Roman" w:cs="Times New Roman" w:eastAsia="Times New Roman" w:hint="default"/>
          <w:spacing w:val="-3"/>
        </w:rPr>
        <w:t>2,428</w:t>
      </w:r>
      <w:r>
        <w:rPr>
          <w:spacing w:val="-3"/>
        </w:rPr>
        <w:t>万股。本公司本次共发行 </w:t>
      </w:r>
      <w:r>
        <w:rPr>
          <w:rFonts w:ascii="Times New Roman" w:hAnsi="Times New Roman" w:cs="Times New Roman" w:eastAsia="Times New Roman" w:hint="default"/>
          <w:spacing w:val="-3"/>
        </w:rPr>
        <w:t>2,428</w:t>
      </w:r>
      <w:r>
        <w:rPr>
          <w:spacing w:val="-3"/>
        </w:rPr>
        <w:t>万股，其中网下向询价对象配售</w:t>
      </w:r>
      <w:r>
        <w:rPr>
          <w:rFonts w:ascii="Times New Roman" w:hAnsi="Times New Roman" w:cs="Times New Roman" w:eastAsia="Times New Roman" w:hint="default"/>
          <w:spacing w:val="-3"/>
        </w:rPr>
        <w:t>485</w:t>
      </w:r>
      <w:r>
        <w:rPr>
          <w:spacing w:val="-3"/>
        </w:rPr>
        <w:t>万股，网上资金申购定价发行</w:t>
      </w:r>
      <w:r>
        <w:rPr>
          <w:rFonts w:ascii="Times New Roman" w:hAnsi="Times New Roman" w:cs="Times New Roman" w:eastAsia="Times New Roman" w:hint="default"/>
          <w:spacing w:val="-3"/>
        </w:rPr>
        <w:t>1,943</w:t>
      </w:r>
      <w:r>
        <w:rPr>
          <w:rFonts w:ascii="Times New Roman" w:hAnsi="Times New Roman" w:cs="Times New Roman" w:eastAsia="Times New Roman" w:hint="default"/>
          <w:spacing w:val="-43"/>
        </w:rPr>
        <w:t> </w:t>
      </w:r>
      <w:r>
        <w:rPr>
          <w:spacing w:val="-2"/>
        </w:rPr>
        <w:t>万股，发行价格为</w:t>
      </w:r>
      <w:r>
        <w:rPr>
          <w:rFonts w:ascii="Times New Roman" w:hAnsi="Times New Roman" w:cs="Times New Roman" w:eastAsia="Times New Roman" w:hint="default"/>
          <w:spacing w:val="-2"/>
        </w:rPr>
        <w:t>18.50</w:t>
      </w:r>
      <w:r>
        <w:rPr>
          <w:spacing w:val="-2"/>
        </w:rPr>
        <w:t>元</w:t>
      </w:r>
      <w:r>
        <w:rPr>
          <w:rFonts w:ascii="Times New Roman" w:hAnsi="Times New Roman" w:cs="Times New Roman" w:eastAsia="Times New Roman" w:hint="default"/>
          <w:spacing w:val="-2"/>
        </w:rPr>
        <w:t>/</w:t>
      </w:r>
      <w:r>
        <w:rPr>
          <w:spacing w:val="-2"/>
        </w:rPr>
        <w:t>股。</w:t>
      </w:r>
      <w:r>
        <w:rPr>
          <w:spacing w:val="-17"/>
        </w:rPr>
        <w:t> </w:t>
      </w:r>
      <w:r>
        <w:rPr>
          <w:spacing w:val="-1"/>
        </w:rPr>
        <w:t>实际募集资金净额</w:t>
      </w:r>
      <w:r>
        <w:rPr>
          <w:rFonts w:ascii="Times New Roman" w:hAnsi="Times New Roman" w:cs="Times New Roman" w:eastAsia="Times New Roman" w:hint="default"/>
          <w:spacing w:val="-1"/>
        </w:rPr>
        <w:t>414,185,500</w:t>
      </w:r>
      <w:r>
        <w:rPr>
          <w:spacing w:val="-1"/>
        </w:rPr>
        <w:t>元。上述募集资金到位情况已经由深圳市鹏城会计师事务所有</w:t>
      </w:r>
      <w:r>
        <w:rPr>
          <w:spacing w:val="-85"/>
        </w:rPr>
        <w:t> </w:t>
      </w:r>
      <w:r>
        <w:rPr>
          <w:spacing w:val="-85"/>
        </w:rPr>
      </w:r>
      <w:r>
        <w:rPr/>
        <w:t>限公司验证，并出具深鹏所验字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0051</w:t>
      </w:r>
      <w:r>
        <w:rPr>
          <w:rFonts w:ascii="Times New Roman" w:hAnsi="Times New Roman" w:cs="Times New Roman" w:eastAsia="Times New Roman" w:hint="default"/>
          <w:spacing w:val="18"/>
        </w:rPr>
        <w:t> </w:t>
      </w:r>
      <w:r>
        <w:rPr/>
        <w:t>号《验资报告》。公司注册资本变更为</w:t>
      </w:r>
      <w:r>
        <w:rPr>
          <w:rFonts w:ascii="Times New Roman" w:hAnsi="Times New Roman" w:cs="Times New Roman" w:eastAsia="Times New Roman" w:hint="default"/>
        </w:rPr>
        <w:t>9708</w:t>
      </w:r>
      <w:r>
        <w:rPr/>
        <w:t>万元，并于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日办理完 毕工商变更登记手续。</w:t>
      </w:r>
    </w:p>
    <w:p>
      <w:pPr>
        <w:pStyle w:val="BodyText"/>
        <w:spacing w:line="300" w:lineRule="auto" w:before="31"/>
        <w:ind w:right="1040" w:firstLine="434"/>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日完成了限制性股票激励计划的授予，授予数量为</w:t>
      </w:r>
      <w:r>
        <w:rPr>
          <w:rFonts w:ascii="Times New Roman" w:hAnsi="Times New Roman" w:cs="Times New Roman" w:eastAsia="Times New Roman" w:hint="default"/>
          <w:spacing w:val="-2"/>
        </w:rPr>
        <w:t>1,708,800</w:t>
      </w:r>
      <w:r>
        <w:rPr>
          <w:spacing w:val="-2"/>
        </w:rPr>
        <w:t>股，公司总股本增至</w:t>
      </w:r>
      <w:r>
        <w:rPr>
          <w:rFonts w:ascii="Times New Roman" w:hAnsi="Times New Roman" w:cs="Times New Roman" w:eastAsia="Times New Roman" w:hint="default"/>
          <w:spacing w:val="-2"/>
        </w:rPr>
        <w:t>98,788,800</w:t>
      </w:r>
      <w:r>
        <w:rPr>
          <w:spacing w:val="-2"/>
        </w:rPr>
        <w:t>股，</w:t>
      </w:r>
      <w:r>
        <w:rPr/>
        <w:t>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日止，变更后的累计注册资本人民币</w:t>
      </w:r>
      <w:r>
        <w:rPr>
          <w:rFonts w:ascii="Times New Roman" w:hAnsi="Times New Roman" w:cs="Times New Roman" w:eastAsia="Times New Roman" w:hint="default"/>
        </w:rPr>
        <w:t>98,788,800.00</w:t>
      </w:r>
      <w:r>
        <w:rPr/>
        <w:t>元，股本人民币</w:t>
      </w:r>
      <w:r>
        <w:rPr>
          <w:rFonts w:ascii="Times New Roman" w:hAnsi="Times New Roman" w:cs="Times New Roman" w:eastAsia="Times New Roman" w:hint="default"/>
        </w:rPr>
        <w:t>98,788,800.00</w:t>
      </w:r>
      <w:r>
        <w:rPr/>
        <w:t>元。</w:t>
      </w:r>
    </w:p>
    <w:p>
      <w:pPr>
        <w:pStyle w:val="BodyText"/>
        <w:spacing w:line="307" w:lineRule="auto" w:before="13"/>
        <w:ind w:left="153" w:right="1128" w:firstLine="434"/>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日，公司分别召开第二届董事会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1</w:t>
      </w:r>
      <w:r>
        <w:rPr>
          <w:spacing w:val="-2"/>
        </w:rPr>
        <w:t>次临时会议和第二届监事会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1</w:t>
      </w:r>
      <w:r>
        <w:rPr>
          <w:spacing w:val="-2"/>
        </w:rPr>
        <w:t>次临时会议，审议并通</w:t>
      </w:r>
      <w:r>
        <w:rPr/>
        <w:t> </w:t>
      </w:r>
      <w:r>
        <w:rPr>
          <w:spacing w:val="-2"/>
        </w:rPr>
        <w:t>过了《关于回购注销已不符合激励条件激励对象已获授但尚未解锁的限制性股票的议案》，原激励对象张爱花、韦利华、严</w:t>
      </w:r>
      <w:r>
        <w:rPr>
          <w:spacing w:val="-66"/>
        </w:rPr>
        <w:t> </w:t>
      </w:r>
      <w:r>
        <w:rPr>
          <w:spacing w:val="-66"/>
        </w:rPr>
      </w:r>
      <w:r>
        <w:rPr/>
        <w:t>娜因个人原因离职，已不符合激励条件，同意公司回购注销其三人持有的公司限制性股份共计</w:t>
      </w:r>
      <w:r>
        <w:rPr>
          <w:rFonts w:ascii="Times New Roman" w:hAnsi="Times New Roman" w:cs="Times New Roman" w:eastAsia="Times New Roman" w:hint="default"/>
        </w:rPr>
        <w:t>15.7</w:t>
      </w:r>
      <w:r>
        <w:rPr/>
        <w:t>万股，回购价格为</w:t>
      </w:r>
      <w:r>
        <w:rPr>
          <w:rFonts w:ascii="Times New Roman" w:hAnsi="Times New Roman" w:cs="Times New Roman" w:eastAsia="Times New Roman" w:hint="default"/>
        </w:rPr>
        <w:t>9.2</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股，回购注销后，公司总股本变更为</w:t>
      </w:r>
      <w:r>
        <w:rPr>
          <w:rFonts w:ascii="Times New Roman" w:hAnsi="Times New Roman" w:cs="Times New Roman" w:eastAsia="Times New Roman" w:hint="default"/>
        </w:rPr>
        <w:t>9,863.18</w:t>
      </w:r>
      <w:r>
        <w:rPr/>
        <w:t>万股。</w:t>
      </w:r>
    </w:p>
    <w:p>
      <w:pPr>
        <w:pStyle w:val="BodyText"/>
        <w:spacing w:line="300" w:lineRule="auto" w:before="7"/>
        <w:ind w:left="153" w:right="1130" w:firstLine="434"/>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日，公司召开</w:t>
      </w:r>
      <w:r>
        <w:rPr>
          <w:rFonts w:ascii="Times New Roman" w:hAnsi="Times New Roman" w:cs="Times New Roman" w:eastAsia="Times New Roman" w:hint="default"/>
        </w:rPr>
        <w:t>2012</w:t>
      </w:r>
      <w:r>
        <w:rPr/>
        <w:t>年年度股东大会，审议并通过了《关于公司</w:t>
      </w:r>
      <w:r>
        <w:rPr>
          <w:rFonts w:ascii="Times New Roman" w:hAnsi="Times New Roman" w:cs="Times New Roman" w:eastAsia="Times New Roman" w:hint="default"/>
        </w:rPr>
        <w:t>2012</w:t>
      </w:r>
      <w:r>
        <w:rPr/>
        <w:t>年度利润分配的议案》，</w:t>
      </w:r>
      <w:r>
        <w:rPr>
          <w:rFonts w:ascii="Times New Roman" w:hAnsi="Times New Roman" w:cs="Times New Roman" w:eastAsia="Times New Roman" w:hint="default"/>
        </w:rPr>
        <w:t>2012</w:t>
      </w:r>
      <w:r>
        <w:rPr/>
        <w:t>年度 </w:t>
      </w:r>
      <w:r>
        <w:rPr>
          <w:spacing w:val="-2"/>
        </w:rPr>
        <w:t>利润分配方案为：以回购注销完成后的总股本</w:t>
      </w:r>
      <w:r>
        <w:rPr>
          <w:rFonts w:ascii="Times New Roman" w:hAnsi="Times New Roman" w:cs="Times New Roman" w:eastAsia="Times New Roman" w:hint="default"/>
          <w:spacing w:val="-2"/>
        </w:rPr>
        <w:t>9,863.18</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元人民币（含税）；同</w:t>
      </w:r>
      <w:r>
        <w:rPr>
          <w:spacing w:val="-57"/>
        </w:rPr>
        <w:t> </w:t>
      </w:r>
      <w:r>
        <w:rPr>
          <w:spacing w:val="-57"/>
        </w:rPr>
      </w:r>
      <w:r>
        <w:rPr>
          <w:spacing w:val="2"/>
        </w:rPr>
        <w:t>时进行资本公积金转增股本，以公司总股本</w:t>
      </w:r>
      <w:r>
        <w:rPr>
          <w:rFonts w:ascii="Times New Roman" w:hAnsi="Times New Roman" w:cs="Times New Roman" w:eastAsia="Times New Roman" w:hint="default"/>
          <w:spacing w:val="2"/>
        </w:rPr>
        <w:t>9,863.18</w:t>
      </w:r>
      <w:r>
        <w:rPr>
          <w:spacing w:val="2"/>
        </w:rPr>
        <w:t>万股为基数向全体股东每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股，转增后公司总股本将增加至</w:t>
      </w:r>
      <w:r>
        <w:rPr>
          <w:spacing w:val="-49"/>
        </w:rPr>
        <w:t> </w:t>
      </w:r>
      <w:r>
        <w:rPr>
          <w:spacing w:val="-49"/>
        </w:rPr>
      </w:r>
      <w:r>
        <w:rPr>
          <w:rFonts w:ascii="Times New Roman" w:hAnsi="Times New Roman" w:cs="Times New Roman" w:eastAsia="Times New Roman" w:hint="default"/>
        </w:rPr>
        <w:t>19,726.36</w:t>
      </w:r>
      <w:r>
        <w:rPr/>
        <w:t>万股。鉴于公司</w:t>
      </w:r>
      <w:r>
        <w:rPr>
          <w:rFonts w:ascii="Times New Roman" w:hAnsi="Times New Roman" w:cs="Times New Roman" w:eastAsia="Times New Roman" w:hint="default"/>
        </w:rPr>
        <w:t>2012</w:t>
      </w:r>
      <w:r>
        <w:rPr/>
        <w:t>年度的权益分派方案，已授予的限制性股票数量变更为</w:t>
      </w:r>
      <w:r>
        <w:rPr>
          <w:rFonts w:ascii="Times New Roman" w:hAnsi="Times New Roman" w:cs="Times New Roman" w:eastAsia="Times New Roman" w:hint="default"/>
        </w:rPr>
        <w:t>310.36</w:t>
      </w:r>
      <w:r>
        <w:rPr/>
        <w:t>万股，授予价格变更为</w:t>
      </w:r>
      <w:r>
        <w:rPr>
          <w:rFonts w:ascii="Times New Roman" w:hAnsi="Times New Roman" w:cs="Times New Roman" w:eastAsia="Times New Roman" w:hint="default"/>
        </w:rPr>
        <w:t>4.55</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股。</w:t>
      </w:r>
    </w:p>
    <w:p>
      <w:pPr>
        <w:pStyle w:val="BodyText"/>
        <w:spacing w:line="307" w:lineRule="auto" w:before="31"/>
        <w:ind w:left="153" w:right="1130" w:firstLine="434"/>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日，公司分别召开第二届董事会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8</w:t>
      </w:r>
      <w:r>
        <w:rPr>
          <w:spacing w:val="-2"/>
        </w:rPr>
        <w:t>次临时会议和第二届监事会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8</w:t>
      </w:r>
      <w:r>
        <w:rPr>
          <w:spacing w:val="-2"/>
        </w:rPr>
        <w:t>次临时会议，审议并通</w:t>
      </w:r>
      <w:r>
        <w:rPr/>
        <w:t> </w:t>
      </w:r>
      <w:r>
        <w:rPr>
          <w:spacing w:val="-2"/>
        </w:rPr>
        <w:t>过了《关于回购注销已不符合激励条件激励对象已获授但尚未解锁的限制性股票的议案》，原激励对象皮远军、曹勇、方方</w:t>
      </w:r>
      <w:r>
        <w:rPr>
          <w:spacing w:val="-66"/>
        </w:rPr>
        <w:t> </w:t>
      </w:r>
      <w:r>
        <w:rPr>
          <w:spacing w:val="-66"/>
        </w:rPr>
      </w:r>
      <w:r>
        <w:rPr>
          <w:spacing w:val="-2"/>
        </w:rPr>
        <w:t>亮、胡小全因个人原因离职，已不符合激励条件，鉴于公司</w:t>
      </w:r>
      <w:r>
        <w:rPr>
          <w:rFonts w:ascii="Times New Roman" w:hAnsi="Times New Roman" w:cs="Times New Roman" w:eastAsia="Times New Roman" w:hint="default"/>
          <w:spacing w:val="-2"/>
        </w:rPr>
        <w:t>2012</w:t>
      </w:r>
      <w:r>
        <w:rPr>
          <w:spacing w:val="-2"/>
        </w:rPr>
        <w:t>年度的权益分派方案，同意公司回购注销其四人持有转增后</w:t>
      </w:r>
      <w:r>
        <w:rPr>
          <w:spacing w:val="-62"/>
        </w:rPr>
        <w:t> </w:t>
      </w:r>
      <w:r>
        <w:rPr>
          <w:spacing w:val="-62"/>
        </w:rPr>
      </w:r>
      <w:r>
        <w:rPr/>
        <w:t>的公司限制性股票共计</w:t>
      </w:r>
      <w:r>
        <w:rPr>
          <w:rFonts w:ascii="Times New Roman" w:hAnsi="Times New Roman" w:cs="Times New Roman" w:eastAsia="Times New Roman" w:hint="default"/>
        </w:rPr>
        <w:t>56</w:t>
      </w:r>
      <w:r>
        <w:rPr/>
        <w:t>万股，回购价格为</w:t>
      </w:r>
      <w:r>
        <w:rPr>
          <w:rFonts w:ascii="Times New Roman" w:hAnsi="Times New Roman" w:cs="Times New Roman" w:eastAsia="Times New Roman" w:hint="default"/>
        </w:rPr>
        <w:t>4.55</w:t>
      </w:r>
      <w:r>
        <w:rPr/>
        <w:t>元</w:t>
      </w:r>
      <w:r>
        <w:rPr>
          <w:rFonts w:ascii="Times New Roman" w:hAnsi="Times New Roman" w:cs="Times New Roman" w:eastAsia="Times New Roman" w:hint="default"/>
        </w:rPr>
        <w:t>/</w:t>
      </w:r>
      <w:r>
        <w:rPr/>
        <w:t>股，由此本公司总股本变更为</w:t>
      </w:r>
      <w:r>
        <w:rPr>
          <w:rFonts w:ascii="Times New Roman" w:hAnsi="Times New Roman" w:cs="Times New Roman" w:eastAsia="Times New Roman" w:hint="default"/>
        </w:rPr>
        <w:t>19,670.36</w:t>
      </w:r>
      <w:r>
        <w:rPr/>
        <w:t>万股。</w:t>
      </w:r>
    </w:p>
    <w:p>
      <w:pPr>
        <w:pStyle w:val="BodyText"/>
        <w:spacing w:line="300" w:lineRule="auto" w:before="7"/>
        <w:ind w:left="153" w:right="1130" w:firstLine="434"/>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日，第二届董事会</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11</w:t>
      </w:r>
      <w:r>
        <w:rPr/>
        <w:t>次临时会议审议通过了《关于终止实施股权激励计划暨回购注销已授予 </w:t>
      </w:r>
      <w:r>
        <w:rPr>
          <w:spacing w:val="-2"/>
        </w:rPr>
        <w:t>未解锁限制性股票的议案》，同日，第二届监事会</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11</w:t>
      </w:r>
      <w:r>
        <w:rPr>
          <w:spacing w:val="-2"/>
        </w:rPr>
        <w:t>次临时会议审议通过了相关议案，拟终止目前正在实施的限制</w:t>
      </w:r>
      <w:r>
        <w:rPr>
          <w:spacing w:val="-60"/>
        </w:rPr>
        <w:t> </w:t>
      </w:r>
      <w:r>
        <w:rPr>
          <w:spacing w:val="-60"/>
        </w:rPr>
      </w:r>
      <w:r>
        <w:rPr/>
        <w:t>性股票激励计划，以每股</w:t>
      </w:r>
      <w:r>
        <w:rPr>
          <w:rFonts w:ascii="Times New Roman" w:hAnsi="Times New Roman" w:cs="Times New Roman" w:eastAsia="Times New Roman" w:hint="default"/>
        </w:rPr>
        <w:t>4.55</w:t>
      </w:r>
      <w:r>
        <w:rPr/>
        <w:t>元的价格回购并注销</w:t>
      </w:r>
      <w:r>
        <w:rPr>
          <w:rFonts w:ascii="Times New Roman" w:hAnsi="Times New Roman" w:cs="Times New Roman" w:eastAsia="Times New Roman" w:hint="default"/>
        </w:rPr>
        <w:t>26</w:t>
      </w:r>
      <w:r>
        <w:rPr/>
        <w:t>名激励对象已授予但尚未解锁的限制性股票</w:t>
      </w:r>
      <w:r>
        <w:rPr>
          <w:rFonts w:ascii="Times New Roman" w:hAnsi="Times New Roman" w:cs="Times New Roman" w:eastAsia="Times New Roman" w:hint="default"/>
        </w:rPr>
        <w:t>254.36</w:t>
      </w:r>
      <w:r>
        <w:rPr/>
        <w:t>万股，占目前公司总</w:t>
      </w:r>
      <w:r>
        <w:rPr>
          <w:spacing w:val="-85"/>
        </w:rPr>
        <w:t> </w:t>
      </w:r>
      <w:r>
        <w:rPr>
          <w:spacing w:val="-85"/>
        </w:rPr>
      </w:r>
      <w:r>
        <w:rPr/>
        <w:t>股本</w:t>
      </w:r>
      <w:r>
        <w:rPr>
          <w:rFonts w:ascii="Times New Roman" w:hAnsi="Times New Roman" w:cs="Times New Roman" w:eastAsia="Times New Roman" w:hint="default"/>
        </w:rPr>
        <w:t>19,726.36</w:t>
      </w:r>
      <w:r>
        <w:rPr/>
        <w:t>万股的</w:t>
      </w:r>
      <w:r>
        <w:rPr>
          <w:rFonts w:ascii="Times New Roman" w:hAnsi="Times New Roman" w:cs="Times New Roman" w:eastAsia="Times New Roman" w:hint="default"/>
        </w:rPr>
        <w:t>1.29%</w:t>
      </w:r>
      <w:r>
        <w:rPr/>
        <w:t>，并于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日完成相关回购注销手续，由此本公司总股本变更为</w:t>
      </w:r>
      <w:r>
        <w:rPr>
          <w:rFonts w:ascii="Times New Roman" w:hAnsi="Times New Roman" w:cs="Times New Roman" w:eastAsia="Times New Roman" w:hint="default"/>
        </w:rPr>
        <w:t>19,416</w:t>
      </w:r>
      <w:r>
        <w:rPr/>
        <w:t>万股；预留部分</w:t>
      </w:r>
      <w:r>
        <w:rPr>
          <w:spacing w:val="-62"/>
        </w:rPr>
        <w:t> </w:t>
      </w:r>
      <w:r>
        <w:rPr>
          <w:spacing w:val="-62"/>
        </w:rPr>
      </w:r>
      <w:r>
        <w:rPr/>
        <w:t>限制性股票自动取消。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right="0"/>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pStyle w:val="BodyText"/>
        <w:spacing w:line="300" w:lineRule="auto" w:before="116"/>
        <w:ind w:left="153" w:right="1148" w:firstLine="29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月，因公司</w:t>
      </w:r>
      <w:r>
        <w:rPr>
          <w:rFonts w:ascii="Times New Roman" w:hAnsi="Times New Roman" w:cs="Times New Roman" w:eastAsia="Times New Roman" w:hint="default"/>
        </w:rPr>
        <w:t>2013</w:t>
      </w:r>
      <w:r>
        <w:rPr/>
        <w:t>年度利润分配：以公司总股本</w:t>
      </w:r>
      <w:r>
        <w:rPr>
          <w:rFonts w:ascii="Times New Roman" w:hAnsi="Times New Roman" w:cs="Times New Roman" w:eastAsia="Times New Roman" w:hint="default"/>
        </w:rPr>
        <w:t>194,160,000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w:t>
      </w:r>
      <w:r>
        <w:rPr/>
        <w:t>元人民 币（含税）；同时进行资本公积金转增股本，向全体股东每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股，转增后公司总股本将增加至</w:t>
      </w:r>
      <w:r>
        <w:rPr>
          <w:rFonts w:ascii="Times New Roman" w:hAnsi="Times New Roman" w:cs="Times New Roman" w:eastAsia="Times New Roman" w:hint="default"/>
        </w:rPr>
        <w:t>252,408,000</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日，公司资产负债率为 </w:t>
      </w:r>
      <w:r>
        <w:rPr>
          <w:rFonts w:ascii="Times New Roman" w:hAnsi="Times New Roman" w:cs="Times New Roman" w:eastAsia="Times New Roman" w:hint="default"/>
        </w:rPr>
        <w:t>38.47 %</w:t>
      </w:r>
      <w:r>
        <w:rPr/>
        <w:t>，较期初上升</w:t>
      </w:r>
      <w:r>
        <w:rPr>
          <w:rFonts w:ascii="Times New Roman" w:hAnsi="Times New Roman" w:cs="Times New Roman" w:eastAsia="Times New Roman" w:hint="default"/>
        </w:rPr>
        <w:t>5.45</w:t>
      </w:r>
      <w:r>
        <w:rPr>
          <w:rFonts w:ascii="Times New Roman" w:hAnsi="Times New Roman" w:cs="Times New Roman" w:eastAsia="Times New Roman" w:hint="default"/>
          <w:spacing w:val="-25"/>
        </w:rPr>
        <w:t> </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1"/>
      <w:bookmarkEnd w:id="10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20,430</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22,389</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深圳德旺投资发 展有限公司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24.10%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14,040,00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5" w:space="0" w:color="D2D2D2"/>
              <w:left w:val="single" w:sz="4" w:space="0" w:color="000000"/>
              <w:bottom w:val="single" w:sz="4" w:space="0" w:color="000000"/>
              <w:right w:val="single" w:sz="4" w:space="0" w:color="000000"/>
            </w:tcBorders>
          </w:tcPr>
          <w:p>
            <w:pPr/>
          </w:p>
        </w:tc>
        <w:tc>
          <w:tcPr>
            <w:tcW w:w="1367" w:type="dxa"/>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33,945,600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赵建平</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4,100,000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华润深国投信托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号信托计划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1,399,450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230,450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759,850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639,600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1,124,885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1,124,885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1,124,885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阎秀英</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791,320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791,320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791,320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中融国际信托有 限公司－湘财资 本证券投资集合 资金信托计划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755,000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716,138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-385,612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716,138</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709,800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709,800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41"/>
              <w:jc w:val="left"/>
              <w:rPr>
                <w:rFonts w:ascii="宋体" w:hAnsi="宋体" w:cs="宋体" w:eastAsia="宋体" w:hint="default"/>
                <w:sz w:val="18"/>
                <w:szCs w:val="18"/>
              </w:rPr>
            </w:pP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，为茂硕电源科技 股份有限公司的实际控制人。</w:t>
            </w: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赵建平</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号信托计划</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林洁</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1,124,885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1,124,885</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阎秀英</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791,320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中融国际信托有限公司－湘财资 本证券投资集合资金信托计划</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709,800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刘少明</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708,611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708,611</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赵吉</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浙江若溪投资合伙企业（有限合 伙）</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黄芳玲</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697,820</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6" w:right="102"/>
              <w:jc w:val="left"/>
              <w:rPr>
                <w:rFonts w:ascii="宋体" w:hAnsi="宋体" w:cs="宋体" w:eastAsia="宋体" w:hint="default"/>
                <w:sz w:val="18"/>
                <w:szCs w:val="18"/>
              </w:rPr>
            </w:pPr>
            <w:r>
              <w:rPr>
                <w:rFonts w:ascii="宋体" w:hAnsi="宋体" w:cs="宋体" w:eastAsia="宋体" w:hint="default"/>
                <w:sz w:val="18"/>
                <w:szCs w:val="18"/>
              </w:rPr>
              <w:t>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 是否存在关联关系，也未知是否属于《上市公司收购管理办法》规定的一致行动人。</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left="153" w:right="0"/>
        <w:jc w:val="left"/>
      </w:pPr>
      <w:r>
        <w:rPr/>
        <w:t>□ 是 √ 否</w:t>
      </w:r>
    </w:p>
    <w:p>
      <w:pPr>
        <w:pStyle w:val="BodyText"/>
        <w:spacing w:line="240" w:lineRule="auto" w:before="116"/>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9"/>
              <w:jc w:val="left"/>
              <w:rPr>
                <w:rFonts w:ascii="宋体" w:hAnsi="宋体" w:cs="宋体" w:eastAsia="宋体" w:hint="default"/>
                <w:sz w:val="18"/>
                <w:szCs w:val="18"/>
              </w:rPr>
            </w:pPr>
            <w:r>
              <w:rPr>
                <w:rFonts w:ascii="宋体" w:hAnsi="宋体" w:cs="宋体" w:eastAsia="宋体" w:hint="default"/>
                <w:sz w:val="18"/>
                <w:szCs w:val="18"/>
              </w:rPr>
              <w:t>深圳德旺投资发展有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661021482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投资兴办实业（具体项 </w:t>
            </w:r>
            <w:r>
              <w:rPr>
                <w:rFonts w:ascii="宋体" w:hAnsi="宋体" w:cs="宋体" w:eastAsia="宋体" w:hint="default"/>
                <w:spacing w:val="-16"/>
                <w:sz w:val="18"/>
                <w:szCs w:val="18"/>
              </w:rPr>
              <w:t>目另行申报）；国内贸易</w:t>
            </w:r>
          </w:p>
          <w:p>
            <w:pPr>
              <w:pStyle w:val="TableParagraph"/>
              <w:spacing w:line="319" w:lineRule="auto" w:before="19"/>
              <w:ind w:left="22" w:right="26"/>
              <w:jc w:val="left"/>
              <w:rPr>
                <w:rFonts w:ascii="宋体" w:hAnsi="宋体" w:cs="宋体" w:eastAsia="宋体" w:hint="default"/>
                <w:sz w:val="18"/>
                <w:szCs w:val="18"/>
              </w:rPr>
            </w:pPr>
            <w:r>
              <w:rPr>
                <w:rFonts w:ascii="宋体" w:hAnsi="宋体" w:cs="宋体" w:eastAsia="宋体" w:hint="default"/>
                <w:sz w:val="18"/>
                <w:szCs w:val="18"/>
              </w:rPr>
              <w:t>（不含专营、专控、专 </w:t>
            </w:r>
            <w:r>
              <w:rPr>
                <w:rFonts w:ascii="宋体" w:hAnsi="宋体" w:cs="宋体" w:eastAsia="宋体" w:hint="default"/>
                <w:spacing w:val="-18"/>
                <w:sz w:val="18"/>
                <w:szCs w:val="18"/>
              </w:rPr>
              <w:t>卖商品）。</w:t>
            </w:r>
          </w:p>
        </w:tc>
      </w:tr>
      <w:tr>
        <w:trPr>
          <w:trHeight w:val="402"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报告期内，经营状况和财务状况良好。</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05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顾永德，男，</w:t>
            </w:r>
            <w:r>
              <w:rPr>
                <w:rFonts w:ascii="Times New Roman" w:hAnsi="Times New Roman" w:cs="Times New Roman" w:eastAsia="Times New Roman" w:hint="default"/>
                <w:spacing w:val="-3"/>
                <w:sz w:val="18"/>
                <w:szCs w:val="18"/>
              </w:rPr>
              <w:t>1965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月出生，中国国籍，曾就读于清华大学深圳研究院，曾 获“优秀来深建设者”荣誉称号。</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月任深圳锡星电子 </w:t>
            </w:r>
            <w:r>
              <w:rPr>
                <w:rFonts w:ascii="宋体" w:hAnsi="宋体" w:cs="宋体" w:eastAsia="宋体" w:hint="default"/>
                <w:spacing w:val="-5"/>
                <w:sz w:val="18"/>
                <w:szCs w:val="18"/>
              </w:rPr>
              <w:t>有限公司董事长兼总经理，</w:t>
            </w:r>
            <w:r>
              <w:rPr>
                <w:rFonts w:ascii="Times New Roman" w:hAnsi="Times New Roman" w:cs="Times New Roman" w:eastAsia="Times New Roman" w:hint="default"/>
                <w:spacing w:val="-5"/>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月至今任茂硕电源科技股份有限公司董事 长、总经理。现任深圳市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产业联合会副会长、广东省半导体照明产业联 </w:t>
            </w:r>
            <w:r>
              <w:rPr>
                <w:rFonts w:ascii="宋体" w:hAnsi="宋体" w:cs="宋体" w:eastAsia="宋体" w:hint="default"/>
                <w:spacing w:val="-1"/>
                <w:sz w:val="18"/>
                <w:szCs w:val="18"/>
              </w:rPr>
              <w:t>合创新中心监事长、深圳市工商总会副会长、深圳市江苏商会副会长、深圳市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无锡商会常务副会长、深圳市第五届人大代表。</w:t>
            </w:r>
          </w:p>
        </w:tc>
      </w:tr>
    </w:tbl>
    <w:p>
      <w:pPr>
        <w:pStyle w:val="BodyText"/>
        <w:spacing w:line="240" w:lineRule="auto" w:before="51"/>
        <w:ind w:right="0"/>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line="240" w:lineRule="auto" w:before="7"/>
        <w:rPr>
          <w:rFonts w:ascii="宋体" w:hAnsi="宋体" w:cs="宋体" w:eastAsia="宋体" w:hint="default"/>
          <w:sz w:val="15"/>
          <w:szCs w:val="15"/>
        </w:rPr>
      </w:pPr>
    </w:p>
    <w:p>
      <w:pPr>
        <w:spacing w:line="2754" w:lineRule="exact"/>
        <w:ind w:left="2812"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742839" cy="174878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8" cstate="print"/>
                    <a:stretch>
                      <a:fillRect/>
                    </a:stretch>
                  </pic:blipFill>
                  <pic:spPr>
                    <a:xfrm>
                      <a:off x="0" y="0"/>
                      <a:ext cx="2742839" cy="1748789"/>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6"/>
        <w:rPr>
          <w:rFonts w:ascii="宋体" w:hAnsi="宋体" w:cs="宋体" w:eastAsia="宋体" w:hint="default"/>
          <w:sz w:val="14"/>
          <w:szCs w:val="14"/>
        </w:rPr>
      </w:pPr>
    </w:p>
    <w:p>
      <w:pPr>
        <w:pStyle w:val="Heading3"/>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left="153"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四、公司股东及其一致行动人在报告期提出或实施股份增持计划的情况" w:id="107"/>
      <w:bookmarkEnd w:id="107"/>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732"/>
        <w:jc w:val="left"/>
      </w:pPr>
      <w:r>
        <w:rPr/>
        <w:t>□ 适用 √ 不适用 在公司所知的范围内，没有公司股东及其一致行动人在报告期提出或实施股份增持计划。</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8"/>
      <w:bookmarkEnd w:id="108"/>
      <w:r>
        <w:rPr>
          <w:b w:val="0"/>
          <w:bCs w:val="0"/>
        </w:rPr>
      </w:r>
      <w:bookmarkStart w:name="_bookmark6" w:id="109"/>
      <w:bookmarkEnd w:id="10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0"/>
      <w:bookmarkEnd w:id="110"/>
      <w:r>
        <w:rPr>
          <w:b w:val="0"/>
          <w:bCs w:val="0"/>
        </w:rPr>
      </w:r>
      <w:bookmarkStart w:name="_bookmark7" w:id="111"/>
      <w:bookmarkEnd w:id="11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2"/>
      <w:bookmarkEnd w:id="11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26,112,000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33,945,600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33,945,600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153" w:right="0"/>
        <w:jc w:val="left"/>
      </w:pPr>
      <w:bookmarkStart w:name="注：报告期内增持股份数量系2014年实施权益分派所致。" w:id="113"/>
      <w:bookmarkEnd w:id="113"/>
      <w:r>
        <w:rPr/>
      </w:r>
      <w:r>
        <w:rPr/>
        <w:t>注：报告期内增持股份数量系</w:t>
      </w:r>
      <w:r>
        <w:rPr>
          <w:spacing w:val="-46"/>
        </w:rPr>
        <w:t> </w:t>
      </w:r>
      <w:r>
        <w:rPr>
          <w:rFonts w:ascii="宋体" w:hAnsi="宋体" w:cs="宋体" w:eastAsia="宋体" w:hint="default"/>
        </w:rPr>
        <w:t>2014</w:t>
      </w:r>
      <w:r>
        <w:rPr>
          <w:rFonts w:ascii="宋体" w:hAnsi="宋体" w:cs="宋体" w:eastAsia="宋体" w:hint="default"/>
          <w:spacing w:val="-46"/>
        </w:rPr>
        <w:t> </w:t>
      </w:r>
      <w:r>
        <w:rPr/>
        <w:t>年实施权益分派所致。</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二、任职情况" w:id="114"/>
      <w:bookmarkEnd w:id="114"/>
      <w:r>
        <w:rPr>
          <w:b w:val="0"/>
          <w:bCs w:val="0"/>
        </w:rPr>
      </w:r>
      <w:r>
        <w:rPr/>
        <w:t>二、任职情况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1"/>
        <w:ind w:left="513" w:right="12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、董事会成员 顾永德，男，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月出生，中国国籍，曾就读于清华大学深圳研究院，曾获</w:t>
      </w:r>
      <w:r>
        <w:rPr>
          <w:rFonts w:ascii="Times New Roman" w:hAnsi="Times New Roman" w:cs="Times New Roman" w:eastAsia="Times New Roman" w:hint="default"/>
        </w:rPr>
        <w:t>“</w:t>
      </w:r>
      <w:r>
        <w:rPr/>
        <w:t>优秀来深建设者</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p>
    <w:p>
      <w:pPr>
        <w:pStyle w:val="BodyText"/>
        <w:spacing w:line="300" w:lineRule="auto" w:before="13"/>
        <w:ind w:left="153" w:right="1131"/>
        <w:jc w:val="both"/>
      </w:pP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月任深圳锡星电子有限公司董事长兼总经理，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月至今任茂硕电源科技股份有限公司董事长兼总经理。现</w:t>
      </w:r>
      <w:r>
        <w:rPr>
          <w:spacing w:val="-54"/>
        </w:rPr>
        <w:t> </w:t>
      </w:r>
      <w:r>
        <w:rPr>
          <w:spacing w:val="-54"/>
        </w:rPr>
      </w:r>
      <w:r>
        <w:rPr>
          <w:spacing w:val="-2"/>
        </w:rPr>
        <w:t>任深圳市</w:t>
      </w:r>
      <w:r>
        <w:rPr>
          <w:rFonts w:ascii="Times New Roman" w:hAnsi="Times New Roman" w:cs="Times New Roman" w:eastAsia="Times New Roman" w:hint="default"/>
          <w:spacing w:val="-2"/>
        </w:rPr>
        <w:t>LED</w:t>
      </w:r>
      <w:r>
        <w:rPr>
          <w:spacing w:val="-2"/>
        </w:rPr>
        <w:t>产业联合会副会长、广东省半导体照明产业联合创新中心监事长、深圳市工商总会副会长、深圳市江苏商会副</w:t>
      </w:r>
      <w:r>
        <w:rPr>
          <w:spacing w:val="-53"/>
        </w:rPr>
        <w:t> </w:t>
      </w:r>
      <w:r>
        <w:rPr>
          <w:spacing w:val="-53"/>
        </w:rPr>
      </w:r>
      <w:r>
        <w:rPr/>
        <w:t>会长、深圳市无锡商会常务副会长、深圳市第五届人大代表。</w:t>
      </w:r>
    </w:p>
    <w:p>
      <w:pPr>
        <w:spacing w:line="240" w:lineRule="auto" w:before="3"/>
        <w:rPr>
          <w:rFonts w:ascii="宋体" w:hAnsi="宋体" w:cs="宋体" w:eastAsia="宋体" w:hint="default"/>
          <w:sz w:val="26"/>
          <w:szCs w:val="26"/>
        </w:rPr>
      </w:pPr>
    </w:p>
    <w:p>
      <w:pPr>
        <w:pStyle w:val="BodyText"/>
        <w:spacing w:line="300" w:lineRule="auto"/>
        <w:ind w:left="153" w:right="1130" w:firstLine="360"/>
        <w:jc w:val="both"/>
      </w:pPr>
      <w:r>
        <w:rPr/>
        <w:t>李晓波，男，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月出生，中国国籍，兰州大学物理系磁学专业，本科学历，注册质量经理。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4 </w:t>
      </w:r>
      <w:r>
        <w:rPr>
          <w:spacing w:val="-2"/>
        </w:rPr>
        <w:t>月担任中国乐凯胶片公司磁带厂计划员、工艺员、质量员；</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5</w:t>
      </w:r>
      <w:r>
        <w:rPr>
          <w:spacing w:val="-2"/>
        </w:rPr>
        <w:t>月担任深圳长城开发科技股份有限公司电子</w:t>
      </w:r>
      <w:r>
        <w:rPr>
          <w:spacing w:val="-55"/>
        </w:rPr>
        <w:t> </w:t>
      </w:r>
      <w:r>
        <w:rPr>
          <w:spacing w:val="-2"/>
        </w:rPr>
        <w:t>厂计划部工程师、生产部高级主管、制造经理；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月担任深圳长城开发科技股份有限公司品质评审部副总</w:t>
      </w:r>
      <w:r>
        <w:rPr>
          <w:spacing w:val="-56"/>
        </w:rPr>
        <w:t> </w:t>
      </w:r>
      <w:r>
        <w:rPr>
          <w:spacing w:val="-2"/>
        </w:rPr>
        <w:t>监；</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月担任深圳长城开发科技股份有限公司质量管理部总监；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月兼任深圳长城开发</w:t>
      </w:r>
      <w:r>
        <w:rPr>
          <w:spacing w:val="-44"/>
        </w:rPr>
        <w:t> </w:t>
      </w:r>
      <w:r>
        <w:rPr/>
        <w:t>科技股份有限公司信息系统部总监；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月兼任深圳长城开发科技股份有限公司战略与市场部总监；</w:t>
      </w:r>
      <w:r>
        <w:rPr>
          <w:rFonts w:ascii="Times New Roman" w:hAnsi="Times New Roman" w:cs="Times New Roman" w:eastAsia="Times New Roman" w:hint="default"/>
        </w:rPr>
        <w:t>2013 </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日先后担任茂硕电源科技股份有限公司董事长特别助理、副董事长、总经理。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日，经公</w:t>
      </w:r>
      <w:r>
        <w:rPr>
          <w:spacing w:val="-47"/>
        </w:rPr>
        <w:t> </w:t>
      </w:r>
      <w:r>
        <w:rPr>
          <w:spacing w:val="-47"/>
        </w:rPr>
      </w:r>
      <w:r>
        <w:rPr>
          <w:spacing w:val="-2"/>
        </w:rPr>
        <w:t>司第三届董事会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12</w:t>
      </w:r>
      <w:r>
        <w:rPr>
          <w:spacing w:val="-2"/>
        </w:rPr>
        <w:t>次临时会议审议通过李晓波先生辞去副董事长及总经理职务，在董事会选举新任董事前继续履行</w:t>
      </w:r>
      <w:r>
        <w:rPr>
          <w:spacing w:val="-58"/>
        </w:rPr>
        <w:t> </w:t>
      </w:r>
      <w:r>
        <w:rPr>
          <w:spacing w:val="-58"/>
        </w:rPr>
      </w:r>
      <w:r>
        <w:rPr/>
        <w:t>董事职务。</w:t>
      </w:r>
    </w:p>
    <w:p>
      <w:pPr>
        <w:spacing w:line="240" w:lineRule="auto" w:before="3"/>
        <w:rPr>
          <w:rFonts w:ascii="宋体" w:hAnsi="宋体" w:cs="宋体" w:eastAsia="宋体" w:hint="default"/>
          <w:sz w:val="26"/>
          <w:szCs w:val="26"/>
        </w:rPr>
      </w:pPr>
    </w:p>
    <w:p>
      <w:pPr>
        <w:pStyle w:val="BodyText"/>
        <w:spacing w:line="300" w:lineRule="auto"/>
        <w:ind w:right="1043" w:firstLine="360"/>
        <w:jc w:val="both"/>
      </w:pPr>
      <w:r>
        <w:rPr/>
        <w:t>方吉槟，男，</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4</w:t>
      </w:r>
      <w:r>
        <w:rPr/>
        <w:t>月出生，中国国籍，无境外永久居留权，中山大学工商管理硕士；曾任职于金元证券股份有限公 </w:t>
      </w:r>
      <w:r>
        <w:rPr>
          <w:spacing w:val="-4"/>
        </w:rPr>
        <w:t>司、证券时报，具有证券、期货从业资格，</w:t>
      </w:r>
      <w:r>
        <w:rPr>
          <w:rFonts w:ascii="Times New Roman" w:hAnsi="Times New Roman" w:cs="Times New Roman" w:eastAsia="Times New Roman" w:hint="default"/>
          <w:spacing w:val="-4"/>
        </w:rPr>
        <w:t>2012</w:t>
      </w:r>
      <w:r>
        <w:rPr>
          <w:spacing w:val="-4"/>
        </w:rPr>
        <w:t>年加入茂硕电源科技股份有限公司，现任公司董事、副总经理、董事会秘书。</w:t>
      </w:r>
    </w:p>
    <w:p>
      <w:pPr>
        <w:spacing w:line="240" w:lineRule="auto" w:before="11"/>
        <w:rPr>
          <w:rFonts w:ascii="宋体" w:hAnsi="宋体" w:cs="宋体" w:eastAsia="宋体" w:hint="default"/>
          <w:sz w:val="24"/>
          <w:szCs w:val="24"/>
        </w:rPr>
      </w:pPr>
    </w:p>
    <w:p>
      <w:pPr>
        <w:pStyle w:val="BodyText"/>
        <w:spacing w:line="316" w:lineRule="auto"/>
        <w:ind w:left="153" w:right="1131" w:firstLine="360"/>
        <w:jc w:val="both"/>
      </w:pPr>
      <w:r>
        <w:rPr/>
        <w:t>张新明，男，</w:t>
      </w:r>
      <w:r>
        <w:rPr>
          <w:rFonts w:ascii="宋体" w:hAnsi="宋体" w:cs="宋体" w:eastAsia="宋体" w:hint="default"/>
        </w:rPr>
        <w:t>1968</w:t>
      </w:r>
      <w:r>
        <w:rPr/>
        <w:t>年</w:t>
      </w:r>
      <w:r>
        <w:rPr>
          <w:rFonts w:ascii="宋体" w:hAnsi="宋体" w:cs="宋体" w:eastAsia="宋体" w:hint="default"/>
        </w:rPr>
        <w:t>7</w:t>
      </w:r>
      <w:r>
        <w:rPr/>
        <w:t>月出生，中国国籍，大学本科学历，注册会计师。</w:t>
      </w:r>
      <w:r>
        <w:rPr>
          <w:rFonts w:ascii="宋体" w:hAnsi="宋体" w:cs="宋体" w:eastAsia="宋体" w:hint="default"/>
        </w:rPr>
        <w:t>1990</w:t>
      </w:r>
      <w:r>
        <w:rPr/>
        <w:t>年</w:t>
      </w:r>
      <w:r>
        <w:rPr>
          <w:rFonts w:ascii="宋体" w:hAnsi="宋体" w:cs="宋体" w:eastAsia="宋体" w:hint="default"/>
        </w:rPr>
        <w:t>8</w:t>
      </w:r>
      <w:r>
        <w:rPr/>
        <w:t>月至</w:t>
      </w:r>
      <w:r>
        <w:rPr>
          <w:rFonts w:ascii="宋体" w:hAnsi="宋体" w:cs="宋体" w:eastAsia="宋体" w:hint="default"/>
        </w:rPr>
        <w:t>1994</w:t>
      </w:r>
      <w:r>
        <w:rPr/>
        <w:t>年</w:t>
      </w:r>
      <w:r>
        <w:rPr>
          <w:rFonts w:ascii="宋体" w:hAnsi="宋体" w:cs="宋体" w:eastAsia="宋体" w:hint="default"/>
        </w:rPr>
        <w:t>8</w:t>
      </w:r>
      <w:r>
        <w:rPr/>
        <w:t>月任职江西南康财政局， </w:t>
      </w:r>
      <w:r>
        <w:rPr>
          <w:rFonts w:ascii="宋体" w:hAnsi="宋体" w:cs="宋体" w:eastAsia="宋体" w:hint="default"/>
          <w:spacing w:val="-2"/>
        </w:rPr>
        <w:t>1994</w:t>
      </w:r>
      <w:r>
        <w:rPr>
          <w:spacing w:val="-2"/>
        </w:rPr>
        <w:t>年至</w:t>
      </w:r>
      <w:r>
        <w:rPr>
          <w:rFonts w:ascii="宋体" w:hAnsi="宋体" w:cs="宋体" w:eastAsia="宋体" w:hint="default"/>
          <w:spacing w:val="-2"/>
        </w:rPr>
        <w:t>1997</w:t>
      </w:r>
      <w:r>
        <w:rPr>
          <w:spacing w:val="-2"/>
        </w:rPr>
        <w:t>年先后任深圳宝安会计师事务所项目经理、部门经理；</w:t>
      </w:r>
      <w:r>
        <w:rPr>
          <w:rFonts w:ascii="宋体" w:hAnsi="宋体" w:cs="宋体" w:eastAsia="宋体" w:hint="default"/>
          <w:spacing w:val="-2"/>
        </w:rPr>
        <w:t>1998</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月任深圳义达会计师事务所部门经</w:t>
      </w:r>
      <w:r>
        <w:rPr>
          <w:spacing w:val="-46"/>
        </w:rPr>
        <w:t> </w:t>
      </w:r>
      <w:r>
        <w:rPr/>
        <w:t>理；</w:t>
      </w:r>
      <w:r>
        <w:rPr>
          <w:rFonts w:ascii="宋体" w:hAnsi="宋体" w:cs="宋体" w:eastAsia="宋体" w:hint="default"/>
        </w:rPr>
        <w:t>2004</w:t>
      </w:r>
      <w:r>
        <w:rPr/>
        <w:t>年</w:t>
      </w:r>
      <w:r>
        <w:rPr>
          <w:rFonts w:ascii="宋体" w:hAnsi="宋体" w:cs="宋体" w:eastAsia="宋体" w:hint="default"/>
        </w:rPr>
        <w:t>7</w:t>
      </w:r>
      <w:r>
        <w:rPr/>
        <w:t>月起至</w:t>
      </w:r>
      <w:r>
        <w:rPr>
          <w:rFonts w:ascii="宋体" w:hAnsi="宋体" w:cs="宋体" w:eastAsia="宋体" w:hint="default"/>
        </w:rPr>
        <w:t>2014</w:t>
      </w:r>
      <w:r>
        <w:rPr/>
        <w:t>年</w:t>
      </w:r>
      <w:r>
        <w:rPr>
          <w:rFonts w:ascii="宋体" w:hAnsi="宋体" w:cs="宋体" w:eastAsia="宋体" w:hint="default"/>
        </w:rPr>
        <w:t>11</w:t>
      </w:r>
      <w:r>
        <w:rPr/>
        <w:t>月任深圳德浩会计师事务所首席合伙人；</w:t>
      </w:r>
      <w:r>
        <w:rPr>
          <w:rFonts w:ascii="宋体" w:hAnsi="宋体" w:cs="宋体" w:eastAsia="宋体" w:hint="default"/>
        </w:rPr>
        <w:t>2007</w:t>
      </w:r>
      <w:r>
        <w:rPr/>
        <w:t>年</w:t>
      </w:r>
      <w:r>
        <w:rPr>
          <w:rFonts w:ascii="宋体" w:hAnsi="宋体" w:cs="宋体" w:eastAsia="宋体" w:hint="default"/>
        </w:rPr>
        <w:t>6</w:t>
      </w:r>
      <w:r>
        <w:rPr/>
        <w:t>月至</w:t>
      </w:r>
      <w:r>
        <w:rPr>
          <w:rFonts w:ascii="宋体" w:hAnsi="宋体" w:cs="宋体" w:eastAsia="宋体" w:hint="default"/>
        </w:rPr>
        <w:t>2013</w:t>
      </w:r>
      <w:r>
        <w:rPr/>
        <w:t>年</w:t>
      </w:r>
      <w:r>
        <w:rPr>
          <w:rFonts w:ascii="宋体" w:hAnsi="宋体" w:cs="宋体" w:eastAsia="宋体" w:hint="default"/>
        </w:rPr>
        <w:t>5</w:t>
      </w:r>
      <w:r>
        <w:rPr/>
        <w:t>月担任深圳市新纶科技股份有限 </w:t>
      </w:r>
      <w:r>
        <w:rPr>
          <w:spacing w:val="-2"/>
        </w:rPr>
        <w:t>公司独立董事；</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月至今担任深圳古瑞瓦特新能源股份有限公司独立董事；</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月至今担任深圳市华益盛模具股份</w:t>
      </w:r>
      <w:r>
        <w:rPr>
          <w:spacing w:val="-54"/>
        </w:rPr>
        <w:t> </w:t>
      </w:r>
      <w:r>
        <w:rPr/>
        <w:t>有限公司独立董事；</w:t>
      </w:r>
      <w:r>
        <w:rPr>
          <w:rFonts w:ascii="宋体" w:hAnsi="宋体" w:cs="宋体" w:eastAsia="宋体" w:hint="default"/>
        </w:rPr>
        <w:t>2014</w:t>
      </w:r>
      <w:r>
        <w:rPr/>
        <w:t>年</w:t>
      </w:r>
      <w:r>
        <w:rPr>
          <w:rFonts w:ascii="宋体" w:hAnsi="宋体" w:cs="宋体" w:eastAsia="宋体" w:hint="default"/>
        </w:rPr>
        <w:t>5</w:t>
      </w:r>
      <w:r>
        <w:rPr/>
        <w:t>月至今先后担任深圳市深科达智能装备股份有限公司董事、副总经理、财务负责人、董事会秘 书；</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20</w:t>
      </w:r>
      <w:r>
        <w:rPr/>
        <w:t>日至今任茂硕电源独立董事。</w:t>
      </w:r>
    </w:p>
    <w:p>
      <w:pPr>
        <w:spacing w:line="240" w:lineRule="auto" w:before="4"/>
        <w:rPr>
          <w:rFonts w:ascii="宋体" w:hAnsi="宋体" w:cs="宋体" w:eastAsia="宋体" w:hint="default"/>
          <w:sz w:val="25"/>
          <w:szCs w:val="25"/>
        </w:rPr>
      </w:pPr>
    </w:p>
    <w:p>
      <w:pPr>
        <w:pStyle w:val="BodyText"/>
        <w:spacing w:line="300" w:lineRule="auto"/>
        <w:ind w:left="153" w:right="1132" w:firstLine="360"/>
        <w:jc w:val="both"/>
      </w:pPr>
      <w:r>
        <w:rPr/>
        <w:t>施伟力，男，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4</w:t>
      </w:r>
      <w:r>
        <w:rPr/>
        <w:t>月出生，中国国籍，毕业于武汉大学公共关系专业，经济师，</w:t>
      </w:r>
      <w:r>
        <w:rPr>
          <w:rFonts w:ascii="Times New Roman" w:hAnsi="Times New Roman" w:cs="Times New Roman" w:eastAsia="Times New Roman" w:hint="default"/>
        </w:rPr>
        <w:t>1974</w:t>
      </w:r>
      <w:r>
        <w:rPr/>
        <w:t>年至</w:t>
      </w:r>
      <w:r>
        <w:rPr>
          <w:rFonts w:ascii="Times New Roman" w:hAnsi="Times New Roman" w:cs="Times New Roman" w:eastAsia="Times New Roman" w:hint="default"/>
        </w:rPr>
        <w:t>1982</w:t>
      </w:r>
      <w:r>
        <w:rPr/>
        <w:t>年在泉州无线电五厂 </w:t>
      </w:r>
      <w:r>
        <w:rPr>
          <w:spacing w:val="-2"/>
        </w:rPr>
        <w:t>任副厂长；</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1984</w:t>
      </w:r>
      <w:r>
        <w:rPr>
          <w:spacing w:val="-2"/>
        </w:rPr>
        <w:t>年在厦门闽厦教学设备公司任经理；</w:t>
      </w:r>
      <w:r>
        <w:rPr>
          <w:rFonts w:ascii="Times New Roman" w:hAnsi="Times New Roman" w:cs="Times New Roman" w:eastAsia="Times New Roman" w:hint="default"/>
          <w:spacing w:val="-2"/>
        </w:rPr>
        <w:t>1985</w:t>
      </w:r>
      <w:r>
        <w:rPr>
          <w:spacing w:val="-2"/>
        </w:rPr>
        <w:t>年至</w:t>
      </w:r>
      <w:r>
        <w:rPr>
          <w:rFonts w:ascii="Times New Roman" w:hAnsi="Times New Roman" w:cs="Times New Roman" w:eastAsia="Times New Roman" w:hint="default"/>
          <w:spacing w:val="-2"/>
        </w:rPr>
        <w:t>1992</w:t>
      </w:r>
      <w:r>
        <w:rPr>
          <w:spacing w:val="-2"/>
        </w:rPr>
        <w:t>年在中外合资东泉电子有限公司任总经理；</w:t>
      </w:r>
      <w:r>
        <w:rPr>
          <w:rFonts w:ascii="Times New Roman" w:hAnsi="Times New Roman" w:cs="Times New Roman" w:eastAsia="Times New Roman" w:hint="default"/>
          <w:spacing w:val="-2"/>
        </w:rPr>
        <w:t>1993</w:t>
      </w:r>
      <w:r>
        <w:rPr>
          <w:rFonts w:ascii="Times New Roman" w:hAnsi="Times New Roman" w:cs="Times New Roman" w:eastAsia="Times New Roman" w:hint="default"/>
          <w:spacing w:val="-1"/>
        </w:rPr>
        <w:t> </w:t>
      </w:r>
      <w:r>
        <w:rPr>
          <w:spacing w:val="-2"/>
        </w:rPr>
        <w:t>年至</w:t>
      </w:r>
      <w:r>
        <w:rPr>
          <w:rFonts w:ascii="Times New Roman" w:hAnsi="Times New Roman" w:cs="Times New Roman" w:eastAsia="Times New Roman" w:hint="default"/>
          <w:spacing w:val="-2"/>
        </w:rPr>
        <w:t>1994</w:t>
      </w:r>
      <w:r>
        <w:rPr>
          <w:spacing w:val="-2"/>
        </w:rPr>
        <w:t>年任香港南方国际电子有限公司副总经理；</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2001</w:t>
      </w:r>
      <w:r>
        <w:rPr>
          <w:spacing w:val="-2"/>
        </w:rPr>
        <w:t>年先后任香港华刚光电零件有限公司经理、厂长、中国市</w:t>
      </w:r>
      <w:r>
        <w:rPr>
          <w:spacing w:val="-54"/>
        </w:rPr>
        <w:t> </w:t>
      </w:r>
      <w:r>
        <w:rPr>
          <w:spacing w:val="-54"/>
        </w:rPr>
      </w:r>
      <w:r>
        <w:rPr/>
        <w:t>场部经理；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月任鑫谷光电股份有限公司副总经理；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月任大连路美芯片科技有限公司高 </w:t>
      </w:r>
      <w:r>
        <w:rPr>
          <w:spacing w:val="-2"/>
        </w:rPr>
        <w:t>级顾问、副总经理；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月任大连九久光电科技有限公司董事总经理；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月任上海曼斯雷</w:t>
      </w:r>
      <w:r>
        <w:rPr>
          <w:spacing w:val="-46"/>
        </w:rPr>
        <w:t> </w:t>
      </w:r>
      <w:r>
        <w:rPr/>
        <w:t>德光电有限公司董事长；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月至今担任山西光宇半导体照明股份有限公司独立董事；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月至今担任聚灿光电科 技股份有限公司独立董事；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月至今担任茂硕电源科技股份有限公司独立董事。</w:t>
      </w:r>
    </w:p>
    <w:p>
      <w:pPr>
        <w:spacing w:line="240" w:lineRule="auto" w:before="11"/>
        <w:rPr>
          <w:rFonts w:ascii="宋体" w:hAnsi="宋体" w:cs="宋体" w:eastAsia="宋体" w:hint="default"/>
          <w:sz w:val="24"/>
          <w:szCs w:val="24"/>
        </w:rPr>
      </w:pPr>
    </w:p>
    <w:p>
      <w:pPr>
        <w:pStyle w:val="BodyText"/>
        <w:spacing w:line="300" w:lineRule="auto"/>
        <w:ind w:left="513" w:right="1123"/>
        <w:jc w:val="left"/>
      </w:pPr>
      <w:r>
        <w:rPr>
          <w:rFonts w:ascii="Times New Roman" w:hAnsi="Times New Roman" w:cs="Times New Roman" w:eastAsia="Times New Roman" w:hint="default"/>
        </w:rPr>
        <w:t>2</w:t>
      </w:r>
      <w:r>
        <w:rPr/>
        <w:t>、监事会成员 谢颖彬，男，中国国籍，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月出生，毕业于中南大学（原长沙铁道学院），大学本科学历，学士学位。谢颖彬先</w:t>
      </w:r>
    </w:p>
    <w:p>
      <w:pPr>
        <w:pStyle w:val="BodyText"/>
        <w:spacing w:line="300" w:lineRule="auto" w:before="13"/>
        <w:ind w:left="153" w:right="1036"/>
        <w:jc w:val="left"/>
        <w:rPr>
          <w:rFonts w:ascii="Times New Roman" w:hAnsi="Times New Roman" w:cs="Times New Roman" w:eastAsia="Times New Roman" w:hint="default"/>
        </w:rPr>
      </w:pPr>
      <w:r>
        <w:rPr/>
        <w:t>生</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3</w:t>
      </w:r>
      <w:r>
        <w:rPr/>
        <w:t>月于广东省水电二局子弟学校任教，</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月任东莞市清溪钜顺鞋业有限公司总经理 </w:t>
      </w:r>
      <w:r>
        <w:rPr>
          <w:spacing w:val="-2"/>
        </w:rPr>
        <w:t>助理，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6</w:t>
      </w:r>
      <w:r>
        <w:rPr>
          <w:spacing w:val="-2"/>
        </w:rPr>
        <w:t>月任深圳市沙头角珍兴鞋业有限公司企划主管，</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月任东莞市清溪文邦电线</w:t>
      </w:r>
      <w:r>
        <w:rPr>
          <w:spacing w:val="-42"/>
        </w:rPr>
        <w:t> </w:t>
      </w:r>
      <w:r>
        <w:rPr>
          <w:spacing w:val="-3"/>
        </w:rPr>
        <w:t>有限公司人力行政部经理，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11</w:t>
      </w:r>
      <w:r>
        <w:rPr>
          <w:spacing w:val="-3"/>
        </w:rPr>
        <w:t>月至</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月任东莞市清溪钜顺鞋业有限公司企划经理、人力行政经理、办公室主任、</w:t>
      </w:r>
      <w:r>
        <w:rPr>
          <w:spacing w:val="-81"/>
        </w:rPr>
        <w:t> </w:t>
      </w:r>
      <w:r>
        <w:rPr>
          <w:spacing w:val="-81"/>
        </w:rPr>
      </w:r>
      <w:r>
        <w:rPr>
          <w:spacing w:val="-3"/>
        </w:rPr>
        <w:t>总经理特别助理等，</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月先后任茂硕电源人力资源中心总监、行政总监、精益自动化部总监等职务，</w:t>
      </w:r>
      <w:r>
        <w:rPr>
          <w:rFonts w:ascii="Times New Roman" w:hAnsi="Times New Roman" w:cs="Times New Roman" w:eastAsia="Times New Roman" w:hint="default"/>
          <w:spacing w:val="-3"/>
        </w:rPr>
        <w:t>2013</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0"/>
        <w:jc w:val="both"/>
      </w:pPr>
      <w:r>
        <w:rPr/>
        <w:t>年</w:t>
      </w:r>
      <w:r>
        <w:rPr>
          <w:rFonts w:ascii="Times New Roman" w:hAnsi="Times New Roman" w:cs="Times New Roman" w:eastAsia="Times New Roman" w:hint="default"/>
        </w:rPr>
        <w:t>6</w:t>
      </w:r>
      <w:r>
        <w:rPr/>
        <w:t>月至今任茂硕电源监事会主席。</w:t>
      </w:r>
    </w:p>
    <w:p>
      <w:pPr>
        <w:spacing w:line="240" w:lineRule="auto" w:before="0"/>
        <w:rPr>
          <w:rFonts w:ascii="宋体" w:hAnsi="宋体" w:cs="宋体" w:eastAsia="宋体" w:hint="default"/>
          <w:sz w:val="18"/>
          <w:szCs w:val="18"/>
        </w:rPr>
      </w:pPr>
    </w:p>
    <w:p>
      <w:pPr>
        <w:pStyle w:val="BodyText"/>
        <w:spacing w:line="300" w:lineRule="auto" w:before="139"/>
        <w:ind w:left="153" w:right="1139" w:firstLine="360"/>
        <w:jc w:val="both"/>
      </w:pPr>
      <w:r>
        <w:rPr/>
        <w:t>成水英，女，中国国籍，</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月出生，毕业于湖南农业大学，本科学历。成水英女士于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月于深 圳市荣丰包装制品有限公任物控专员，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月于深圳市众成纸品有限公司任总经理助理，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5</w:t>
      </w:r>
      <w:r>
        <w:rPr/>
        <w:t>月于深圳市富雅分色印刷有限公司任高级客户代表，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月年</w:t>
      </w:r>
      <w:r>
        <w:rPr>
          <w:rFonts w:ascii="Times New Roman" w:hAnsi="Times New Roman" w:cs="Times New Roman" w:eastAsia="Times New Roman" w:hint="default"/>
        </w:rPr>
        <w:t>2007</w:t>
      </w:r>
      <w:r>
        <w:rPr/>
        <w:t>年月</w:t>
      </w:r>
      <w:r>
        <w:rPr>
          <w:rFonts w:ascii="Times New Roman" w:hAnsi="Times New Roman" w:cs="Times New Roman" w:eastAsia="Times New Roman" w:hint="default"/>
        </w:rPr>
        <w:t>7</w:t>
      </w:r>
      <w:r>
        <w:rPr/>
        <w:t>月于深圳冠宏达有限公司任供方专员，</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8</w:t>
      </w:r>
      <w:r>
        <w:rPr/>
        <w:t>月至今先后任茂硕电源董事长秘书、总裁助理、主任助理、人力资源部总监、监事。</w:t>
      </w:r>
    </w:p>
    <w:p>
      <w:pPr>
        <w:spacing w:line="240" w:lineRule="auto" w:before="11"/>
        <w:rPr>
          <w:rFonts w:ascii="宋体" w:hAnsi="宋体" w:cs="宋体" w:eastAsia="宋体" w:hint="default"/>
          <w:sz w:val="24"/>
          <w:szCs w:val="24"/>
        </w:rPr>
      </w:pPr>
    </w:p>
    <w:p>
      <w:pPr>
        <w:pStyle w:val="BodyText"/>
        <w:spacing w:line="300" w:lineRule="auto"/>
        <w:ind w:left="153" w:right="1139" w:firstLine="360"/>
        <w:jc w:val="both"/>
      </w:pPr>
      <w:r>
        <w:rPr/>
        <w:t>洪丹，女，中国国籍，</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11</w:t>
      </w:r>
      <w:r>
        <w:rPr/>
        <w:t>月出生，毕业于上饶师范学院，大学本科学历，学士学位。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月至今任职于茂硕 电源科技股份有限公司人力资源中心，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月担任公司监事。</w:t>
      </w:r>
    </w:p>
    <w:p>
      <w:pPr>
        <w:spacing w:line="240" w:lineRule="auto" w:before="11"/>
        <w:rPr>
          <w:rFonts w:ascii="宋体" w:hAnsi="宋体" w:cs="宋体" w:eastAsia="宋体" w:hint="default"/>
          <w:sz w:val="24"/>
          <w:szCs w:val="24"/>
        </w:rPr>
      </w:pPr>
    </w:p>
    <w:p>
      <w:pPr>
        <w:pStyle w:val="BodyText"/>
        <w:spacing w:line="300" w:lineRule="auto"/>
        <w:ind w:left="514" w:right="123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、高级管理人员 顾永德，男，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月出生，中国国籍，曾就读于清华大学深圳研究院，曾获</w:t>
      </w:r>
      <w:r>
        <w:rPr>
          <w:rFonts w:ascii="Times New Roman" w:hAnsi="Times New Roman" w:cs="Times New Roman" w:eastAsia="Times New Roman" w:hint="default"/>
        </w:rPr>
        <w:t>“</w:t>
      </w:r>
      <w:r>
        <w:rPr/>
        <w:t>优秀来深建设者</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p>
    <w:p>
      <w:pPr>
        <w:pStyle w:val="BodyText"/>
        <w:spacing w:line="300" w:lineRule="auto" w:before="13"/>
        <w:ind w:left="153" w:right="1131"/>
        <w:jc w:val="both"/>
      </w:pP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月任深圳锡星电子有限公司董事长兼总经理，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月至今任茂硕电源科技股份有限公司董事长兼总经理。现</w:t>
      </w:r>
      <w:r>
        <w:rPr>
          <w:spacing w:val="-54"/>
        </w:rPr>
        <w:t> </w:t>
      </w:r>
      <w:r>
        <w:rPr>
          <w:spacing w:val="-54"/>
        </w:rPr>
      </w:r>
      <w:r>
        <w:rPr>
          <w:spacing w:val="-2"/>
        </w:rPr>
        <w:t>任深圳市</w:t>
      </w:r>
      <w:r>
        <w:rPr>
          <w:rFonts w:ascii="Times New Roman" w:hAnsi="Times New Roman" w:cs="Times New Roman" w:eastAsia="Times New Roman" w:hint="default"/>
          <w:spacing w:val="-2"/>
        </w:rPr>
        <w:t>LED</w:t>
      </w:r>
      <w:r>
        <w:rPr>
          <w:spacing w:val="-2"/>
        </w:rPr>
        <w:t>产业联合会副会长、广东省半导体照明产业联合创新中心监事长、深圳市工商总会副会长、深圳市江苏商会副</w:t>
      </w:r>
      <w:r>
        <w:rPr>
          <w:spacing w:val="-53"/>
        </w:rPr>
        <w:t> </w:t>
      </w:r>
      <w:r>
        <w:rPr>
          <w:spacing w:val="-53"/>
        </w:rPr>
      </w:r>
      <w:r>
        <w:rPr/>
        <w:t>会长、深圳市无锡商会常务副会长、深圳市第五届人大代表。</w:t>
      </w:r>
    </w:p>
    <w:p>
      <w:pPr>
        <w:spacing w:line="240" w:lineRule="auto" w:before="3"/>
        <w:rPr>
          <w:rFonts w:ascii="宋体" w:hAnsi="宋体" w:cs="宋体" w:eastAsia="宋体" w:hint="default"/>
          <w:sz w:val="26"/>
          <w:szCs w:val="26"/>
        </w:rPr>
      </w:pPr>
    </w:p>
    <w:p>
      <w:pPr>
        <w:pStyle w:val="BodyText"/>
        <w:spacing w:line="300" w:lineRule="auto"/>
        <w:ind w:left="153" w:right="0" w:firstLine="360"/>
        <w:jc w:val="left"/>
      </w:pPr>
      <w:r>
        <w:rPr/>
        <w:t>潘晓平，男，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3</w:t>
      </w:r>
      <w:r>
        <w:rPr/>
        <w:t>月出生，中国国籍，毕业于中国纺织大学机械工程系供热与通风专业，工学学士学位。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7 </w:t>
      </w:r>
      <w:r>
        <w:rPr>
          <w:spacing w:val="-3"/>
        </w:rPr>
        <w:t>月至</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3</w:t>
      </w:r>
      <w:r>
        <w:rPr>
          <w:spacing w:val="-3"/>
        </w:rPr>
        <w:t>月担任苏州太仓针织总厂动力分厂技术员、副厂长；</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5</w:t>
      </w:r>
      <w:r>
        <w:rPr>
          <w:spacing w:val="-3"/>
        </w:rPr>
        <w:t>月担任安莉芳集团有限公司经理；</w:t>
      </w:r>
      <w:r>
        <w:rPr>
          <w:rFonts w:ascii="Times New Roman" w:hAnsi="Times New Roman" w:cs="Times New Roman" w:eastAsia="Times New Roman" w:hint="default"/>
          <w:spacing w:val="-3"/>
        </w:rPr>
        <w:t>1995</w:t>
      </w:r>
      <w:r>
        <w:rPr>
          <w:rFonts w:ascii="Times New Roman" w:hAnsi="Times New Roman" w:cs="Times New Roman" w:eastAsia="Times New Roman" w:hint="default"/>
          <w:spacing w:val="-27"/>
        </w:rPr>
        <w:t> </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月担任深圳经济特区免税商品企业公司经理；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月担任安兴纸业（深圳）有限公司副总经</w:t>
      </w:r>
      <w:r>
        <w:rPr>
          <w:spacing w:val="-50"/>
        </w:rPr>
        <w:t> </w:t>
      </w:r>
      <w:r>
        <w:rPr>
          <w:spacing w:val="-50"/>
        </w:rPr>
      </w:r>
      <w:r>
        <w:rPr>
          <w:spacing w:val="-3"/>
        </w:rPr>
        <w:t>理；</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5</w:t>
      </w:r>
      <w:r>
        <w:rPr>
          <w:spacing w:val="-3"/>
        </w:rPr>
        <w:t>月担任三和国际有限公司副总经理；</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月担任崧顺电子（深圳）有限公司总经理；</w:t>
      </w:r>
      <w:r>
        <w:rPr>
          <w:spacing w:val="-70"/>
        </w:rPr>
        <w:t> </w:t>
      </w:r>
      <w:r>
        <w:rPr>
          <w:spacing w:val="-70"/>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月担任豪鹏国际股份有限公司副总经理；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月至今先后担任茂硕电源科技股份有限公司</w:t>
      </w:r>
      <w:r>
        <w:rPr>
          <w:rFonts w:ascii="Times New Roman" w:hAnsi="Times New Roman" w:cs="Times New Roman" w:eastAsia="Times New Roman" w:hint="default"/>
        </w:rPr>
        <w:t>SPS</w:t>
      </w:r>
      <w:r>
        <w:rPr/>
        <w:t>事 业群总经理、副总裁、副总经理。</w:t>
      </w:r>
    </w:p>
    <w:p>
      <w:pPr>
        <w:spacing w:line="240" w:lineRule="auto" w:before="4"/>
        <w:rPr>
          <w:rFonts w:ascii="宋体" w:hAnsi="宋体" w:cs="宋体" w:eastAsia="宋体" w:hint="default"/>
          <w:sz w:val="26"/>
          <w:szCs w:val="26"/>
        </w:rPr>
      </w:pPr>
    </w:p>
    <w:p>
      <w:pPr>
        <w:pStyle w:val="BodyText"/>
        <w:spacing w:line="300" w:lineRule="auto"/>
        <w:ind w:left="153" w:right="1129" w:firstLine="360"/>
        <w:jc w:val="both"/>
      </w:pPr>
      <w:r>
        <w:rPr/>
        <w:t>刘耀平，男，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月生，加拿大国籍，毕业于华中科技大学电力电子专业，硕士研究生学历，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 </w:t>
      </w:r>
      <w:r>
        <w:rPr>
          <w:spacing w:val="-2"/>
        </w:rPr>
        <w:t>月，作为访问学者在美国加州大学欧文分校电力电子实验室从事电力电子理论研究实验工作。</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月在深圳</w:t>
      </w:r>
      <w:r>
        <w:rPr>
          <w:spacing w:val="-53"/>
        </w:rPr>
        <w:t> </w:t>
      </w:r>
      <w:r>
        <w:rPr>
          <w:spacing w:val="-2"/>
        </w:rPr>
        <w:t>华德电子有限公司工作，先后担任开关电源产品研发工程师、研发部经理和公司副总工程师。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月，以及</w:t>
      </w:r>
      <w:r>
        <w:rPr>
          <w:spacing w:val="-55"/>
        </w:rPr>
        <w:t> </w:t>
      </w:r>
      <w:r>
        <w:rPr>
          <w:spacing w:val="-55"/>
        </w:rPr>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月期间，在深圳瑞谷科技有限公司工作，先后担任该公司副总经理兼总工程师、研发中心主任和公司首</w:t>
      </w:r>
      <w:r>
        <w:rPr>
          <w:spacing w:val="-56"/>
        </w:rPr>
        <w:t> </w:t>
      </w:r>
      <w:r>
        <w:rPr>
          <w:spacing w:val="-56"/>
        </w:rPr>
      </w:r>
      <w:r>
        <w:rPr/>
        <w:t>席技术官。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月，担任加拿大</w:t>
      </w:r>
      <w:r>
        <w:rPr>
          <w:rFonts w:ascii="Times New Roman" w:hAnsi="Times New Roman" w:cs="Times New Roman" w:eastAsia="Times New Roman" w:hint="default"/>
        </w:rPr>
        <w:t>KARPAREL</w:t>
      </w:r>
      <w:r>
        <w:rPr/>
        <w:t>公司资深电源工程师。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月期间，担任加拿大</w:t>
      </w:r>
      <w:r>
        <w:rPr>
          <w:rFonts w:ascii="Times New Roman" w:hAnsi="Times New Roman" w:cs="Times New Roman" w:eastAsia="Times New Roman" w:hint="default"/>
        </w:rPr>
        <w:t>CPI</w:t>
      </w:r>
      <w:r>
        <w:rPr/>
        <w:t>公司资深设计工程师（医疗用特种高压电源）。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月至今先后担任茂硕电源科</w:t>
      </w:r>
      <w:r>
        <w:rPr>
          <w:w w:val="99"/>
        </w:rPr>
        <w:t> </w:t>
      </w:r>
      <w:r>
        <w:rPr/>
        <w:t>技股份有限公司研发中心总经理、</w:t>
      </w:r>
      <w:r>
        <w:rPr>
          <w:rFonts w:ascii="Times New Roman" w:hAnsi="Times New Roman" w:cs="Times New Roman" w:eastAsia="Times New Roman" w:hint="default"/>
        </w:rPr>
        <w:t>LED</w:t>
      </w:r>
      <w:r>
        <w:rPr/>
        <w:t>事业群副总裁兼研发中心总工程师、副总经理。</w:t>
      </w:r>
    </w:p>
    <w:p>
      <w:pPr>
        <w:spacing w:line="240" w:lineRule="auto" w:before="11"/>
        <w:rPr>
          <w:rFonts w:ascii="宋体" w:hAnsi="宋体" w:cs="宋体" w:eastAsia="宋体" w:hint="default"/>
          <w:sz w:val="24"/>
          <w:szCs w:val="24"/>
        </w:rPr>
      </w:pPr>
    </w:p>
    <w:p>
      <w:pPr>
        <w:pStyle w:val="BodyText"/>
        <w:spacing w:line="300" w:lineRule="auto"/>
        <w:ind w:left="153" w:right="0" w:firstLine="360"/>
        <w:jc w:val="left"/>
      </w:pPr>
      <w:r>
        <w:rPr/>
        <w:t>王细亮，男，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8</w:t>
      </w:r>
      <w:r>
        <w:rPr/>
        <w:t>月出生，中国国籍，毕业于武汉科技大学，工学学士，工商管理硕士。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1998</w:t>
      </w:r>
      <w:r>
        <w:rPr/>
        <w:t>年担任西门 </w:t>
      </w:r>
      <w:r>
        <w:rPr>
          <w:spacing w:val="-2"/>
        </w:rPr>
        <w:t>子技术销售工程师；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2001</w:t>
      </w:r>
      <w:r>
        <w:rPr>
          <w:spacing w:val="-2"/>
        </w:rPr>
        <w:t>年担任松日集团研发中心负责人；</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2008</w:t>
      </w:r>
      <w:r>
        <w:rPr>
          <w:spacing w:val="-2"/>
        </w:rPr>
        <w:t>年担任新加坡</w:t>
      </w:r>
      <w:r>
        <w:rPr>
          <w:rFonts w:ascii="Times New Roman" w:hAnsi="Times New Roman" w:cs="Times New Roman" w:eastAsia="Times New Roman" w:hint="default"/>
          <w:spacing w:val="-2"/>
        </w:rPr>
        <w:t>SERIAL</w:t>
      </w:r>
      <w:r>
        <w:rPr>
          <w:spacing w:val="-2"/>
        </w:rPr>
        <w:t>公司高级销售经理；</w:t>
      </w:r>
      <w:r>
        <w:rPr>
          <w:spacing w:val="-42"/>
        </w:rPr>
        <w:t> </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年担任德国</w:t>
      </w:r>
      <w:r>
        <w:rPr>
          <w:rFonts w:ascii="Times New Roman" w:hAnsi="Times New Roman" w:cs="Times New Roman" w:eastAsia="Times New Roman" w:hint="default"/>
        </w:rPr>
        <w:t>SEMIKRON</w:t>
      </w:r>
      <w:r>
        <w:rPr/>
        <w:t>南中国区销售总监；</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年担任德国</w:t>
      </w:r>
      <w:r>
        <w:rPr>
          <w:rFonts w:ascii="Times New Roman" w:hAnsi="Times New Roman" w:cs="Times New Roman" w:eastAsia="Times New Roman" w:hint="default"/>
        </w:rPr>
        <w:t>FRIWO</w:t>
      </w:r>
      <w:r>
        <w:rPr/>
        <w:t>电源亚太区销售市场总监；</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月至今先后担任茂硕电源科技股份有限公司总经理助理、</w:t>
      </w:r>
      <w:r>
        <w:rPr>
          <w:rFonts w:ascii="Times New Roman" w:hAnsi="Times New Roman" w:cs="Times New Roman" w:eastAsia="Times New Roman" w:hint="default"/>
        </w:rPr>
        <w:t>SPS</w:t>
      </w:r>
      <w:r>
        <w:rPr/>
        <w:t>事业群副总裁、副总经理。</w:t>
      </w:r>
    </w:p>
    <w:p>
      <w:pPr>
        <w:spacing w:line="240" w:lineRule="auto" w:before="11"/>
        <w:rPr>
          <w:rFonts w:ascii="宋体" w:hAnsi="宋体" w:cs="宋体" w:eastAsia="宋体" w:hint="default"/>
          <w:sz w:val="24"/>
          <w:szCs w:val="24"/>
        </w:rPr>
      </w:pPr>
    </w:p>
    <w:p>
      <w:pPr>
        <w:pStyle w:val="BodyText"/>
        <w:spacing w:line="309" w:lineRule="auto"/>
        <w:ind w:right="1131" w:firstLine="360"/>
        <w:jc w:val="both"/>
      </w:pPr>
      <w:r>
        <w:rPr/>
        <w:t>罗宏健，男，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月出生，中国国籍，毕业于湖南大学会计专业，本科学历，会计专业中级职称。曾任湖南省茶叶 </w:t>
      </w:r>
      <w:r>
        <w:rPr>
          <w:spacing w:val="-2"/>
        </w:rPr>
        <w:t>总公司临湘茶厂会计、财计科科长，深圳市联建光电股份有限公司会计、财务部主管，深圳市新宇龙信息科技有限公司财务</w:t>
      </w:r>
      <w:r>
        <w:rPr>
          <w:spacing w:val="-66"/>
        </w:rPr>
        <w:t> </w:t>
      </w:r>
      <w:r>
        <w:rPr>
          <w:spacing w:val="-66"/>
        </w:rPr>
      </w:r>
      <w:r>
        <w:rPr/>
        <w:t>部经理，新达通科技股份有限公司财务总监，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月加入茂硕电源科技股份有限公司，现任公司财务总监。</w:t>
      </w:r>
    </w:p>
    <w:p>
      <w:pPr>
        <w:spacing w:line="240" w:lineRule="auto" w:before="3"/>
        <w:rPr>
          <w:rFonts w:ascii="宋体" w:hAnsi="宋体" w:cs="宋体" w:eastAsia="宋体" w:hint="default"/>
          <w:sz w:val="24"/>
          <w:szCs w:val="24"/>
        </w:rPr>
      </w:pPr>
    </w:p>
    <w:p>
      <w:pPr>
        <w:pStyle w:val="BodyText"/>
        <w:spacing w:line="300" w:lineRule="auto"/>
        <w:ind w:right="1043" w:firstLine="360"/>
        <w:jc w:val="both"/>
      </w:pPr>
      <w:r>
        <w:rPr/>
        <w:t>方吉槟，男，</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4</w:t>
      </w:r>
      <w:r>
        <w:rPr/>
        <w:t>月出生，中国国籍，无境外永久居留权，中山大学工商管理硕士；曾任职于金元证券股份有限公 </w:t>
      </w:r>
      <w:r>
        <w:rPr>
          <w:spacing w:val="-4"/>
        </w:rPr>
        <w:t>司、证券时报，具有证券、期货从业资格，</w:t>
      </w:r>
      <w:r>
        <w:rPr>
          <w:rFonts w:ascii="Times New Roman" w:hAnsi="Times New Roman" w:cs="Times New Roman" w:eastAsia="Times New Roman" w:hint="default"/>
          <w:spacing w:val="-4"/>
        </w:rPr>
        <w:t>2012</w:t>
      </w:r>
      <w:r>
        <w:rPr>
          <w:spacing w:val="-4"/>
        </w:rPr>
        <w:t>年加入茂硕电源科技股份有限公司，现任公司董事、副总经理、董事会秘书。</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在股东单位任职情况</w:t>
      </w:r>
    </w:p>
    <w:p>
      <w:pPr>
        <w:pStyle w:val="BodyText"/>
        <w:spacing w:line="240" w:lineRule="auto" w:before="116"/>
        <w:ind w:left="153" w:right="0"/>
        <w:jc w:val="left"/>
      </w:pPr>
      <w:r>
        <w:rPr/>
        <w:pict>
          <v:group style="position:absolute;margin-left:329.679993pt;margin-top:59.051708pt;width:59.3pt;height:7.8pt;mso-position-horizontal-relative:page;mso-position-vertical-relative:paragraph;z-index:-1046944" coordorigin="6594,1181" coordsize="1186,156">
            <v:shape style="position:absolute;left:6594;top:1181;width:1186;height:156" coordorigin="6594,1181" coordsize="1186,156" path="m6594,1337l7779,1337,7779,1181,6594,1181,6594,1337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2"/>
                <w:sz w:val="18"/>
                <w:szCs w:val="18"/>
              </w:rPr>
              <w:t>总经理、执行</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2"/>
                <w:sz w:val="18"/>
                <w:szCs w:val="18"/>
              </w:rPr>
              <w:t>（常务）董事</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法人代表、董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深圳德浩会计师事务所（普通合伙）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深圳古瑞瓦特新能源股份有限公司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深圳市深科达智能装备股份有限公司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理、财务总 </w:t>
            </w:r>
            <w:r>
              <w:rPr>
                <w:rFonts w:ascii="宋体" w:hAnsi="宋体" w:cs="宋体" w:eastAsia="宋体" w:hint="default"/>
                <w:spacing w:val="-13"/>
                <w:sz w:val="18"/>
                <w:szCs w:val="18"/>
              </w:rPr>
              <w:t>监、董事会秘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深圳市华益盛模具股份有限公司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法人代表、董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法人代表</w:t>
            </w:r>
            <w:r>
              <w:rPr>
                <w:rFonts w:ascii="宋体" w:hAnsi="宋体" w:cs="宋体" w:eastAsia="宋体" w:hint="default"/>
                <w:spacing w:val="-74"/>
                <w:sz w:val="18"/>
                <w:szCs w:val="18"/>
              </w:rPr>
              <w:t>、</w:t>
            </w:r>
            <w:r>
              <w:rPr>
                <w:rFonts w:ascii="宋体" w:hAnsi="宋体" w:cs="宋体" w:eastAsia="宋体" w:hint="default"/>
                <w:sz w:val="18"/>
                <w:szCs w:val="18"/>
              </w:rPr>
              <w:t>董</w:t>
            </w:r>
            <w:r>
              <w:rPr>
                <w:rFonts w:ascii="宋体" w:hAnsi="宋体" w:cs="宋体" w:eastAsia="宋体" w:hint="default"/>
                <w:sz w:val="18"/>
                <w:szCs w:val="18"/>
              </w:rPr>
              <w:t> 事长</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15"/>
      <w:bookmarkEnd w:id="115"/>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董事、监事、高级管理人员报酬的决策程序、确定依据、实际支付情况</w:t>
      </w:r>
    </w:p>
    <w:p>
      <w:pPr>
        <w:pStyle w:val="BodyText"/>
        <w:spacing w:line="240" w:lineRule="auto" w:before="116"/>
        <w:ind w:left="513" w:right="0"/>
        <w:jc w:val="left"/>
      </w:pPr>
      <w:r>
        <w:rPr>
          <w:rFonts w:ascii="Times New Roman" w:hAnsi="Times New Roman" w:cs="Times New Roman" w:eastAsia="Times New Roman" w:hint="default"/>
        </w:rPr>
        <w:t>1</w:t>
      </w:r>
      <w:r>
        <w:rPr/>
        <w:t>、董事、监事、高级管理人员报酬的决策程序</w:t>
      </w:r>
    </w:p>
    <w:p>
      <w:pPr>
        <w:pStyle w:val="BodyText"/>
        <w:spacing w:line="240" w:lineRule="auto" w:before="63"/>
        <w:ind w:left="5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日，公司第三届董事会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w:t>
      </w:r>
      <w:r>
        <w:rPr/>
        <w:t>次定期会议审议通过《关于修改﹤董事、监事、高级管理人员薪酬制度﹥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213" w:right="1078"/>
        <w:jc w:val="left"/>
      </w:pPr>
      <w:r>
        <w:rPr/>
        <w:t>的议案》、《关于公司</w:t>
      </w:r>
      <w:r>
        <w:rPr>
          <w:rFonts w:ascii="Times New Roman" w:hAnsi="Times New Roman" w:cs="Times New Roman" w:eastAsia="Times New Roman" w:hint="default"/>
        </w:rPr>
        <w:t>&lt;2014</w:t>
      </w:r>
      <w:r>
        <w:rPr/>
        <w:t>年度董事、监事、高级管理人员薪酬方案</w:t>
      </w:r>
      <w:r>
        <w:rPr>
          <w:rFonts w:ascii="Times New Roman" w:hAnsi="Times New Roman" w:cs="Times New Roman" w:eastAsia="Times New Roman" w:hint="default"/>
        </w:rPr>
        <w:t>&gt;</w:t>
      </w:r>
      <w:r>
        <w:rPr/>
        <w:t>的议案》，后经股东大会审议通过后生效；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 </w:t>
      </w:r>
      <w:r>
        <w:rPr/>
        <w:t>月，由公司董事会薪酬与考核委员会审核确定</w:t>
      </w:r>
      <w:r>
        <w:rPr>
          <w:rFonts w:ascii="Times New Roman" w:hAnsi="Times New Roman" w:cs="Times New Roman" w:eastAsia="Times New Roman" w:hint="default"/>
        </w:rPr>
        <w:t>2014</w:t>
      </w:r>
      <w:r>
        <w:rPr/>
        <w:t>年度公司董事、监事、高级管理人员合计薪酬总额为人民币</w:t>
      </w:r>
      <w:r>
        <w:rPr>
          <w:rFonts w:ascii="Times New Roman" w:hAnsi="Times New Roman" w:cs="Times New Roman" w:eastAsia="Times New Roman" w:hint="default"/>
        </w:rPr>
        <w:t>427.05</w:t>
      </w:r>
      <w:r>
        <w:rPr/>
        <w:t>万元。</w:t>
      </w:r>
    </w:p>
    <w:p>
      <w:pPr>
        <w:pStyle w:val="BodyText"/>
        <w:spacing w:line="300" w:lineRule="auto" w:before="13"/>
        <w:ind w:left="574" w:right="1078"/>
        <w:jc w:val="left"/>
      </w:pPr>
      <w:r>
        <w:rPr>
          <w:rFonts w:ascii="Times New Roman" w:hAnsi="Times New Roman" w:cs="Times New Roman" w:eastAsia="Times New Roman" w:hint="default"/>
        </w:rPr>
        <w:t>2</w:t>
      </w:r>
      <w:r>
        <w:rPr/>
        <w:t>、董事、监事、高级管理人员报酬确定依据 </w:t>
      </w:r>
      <w:r>
        <w:rPr>
          <w:spacing w:val="-2"/>
        </w:rPr>
        <w:t>根据《公司章程》、《董事、监事、高级管理人员薪酬制度》等公司相关制度，结合公司经营规模等实际情况并参照行</w:t>
      </w:r>
    </w:p>
    <w:p>
      <w:pPr>
        <w:pStyle w:val="BodyText"/>
        <w:spacing w:line="240" w:lineRule="auto" w:before="32"/>
        <w:ind w:left="214" w:right="1078"/>
        <w:jc w:val="left"/>
      </w:pPr>
      <w:r>
        <w:rPr/>
        <w:t>业薪酬水平确定。</w:t>
      </w:r>
    </w:p>
    <w:p>
      <w:pPr>
        <w:spacing w:line="240" w:lineRule="auto" w:before="5"/>
        <w:rPr>
          <w:rFonts w:ascii="宋体" w:hAnsi="宋体" w:cs="宋体" w:eastAsia="宋体" w:hint="default"/>
          <w:sz w:val="29"/>
          <w:szCs w:val="29"/>
        </w:rPr>
      </w:pPr>
    </w:p>
    <w:p>
      <w:pPr>
        <w:pStyle w:val="BodyText"/>
        <w:spacing w:line="240" w:lineRule="auto" w:before="44"/>
        <w:ind w:left="214" w:right="1078"/>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2" w:right="142"/>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从股东单位 获得的报酬 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2" w:right="140"/>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80"/>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36.97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5.25</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80"/>
              <w:jc w:val="both"/>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15.31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戴新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23.09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83.27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427.05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325.52</w:t>
            </w:r>
          </w:p>
        </w:tc>
      </w:tr>
    </w:tbl>
    <w:p>
      <w:pPr>
        <w:pStyle w:val="BodyText"/>
        <w:spacing w:line="240" w:lineRule="auto" w:before="51"/>
        <w:ind w:left="214" w:right="1078"/>
        <w:jc w:val="left"/>
      </w:pPr>
      <w:r>
        <w:rPr/>
        <w:t>公司董事、监事、高级管理人员报告期内被授予的股权激励情况</w:t>
      </w:r>
    </w:p>
    <w:p>
      <w:pPr>
        <w:pStyle w:val="BodyText"/>
        <w:spacing w:line="338" w:lineRule="auto" w:before="117"/>
        <w:ind w:left="513" w:right="1078" w:hanging="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公司实施于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月开始实施股权激励计划，目前已经取得现阶段必要的批准和授权，符合《上市公司股权激励管理</w:t>
      </w:r>
    </w:p>
    <w:p>
      <w:pPr>
        <w:pStyle w:val="BodyText"/>
        <w:spacing w:line="300" w:lineRule="auto" w:before="2"/>
        <w:ind w:left="213" w:right="1123"/>
        <w:jc w:val="left"/>
      </w:pPr>
      <w:r>
        <w:rPr/>
        <w:t>办法（试行）》、《股权激励有关事项备忘录</w:t>
      </w:r>
      <w:r>
        <w:rPr>
          <w:rFonts w:ascii="Times New Roman" w:hAnsi="Times New Roman" w:cs="Times New Roman" w:eastAsia="Times New Roman" w:hint="default"/>
        </w:rPr>
        <w:t>1</w:t>
      </w:r>
      <w:r>
        <w:rPr/>
        <w:t>号》、《股权激励有关事项备忘录</w:t>
      </w:r>
      <w:r>
        <w:rPr>
          <w:rFonts w:ascii="Times New Roman" w:hAnsi="Times New Roman" w:cs="Times New Roman" w:eastAsia="Times New Roman" w:hint="default"/>
        </w:rPr>
        <w:t>2</w:t>
      </w:r>
      <w:r>
        <w:rPr/>
        <w:t>号》和《股权激励有关事项备忘录</w:t>
      </w:r>
      <w:r>
        <w:rPr>
          <w:rFonts w:ascii="Times New Roman" w:hAnsi="Times New Roman" w:cs="Times New Roman" w:eastAsia="Times New Roman" w:hint="default"/>
        </w:rPr>
        <w:t>3</w:t>
      </w:r>
      <w:r>
        <w:rPr/>
        <w:t>号》 的相关规定。该股权激励计划尚未正式完成授予，待正式完成后公司将另行公告。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left="213" w:right="1078"/>
        <w:jc w:val="left"/>
        <w:rPr>
          <w:b w:val="0"/>
          <w:bCs w:val="0"/>
        </w:rPr>
      </w:pPr>
      <w:bookmarkStart w:name="四、公司董事、监事、高级管理人员变动情况" w:id="116"/>
      <w:bookmarkEnd w:id="116"/>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临时会议审议通过辞去公司总经理职务，继续担任公 </w:t>
            </w:r>
            <w:r>
              <w:rPr>
                <w:rFonts w:ascii="宋体" w:hAnsi="宋体" w:cs="宋体" w:eastAsia="宋体" w:hint="default"/>
                <w:spacing w:val="-4"/>
                <w:sz w:val="18"/>
                <w:szCs w:val="18"/>
              </w:rPr>
              <w:t>司董事长职务；</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
              <w:ind w:left="23" w:right="0"/>
              <w:jc w:val="both"/>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次临时会议审议通过聘任为公司总经理。</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4" w:right="35"/>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临时会议审议通过聘任为公司总经理，并继续担任公 </w:t>
            </w:r>
            <w:r>
              <w:rPr>
                <w:rFonts w:ascii="宋体" w:hAnsi="宋体" w:cs="宋体" w:eastAsia="宋体" w:hint="default"/>
                <w:spacing w:val="-8"/>
                <w:sz w:val="18"/>
                <w:szCs w:val="18"/>
              </w:rPr>
              <w:t>司副董事长职务；</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日第三届董事会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p>
          <w:p>
            <w:pPr>
              <w:pStyle w:val="TableParagraph"/>
              <w:spacing w:line="309"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次临时会议审议通过其因个人原因辞去副董事 长及总经理职务，在董事会选举新任董事前继续履行 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日因个人原因辞去副总经理职务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日经公司第三届董事会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次临 时会议审议通过聘任为公司副总经理。</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7"/>
      <w:bookmarkEnd w:id="117"/>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118"/>
      <w:bookmarkEnd w:id="118"/>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05" w:right="0"/>
        <w:jc w:val="left"/>
      </w:pPr>
      <w:r>
        <w:rPr>
          <w:rFonts w:ascii="Times New Roman" w:hAnsi="Times New Roman" w:cs="Times New Roman" w:eastAsia="Times New Roman" w:hint="default"/>
        </w:rPr>
        <w:t>1</w:t>
      </w:r>
      <w:r>
        <w:rPr/>
        <w:t>、员工构成情况如下：</w:t>
      </w:r>
    </w:p>
    <w:p>
      <w:pPr>
        <w:pStyle w:val="BodyText"/>
        <w:spacing w:line="240" w:lineRule="auto" w:before="63"/>
        <w:ind w:left="453" w:right="0"/>
        <w:jc w:val="left"/>
      </w:pPr>
      <w:r>
        <w:rPr/>
        <w:t>（</w:t>
      </w:r>
      <w:r>
        <w:rPr>
          <w:rFonts w:ascii="Times New Roman" w:hAnsi="Times New Roman" w:cs="Times New Roman" w:eastAsia="Times New Roman" w:hint="default"/>
        </w:rPr>
        <w:t>1</w:t>
      </w:r>
      <w:r>
        <w:rPr/>
        <w:t>）茂硕电源（本部）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421"/>
        <w:gridCol w:w="4137"/>
      </w:tblGrid>
      <w:tr>
        <w:trPr>
          <w:trHeight w:val="348"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在职员工人数</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386</w:t>
            </w:r>
          </w:p>
        </w:tc>
      </w:tr>
      <w:tr>
        <w:trPr>
          <w:trHeight w:val="346" w:hRule="exact"/>
        </w:trPr>
        <w:tc>
          <w:tcPr>
            <w:tcW w:w="542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41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57</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60</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64</w:t>
            </w:r>
          </w:p>
        </w:tc>
      </w:tr>
      <w:tr>
        <w:trPr>
          <w:trHeight w:val="348"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44</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149</w:t>
            </w:r>
          </w:p>
        </w:tc>
      </w:tr>
      <w:tr>
        <w:trPr>
          <w:trHeight w:val="347" w:hRule="exact"/>
        </w:trPr>
        <w:tc>
          <w:tcPr>
            <w:tcW w:w="9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1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103</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126</w:t>
            </w:r>
          </w:p>
        </w:tc>
      </w:tr>
      <w:tr>
        <w:trPr>
          <w:trHeight w:val="348"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143</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13</w:t>
            </w:r>
          </w:p>
        </w:tc>
      </w:tr>
      <w:tr>
        <w:trPr>
          <w:trHeight w:val="347" w:hRule="exact"/>
        </w:trPr>
        <w:tc>
          <w:tcPr>
            <w:tcW w:w="5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5205" w:lineRule="exact"/>
        <w:ind w:left="15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275836" cy="330517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9" cstate="print"/>
                    <a:stretch>
                      <a:fillRect/>
                    </a:stretch>
                  </pic:blipFill>
                  <pic:spPr>
                    <a:xfrm>
                      <a:off x="0" y="0"/>
                      <a:ext cx="5275836" cy="3305175"/>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5205" w:lineRule="exact"/>
        <w:ind w:left="15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275836" cy="330517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0" cstate="print"/>
                    <a:stretch>
                      <a:fillRect/>
                    </a:stretch>
                  </pic:blipFill>
                  <pic:spPr>
                    <a:xfrm>
                      <a:off x="0" y="0"/>
                      <a:ext cx="5275836" cy="3305175"/>
                    </a:xfrm>
                    <a:prstGeom prst="rect">
                      <a:avLst/>
                    </a:prstGeom>
                  </pic:spPr>
                </pic:pic>
              </a:graphicData>
            </a:graphic>
          </wp:inline>
        </w:drawing>
      </w:r>
      <w:r>
        <w:rPr>
          <w:rFonts w:ascii="宋体" w:hAnsi="宋体" w:cs="宋体" w:eastAsia="宋体" w:hint="default"/>
          <w:position w:val="-103"/>
          <w:sz w:val="20"/>
          <w:szCs w:val="20"/>
        </w:rPr>
      </w:r>
    </w:p>
    <w:p>
      <w:pPr>
        <w:pStyle w:val="BodyText"/>
        <w:spacing w:line="240" w:lineRule="auto" w:before="61"/>
        <w:ind w:left="469" w:right="0"/>
        <w:jc w:val="left"/>
      </w:pPr>
      <w:r>
        <w:rPr/>
        <w:t>（</w:t>
      </w:r>
      <w:r>
        <w:rPr>
          <w:rFonts w:ascii="Times New Roman" w:hAnsi="Times New Roman" w:cs="Times New Roman" w:eastAsia="Times New Roman" w:hint="default"/>
        </w:rPr>
        <w:t>2</w:t>
      </w:r>
      <w:r>
        <w:rPr/>
        <w:t>）主要子公司：茂硕电子</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81"/>
        <w:gridCol w:w="4576"/>
      </w:tblGrid>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在职员工人数</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1401</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457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60</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101</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81"/>
        <w:gridCol w:w="4576"/>
      </w:tblGrid>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1177</w:t>
            </w:r>
          </w:p>
        </w:tc>
      </w:tr>
      <w:tr>
        <w:trPr>
          <w:trHeight w:val="347" w:hRule="exact"/>
        </w:trPr>
        <w:tc>
          <w:tcPr>
            <w:tcW w:w="95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57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人数</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1316</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69</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派遣工总工时</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3,770,572.83</w:t>
            </w:r>
            <w:r>
              <w:rPr>
                <w:rFonts w:ascii="宋体" w:hAnsi="宋体" w:cs="宋体" w:eastAsia="宋体" w:hint="default"/>
                <w:sz w:val="18"/>
                <w:szCs w:val="18"/>
              </w:rPr>
              <w:t>小时</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派遣工总报酬</w:t>
            </w:r>
          </w:p>
        </w:tc>
        <w:tc>
          <w:tcPr>
            <w:tcW w:w="4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49,018,801.38</w:t>
            </w:r>
            <w:r>
              <w:rPr>
                <w:rFonts w:ascii="宋体" w:hAnsi="宋体" w:cs="宋体" w:eastAsia="宋体" w:hint="default"/>
                <w:sz w:val="18"/>
                <w:szCs w:val="18"/>
              </w:rPr>
              <w:t>元</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line="4736"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4"/>
          <w:sz w:val="20"/>
          <w:szCs w:val="20"/>
        </w:rPr>
        <w:drawing>
          <wp:inline distT="0" distB="0" distL="0" distR="0">
            <wp:extent cx="5276348" cy="3007709"/>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31" cstate="print"/>
                    <a:stretch>
                      <a:fillRect/>
                    </a:stretch>
                  </pic:blipFill>
                  <pic:spPr>
                    <a:xfrm>
                      <a:off x="0" y="0"/>
                      <a:ext cx="5276348" cy="3007709"/>
                    </a:xfrm>
                    <a:prstGeom prst="rect">
                      <a:avLst/>
                    </a:prstGeom>
                  </pic:spPr>
                </pic:pic>
              </a:graphicData>
            </a:graphic>
          </wp:inline>
        </w:drawing>
      </w:r>
      <w:r>
        <w:rPr>
          <w:rFonts w:ascii="Times New Roman" w:hAnsi="Times New Roman" w:cs="Times New Roman" w:eastAsia="Times New Roman" w:hint="default"/>
          <w:position w:val="-9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line="4580"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1"/>
          <w:sz w:val="20"/>
          <w:szCs w:val="20"/>
        </w:rPr>
        <w:drawing>
          <wp:inline distT="0" distB="0" distL="0" distR="0">
            <wp:extent cx="5276158" cy="2908554"/>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32" cstate="print"/>
                    <a:stretch>
                      <a:fillRect/>
                    </a:stretch>
                  </pic:blipFill>
                  <pic:spPr>
                    <a:xfrm>
                      <a:off x="0" y="0"/>
                      <a:ext cx="5276158" cy="2908554"/>
                    </a:xfrm>
                    <a:prstGeom prst="rect">
                      <a:avLst/>
                    </a:prstGeom>
                  </pic:spPr>
                </pic:pic>
              </a:graphicData>
            </a:graphic>
          </wp:inline>
        </w:drawing>
      </w:r>
      <w:r>
        <w:rPr>
          <w:rFonts w:ascii="Times New Roman" w:hAnsi="Times New Roman" w:cs="Times New Roman" w:eastAsia="Times New Roman" w:hint="default"/>
          <w:position w:val="-91"/>
          <w:sz w:val="20"/>
          <w:szCs w:val="20"/>
        </w:rPr>
      </w:r>
    </w:p>
    <w:p>
      <w:pPr>
        <w:spacing w:after="0" w:line="4580" w:lineRule="exac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left="573" w:right="0"/>
        <w:jc w:val="left"/>
      </w:pPr>
      <w:r>
        <w:rPr/>
        <w:t>（</w:t>
      </w:r>
      <w:r>
        <w:rPr>
          <w:rFonts w:ascii="Times New Roman" w:hAnsi="Times New Roman" w:cs="Times New Roman" w:eastAsia="Times New Roman" w:hint="default"/>
        </w:rPr>
        <w:t>3</w:t>
      </w:r>
      <w:r>
        <w:rPr/>
        <w:t>）惠州茂硕</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406"/>
        <w:gridCol w:w="3780"/>
      </w:tblGrid>
      <w:tr>
        <w:trPr>
          <w:trHeight w:val="340" w:hRule="exact"/>
        </w:trPr>
        <w:tc>
          <w:tcPr>
            <w:tcW w:w="5406" w:type="dxa"/>
            <w:tcBorders>
              <w:top w:val="nil" w:sz="6" w:space="0" w:color="auto"/>
              <w:left w:val="nil" w:sz="6" w:space="0" w:color="auto"/>
              <w:bottom w:val="single" w:sz="6" w:space="0" w:color="000000"/>
              <w:right w:val="single" w:sz="6"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在职员工人数</w:t>
            </w:r>
          </w:p>
        </w:tc>
        <w:tc>
          <w:tcPr>
            <w:tcW w:w="37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332</w:t>
            </w:r>
          </w:p>
        </w:tc>
      </w:tr>
      <w:tr>
        <w:trPr>
          <w:trHeight w:val="319" w:hRule="exact"/>
        </w:trPr>
        <w:tc>
          <w:tcPr>
            <w:tcW w:w="5406"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37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55" w:hRule="exact"/>
        </w:trPr>
        <w:tc>
          <w:tcPr>
            <w:tcW w:w="5406"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23"/>
              <w:ind w:left="9"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37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sz w:val="18"/>
              </w:rPr>
              <w:t>38</w:t>
            </w:r>
          </w:p>
        </w:tc>
      </w:tr>
      <w:tr>
        <w:trPr>
          <w:trHeight w:val="336"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6</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35</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4</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深调惠人员</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24</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225</w:t>
            </w:r>
          </w:p>
        </w:tc>
      </w:tr>
      <w:tr>
        <w:trPr>
          <w:trHeight w:val="340" w:hRule="exact"/>
        </w:trPr>
        <w:tc>
          <w:tcPr>
            <w:tcW w:w="9186"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3" w:hRule="exact"/>
        </w:trPr>
        <w:tc>
          <w:tcPr>
            <w:tcW w:w="5406"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7"/>
              <w:ind w:left="9"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37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292</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35</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5</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派遣工总工时</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1,854.5</w:t>
            </w:r>
            <w:r>
              <w:rPr>
                <w:rFonts w:ascii="宋体" w:hAnsi="宋体" w:cs="宋体" w:eastAsia="宋体" w:hint="default"/>
                <w:sz w:val="18"/>
                <w:szCs w:val="18"/>
              </w:rPr>
              <w:t>小时</w:t>
            </w:r>
          </w:p>
        </w:tc>
      </w:tr>
      <w:tr>
        <w:trPr>
          <w:trHeight w:val="337" w:hRule="exact"/>
        </w:trPr>
        <w:tc>
          <w:tcPr>
            <w:tcW w:w="54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派遣工总报酬</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24,886.18</w:t>
            </w:r>
            <w:r>
              <w:rPr>
                <w:rFonts w:ascii="宋体" w:hAnsi="宋体" w:cs="宋体" w:eastAsia="宋体" w:hint="default"/>
                <w:sz w:val="18"/>
                <w:szCs w:val="18"/>
              </w:rPr>
              <w:t>元</w:t>
            </w:r>
          </w:p>
        </w:tc>
      </w:tr>
    </w:tbl>
    <w:p>
      <w:pPr>
        <w:spacing w:line="240" w:lineRule="auto" w:before="9"/>
        <w:rPr>
          <w:rFonts w:ascii="宋体" w:hAnsi="宋体" w:cs="宋体" w:eastAsia="宋体" w:hint="default"/>
          <w:sz w:val="25"/>
          <w:szCs w:val="25"/>
        </w:rPr>
      </w:pPr>
    </w:p>
    <w:p>
      <w:pPr>
        <w:spacing w:line="3383" w:lineRule="exact"/>
        <w:ind w:left="154"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277240" cy="2148363"/>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33" cstate="print"/>
                    <a:stretch>
                      <a:fillRect/>
                    </a:stretch>
                  </pic:blipFill>
                  <pic:spPr>
                    <a:xfrm>
                      <a:off x="0" y="0"/>
                      <a:ext cx="5277240" cy="2148363"/>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747" w:lineRule="exact"/>
        <w:ind w:left="15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276287" cy="2379726"/>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34" cstate="print"/>
                    <a:stretch>
                      <a:fillRect/>
                    </a:stretch>
                  </pic:blipFill>
                  <pic:spPr>
                    <a:xfrm>
                      <a:off x="0" y="0"/>
                      <a:ext cx="5276287" cy="2379726"/>
                    </a:xfrm>
                    <a:prstGeom prst="rect">
                      <a:avLst/>
                    </a:prstGeom>
                  </pic:spPr>
                </pic:pic>
              </a:graphicData>
            </a:graphic>
          </wp:inline>
        </w:drawing>
      </w:r>
      <w:r>
        <w:rPr>
          <w:rFonts w:ascii="宋体" w:hAnsi="宋体" w:cs="宋体" w:eastAsia="宋体" w:hint="default"/>
          <w:position w:val="-74"/>
          <w:sz w:val="20"/>
          <w:szCs w:val="20"/>
        </w:rPr>
      </w:r>
    </w:p>
    <w:p>
      <w:pPr>
        <w:spacing w:after="0" w:line="374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18" w:firstLine="55"/>
        <w:jc w:val="left"/>
      </w:pPr>
      <w:r>
        <w:rPr>
          <w:rFonts w:ascii="Times New Roman" w:hAnsi="Times New Roman" w:cs="Times New Roman" w:eastAsia="Times New Roman" w:hint="default"/>
        </w:rPr>
        <w:t>2</w:t>
      </w:r>
      <w:r>
        <w:rPr/>
        <w:t>、薪酬政策 </w:t>
      </w:r>
      <w:r>
        <w:rPr>
          <w:spacing w:val="-2"/>
        </w:rPr>
        <w:t>公司在本年度对薪酬体制作了全面的调整，重点向业绩部门及技术部门倾斜，让部分岗位薪酬具备更强竞争力，同时此</w:t>
      </w:r>
    </w:p>
    <w:p>
      <w:pPr>
        <w:pStyle w:val="BodyText"/>
        <w:spacing w:line="309" w:lineRule="auto" w:before="31"/>
        <w:ind w:left="153" w:right="1130"/>
        <w:jc w:val="both"/>
      </w:pPr>
      <w:r>
        <w:rPr>
          <w:spacing w:val="-2"/>
        </w:rPr>
        <w:t>次调整也为其他核心人才留用起到了关键性的作用。</w:t>
      </w:r>
      <w:r>
        <w:rPr>
          <w:rFonts w:ascii="Times New Roman" w:hAnsi="Times New Roman" w:cs="Times New Roman" w:eastAsia="Times New Roman" w:hint="default"/>
          <w:spacing w:val="-2"/>
        </w:rPr>
        <w:t>2014</w:t>
      </w:r>
      <w:r>
        <w:rPr>
          <w:spacing w:val="-2"/>
        </w:rPr>
        <w:t>年，公司在人员优化的基层上，结合公司实际生产、订单、利润情</w:t>
      </w:r>
      <w:r>
        <w:rPr>
          <w:spacing w:val="-61"/>
        </w:rPr>
        <w:t> </w:t>
      </w:r>
      <w:r>
        <w:rPr>
          <w:spacing w:val="-61"/>
        </w:rPr>
      </w:r>
      <w:r>
        <w:rPr>
          <w:spacing w:val="-2"/>
        </w:rPr>
        <w:t>况、当地企业薪资水平、政府薪酬标准，对基层员工的薪资设立进行相应对策、调整方案，基层员工收入明显增加。为了有</w:t>
      </w:r>
      <w:r>
        <w:rPr>
          <w:spacing w:val="-68"/>
        </w:rPr>
        <w:t> </w:t>
      </w:r>
      <w:r>
        <w:rPr>
          <w:spacing w:val="-68"/>
        </w:rPr>
      </w:r>
      <w:r>
        <w:rPr/>
        <w:t>效激励研发技术人员，公司对研发人员实行项目管理，有效实施研发项目激励制度，有效激发了研发技术人员的创造性。</w:t>
      </w:r>
    </w:p>
    <w:p>
      <w:pPr>
        <w:spacing w:line="240" w:lineRule="auto" w:before="9"/>
        <w:rPr>
          <w:rFonts w:ascii="宋体" w:hAnsi="宋体" w:cs="宋体" w:eastAsia="宋体" w:hint="default"/>
          <w:sz w:val="25"/>
          <w:szCs w:val="25"/>
        </w:rPr>
      </w:pPr>
    </w:p>
    <w:p>
      <w:pPr>
        <w:pStyle w:val="BodyText"/>
        <w:spacing w:line="240" w:lineRule="auto"/>
        <w:ind w:left="659" w:right="0"/>
        <w:jc w:val="left"/>
      </w:pPr>
      <w:r>
        <w:rPr>
          <w:rFonts w:ascii="Times New Roman" w:hAnsi="Times New Roman" w:cs="Times New Roman" w:eastAsia="Times New Roman" w:hint="default"/>
        </w:rPr>
        <w:t>3</w:t>
      </w:r>
      <w:r>
        <w:rPr/>
        <w:t>、培训计划</w:t>
      </w:r>
    </w:p>
    <w:p>
      <w:pPr>
        <w:pStyle w:val="BodyText"/>
        <w:spacing w:line="300" w:lineRule="auto" w:before="103"/>
        <w:ind w:right="1125" w:firstLine="321"/>
        <w:jc w:val="left"/>
      </w:pPr>
      <w:r>
        <w:rPr>
          <w:rFonts w:ascii="Times New Roman" w:hAnsi="Times New Roman" w:cs="Times New Roman" w:eastAsia="Times New Roman" w:hint="default"/>
          <w:spacing w:val="-1"/>
        </w:rPr>
        <w:t>2014</w:t>
      </w:r>
      <w:r>
        <w:rPr>
          <w:spacing w:val="-1"/>
        </w:rPr>
        <w:t>年公司组织完成培训多场培训，主要针对业务技能提升，团队建设及专业知识的培训，为人员综合素质提升起到关</w:t>
      </w:r>
      <w:r>
        <w:rPr/>
        <w:t> 键性作用。</w:t>
      </w:r>
      <w:r>
        <w:rPr>
          <w:rFonts w:ascii="Times New Roman" w:hAnsi="Times New Roman" w:cs="Times New Roman" w:eastAsia="Times New Roman" w:hint="default"/>
        </w:rPr>
        <w:t>2015</w:t>
      </w:r>
      <w:r>
        <w:rPr/>
        <w:t>年公司将同样在专业知识及业务技能的培训上下功夫，稳定讲师团队人员。</w:t>
      </w:r>
    </w:p>
    <w:p>
      <w:pPr>
        <w:pStyle w:val="BodyText"/>
        <w:spacing w:line="240" w:lineRule="auto" w:before="53"/>
        <w:ind w:left="475" w:right="0"/>
        <w:jc w:val="left"/>
      </w:pPr>
      <w:r>
        <w:rPr/>
        <w:t>（</w:t>
      </w:r>
      <w:r>
        <w:rPr>
          <w:rFonts w:ascii="Times New Roman" w:hAnsi="Times New Roman" w:cs="Times New Roman" w:eastAsia="Times New Roman" w:hint="default"/>
        </w:rPr>
        <w:t>1</w:t>
      </w:r>
      <w:r>
        <w:rPr/>
        <w:t>）制定讲师激励机制，让讲师有信心，有意愿豪无保留的传授自己丰富的经验。</w:t>
      </w:r>
    </w:p>
    <w:p>
      <w:pPr>
        <w:pStyle w:val="BodyText"/>
        <w:spacing w:line="240" w:lineRule="auto" w:before="102"/>
        <w:ind w:left="475" w:right="0"/>
        <w:jc w:val="left"/>
      </w:pPr>
      <w:r>
        <w:rPr/>
        <w:t>（</w:t>
      </w:r>
      <w:r>
        <w:rPr>
          <w:rFonts w:ascii="Times New Roman" w:hAnsi="Times New Roman" w:cs="Times New Roman" w:eastAsia="Times New Roman" w:hint="default"/>
        </w:rPr>
        <w:t>2</w:t>
      </w:r>
      <w:r>
        <w:rPr/>
        <w:t>）了解员工的培训需求，多方面、多纬度开展培训工作。</w:t>
      </w:r>
    </w:p>
    <w:p>
      <w:pPr>
        <w:pStyle w:val="BodyText"/>
        <w:spacing w:line="240" w:lineRule="auto" w:before="102"/>
        <w:ind w:left="475" w:right="0"/>
        <w:jc w:val="left"/>
      </w:pPr>
      <w:r>
        <w:rPr/>
        <w:t>（</w:t>
      </w:r>
      <w:r>
        <w:rPr>
          <w:rFonts w:ascii="Times New Roman" w:hAnsi="Times New Roman" w:cs="Times New Roman" w:eastAsia="Times New Roman" w:hint="default"/>
        </w:rPr>
        <w:t>3</w:t>
      </w:r>
      <w:r>
        <w:rPr/>
        <w:t>）定期组织讲师的评比与</w:t>
      </w:r>
      <w:r>
        <w:rPr>
          <w:rFonts w:ascii="Times New Roman" w:hAnsi="Times New Roman" w:cs="Times New Roman" w:eastAsia="Times New Roman" w:hint="default"/>
        </w:rPr>
        <w:t>PK</w:t>
      </w:r>
      <w:r>
        <w:rPr/>
        <w:t>活动，发掘金牌讲师种子。</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00" w:lineRule="auto"/>
        <w:ind w:left="444" w:right="5422" w:firstLine="71"/>
        <w:jc w:val="left"/>
      </w:pPr>
      <w:r>
        <w:rPr>
          <w:rFonts w:ascii="Times New Roman" w:hAnsi="Times New Roman" w:cs="Times New Roman" w:eastAsia="Times New Roman" w:hint="default"/>
        </w:rPr>
        <w:t>4</w:t>
      </w:r>
      <w:r>
        <w:rPr/>
        <w:t>、承担退休职工费用 截至报告期末，公司尚无需要承担离退休职工养老及其他费用。</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811" w:right="4729"/>
        <w:jc w:val="center"/>
        <w:rPr>
          <w:b w:val="0"/>
          <w:bCs w:val="0"/>
        </w:rPr>
      </w:pPr>
      <w:bookmarkStart w:name="第九节 公司治理" w:id="119"/>
      <w:bookmarkEnd w:id="119"/>
      <w:r>
        <w:rPr>
          <w:b w:val="0"/>
          <w:bCs w:val="0"/>
        </w:rPr>
      </w:r>
      <w:bookmarkStart w:name="_bookmark8" w:id="120"/>
      <w:bookmarkEnd w:id="12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13" w:right="1078"/>
        <w:jc w:val="left"/>
        <w:rPr>
          <w:b w:val="0"/>
          <w:bCs w:val="0"/>
        </w:rPr>
      </w:pPr>
      <w:bookmarkStart w:name="一、公司治理的基本状况" w:id="121"/>
      <w:bookmarkEnd w:id="121"/>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3" w:right="1033" w:firstLine="290"/>
        <w:jc w:val="left"/>
      </w:pPr>
      <w:r>
        <w:rPr/>
        <w:t>公司严格按照《公司法》、《证券法》、《上市公司治理准则》、《深圳证券交易所股票上市规则》、《深圳证券交易 所中小企业板上市公司规范运作指引》等相关法律、法规、规范性文件的规定和要求，坚持规范运作，结合公司实际情况， </w:t>
      </w:r>
      <w:r>
        <w:rPr>
          <w:spacing w:val="-2"/>
        </w:rPr>
        <w:t>不断完善公司治理结构，建立健全内控制度，加强与投资者的沟通交流，充分维护广大投资者的利益，持续提升公司治理水</w:t>
      </w:r>
      <w:r>
        <w:rPr>
          <w:spacing w:val="-66"/>
        </w:rPr>
        <w:t> </w:t>
      </w:r>
      <w:r>
        <w:rPr>
          <w:spacing w:val="-66"/>
        </w:rPr>
      </w:r>
      <w:r>
        <w:rPr/>
        <w:t>平。截至报告期末，公司治理情况符合中国证监会、深圳证券交易所上市公司治理规范性文件规定。</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414" w:right="1078"/>
        <w:jc w:val="left"/>
      </w:pPr>
      <w:r>
        <w:rPr/>
        <w:t>（一）报告期内，公司修订的制度名称及公开信息披露情况如下表：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828"/>
        <w:gridCol w:w="3960"/>
        <w:gridCol w:w="3256"/>
        <w:gridCol w:w="1604"/>
      </w:tblGrid>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center"/>
              <w:rPr>
                <w:rFonts w:ascii="宋体" w:hAnsi="宋体" w:cs="宋体" w:eastAsia="宋体" w:hint="default"/>
                <w:sz w:val="18"/>
                <w:szCs w:val="18"/>
              </w:rPr>
            </w:pPr>
            <w:r>
              <w:rPr>
                <w:rFonts w:ascii="宋体" w:hAnsi="宋体" w:cs="宋体" w:eastAsia="宋体" w:hint="default"/>
                <w:sz w:val="18"/>
                <w:szCs w:val="18"/>
              </w:rPr>
              <w:t>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审议时间</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董事、监事、高级管理人员薪酬制度</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次定期会议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次定期会议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10</w:t>
            </w:r>
            <w:r>
              <w:rPr>
                <w:rFonts w:ascii="宋体" w:hAnsi="宋体" w:cs="宋体" w:eastAsia="宋体" w:hint="default"/>
                <w:sz w:val="18"/>
                <w:szCs w:val="18"/>
              </w:rPr>
              <w:t>次临时会议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茂硕电源科技股份有限公司股东大会议事规则</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10</w:t>
            </w:r>
            <w:r>
              <w:rPr>
                <w:rFonts w:ascii="宋体" w:hAnsi="宋体" w:cs="宋体" w:eastAsia="宋体" w:hint="default"/>
                <w:sz w:val="18"/>
                <w:szCs w:val="18"/>
              </w:rPr>
              <w:t>次临时会议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茂硕电源科技股份有限公司募集资金管理制度</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10</w:t>
            </w:r>
            <w:r>
              <w:rPr>
                <w:rFonts w:ascii="宋体" w:hAnsi="宋体" w:cs="宋体" w:eastAsia="宋体" w:hint="default"/>
                <w:sz w:val="18"/>
                <w:szCs w:val="18"/>
              </w:rPr>
              <w:t>次临时会议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center"/>
              <w:rPr>
                <w:rFonts w:ascii="Times New Roman" w:hAnsi="Times New Roman" w:cs="Times New Roman" w:eastAsia="Times New Roman" w:hint="default"/>
                <w:sz w:val="18"/>
                <w:szCs w:val="18"/>
              </w:rPr>
            </w:pPr>
            <w:r>
              <w:rPr>
                <w:rFonts w:ascii="Times New Roman"/>
                <w:sz w:val="18"/>
              </w:rPr>
              <w:t>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w:t>
            </w:r>
            <w:r>
              <w:rPr>
                <w:rFonts w:ascii="Times New Roman" w:hAnsi="Times New Roman" w:cs="Times New Roman" w:eastAsia="Times New Roman" w:hint="default"/>
                <w:sz w:val="18"/>
                <w:szCs w:val="18"/>
              </w:rPr>
              <w:t>12</w:t>
            </w:r>
            <w:r>
              <w:rPr>
                <w:rFonts w:ascii="宋体" w:hAnsi="宋体" w:cs="宋体" w:eastAsia="宋体" w:hint="default"/>
                <w:sz w:val="18"/>
                <w:szCs w:val="18"/>
              </w:rPr>
              <w:t>次临时会议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line="240" w:lineRule="auto" w:before="6"/>
        <w:rPr>
          <w:rFonts w:ascii="宋体" w:hAnsi="宋体" w:cs="宋体" w:eastAsia="宋体" w:hint="default"/>
          <w:sz w:val="27"/>
          <w:szCs w:val="27"/>
        </w:rPr>
      </w:pPr>
    </w:p>
    <w:p>
      <w:pPr>
        <w:pStyle w:val="BodyText"/>
        <w:spacing w:line="240" w:lineRule="auto" w:before="44"/>
        <w:ind w:left="414" w:right="1078"/>
        <w:jc w:val="left"/>
      </w:pPr>
      <w:r>
        <w:rPr/>
        <w:t>（二）关于股东和股东大会</w:t>
      </w:r>
    </w:p>
    <w:p>
      <w:pPr>
        <w:pStyle w:val="BodyText"/>
        <w:spacing w:line="312" w:lineRule="auto" w:before="115"/>
        <w:ind w:left="214" w:right="1033" w:firstLine="2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月，公司根据《上市公司股东大会议事规则（</w:t>
      </w:r>
      <w:r>
        <w:rPr>
          <w:rFonts w:ascii="Times New Roman" w:hAnsi="Times New Roman" w:cs="Times New Roman" w:eastAsia="Times New Roman" w:hint="default"/>
        </w:rPr>
        <w:t>2014</w:t>
      </w:r>
      <w:r>
        <w:rPr/>
        <w:t>年修订）》对《茂硕电源科技股份有限公司股东大会议事规 </w:t>
      </w:r>
      <w:r>
        <w:rPr>
          <w:spacing w:val="-4"/>
        </w:rPr>
        <w:t>则》相关条款进行修订，并严格按照《公司法》、《公司章程》、《股东大会议事规则》等规定和要求召集、召开股东大会，</w:t>
      </w:r>
      <w:r>
        <w:rPr>
          <w:spacing w:val="-46"/>
        </w:rPr>
        <w:t> </w:t>
      </w:r>
      <w:r>
        <w:rPr>
          <w:spacing w:val="-46"/>
        </w:rPr>
      </w:r>
      <w:r>
        <w:rPr>
          <w:spacing w:val="-2"/>
        </w:rPr>
        <w:t>并在股东大会审议影响中小投资者利益的重大事项时，对中小投资者的表决进行单独计票。报告期内召开的股东大会均由董</w:t>
      </w:r>
      <w:r>
        <w:rPr>
          <w:spacing w:val="-64"/>
        </w:rPr>
        <w:t> </w:t>
      </w:r>
      <w:r>
        <w:rPr>
          <w:spacing w:val="-64"/>
        </w:rPr>
      </w:r>
      <w:r>
        <w:rPr/>
        <w:t>事会召集召开，并聘请律师进行现场见证。</w:t>
      </w:r>
    </w:p>
    <w:p>
      <w:pPr>
        <w:pStyle w:val="BodyText"/>
        <w:spacing w:line="357" w:lineRule="auto" w:before="63"/>
        <w:ind w:left="414" w:right="1078"/>
        <w:jc w:val="left"/>
      </w:pPr>
      <w:r>
        <w:rPr/>
        <w:t>（三）关于公司和控股股东 公司控股股东能够依法通过股东大会行使股东的权利，严格规范自身行为，不存在控股股东直接或间接干预公司决策及</w:t>
      </w:r>
    </w:p>
    <w:p>
      <w:pPr>
        <w:pStyle w:val="BodyText"/>
        <w:spacing w:line="224" w:lineRule="exact"/>
        <w:ind w:left="214" w:right="1033"/>
        <w:jc w:val="left"/>
      </w:pPr>
      <w:r>
        <w:rPr>
          <w:spacing w:val="-4"/>
        </w:rPr>
        <w:t>依法开展的生产经营活动，损害公司及其他股东利益的情形。公司在业务、人员、资产、机构、财务上完全独立于控股股东，</w:t>
      </w:r>
    </w:p>
    <w:p>
      <w:pPr>
        <w:pStyle w:val="BodyText"/>
        <w:spacing w:line="319" w:lineRule="auto" w:before="76"/>
        <w:ind w:left="214" w:right="1033"/>
        <w:jc w:val="left"/>
      </w:pPr>
      <w:r>
        <w:rPr>
          <w:spacing w:val="-4"/>
        </w:rPr>
        <w:t>机构、业务独立，具有独立完整的业务和自主经营能力，公司董事会、监事会和内部管理机构依照《公司法》、《公司章程》</w:t>
      </w:r>
      <w:r>
        <w:rPr>
          <w:spacing w:val="-46"/>
        </w:rPr>
        <w:t> </w:t>
      </w:r>
      <w:r>
        <w:rPr>
          <w:spacing w:val="-46"/>
        </w:rPr>
      </w:r>
      <w:r>
        <w:rPr>
          <w:spacing w:val="-2"/>
        </w:rPr>
        <w:t>的规定独立运作，不存在控股股东及其下属企业或通过其他方式占用公司资金，以及公司违规为控股股东及其下属企业提供</w:t>
      </w:r>
      <w:r>
        <w:rPr>
          <w:spacing w:val="-64"/>
        </w:rPr>
        <w:t> </w:t>
      </w:r>
      <w:r>
        <w:rPr>
          <w:spacing w:val="-64"/>
        </w:rPr>
      </w:r>
      <w:r>
        <w:rPr>
          <w:spacing w:val="-2"/>
        </w:rPr>
        <w:t>担保等情况发生。不存在控股股东占用上市公司资金的现象，也不存在公司为控股股东及其子公司提供担保的行为。报告期</w:t>
      </w:r>
      <w:r>
        <w:rPr>
          <w:spacing w:val="-66"/>
        </w:rPr>
        <w:t> </w:t>
      </w:r>
      <w:r>
        <w:rPr>
          <w:spacing w:val="-66"/>
        </w:rPr>
      </w:r>
      <w:r>
        <w:rPr/>
        <w:t>内，公司大股东、实际控制人不存在干预公司生产、经营、管理等公司治理非规范情况。</w:t>
      </w:r>
    </w:p>
    <w:p>
      <w:pPr>
        <w:pStyle w:val="BodyText"/>
        <w:spacing w:line="357" w:lineRule="auto" w:before="56"/>
        <w:ind w:left="414" w:right="1078" w:firstLine="73"/>
        <w:jc w:val="left"/>
      </w:pPr>
      <w:r>
        <w:rPr/>
        <w:t>（四）关于董事和董事会 公司按照《公司法》、《公司章程》等规定选举董事，董事会的人数和人员构成符合法律法规的要求；公司董事会职责</w:t>
      </w:r>
    </w:p>
    <w:p>
      <w:pPr>
        <w:pStyle w:val="BodyText"/>
        <w:spacing w:line="224" w:lineRule="exact"/>
        <w:ind w:left="213" w:right="0"/>
        <w:jc w:val="left"/>
      </w:pPr>
      <w:r>
        <w:rPr/>
        <w:t>清晰，严格按照《公司董事会议事规则》、《公司独立董事工作制度》等相关制度行使职权，严格按照规定召开会议；公司</w:t>
      </w:r>
    </w:p>
    <w:p>
      <w:pPr>
        <w:pStyle w:val="BodyText"/>
        <w:spacing w:line="319" w:lineRule="auto" w:before="75"/>
        <w:ind w:left="213" w:right="1033"/>
        <w:jc w:val="left"/>
      </w:pPr>
      <w:r>
        <w:rPr>
          <w:spacing w:val="-4"/>
        </w:rPr>
        <w:t>全体董事能够忠实、诚信、勤勉地履行职责，按时出席股东大会和董事会；独立董事独立履行职责，积极参加独立董事培训，</w:t>
      </w:r>
      <w:r>
        <w:rPr>
          <w:spacing w:val="-44"/>
        </w:rPr>
        <w:t> </w:t>
      </w:r>
      <w:r>
        <w:rPr>
          <w:spacing w:val="-44"/>
        </w:rPr>
      </w:r>
      <w:r>
        <w:rPr>
          <w:spacing w:val="-2"/>
        </w:rPr>
        <w:t>维护公司整体利益，关注中小股东的合法权益不受损害；董事会下设各专门委员会，各委员会运作情况良好，为董事会的决</w:t>
      </w:r>
      <w:r>
        <w:rPr>
          <w:spacing w:val="-66"/>
        </w:rPr>
        <w:t> </w:t>
      </w:r>
      <w:r>
        <w:rPr>
          <w:spacing w:val="-66"/>
        </w:rPr>
      </w:r>
      <w:r>
        <w:rPr/>
        <w:t>策提供专业的意见和参考。</w:t>
      </w:r>
    </w:p>
    <w:p>
      <w:pPr>
        <w:pStyle w:val="BodyText"/>
        <w:spacing w:line="240" w:lineRule="auto" w:before="58"/>
        <w:ind w:left="414" w:right="1078"/>
        <w:jc w:val="left"/>
      </w:pPr>
      <w:r>
        <w:rPr/>
        <w:t>（五）关于监事和监事会</w:t>
      </w:r>
    </w:p>
    <w:p>
      <w:pPr>
        <w:spacing w:after="0" w:line="240" w:lineRule="auto"/>
        <w:jc w:val="left"/>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firstLine="200"/>
        <w:jc w:val="left"/>
      </w:pPr>
      <w:r>
        <w:rPr/>
        <w:t>公司严格按照法定程序选举监事，公司监事会由三名监事组成，其中职工代表监事两名，监事会的人数和人员构成符合 </w:t>
      </w:r>
      <w:r>
        <w:rPr>
          <w:spacing w:val="-2"/>
        </w:rPr>
        <w:t>法律法规的要求；监事会的召集、召开符合《公司法》、《公司章程》、《监事会议事规则》等有关规定。各监事严格按照</w:t>
      </w:r>
    </w:p>
    <w:p>
      <w:pPr>
        <w:pStyle w:val="BodyText"/>
        <w:spacing w:line="319" w:lineRule="auto" w:before="19"/>
        <w:ind w:left="153" w:right="1033"/>
        <w:jc w:val="left"/>
      </w:pPr>
      <w:r>
        <w:rPr/>
        <w:t>《公司章程》、《公司监事会议事规则》等相关内部制度行使职权，出席股东大会、列席董事会会议，对董事会决策程序、 </w:t>
      </w:r>
      <w:r>
        <w:rPr>
          <w:spacing w:val="-2"/>
        </w:rPr>
        <w:t>决议事项及公司依法运作情况实施监督，全体监事能够切实履行职责，诚信、勤勉、尽责，监事会的召集、召开、表决及信</w:t>
      </w:r>
      <w:r>
        <w:rPr>
          <w:spacing w:val="-71"/>
        </w:rPr>
        <w:t> </w:t>
      </w:r>
      <w:r>
        <w:rPr>
          <w:spacing w:val="-71"/>
        </w:rPr>
      </w:r>
      <w:r>
        <w:rPr/>
        <w:t>息披露程序符合相关规定。</w:t>
      </w:r>
    </w:p>
    <w:p>
      <w:pPr>
        <w:pStyle w:val="BodyText"/>
        <w:spacing w:line="357" w:lineRule="auto" w:before="56"/>
        <w:ind w:left="354" w:right="0"/>
        <w:jc w:val="left"/>
      </w:pPr>
      <w:r>
        <w:rPr/>
        <w:t>（六）关于信息披露和透明度 公司严格按照有关法律法规的规定，依法履行信息披露义务。公司指定董事会秘书负责信息披露工作，接待投资者来访</w:t>
      </w:r>
    </w:p>
    <w:p>
      <w:pPr>
        <w:pStyle w:val="BodyText"/>
        <w:spacing w:line="224" w:lineRule="exact"/>
        <w:ind w:left="153" w:right="0"/>
        <w:jc w:val="left"/>
      </w:pPr>
      <w:r>
        <w:rPr/>
        <w:t>和咨询，通过多种形式加强与投资者的交流工作，提高信息披露的透明度。报告期内，公司指定《证券时报》、《上海证券</w:t>
      </w:r>
    </w:p>
    <w:p>
      <w:pPr>
        <w:pStyle w:val="BodyText"/>
        <w:spacing w:line="319" w:lineRule="auto" w:before="76"/>
        <w:ind w:left="153" w:right="0"/>
        <w:jc w:val="left"/>
      </w:pPr>
      <w:r>
        <w:rPr>
          <w:spacing w:val="-2"/>
        </w:rPr>
        <w:t>报》、《中国证券报》、《证券日报》和巨潮资讯网为公司信息披露的报纸、网站，真实、准确、完整、及时、公平地开展</w:t>
      </w:r>
      <w:r>
        <w:rPr>
          <w:spacing w:val="-70"/>
        </w:rPr>
        <w:t> </w:t>
      </w:r>
      <w:r>
        <w:rPr>
          <w:spacing w:val="-70"/>
        </w:rPr>
      </w:r>
      <w:r>
        <w:rPr/>
        <w:t>信息披露事务，确保所有投资者公平地获取公司信息。</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153" w:right="0"/>
        <w:jc w:val="left"/>
      </w:pPr>
      <w:r>
        <w:rPr/>
        <w:t>公司治理与《公司法》和中国证监会相关规定的要求是否存在差异</w:t>
      </w:r>
    </w:p>
    <w:p>
      <w:pPr>
        <w:pStyle w:val="BodyText"/>
        <w:spacing w:line="357" w:lineRule="auto" w:before="117"/>
        <w:ind w:left="153" w:right="5533"/>
        <w:jc w:val="left"/>
      </w:pPr>
      <w:r>
        <w:rPr/>
        <w:t>□ 是 √ 否 公司治理与《公司法》和中国证监会相关规定的要求不存在差异。</w:t>
      </w:r>
    </w:p>
    <w:p>
      <w:pPr>
        <w:pStyle w:val="BodyText"/>
        <w:spacing w:line="240" w:lineRule="auto" w:before="28"/>
        <w:ind w:left="153" w:right="0"/>
        <w:jc w:val="left"/>
      </w:pPr>
      <w:r>
        <w:rPr/>
        <w:t>公司治理专项活动开展情况以及内幕信息知情人登记管理制度的制定、实施情况</w:t>
      </w:r>
    </w:p>
    <w:p>
      <w:pPr>
        <w:pStyle w:val="BodyText"/>
        <w:spacing w:line="240" w:lineRule="auto" w:before="117"/>
        <w:ind w:left="513" w:right="0"/>
        <w:jc w:val="left"/>
      </w:pPr>
      <w:r>
        <w:rPr>
          <w:rFonts w:ascii="Times New Roman" w:hAnsi="Times New Roman" w:cs="Times New Roman" w:eastAsia="Times New Roman" w:hint="default"/>
        </w:rPr>
        <w:t>1</w:t>
      </w:r>
      <w:r>
        <w:rPr/>
        <w:t>、公司治理专项活动的开展情况</w:t>
      </w:r>
    </w:p>
    <w:p>
      <w:pPr>
        <w:pStyle w:val="BodyText"/>
        <w:spacing w:line="307" w:lineRule="auto" w:before="101"/>
        <w:ind w:right="1031" w:firstLine="360"/>
        <w:jc w:val="left"/>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日起接受了深圳证监局对我公司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年年报的专项现场检查，并于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日收到了深 </w:t>
      </w:r>
      <w:r>
        <w:rPr>
          <w:spacing w:val="-1"/>
        </w:rPr>
        <w:t>圳证监局下发的深证局公司字</w:t>
      </w:r>
      <w:r>
        <w:rPr>
          <w:rFonts w:ascii="Times New Roman" w:hAnsi="Times New Roman" w:cs="Times New Roman" w:eastAsia="Times New Roman" w:hint="default"/>
          <w:spacing w:val="-1"/>
        </w:rPr>
        <w:t>[2014]40</w:t>
      </w:r>
      <w:r>
        <w:rPr>
          <w:rFonts w:ascii="Times New Roman" w:hAnsi="Times New Roman" w:cs="Times New Roman" w:eastAsia="Times New Roman" w:hint="default"/>
          <w:spacing w:val="17"/>
        </w:rPr>
        <w:t> </w:t>
      </w:r>
      <w:r>
        <w:rPr>
          <w:spacing w:val="-13"/>
        </w:rPr>
        <w:t>号《深圳证监局关于茂硕电源股份有限公司的监管关注函》（以下简称“《监管函》”）。</w:t>
      </w:r>
      <w:r>
        <w:rPr>
          <w:spacing w:val="-87"/>
        </w:rPr>
        <w:t> </w:t>
      </w:r>
      <w:r>
        <w:rPr>
          <w:spacing w:val="-87"/>
        </w:rPr>
      </w:r>
      <w:r>
        <w:rPr>
          <w:spacing w:val="-2"/>
        </w:rPr>
        <w:t>接到《监管函》后，公司领导高度重视，第一时间向全体董事、监事和高级管理人员传达本次年报现场检查结果，并召集各</w:t>
      </w:r>
      <w:r>
        <w:rPr>
          <w:spacing w:val="-68"/>
        </w:rPr>
        <w:t> </w:t>
      </w:r>
      <w:r>
        <w:rPr>
          <w:spacing w:val="-68"/>
        </w:rPr>
      </w:r>
      <w:r>
        <w:rPr/>
        <w:t>相关部门和人员，针对《监管函》所提及的问题，认真研究、分析和学习，制定了整改计划并进行整改。</w:t>
      </w:r>
    </w:p>
    <w:p>
      <w:pPr>
        <w:pStyle w:val="BodyText"/>
        <w:spacing w:line="302" w:lineRule="auto" w:before="64"/>
        <w:ind w:left="153" w:right="1120" w:firstLine="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日，公司第三届董事会</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次定期会议审议通过了《关于深圳证监局监管关注函的整改报告的 </w:t>
      </w:r>
      <w:r>
        <w:rPr>
          <w:spacing w:val="-6"/>
        </w:rPr>
        <w:t>议案》，并向深圳证监局反馈了《关于深圳证监局监管关注函的整改报告》。</w:t>
      </w:r>
    </w:p>
    <w:p>
      <w:pPr>
        <w:pStyle w:val="BodyText"/>
        <w:spacing w:line="319" w:lineRule="auto" w:before="69"/>
        <w:ind w:left="153" w:right="0" w:firstLine="360"/>
        <w:jc w:val="left"/>
      </w:pPr>
      <w:r>
        <w:rPr>
          <w:spacing w:val="-2"/>
        </w:rPr>
        <w:t>董事会督促相关部门、负责人执行整改，并呈请监管部门持续跟踪、监督、指导，公司以本次整改为契机，严格执行监</w:t>
      </w:r>
      <w:r>
        <w:rPr/>
        <w:t> </w:t>
      </w:r>
      <w:r>
        <w:rPr>
          <w:spacing w:val="-2"/>
        </w:rPr>
        <w:t>管部门要求，将进一步夯实各项财务基础工作，高度重视会计核算与披露质量，不断提高从业人员职业素质、理论素养，持</w:t>
      </w:r>
      <w:r>
        <w:rPr>
          <w:spacing w:val="-66"/>
        </w:rPr>
        <w:t> </w:t>
      </w:r>
      <w:r>
        <w:rPr>
          <w:spacing w:val="-66"/>
        </w:rPr>
      </w:r>
      <w:r>
        <w:rPr>
          <w:spacing w:val="-4"/>
        </w:rPr>
        <w:t>续保持专业胜任能力，严格执行《企业会计准则》、相关财税规定及公司财务管理制度，切实提高财务管理和会计核算水平，</w:t>
      </w:r>
      <w:r>
        <w:rPr>
          <w:spacing w:val="-44"/>
        </w:rPr>
        <w:t> </w:t>
      </w:r>
      <w:r>
        <w:rPr>
          <w:spacing w:val="-44"/>
        </w:rPr>
      </w:r>
      <w:r>
        <w:rPr/>
        <w:t>进一步提高会计信息质量，保证各项披露工作的规范化以满足上市公司财务及管理需要。</w:t>
      </w:r>
    </w:p>
    <w:p>
      <w:pPr>
        <w:pStyle w:val="BodyText"/>
        <w:spacing w:line="338" w:lineRule="auto" w:before="56"/>
        <w:ind w:left="514" w:right="1136"/>
        <w:jc w:val="left"/>
      </w:pPr>
      <w:r>
        <w:rPr>
          <w:rFonts w:ascii="Times New Roman" w:hAnsi="Times New Roman" w:cs="Times New Roman" w:eastAsia="Times New Roman" w:hint="default"/>
        </w:rPr>
        <w:t>2</w:t>
      </w:r>
      <w:r>
        <w:rPr/>
        <w:t>、内幕信息知情人登记管理制度的制定及实施情况 </w:t>
      </w:r>
      <w:r>
        <w:rPr>
          <w:spacing w:val="-2"/>
        </w:rPr>
        <w:t>按照公司《内幕信息知情人登记管理制度》，在内幕信息及知情人管理制度的执行方面，公司严格按照相关规定和制度</w:t>
      </w:r>
    </w:p>
    <w:p>
      <w:pPr>
        <w:pStyle w:val="BodyText"/>
        <w:spacing w:line="319" w:lineRule="auto" w:before="2"/>
        <w:ind w:right="1131"/>
        <w:jc w:val="both"/>
      </w:pPr>
      <w:r>
        <w:rPr>
          <w:spacing w:val="-2"/>
        </w:rPr>
        <w:t>积极做好内幕信息保密和管理工作，如实登记报备内幕信息知情人情况，对公司未公开信息的传递、报送、管理和使用各环</w:t>
      </w:r>
      <w:r>
        <w:rPr>
          <w:spacing w:val="-66"/>
        </w:rPr>
        <w:t> </w:t>
      </w:r>
      <w:r>
        <w:rPr>
          <w:spacing w:val="-66"/>
        </w:rPr>
      </w:r>
      <w:r>
        <w:rPr>
          <w:spacing w:val="-2"/>
        </w:rPr>
        <w:t>节起到了较好的风险防范和控制作用，确保投资者特别是中小投资者的利益不受损害；定期报告披露前，及时向相关方提示</w:t>
      </w:r>
      <w:r>
        <w:rPr>
          <w:spacing w:val="-65"/>
        </w:rPr>
        <w:t> </w:t>
      </w:r>
      <w:r>
        <w:rPr>
          <w:spacing w:val="-65"/>
        </w:rPr>
      </w:r>
      <w:r>
        <w:rPr>
          <w:spacing w:val="-2"/>
        </w:rPr>
        <w:t>禁止买卖的窗口期，防止违规事件的发生，公司未发现内幕信息知情人在影响公司股价的重大敏感信息披露前利用内幕信息</w:t>
      </w:r>
      <w:r>
        <w:rPr>
          <w:spacing w:val="-64"/>
        </w:rPr>
        <w:t> </w:t>
      </w:r>
      <w:r>
        <w:rPr>
          <w:spacing w:val="-64"/>
        </w:rPr>
      </w:r>
      <w:r>
        <w:rPr>
          <w:spacing w:val="-2"/>
        </w:rPr>
        <w:t>买卖公司股票的情况，也没有收到监管部门因上述原因而出具的查处和整改的情况；公司接待机构等投资者来访调研时，做</w:t>
      </w:r>
      <w:r>
        <w:rPr>
          <w:spacing w:val="-66"/>
        </w:rPr>
        <w:t> </w:t>
      </w:r>
      <w:r>
        <w:rPr>
          <w:spacing w:val="-66"/>
        </w:rPr>
      </w:r>
      <w:r>
        <w:rPr/>
        <w:t>好接访人员安排，要求来访人员事前预约并签署保密承诺。</w:t>
      </w:r>
    </w:p>
    <w:p>
      <w:pPr>
        <w:pStyle w:val="BodyText"/>
        <w:spacing w:line="314" w:lineRule="auto" w:before="56"/>
        <w:ind w:right="1130"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月，公司组织部分董监高及相关人员参加了由证监会、公安部、国资委三部委特联合举办了“内幕交易警示 </w:t>
      </w:r>
      <w:r>
        <w:rPr>
          <w:spacing w:val="-2"/>
        </w:rPr>
        <w:t>教育展”，通过现场参观及讲解员讲解，董监高及相关人员更为深刻认识到了内幕交易的危害性，学习了关于内幕信息、内</w:t>
      </w:r>
      <w:r>
        <w:rPr>
          <w:spacing w:val="-72"/>
        </w:rPr>
        <w:t> </w:t>
      </w:r>
      <w:r>
        <w:rPr>
          <w:spacing w:val="-72"/>
        </w:rPr>
      </w:r>
      <w:r>
        <w:rPr>
          <w:spacing w:val="-2"/>
        </w:rPr>
        <w:t>幕交易的基础知识与我国关于内幕交易的法制建设，深入剖析了有关案例，对防范内幕交易违规行为的发生，进一步提升各</w:t>
      </w:r>
      <w:r>
        <w:rPr>
          <w:spacing w:val="-66"/>
        </w:rPr>
        <w:t> </w:t>
      </w:r>
      <w:r>
        <w:rPr>
          <w:spacing w:val="-66"/>
        </w:rPr>
      </w:r>
      <w:r>
        <w:rPr>
          <w:spacing w:val="-2"/>
        </w:rPr>
        <w:t>相关主体的规范意识起到了积极作用。同时，公司还在内网上发布本次内幕交易警示网络展的链接，并要求财务、审计、销</w:t>
      </w:r>
      <w:r>
        <w:rPr>
          <w:spacing w:val="-67"/>
        </w:rPr>
        <w:t> </w:t>
      </w:r>
      <w:r>
        <w:rPr>
          <w:spacing w:val="-67"/>
        </w:rPr>
      </w:r>
      <w:r>
        <w:rPr/>
        <w:t>售等易接触内幕信息的人员加强学习，引以为鉴，切实防范违规风险，以保障全体股东尤其是中小股东的权益。</w:t>
      </w:r>
    </w:p>
    <w:p>
      <w:pPr>
        <w:spacing w:after="0" w:line="314"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122"/>
      <w:bookmarkEnd w:id="122"/>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年度股东大会情况" w:id="123"/>
      <w:bookmarkEnd w:id="123"/>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2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）《关于公司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 </w:t>
            </w:r>
            <w:r>
              <w:rPr>
                <w:rFonts w:ascii="宋体" w:hAnsi="宋体" w:cs="宋体" w:eastAsia="宋体" w:hint="default"/>
                <w:spacing w:val="-18"/>
                <w:sz w:val="18"/>
                <w:szCs w:val="18"/>
              </w:rPr>
              <w:t>摘要的议案》；（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w:t>
            </w:r>
          </w:p>
          <w:p>
            <w:pPr>
              <w:pStyle w:val="TableParagraph"/>
              <w:spacing w:line="300" w:lineRule="auto" w:before="13"/>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20"/>
                <w:sz w:val="18"/>
                <w:szCs w:val="18"/>
              </w:rPr>
              <w:t>工作报告》；（</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p>
          <w:p>
            <w:pPr>
              <w:pStyle w:val="TableParagraph"/>
              <w:spacing w:line="300" w:lineRule="auto" w:before="13"/>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w:t>
            </w:r>
            <w:r>
              <w:rPr>
                <w:rFonts w:ascii="宋体" w:hAnsi="宋体" w:cs="宋体" w:eastAsia="宋体" w:hint="default"/>
                <w:spacing w:val="-20"/>
                <w:sz w:val="18"/>
                <w:szCs w:val="18"/>
              </w:rPr>
              <w:t>工作报告》；（</w:t>
            </w:r>
            <w:r>
              <w:rPr>
                <w:rFonts w:ascii="Times New Roman" w:hAnsi="Times New Roman" w:cs="Times New Roman" w:eastAsia="Times New Roman" w:hint="default"/>
                <w:spacing w:val="-20"/>
                <w:sz w:val="18"/>
                <w:szCs w:val="18"/>
              </w:rPr>
              <w:t>4</w:t>
            </w:r>
            <w:r>
              <w:rPr>
                <w:rFonts w:ascii="宋体" w:hAnsi="宋体" w:cs="宋体" w:eastAsia="宋体" w:hint="default"/>
                <w:spacing w:val="-20"/>
                <w:sz w:val="18"/>
                <w:szCs w:val="18"/>
              </w:rPr>
              <w:t>）</w:t>
            </w:r>
          </w:p>
          <w:p>
            <w:pPr>
              <w:pStyle w:val="TableParagraph"/>
              <w:spacing w:line="307"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 </w:t>
            </w:r>
            <w:r>
              <w:rPr>
                <w:rFonts w:ascii="宋体" w:hAnsi="宋体" w:cs="宋体" w:eastAsia="宋体" w:hint="default"/>
                <w:spacing w:val="-28"/>
                <w:sz w:val="18"/>
                <w:szCs w:val="18"/>
              </w:rPr>
              <w:t>算报告》；（</w:t>
            </w:r>
            <w:r>
              <w:rPr>
                <w:rFonts w:ascii="Times New Roman" w:hAnsi="Times New Roman" w:cs="Times New Roman" w:eastAsia="Times New Roman" w:hint="default"/>
                <w:spacing w:val="-28"/>
                <w:sz w:val="18"/>
                <w:szCs w:val="18"/>
              </w:rPr>
              <w:t>5</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年度募集资金存放 与使用情况的专项 </w:t>
            </w:r>
            <w:r>
              <w:rPr>
                <w:rFonts w:ascii="宋体" w:hAnsi="宋体" w:cs="宋体" w:eastAsia="宋体" w:hint="default"/>
                <w:spacing w:val="-23"/>
                <w:sz w:val="18"/>
                <w:szCs w:val="18"/>
              </w:rPr>
              <w:t>报告》；（</w:t>
            </w:r>
            <w:r>
              <w:rPr>
                <w:rFonts w:ascii="Times New Roman" w:hAnsi="Times New Roman" w:cs="Times New Roman" w:eastAsia="Times New Roman" w:hint="default"/>
                <w:spacing w:val="-23"/>
                <w:sz w:val="18"/>
                <w:szCs w:val="18"/>
              </w:rPr>
              <w:t>6</w:t>
            </w: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年度内部控制评价 </w:t>
            </w:r>
            <w:r>
              <w:rPr>
                <w:rFonts w:ascii="宋体" w:hAnsi="宋体" w:cs="宋体" w:eastAsia="宋体" w:hint="default"/>
                <w:spacing w:val="-32"/>
                <w:sz w:val="18"/>
                <w:szCs w:val="18"/>
              </w:rPr>
              <w:t>报告》；（</w:t>
            </w:r>
            <w:r>
              <w:rPr>
                <w:rFonts w:ascii="Times New Roman" w:hAnsi="Times New Roman" w:cs="Times New Roman" w:eastAsia="Times New Roman" w:hint="default"/>
                <w:spacing w:val="-32"/>
                <w:sz w:val="18"/>
                <w:szCs w:val="18"/>
              </w:rPr>
              <w:t>7</w:t>
            </w:r>
            <w:r>
              <w:rPr>
                <w:rFonts w:ascii="宋体" w:hAnsi="宋体" w:cs="宋体" w:eastAsia="宋体" w:hint="default"/>
                <w:spacing w:val="-32"/>
                <w:sz w:val="18"/>
                <w:szCs w:val="18"/>
              </w:rPr>
              <w:t>）《关于修</w:t>
            </w:r>
            <w:r>
              <w:rPr>
                <w:rFonts w:ascii="宋体" w:hAnsi="宋体" w:cs="宋体" w:eastAsia="宋体" w:hint="default"/>
                <w:sz w:val="18"/>
                <w:szCs w:val="18"/>
              </w:rPr>
              <w:t> 改</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董事、监事、高 级管理人员薪酬制 </w:t>
            </w:r>
            <w:r>
              <w:rPr>
                <w:rFonts w:ascii="宋体" w:hAnsi="宋体" w:cs="宋体" w:eastAsia="宋体" w:hint="default"/>
                <w:spacing w:val="-18"/>
                <w:sz w:val="18"/>
                <w:szCs w:val="18"/>
              </w:rPr>
              <w:t>度</w:t>
            </w:r>
            <w:r>
              <w:rPr>
                <w:rFonts w:ascii="Times New Roman" w:hAnsi="Times New Roman" w:cs="Times New Roman" w:eastAsia="Times New Roman" w:hint="default"/>
                <w:spacing w:val="-18"/>
                <w:sz w:val="18"/>
                <w:szCs w:val="18"/>
              </w:rPr>
              <w:t>&gt;</w:t>
            </w:r>
            <w:r>
              <w:rPr>
                <w:rFonts w:ascii="宋体" w:hAnsi="宋体" w:cs="宋体" w:eastAsia="宋体" w:hint="default"/>
                <w:spacing w:val="-18"/>
                <w:sz w:val="18"/>
                <w:szCs w:val="18"/>
              </w:rPr>
              <w:t>的议案》；（</w:t>
            </w:r>
            <w:r>
              <w:rPr>
                <w:rFonts w:ascii="Times New Roman" w:hAnsi="Times New Roman" w:cs="Times New Roman" w:eastAsia="Times New Roman" w:hint="default"/>
                <w:spacing w:val="-18"/>
                <w:sz w:val="18"/>
                <w:szCs w:val="18"/>
              </w:rPr>
              <w:t>8</w:t>
            </w:r>
            <w:r>
              <w:rPr>
                <w:rFonts w:ascii="宋体" w:hAnsi="宋体" w:cs="宋体" w:eastAsia="宋体" w:hint="default"/>
                <w:spacing w:val="-18"/>
                <w:sz w:val="18"/>
                <w:szCs w:val="18"/>
              </w:rPr>
              <w:t>）</w:t>
            </w:r>
          </w:p>
          <w:p>
            <w:pPr>
              <w:pStyle w:val="TableParagraph"/>
              <w:spacing w:line="312" w:lineRule="auto" w:before="7"/>
              <w:ind w:left="23" w:right="21"/>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&lt;2014 </w:t>
            </w:r>
            <w:r>
              <w:rPr>
                <w:rFonts w:ascii="宋体" w:hAnsi="宋体" w:cs="宋体" w:eastAsia="宋体" w:hint="default"/>
                <w:spacing w:val="-10"/>
                <w:sz w:val="18"/>
                <w:szCs w:val="18"/>
              </w:rPr>
              <w:t>年度董事、监事、高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级管理人员薪酬方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&gt;</w:t>
            </w:r>
            <w:r>
              <w:rPr>
                <w:rFonts w:ascii="宋体" w:hAnsi="宋体" w:cs="宋体" w:eastAsia="宋体" w:hint="default"/>
                <w:spacing w:val="-18"/>
                <w:sz w:val="18"/>
                <w:szCs w:val="18"/>
              </w:rPr>
              <w:t>的议案》；（</w:t>
            </w:r>
            <w:r>
              <w:rPr>
                <w:rFonts w:ascii="Times New Roman" w:hAnsi="Times New Roman" w:cs="Times New Roman" w:eastAsia="Times New Roman" w:hint="default"/>
                <w:spacing w:val="-18"/>
                <w:sz w:val="18"/>
                <w:szCs w:val="18"/>
              </w:rPr>
              <w:t>9</w:t>
            </w:r>
            <w:r>
              <w:rPr>
                <w:rFonts w:ascii="宋体" w:hAnsi="宋体" w:cs="宋体" w:eastAsia="宋体" w:hint="default"/>
                <w:spacing w:val="-18"/>
                <w:sz w:val="18"/>
                <w:szCs w:val="18"/>
              </w:rPr>
              <w:t>）</w:t>
            </w:r>
          </w:p>
          <w:p>
            <w:pPr>
              <w:pStyle w:val="TableParagraph"/>
              <w:spacing w:line="302" w:lineRule="auto" w:before="3"/>
              <w:ind w:left="23" w:right="29"/>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度利润分配的议 </w:t>
            </w:r>
            <w:r>
              <w:rPr>
                <w:rFonts w:ascii="宋体" w:hAnsi="宋体" w:cs="宋体" w:eastAsia="宋体" w:hint="default"/>
                <w:spacing w:val="-25"/>
                <w:sz w:val="18"/>
                <w:szCs w:val="18"/>
              </w:rPr>
              <w:t>案》；（</w:t>
            </w:r>
            <w:r>
              <w:rPr>
                <w:rFonts w:ascii="Times New Roman" w:hAnsi="Times New Roman" w:cs="Times New Roman" w:eastAsia="Times New Roman" w:hint="default"/>
                <w:spacing w:val="-25"/>
                <w:sz w:val="18"/>
                <w:szCs w:val="18"/>
              </w:rPr>
              <w:t>10</w:t>
            </w:r>
            <w:r>
              <w:rPr>
                <w:rFonts w:ascii="宋体" w:hAnsi="宋体" w:cs="宋体" w:eastAsia="宋体" w:hint="default"/>
                <w:spacing w:val="-25"/>
                <w:sz w:val="18"/>
                <w:szCs w:val="18"/>
              </w:rPr>
              <w:t>）《关于修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26"/>
                <w:sz w:val="18"/>
                <w:szCs w:val="18"/>
              </w:rPr>
              <w:t>案》；（</w:t>
            </w:r>
            <w:r>
              <w:rPr>
                <w:rFonts w:ascii="Times New Roman" w:hAnsi="Times New Roman" w:cs="Times New Roman" w:eastAsia="Times New Roman" w:hint="default"/>
                <w:spacing w:val="-26"/>
                <w:sz w:val="18"/>
                <w:szCs w:val="18"/>
              </w:rPr>
              <w:t>11</w:t>
            </w:r>
            <w:r>
              <w:rPr>
                <w:rFonts w:ascii="宋体" w:hAnsi="宋体" w:cs="宋体" w:eastAsia="宋体" w:hint="default"/>
                <w:spacing w:val="-26"/>
                <w:sz w:val="18"/>
                <w:szCs w:val="18"/>
              </w:rPr>
              <w:t>）《关于续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聘公司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 </w:t>
            </w:r>
            <w:r>
              <w:rPr>
                <w:rFonts w:ascii="宋体" w:hAnsi="宋体" w:cs="宋体" w:eastAsia="宋体" w:hint="default"/>
                <w:spacing w:val="-12"/>
                <w:sz w:val="18"/>
                <w:szCs w:val="18"/>
              </w:rPr>
              <w:t>计机构的议案》；</w:t>
            </w:r>
          </w:p>
          <w:p>
            <w:pPr>
              <w:pStyle w:val="TableParagraph"/>
              <w:spacing w:line="312" w:lineRule="auto" w:before="29"/>
              <w:ind w:left="23" w:right="29"/>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）《关于银行授</w:t>
            </w:r>
            <w:r>
              <w:rPr>
                <w:rFonts w:ascii="宋体" w:hAnsi="宋体" w:cs="宋体" w:eastAsia="宋体" w:hint="default"/>
                <w:sz w:val="18"/>
                <w:szCs w:val="18"/>
              </w:rPr>
              <w:t> 信及提供担保的议 </w:t>
            </w:r>
            <w:r>
              <w:rPr>
                <w:rFonts w:ascii="宋体" w:hAnsi="宋体" w:cs="宋体" w:eastAsia="宋体" w:hint="default"/>
                <w:spacing w:val="-25"/>
                <w:sz w:val="18"/>
                <w:szCs w:val="18"/>
              </w:rPr>
              <w:t>案》；（</w:t>
            </w:r>
            <w:r>
              <w:rPr>
                <w:rFonts w:ascii="Times New Roman" w:hAnsi="Times New Roman" w:cs="Times New Roman" w:eastAsia="Times New Roman" w:hint="default"/>
                <w:spacing w:val="-25"/>
                <w:sz w:val="18"/>
                <w:szCs w:val="18"/>
              </w:rPr>
              <w:t>13</w:t>
            </w:r>
            <w:r>
              <w:rPr>
                <w:rFonts w:ascii="宋体" w:hAnsi="宋体" w:cs="宋体" w:eastAsia="宋体" w:hint="default"/>
                <w:spacing w:val="-25"/>
                <w:sz w:val="18"/>
                <w:szCs w:val="18"/>
              </w:rPr>
              <w:t>）《关于使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用超募资金永久补 充流动资金的议 </w:t>
            </w:r>
            <w:r>
              <w:rPr>
                <w:rFonts w:ascii="宋体" w:hAnsi="宋体" w:cs="宋体" w:eastAsia="宋体" w:hint="default"/>
                <w:spacing w:val="-25"/>
                <w:sz w:val="18"/>
                <w:szCs w:val="18"/>
              </w:rPr>
              <w:t>案》；（</w:t>
            </w:r>
            <w:r>
              <w:rPr>
                <w:rFonts w:ascii="Times New Roman" w:hAnsi="Times New Roman" w:cs="Times New Roman" w:eastAsia="Times New Roman" w:hint="default"/>
                <w:spacing w:val="-25"/>
                <w:sz w:val="18"/>
                <w:szCs w:val="18"/>
              </w:rPr>
              <w:t>14</w:t>
            </w:r>
            <w:r>
              <w:rPr>
                <w:rFonts w:ascii="宋体" w:hAnsi="宋体" w:cs="宋体" w:eastAsia="宋体" w:hint="default"/>
                <w:spacing w:val="-25"/>
                <w:sz w:val="18"/>
                <w:szCs w:val="18"/>
              </w:rPr>
              <w:t>）《关于使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用闲置募集资金购 买银行理财产品的 </w:t>
            </w:r>
            <w:r>
              <w:rPr>
                <w:rFonts w:ascii="宋体" w:hAnsi="宋体" w:cs="宋体" w:eastAsia="宋体" w:hint="default"/>
                <w:spacing w:val="-25"/>
                <w:sz w:val="18"/>
                <w:szCs w:val="18"/>
              </w:rPr>
              <w:t>议案》；（</w:t>
            </w:r>
            <w:r>
              <w:rPr>
                <w:rFonts w:ascii="Times New Roman" w:hAnsi="Times New Roman" w:cs="Times New Roman" w:eastAsia="Times New Roman" w:hint="default"/>
                <w:spacing w:val="-25"/>
                <w:sz w:val="18"/>
                <w:szCs w:val="18"/>
              </w:rPr>
              <w:t>15</w:t>
            </w:r>
            <w:r>
              <w:rPr>
                <w:rFonts w:ascii="宋体" w:hAnsi="宋体" w:cs="宋体" w:eastAsia="宋体" w:hint="default"/>
                <w:spacing w:val="-25"/>
                <w:sz w:val="18"/>
                <w:szCs w:val="18"/>
              </w:rPr>
              <w:t>）《关于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实施人才安居保障 房的议案》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会议以现场投票和 网络投票相结合的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307" w:lineRule="auto"/>
              <w:ind w:left="23" w:right="2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会决议的公告</w:t>
            </w:r>
          </w:p>
          <w:p>
            <w:pPr>
              <w:pStyle w:val="TableParagraph"/>
              <w:spacing w:line="300" w:lineRule="auto" w:before="26"/>
              <w:ind w:left="23" w:right="59"/>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2014-059</w:t>
            </w:r>
            <w:r>
              <w:rPr>
                <w:rFonts w:ascii="宋体" w:hAnsi="宋体" w:cs="宋体" w:eastAsia="宋体" w:hint="default"/>
                <w:spacing w:val="-7"/>
                <w:sz w:val="18"/>
                <w:szCs w:val="18"/>
              </w:rPr>
              <w:t>）。巨潮</w:t>
            </w:r>
            <w:r>
              <w:rPr>
                <w:rFonts w:ascii="宋体" w:hAnsi="宋体" w:cs="宋体" w:eastAsia="宋体" w:hint="default"/>
                <w:sz w:val="18"/>
                <w:szCs w:val="18"/>
              </w:rPr>
              <w:t> 资讯网</w:t>
            </w:r>
          </w:p>
          <w:p>
            <w:pPr>
              <w:pStyle w:val="TableParagraph"/>
              <w:spacing w:line="240" w:lineRule="auto" w:before="3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本报告期临时股东大会情况" w:id="124"/>
      <w:bookmarkEnd w:id="124"/>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5"/>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《关于与关联方</w:t>
            </w:r>
            <w:r>
              <w:rPr>
                <w:rFonts w:ascii="宋体" w:hAnsi="宋体" w:cs="宋体" w:eastAsia="宋体" w:hint="default"/>
                <w:w w:val="99"/>
                <w:sz w:val="18"/>
                <w:szCs w:val="18"/>
              </w:rPr>
              <w:t> </w:t>
            </w:r>
            <w:r>
              <w:rPr>
                <w:rFonts w:ascii="宋体" w:hAnsi="宋体" w:cs="宋体" w:eastAsia="宋体" w:hint="default"/>
                <w:sz w:val="18"/>
                <w:szCs w:val="18"/>
              </w:rPr>
              <w:t>共同设立子公司的</w:t>
            </w:r>
            <w:r>
              <w:rPr>
                <w:rFonts w:ascii="宋体" w:hAnsi="宋体" w:cs="宋体" w:eastAsia="宋体" w:hint="default"/>
                <w:w w:val="99"/>
                <w:sz w:val="18"/>
                <w:szCs w:val="18"/>
              </w:rPr>
              <w:t> </w:t>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式，审议通过了该议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2014-015</w:t>
            </w:r>
            <w:r>
              <w:rPr>
                <w:rFonts w:ascii="宋体" w:hAnsi="宋体" w:cs="宋体" w:eastAsia="宋体" w:hint="default"/>
                <w:spacing w:val="-7"/>
                <w:sz w:val="18"/>
                <w:szCs w:val="18"/>
              </w:rPr>
              <w:t>）。巨</w:t>
            </w:r>
            <w:r>
              <w:rPr>
                <w:rFonts w:ascii="宋体" w:hAnsi="宋体" w:cs="宋体" w:eastAsia="宋体" w:hint="default"/>
                <w:sz w:val="18"/>
                <w:szCs w:val="18"/>
              </w:rPr>
              <w:t> 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38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）《关于惠州茂硕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进行股权融资暨变 更为合资经营方式 </w:t>
            </w:r>
            <w:r>
              <w:rPr>
                <w:rFonts w:ascii="宋体" w:hAnsi="宋体" w:cs="宋体" w:eastAsia="宋体" w:hint="default"/>
                <w:spacing w:val="-32"/>
                <w:sz w:val="18"/>
                <w:szCs w:val="18"/>
              </w:rPr>
              <w:t>的议案》；（</w:t>
            </w:r>
            <w:r>
              <w:rPr>
                <w:rFonts w:ascii="Times New Roman" w:hAnsi="Times New Roman" w:cs="Times New Roman" w:eastAsia="Times New Roman" w:hint="default"/>
                <w:spacing w:val="-32"/>
                <w:sz w:val="18"/>
                <w:szCs w:val="18"/>
              </w:rPr>
              <w:t>2</w:t>
            </w:r>
            <w:r>
              <w:rPr>
                <w:rFonts w:ascii="宋体" w:hAnsi="宋体" w:cs="宋体" w:eastAsia="宋体" w:hint="default"/>
                <w:spacing w:val="-32"/>
                <w:sz w:val="18"/>
                <w:szCs w:val="18"/>
              </w:rPr>
              <w:t>）《关于</w:t>
            </w:r>
            <w:r>
              <w:rPr>
                <w:rFonts w:ascii="宋体" w:hAnsi="宋体" w:cs="宋体" w:eastAsia="宋体" w:hint="default"/>
                <w:sz w:val="18"/>
                <w:szCs w:val="18"/>
              </w:rPr>
              <w:t> 为惠州茂硕进行股 权融资暨变更为合 资经营方式提供担 </w:t>
            </w:r>
            <w:r>
              <w:rPr>
                <w:rFonts w:ascii="宋体" w:hAnsi="宋体" w:cs="宋体" w:eastAsia="宋体" w:hint="default"/>
                <w:spacing w:val="-32"/>
                <w:sz w:val="18"/>
                <w:szCs w:val="18"/>
              </w:rPr>
              <w:t>保的议案》；（</w:t>
            </w:r>
            <w:r>
              <w:rPr>
                <w:rFonts w:ascii="Times New Roman" w:hAnsi="Times New Roman" w:cs="Times New Roman" w:eastAsia="Times New Roman" w:hint="default"/>
                <w:spacing w:val="-32"/>
                <w:sz w:val="18"/>
                <w:szCs w:val="18"/>
              </w:rPr>
              <w:t>3</w:t>
            </w:r>
            <w:r>
              <w:rPr>
                <w:rFonts w:ascii="宋体" w:hAnsi="宋体" w:cs="宋体" w:eastAsia="宋体" w:hint="default"/>
                <w:spacing w:val="-32"/>
                <w:sz w:val="18"/>
                <w:szCs w:val="18"/>
              </w:rPr>
              <w:t>）《关</w:t>
            </w:r>
            <w:r>
              <w:rPr>
                <w:rFonts w:ascii="宋体" w:hAnsi="宋体" w:cs="宋体" w:eastAsia="宋体" w:hint="default"/>
                <w:sz w:val="18"/>
                <w:szCs w:val="18"/>
              </w:rPr>
              <w:t> 于茂硕投资股权调 </w:t>
            </w:r>
            <w:r>
              <w:rPr>
                <w:rFonts w:ascii="宋体" w:hAnsi="宋体" w:cs="宋体" w:eastAsia="宋体" w:hint="default"/>
                <w:spacing w:val="-32"/>
                <w:sz w:val="18"/>
                <w:szCs w:val="18"/>
              </w:rPr>
              <w:t>整的议案》；（</w:t>
            </w:r>
            <w:r>
              <w:rPr>
                <w:rFonts w:ascii="Times New Roman" w:hAnsi="Times New Roman" w:cs="Times New Roman" w:eastAsia="Times New Roman" w:hint="default"/>
                <w:spacing w:val="-32"/>
                <w:sz w:val="18"/>
                <w:szCs w:val="18"/>
              </w:rPr>
              <w:t>4</w:t>
            </w:r>
            <w:r>
              <w:rPr>
                <w:rFonts w:ascii="宋体" w:hAnsi="宋体" w:cs="宋体" w:eastAsia="宋体" w:hint="default"/>
                <w:spacing w:val="-32"/>
                <w:sz w:val="18"/>
                <w:szCs w:val="18"/>
              </w:rPr>
              <w:t>）《关</w:t>
            </w:r>
            <w:r>
              <w:rPr>
                <w:rFonts w:ascii="宋体" w:hAnsi="宋体" w:cs="宋体" w:eastAsia="宋体" w:hint="default"/>
                <w:sz w:val="18"/>
                <w:szCs w:val="18"/>
              </w:rPr>
              <w:t> 于银行授信及提供 担保的议案》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1"/>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会议以现场投票和 网络投票相结合的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7" w:lineRule="auto"/>
              <w:ind w:left="23" w:right="2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股东大会决议公告</w:t>
            </w:r>
          </w:p>
          <w:p>
            <w:pPr>
              <w:pStyle w:val="TableParagraph"/>
              <w:spacing w:line="300" w:lineRule="auto" w:before="26"/>
              <w:ind w:left="23" w:right="59"/>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2014-076</w:t>
            </w:r>
            <w:r>
              <w:rPr>
                <w:rFonts w:ascii="宋体" w:hAnsi="宋体" w:cs="宋体" w:eastAsia="宋体" w:hint="default"/>
                <w:spacing w:val="-7"/>
                <w:sz w:val="18"/>
                <w:szCs w:val="18"/>
              </w:rPr>
              <w:t>）。巨潮</w:t>
            </w:r>
            <w:r>
              <w:rPr>
                <w:rFonts w:ascii="宋体" w:hAnsi="宋体" w:cs="宋体" w:eastAsia="宋体" w:hint="default"/>
                <w:sz w:val="18"/>
                <w:szCs w:val="18"/>
              </w:rPr>
              <w:t> 资讯网</w:t>
            </w:r>
          </w:p>
          <w:p>
            <w:pPr>
              <w:pStyle w:val="TableParagraph"/>
              <w:spacing w:line="240" w:lineRule="auto" w:before="3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629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）《关于公司符合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发行股份及支付现 金购买资产并募集 配套资金条件的议 </w:t>
            </w:r>
            <w:r>
              <w:rPr>
                <w:rFonts w:ascii="宋体" w:hAnsi="宋体" w:cs="宋体" w:eastAsia="宋体" w:hint="default"/>
                <w:spacing w:val="-32"/>
                <w:sz w:val="18"/>
                <w:szCs w:val="18"/>
              </w:rPr>
              <w:t>案》；（</w:t>
            </w:r>
            <w:r>
              <w:rPr>
                <w:rFonts w:ascii="Times New Roman" w:hAnsi="Times New Roman" w:cs="Times New Roman" w:eastAsia="Times New Roman" w:hint="default"/>
                <w:spacing w:val="-32"/>
                <w:sz w:val="18"/>
                <w:szCs w:val="18"/>
              </w:rPr>
              <w:t>2</w:t>
            </w:r>
            <w:r>
              <w:rPr>
                <w:rFonts w:ascii="宋体" w:hAnsi="宋体" w:cs="宋体" w:eastAsia="宋体" w:hint="default"/>
                <w:spacing w:val="-32"/>
                <w:sz w:val="18"/>
                <w:szCs w:val="18"/>
              </w:rPr>
              <w:t>）《关于公司</w:t>
            </w:r>
            <w:r>
              <w:rPr>
                <w:rFonts w:ascii="宋体" w:hAnsi="宋体" w:cs="宋体" w:eastAsia="宋体" w:hint="default"/>
                <w:sz w:val="18"/>
                <w:szCs w:val="18"/>
              </w:rPr>
              <w:t> 发行股份及支付现 金购买资产并募集 配套资金方案的议 </w:t>
            </w:r>
            <w:r>
              <w:rPr>
                <w:rFonts w:ascii="宋体" w:hAnsi="宋体" w:cs="宋体" w:eastAsia="宋体" w:hint="default"/>
                <w:spacing w:val="-32"/>
                <w:sz w:val="18"/>
                <w:szCs w:val="18"/>
              </w:rPr>
              <w:t>案》；（</w:t>
            </w:r>
            <w:r>
              <w:rPr>
                <w:rFonts w:ascii="Times New Roman" w:hAnsi="Times New Roman" w:cs="Times New Roman" w:eastAsia="Times New Roman" w:hint="default"/>
                <w:spacing w:val="-32"/>
                <w:sz w:val="18"/>
                <w:szCs w:val="18"/>
              </w:rPr>
              <w:t>3</w:t>
            </w:r>
            <w:r>
              <w:rPr>
                <w:rFonts w:ascii="宋体" w:hAnsi="宋体" w:cs="宋体" w:eastAsia="宋体" w:hint="default"/>
                <w:spacing w:val="-32"/>
                <w:sz w:val="18"/>
                <w:szCs w:val="18"/>
              </w:rPr>
              <w:t>）《关于公司</w:t>
            </w:r>
            <w:r>
              <w:rPr>
                <w:rFonts w:ascii="宋体" w:hAnsi="宋体" w:cs="宋体" w:eastAsia="宋体" w:hint="default"/>
                <w:sz w:val="18"/>
                <w:szCs w:val="18"/>
              </w:rPr>
              <w:t> 发行股份及支付现 金购买资产并募集 配套资金是否构成 </w:t>
            </w:r>
            <w:r>
              <w:rPr>
                <w:rFonts w:ascii="宋体" w:hAnsi="宋体" w:cs="宋体" w:eastAsia="宋体" w:hint="default"/>
                <w:spacing w:val="-10"/>
                <w:sz w:val="18"/>
                <w:szCs w:val="18"/>
              </w:rPr>
              <w:t>关联交易的议案》；</w:t>
            </w:r>
          </w:p>
          <w:p>
            <w:pPr>
              <w:pStyle w:val="TableParagraph"/>
              <w:spacing w:line="309" w:lineRule="auto" w:before="20"/>
              <w:ind w:left="23" w:right="21"/>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）《关于公司发行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股份及支付现金购 买资产并募集配套 资金符合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上市公 司重大资产重组管 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第四十三 条第二款规定的议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会议以现场投票和 网络投票相结合的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2014-116</w:t>
            </w:r>
            <w:r>
              <w:rPr>
                <w:rFonts w:ascii="宋体" w:hAnsi="宋体" w:cs="宋体" w:eastAsia="宋体" w:hint="default"/>
                <w:spacing w:val="-8"/>
                <w:sz w:val="18"/>
                <w:szCs w:val="18"/>
              </w:rPr>
              <w:t>）。巨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31"/>
                <w:sz w:val="18"/>
                <w:szCs w:val="18"/>
              </w:rPr>
              <w:t>）</w:t>
            </w:r>
            <w:r>
              <w:rPr>
                <w:rFonts w:ascii="宋体" w:hAnsi="宋体" w:cs="宋体" w:eastAsia="宋体" w:hint="default"/>
                <w:sz w:val="18"/>
                <w:szCs w:val="18"/>
              </w:rPr>
              <w:t>《关于公司</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发行股份及支付现</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金购买资产并募集</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配套资金符合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于规范上市公司重</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大资产重组若干问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规定的议案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《关于公司与方笑</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w:t>
            </w:r>
            <w:r>
              <w:rPr>
                <w:rFonts w:ascii="宋体" w:hAnsi="宋体" w:cs="宋体" w:eastAsia="宋体" w:hint="default"/>
                <w:spacing w:val="-82"/>
                <w:sz w:val="18"/>
                <w:szCs w:val="18"/>
              </w:rPr>
              <w:t>、</w:t>
            </w:r>
            <w:r>
              <w:rPr>
                <w:rFonts w:ascii="宋体" w:hAnsi="宋体" w:cs="宋体" w:eastAsia="宋体" w:hint="default"/>
                <w:sz w:val="18"/>
                <w:szCs w:val="18"/>
              </w:rPr>
              <w:t>蓝顺明签署附条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件生效的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份及支付现金购买</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盈利</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预测补偿协议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131"/>
                <w:sz w:val="18"/>
                <w:szCs w:val="18"/>
              </w:rPr>
              <w:t>）</w:t>
            </w:r>
            <w:r>
              <w:rPr>
                <w:rFonts w:ascii="宋体" w:hAnsi="宋体" w:cs="宋体" w:eastAsia="宋体" w:hint="default"/>
                <w:sz w:val="18"/>
                <w:szCs w:val="18"/>
              </w:rPr>
              <w:t>《关于公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司与宗佩民</w:t>
            </w:r>
            <w:r>
              <w:rPr>
                <w:rFonts w:ascii="宋体" w:hAnsi="宋体" w:cs="宋体" w:eastAsia="宋体" w:hint="default"/>
                <w:spacing w:val="-82"/>
                <w:sz w:val="18"/>
                <w:szCs w:val="18"/>
              </w:rPr>
              <w:t>、</w:t>
            </w:r>
            <w:r>
              <w:rPr>
                <w:rFonts w:ascii="宋体" w:hAnsi="宋体" w:cs="宋体" w:eastAsia="宋体" w:hint="default"/>
                <w:sz w:val="18"/>
                <w:szCs w:val="18"/>
              </w:rPr>
              <w:t>曹国熊</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签署附条件生效的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非公开发行股份</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认购协议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w:t>
            </w:r>
            <w:r>
              <w:rPr>
                <w:rFonts w:ascii="Times New Roman" w:hAnsi="Times New Roman" w:cs="Times New Roman" w:eastAsia="Times New Roman" w:hint="default"/>
                <w:sz w:val="18"/>
                <w:szCs w:val="18"/>
              </w:rPr>
              <w:t>&lt;</w:t>
            </w:r>
            <w:r>
              <w:rPr>
                <w:rFonts w:ascii="宋体" w:hAnsi="宋体" w:cs="宋体" w:eastAsia="宋体" w:hint="default"/>
                <w:sz w:val="18"/>
                <w:szCs w:val="18"/>
              </w:rPr>
              <w:t>茂</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硕电源科技股份有</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限公司发行股份及</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支付现金购买资产</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并向特定对象募集</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配套资金报告</w:t>
            </w:r>
            <w:r>
              <w:rPr>
                <w:rFonts w:ascii="宋体" w:hAnsi="宋体" w:cs="宋体" w:eastAsia="宋体" w:hint="default"/>
                <w:spacing w:val="-82"/>
                <w:sz w:val="18"/>
                <w:szCs w:val="18"/>
              </w:rPr>
              <w:t>书</w:t>
            </w:r>
            <w:r>
              <w:rPr>
                <w:rFonts w:ascii="宋体" w:hAnsi="宋体" w:cs="宋体" w:eastAsia="宋体" w:hint="default"/>
                <w:sz w:val="18"/>
                <w:szCs w:val="18"/>
              </w:rPr>
              <w:t>（草</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131"/>
                <w:sz w:val="18"/>
                <w:szCs w:val="18"/>
              </w:rPr>
              <w:t>）</w:t>
            </w:r>
            <w:r>
              <w:rPr>
                <w:rFonts w:ascii="宋体" w:hAnsi="宋体" w:cs="宋体" w:eastAsia="宋体" w:hint="default"/>
                <w:sz w:val="18"/>
                <w:szCs w:val="18"/>
              </w:rPr>
              <w:t>《关于批准</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本次发行股份及支</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付现金购买资产并</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募集配套资金相关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审计报告及评估报</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90"/>
                <w:sz w:val="18"/>
                <w:szCs w:val="18"/>
              </w:rPr>
              <w:t>》</w:t>
            </w:r>
            <w:r>
              <w:rPr>
                <w:rFonts w:ascii="宋体" w:hAnsi="宋体" w:cs="宋体" w:eastAsia="宋体" w:hint="default"/>
                <w:spacing w:val="-17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pacing w:val="-177"/>
                <w:sz w:val="18"/>
                <w:szCs w:val="18"/>
              </w:rPr>
              <w:t>）</w:t>
            </w:r>
            <w:r>
              <w:rPr>
                <w:rFonts w:ascii="宋体" w:hAnsi="宋体" w:cs="宋体" w:eastAsia="宋体" w:hint="default"/>
                <w:sz w:val="18"/>
                <w:szCs w:val="18"/>
              </w:rPr>
              <w:t>《关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于提请公司股东大</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会授权公司董事会</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办理本次发行股份</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及支付现金购买资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产并募集配套资金</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相关事项的议案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茂硕电源科技股份</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pacing w:val="-90"/>
                <w:sz w:val="18"/>
                <w:szCs w:val="18"/>
              </w:rPr>
              <w:t>）</w:t>
            </w:r>
            <w:r>
              <w:rPr>
                <w:rFonts w:ascii="宋体" w:hAnsi="宋体" w:cs="宋体" w:eastAsia="宋体" w:hint="default"/>
                <w:sz w:val="18"/>
                <w:szCs w:val="18"/>
              </w:rPr>
              <w:t>《关于</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制定</w:t>
            </w:r>
            <w:r>
              <w:rPr>
                <w:rFonts w:ascii="Times New Roman" w:hAnsi="Times New Roman" w:cs="Times New Roman" w:eastAsia="Times New Roman" w:hint="default"/>
                <w:sz w:val="18"/>
                <w:szCs w:val="18"/>
              </w:rPr>
              <w:t>&lt;</w:t>
            </w:r>
            <w:r>
              <w:rPr>
                <w:rFonts w:ascii="宋体" w:hAnsi="宋体" w:cs="宋体" w:eastAsia="宋体" w:hint="default"/>
                <w:sz w:val="18"/>
                <w:szCs w:val="18"/>
              </w:rPr>
              <w:t>茂硕电源科</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3"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技股份有限公司未</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来三年（</w:t>
            </w:r>
            <w:r>
              <w:rPr>
                <w:rFonts w:ascii="Times New Roman" w:hAnsi="Times New Roman" w:cs="Times New Roman" w:eastAsia="Times New Roman" w:hint="default"/>
                <w:sz w:val="18"/>
                <w:szCs w:val="18"/>
              </w:rPr>
              <w:t>2014-2016</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年）股东回报规划</w:t>
            </w:r>
            <w:r>
              <w:rPr>
                <w:rFonts w:ascii="Times New Roman" w:hAnsi="Times New Roman" w:cs="Times New Roman" w:eastAsia="Times New Roman" w:hint="default"/>
                <w:sz w:val="18"/>
                <w:szCs w:val="18"/>
              </w:rPr>
              <w:t>&gt;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pacing w:val="-90"/>
                <w:sz w:val="18"/>
                <w:szCs w:val="18"/>
              </w:rPr>
              <w:t>）</w:t>
            </w:r>
            <w:r>
              <w:rPr>
                <w:rFonts w:ascii="宋体" w:hAnsi="宋体" w:cs="宋体" w:eastAsia="宋体" w:hint="default"/>
                <w:sz w:val="18"/>
                <w:szCs w:val="18"/>
              </w:rPr>
              <w:t>《关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茂硕电源</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股东大会议事规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茂硕</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电源科技股份有限</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公司募集资金管理</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表决权恢夊的优先股股东请求召开临时股东大会" w:id="125"/>
      <w:bookmarkEnd w:id="125"/>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报告期内独立董事履行职责的情况" w:id="126"/>
      <w:bookmarkEnd w:id="126"/>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27"/>
      <w:bookmarkEnd w:id="12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left="154" w:right="0"/>
        <w:jc w:val="left"/>
        <w:rPr>
          <w:b w:val="0"/>
          <w:bCs w:val="0"/>
        </w:rPr>
      </w:pPr>
      <w:bookmarkStart w:name="2、独立董事对公司有关事项提出异议的情况" w:id="128"/>
      <w:bookmarkEnd w:id="12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left="153" w:right="6973"/>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3、独立董事履行职责的其他说明" w:id="129"/>
      <w:bookmarkEnd w:id="12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独立董事对公司有关建议是否被采纳</w:t>
      </w:r>
    </w:p>
    <w:p>
      <w:pPr>
        <w:pStyle w:val="BodyText"/>
        <w:spacing w:line="360" w:lineRule="auto" w:before="116"/>
        <w:ind w:left="153" w:right="6793"/>
        <w:jc w:val="left"/>
      </w:pPr>
      <w:r>
        <w:rPr/>
        <w:t>√ 是 □ 否 独立董事对公司有关建议被采纳或未被采纳的说明</w:t>
      </w:r>
    </w:p>
    <w:p>
      <w:pPr>
        <w:pStyle w:val="BodyText"/>
        <w:spacing w:line="316" w:lineRule="auto" w:before="25"/>
        <w:ind w:left="153" w:right="0" w:firstLine="290"/>
        <w:jc w:val="left"/>
      </w:pPr>
      <w:r>
        <w:rPr>
          <w:spacing w:val="-1"/>
        </w:rPr>
        <w:t>报告期内，公司独立董事根据《公司法》、《关于在上市公司建立独立董事的指导意见》、《关于加强社会公众股股东</w:t>
      </w:r>
      <w:r>
        <w:rPr/>
        <w:t> </w:t>
      </w:r>
      <w:r>
        <w:rPr>
          <w:spacing w:val="-2"/>
        </w:rPr>
        <w:t>权益保护的若干规定》、深圳证券交易所《中小企业板上市公司规范运作指引》、《公司章程》和《独立董事工作制度》等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130"/>
        <w:jc w:val="both"/>
      </w:pPr>
      <w:r>
        <w:rPr>
          <w:spacing w:val="-2"/>
        </w:rPr>
        <w:t>有关法律、法规及规范性文件的规定和要求，勤勉、尽责、忠实履行独立董事职责，积极参与公司治理和决策活动，积极出</w:t>
      </w:r>
      <w:r>
        <w:rPr>
          <w:spacing w:val="-68"/>
        </w:rPr>
        <w:t> </w:t>
      </w:r>
      <w:r>
        <w:rPr>
          <w:spacing w:val="-68"/>
        </w:rPr>
      </w:r>
      <w:r>
        <w:rPr>
          <w:spacing w:val="-2"/>
        </w:rPr>
        <w:t>席相关会议，认真审议董事会各项议案，对公司相关事项发表独立意见对公司的制度完善和经营发展决策等方面提出了许多</w:t>
      </w:r>
      <w:r>
        <w:rPr>
          <w:spacing w:val="-64"/>
        </w:rPr>
        <w:t> </w:t>
      </w:r>
      <w:r>
        <w:rPr>
          <w:spacing w:val="-64"/>
        </w:rPr>
      </w:r>
      <w:r>
        <w:rPr>
          <w:spacing w:val="-2"/>
        </w:rPr>
        <w:t>宝贵的专业性意见。同时，多次进入公司办公现场及生产车间，积极关注公司经营动态及财务状况；并利用专业优势，独立</w:t>
      </w:r>
      <w:r>
        <w:rPr>
          <w:spacing w:val="-66"/>
        </w:rPr>
        <w:t> </w:t>
      </w:r>
      <w:r>
        <w:rPr>
          <w:spacing w:val="-66"/>
        </w:rPr>
      </w:r>
      <w:r>
        <w:rPr>
          <w:spacing w:val="-2"/>
        </w:rPr>
        <w:t>董事就发行股份及支付现金购买资产并向特定对象募集配套资金相关事项、股权激励计划、各对外投资计划以及关联交易等</w:t>
      </w:r>
      <w:r>
        <w:rPr>
          <w:spacing w:val="-64"/>
        </w:rPr>
        <w:t> </w:t>
      </w:r>
      <w:r>
        <w:rPr>
          <w:spacing w:val="-64"/>
        </w:rPr>
      </w:r>
      <w:r>
        <w:rPr/>
        <w:t>方面提出了富有针对性的建议和意见，对公司经营决策发挥了积极作用。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四、董事会下设专门委员会在报告期内履行职责情况" w:id="130"/>
      <w:bookmarkEnd w:id="130"/>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131" w:firstLine="360"/>
        <w:jc w:val="both"/>
      </w:pPr>
      <w:r>
        <w:rPr>
          <w:spacing w:val="-2"/>
        </w:rPr>
        <w:t>公司董事会下设四个专门委员会，分别为审计委员会、提名委员会、薪酬与考核委员会、战略委员会。各专门委员会职</w:t>
      </w:r>
      <w:r>
        <w:rPr/>
        <w:t> </w:t>
      </w:r>
      <w:r>
        <w:rPr>
          <w:spacing w:val="-2"/>
        </w:rPr>
        <w:t>责明确，依据公司董事会制定的各专门委员会工作制度履行职责，就专业性事项进行研究，提出意见及建议，为董事会决策</w:t>
      </w:r>
      <w:r>
        <w:rPr>
          <w:spacing w:val="-66"/>
        </w:rPr>
        <w:t> </w:t>
      </w:r>
      <w:r>
        <w:rPr>
          <w:spacing w:val="-66"/>
        </w:rPr>
      </w:r>
      <w:r>
        <w:rPr/>
        <w:t>提供参考，</w:t>
      </w:r>
      <w:r>
        <w:rPr>
          <w:rFonts w:ascii="Times New Roman" w:hAnsi="Times New Roman" w:cs="Times New Roman" w:eastAsia="Times New Roman" w:hint="default"/>
        </w:rPr>
        <w:t>2014</w:t>
      </w:r>
      <w:r>
        <w:rPr/>
        <w:t>年度各专门委员会履职情况如下：</w:t>
      </w:r>
    </w:p>
    <w:p>
      <w:pPr>
        <w:pStyle w:val="BodyText"/>
        <w:spacing w:line="316" w:lineRule="auto"/>
        <w:ind w:left="514" w:right="0"/>
        <w:jc w:val="left"/>
      </w:pPr>
      <w:r>
        <w:rPr/>
        <w:t>（一）审计委员会 </w:t>
      </w:r>
      <w:r>
        <w:rPr>
          <w:spacing w:val="-2"/>
        </w:rPr>
        <w:t>公司审计委员会由三名董事组成，其中独立董事两名，并由会计专业的独立董事担任召集人。报告期内，审计委员会严</w:t>
      </w:r>
    </w:p>
    <w:p>
      <w:pPr>
        <w:pStyle w:val="BodyText"/>
        <w:spacing w:line="316" w:lineRule="auto" w:before="19"/>
        <w:ind w:right="1130"/>
        <w:jc w:val="both"/>
      </w:pPr>
      <w:r>
        <w:rPr>
          <w:spacing w:val="-2"/>
        </w:rPr>
        <w:t>格依据《深圳证券交易所中小企业板上市公司规范运作指引》、公司《董事会审计委员会工作条例》等有关规定，认真履行</w:t>
      </w:r>
      <w:r>
        <w:rPr>
          <w:spacing w:val="-68"/>
        </w:rPr>
        <w:t> </w:t>
      </w:r>
      <w:r>
        <w:rPr>
          <w:spacing w:val="-68"/>
        </w:rPr>
      </w:r>
      <w:r>
        <w:rPr>
          <w:spacing w:val="-2"/>
        </w:rPr>
        <w:t>职责，积极对季度报告、半年度报告、年度报告等进行了审议，定期检查募集资金存放与使用情况及财务报告情况，对公司</w:t>
      </w:r>
      <w:r>
        <w:rPr>
          <w:spacing w:val="-66"/>
        </w:rPr>
        <w:t> </w:t>
      </w:r>
      <w:r>
        <w:rPr>
          <w:spacing w:val="-66"/>
        </w:rPr>
      </w:r>
      <w:r>
        <w:rPr/>
        <w:t>审计部工作进行指导，并督促会计师事务所审计工作，发挥了其应有的作用。</w:t>
      </w:r>
    </w:p>
    <w:p>
      <w:pPr>
        <w:pStyle w:val="BodyText"/>
        <w:spacing w:line="316" w:lineRule="auto" w:before="19"/>
        <w:ind w:left="513" w:right="1123"/>
        <w:jc w:val="left"/>
      </w:pPr>
      <w:r>
        <w:rPr/>
        <w:t>（二）提名委员会 提名委员会成员由三名董事组成，其中独立董事两名，</w:t>
      </w:r>
      <w:r>
        <w:rPr>
          <w:rFonts w:ascii="Times New Roman" w:hAnsi="Times New Roman" w:cs="Times New Roman" w:eastAsia="Times New Roman" w:hint="default"/>
        </w:rPr>
        <w:t>2014</w:t>
      </w:r>
      <w:r>
        <w:rPr/>
        <w:t>年度，公司提名委员会各委员积极履行职责，召开了</w:t>
      </w:r>
      <w:r>
        <w:rPr>
          <w:rFonts w:ascii="Times New Roman" w:hAnsi="Times New Roman" w:cs="Times New Roman" w:eastAsia="Times New Roman" w:hint="default"/>
        </w:rPr>
        <w:t>2</w:t>
      </w:r>
      <w:r>
        <w:rPr/>
        <w:t>次会</w:t>
      </w:r>
    </w:p>
    <w:p>
      <w:pPr>
        <w:pStyle w:val="BodyText"/>
        <w:spacing w:line="316" w:lineRule="auto"/>
        <w:ind w:left="153" w:right="1130"/>
        <w:jc w:val="both"/>
      </w:pPr>
      <w:r>
        <w:rPr>
          <w:spacing w:val="-2"/>
        </w:rPr>
        <w:t>议，为公司第三届董事会的董事以及公司高级管理人员的聘任，提供了专业的建议和意见，协助公司顺利完成董事、高管的</w:t>
      </w:r>
      <w:r>
        <w:rPr>
          <w:spacing w:val="-65"/>
        </w:rPr>
        <w:t> </w:t>
      </w:r>
      <w:r>
        <w:rPr>
          <w:spacing w:val="-65"/>
        </w:rPr>
      </w:r>
      <w:r>
        <w:rPr/>
        <w:t>任免和聘任工作。</w:t>
      </w:r>
    </w:p>
    <w:p>
      <w:pPr>
        <w:pStyle w:val="BodyText"/>
        <w:spacing w:line="319" w:lineRule="auto" w:before="19"/>
        <w:ind w:left="513" w:right="1123"/>
        <w:jc w:val="left"/>
      </w:pPr>
      <w:r>
        <w:rPr/>
        <w:t>（三）薪酬与考核委员会 薪酬与考核委员会成员由三名董事组成，其中独立董事两名，</w:t>
      </w:r>
      <w:r>
        <w:rPr>
          <w:rFonts w:ascii="Times New Roman" w:hAnsi="Times New Roman" w:cs="Times New Roman" w:eastAsia="Times New Roman" w:hint="default"/>
        </w:rPr>
        <w:t>2014</w:t>
      </w:r>
      <w:r>
        <w:rPr/>
        <w:t>年度，薪酬与考核委员会召开了</w:t>
      </w:r>
      <w:r>
        <w:rPr>
          <w:rFonts w:ascii="Times New Roman" w:hAnsi="Times New Roman" w:cs="Times New Roman" w:eastAsia="Times New Roman" w:hint="default"/>
        </w:rPr>
        <w:t>2</w:t>
      </w:r>
      <w:r>
        <w:rPr/>
        <w:t>次会议，各位委员</w:t>
      </w:r>
    </w:p>
    <w:p>
      <w:pPr>
        <w:pStyle w:val="BodyText"/>
        <w:spacing w:line="246" w:lineRule="exact"/>
        <w:ind w:left="153" w:right="0"/>
        <w:jc w:val="both"/>
      </w:pPr>
      <w:r>
        <w:rPr/>
        <w:t>认真履行其职责</w:t>
      </w:r>
      <w:r>
        <w:rPr>
          <w:spacing w:val="-87"/>
        </w:rPr>
        <w:t>，</w:t>
      </w:r>
      <w:r>
        <w:rPr/>
        <w:t>对公司董事</w:t>
      </w:r>
      <w:r>
        <w:rPr>
          <w:spacing w:val="-87"/>
        </w:rPr>
        <w:t>、</w:t>
      </w:r>
      <w:r>
        <w:rPr/>
        <w:t>监事和高级管理人员薪酬情况和公司</w:t>
      </w:r>
      <w:r>
        <w:rPr>
          <w:rFonts w:ascii="Times New Roman" w:hAnsi="Times New Roman" w:cs="Times New Roman" w:eastAsia="Times New Roman" w:hint="default"/>
        </w:rPr>
        <w:t>2014</w:t>
      </w:r>
      <w:r>
        <w:rPr/>
        <w:t>年度计划实施限制性股票激励计划事项进行了审议。</w:t>
      </w:r>
    </w:p>
    <w:p>
      <w:pPr>
        <w:pStyle w:val="BodyText"/>
        <w:spacing w:line="360" w:lineRule="auto" w:before="63"/>
        <w:ind w:left="514" w:right="1122"/>
        <w:jc w:val="left"/>
      </w:pPr>
      <w:r>
        <w:rPr/>
        <w:t>（四）战略委员会 战略委员会成员由三名董事组成，其中独立董事一名，</w:t>
      </w:r>
      <w:r>
        <w:rPr>
          <w:rFonts w:ascii="Times New Roman" w:hAnsi="Times New Roman" w:cs="Times New Roman" w:eastAsia="Times New Roman" w:hint="default"/>
        </w:rPr>
        <w:t>2014</w:t>
      </w:r>
      <w:r>
        <w:rPr/>
        <w:t>年度，战略委员会召开了</w:t>
      </w:r>
      <w:r>
        <w:rPr>
          <w:rFonts w:ascii="Times New Roman" w:hAnsi="Times New Roman" w:cs="Times New Roman" w:eastAsia="Times New Roman" w:hint="default"/>
        </w:rPr>
        <w:t>3</w:t>
      </w:r>
      <w:r>
        <w:rPr/>
        <w:t>次会议，战略委员会各委员认真</w:t>
      </w:r>
    </w:p>
    <w:p>
      <w:pPr>
        <w:pStyle w:val="BodyText"/>
        <w:spacing w:line="199" w:lineRule="exact"/>
        <w:ind w:left="153" w:right="0"/>
        <w:jc w:val="both"/>
      </w:pPr>
      <w:r>
        <w:rPr/>
        <w:t>履行职责，利用自身的专业知识，对公司的战略发展及业务扩展等方面提出宝贵建议，及时关注公司生产经营中可能会出现</w:t>
      </w:r>
    </w:p>
    <w:p>
      <w:pPr>
        <w:pStyle w:val="BodyText"/>
        <w:spacing w:line="240" w:lineRule="auto" w:before="77"/>
        <w:ind w:left="153" w:right="0"/>
        <w:jc w:val="both"/>
      </w:pPr>
      <w:r>
        <w:rPr/>
        <w:t>的各种潜在风险并提出合理化建议，对促进公司长远战略发展发挥了重要作用。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五、监事会工作情况" w:id="131"/>
      <w:bookmarkEnd w:id="131"/>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both"/>
      </w:pPr>
      <w:r>
        <w:rPr/>
        <w:t>监事会在报告期内的监督活动中发现公司是否存在风险</w:t>
      </w:r>
    </w:p>
    <w:p>
      <w:pPr>
        <w:pStyle w:val="BodyText"/>
        <w:spacing w:line="338" w:lineRule="auto" w:before="116"/>
        <w:ind w:left="153"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六、公司相对于控股股东在业务、人员、资产、机构、财务等方面的独立完整情况" w:id="132"/>
      <w:bookmarkEnd w:id="132"/>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1" w:right="1118" w:firstLine="2"/>
        <w:jc w:val="left"/>
      </w:pPr>
      <w:r>
        <w:rPr>
          <w:rFonts w:ascii="Times New Roman" w:hAnsi="Times New Roman" w:cs="Times New Roman" w:eastAsia="Times New Roman" w:hint="default"/>
        </w:rPr>
        <w:t>1</w:t>
      </w:r>
      <w:r>
        <w:rPr/>
        <w:t>、业务独立 </w:t>
      </w:r>
      <w:r>
        <w:rPr>
          <w:spacing w:val="-2"/>
        </w:rPr>
        <w:t>公司业务独立于控股股东及其下属企业，拥有独立的研发、生产、销售业务体系，拥有完整的法人财产权，能够独立支</w:t>
      </w:r>
    </w:p>
    <w:p>
      <w:pPr>
        <w:pStyle w:val="BodyText"/>
        <w:spacing w:line="319" w:lineRule="auto" w:before="30"/>
        <w:ind w:right="1133"/>
        <w:jc w:val="both"/>
      </w:pPr>
      <w:r>
        <w:rPr>
          <w:spacing w:val="-2"/>
        </w:rPr>
        <w:t>配和使用人、财、物等生产要素，顺利组织和实施生产经营活动，能完全独立有序地开展所有业务。公司的业务完全独立于</w:t>
      </w:r>
      <w:r>
        <w:rPr>
          <w:spacing w:val="-66"/>
        </w:rPr>
        <w:t> </w:t>
      </w:r>
      <w:r>
        <w:rPr>
          <w:spacing w:val="-66"/>
        </w:rPr>
      </w:r>
      <w:r>
        <w:rPr>
          <w:spacing w:val="-2"/>
        </w:rPr>
        <w:t>控股股东、实际控制人及其控制的其他企业，与控股股东、实际控制人及其控制的其他企业不存在同业竞争或显失公平的关</w:t>
      </w:r>
      <w:r>
        <w:rPr>
          <w:spacing w:val="-66"/>
        </w:rPr>
        <w:t> </w:t>
      </w:r>
      <w:r>
        <w:rPr>
          <w:spacing w:val="-66"/>
        </w:rPr>
      </w:r>
      <w:r>
        <w:rPr/>
        <w:t>联交易。</w:t>
      </w:r>
    </w:p>
    <w:p>
      <w:pPr>
        <w:pStyle w:val="BodyText"/>
        <w:spacing w:line="300" w:lineRule="auto" w:before="17"/>
        <w:ind w:left="511" w:right="1118"/>
        <w:jc w:val="left"/>
      </w:pPr>
      <w:r>
        <w:rPr>
          <w:rFonts w:ascii="Times New Roman" w:hAnsi="Times New Roman" w:cs="Times New Roman" w:eastAsia="Times New Roman" w:hint="default"/>
        </w:rPr>
        <w:t>2</w:t>
      </w:r>
      <w:r>
        <w:rPr/>
        <w:t>、资产完整 </w:t>
      </w:r>
      <w:r>
        <w:rPr>
          <w:spacing w:val="-2"/>
        </w:rPr>
        <w:t>公司为依法整体变更设立的股份有限公司，拥有独立、完整的资产，具有与生产经营有关的生产系统、辅助生产系统和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4"/>
        </w:rPr>
        <w:t>配套设施，合法拥有与生产经营有关的土地、厂房、机器设备以及商标、专利、非专利技术的所有权和使用权，且产权清晰；</w:t>
      </w:r>
      <w:r>
        <w:rPr>
          <w:spacing w:val="-44"/>
        </w:rPr>
        <w:t> </w:t>
      </w:r>
      <w:r>
        <w:rPr>
          <w:spacing w:val="-44"/>
        </w:rPr>
      </w:r>
      <w:r>
        <w:rPr>
          <w:spacing w:val="-2"/>
        </w:rPr>
        <w:t>公司对所有资产有完全的控制支配权，不存在与股东共同使用财产或相互提供服务等情形，不存在资产、资金被控股股东占</w:t>
      </w:r>
      <w:r>
        <w:rPr>
          <w:spacing w:val="-66"/>
        </w:rPr>
        <w:t> </w:t>
      </w:r>
      <w:r>
        <w:rPr>
          <w:spacing w:val="-66"/>
        </w:rPr>
      </w:r>
      <w:r>
        <w:rPr/>
        <w:t>用而损害公司利益的情况。</w:t>
      </w:r>
    </w:p>
    <w:p>
      <w:pPr>
        <w:pStyle w:val="BodyText"/>
        <w:spacing w:line="300" w:lineRule="auto" w:before="19"/>
        <w:ind w:left="511" w:right="1036"/>
        <w:jc w:val="left"/>
      </w:pPr>
      <w:r>
        <w:rPr>
          <w:rFonts w:ascii="Times New Roman" w:hAnsi="Times New Roman" w:cs="Times New Roman" w:eastAsia="Times New Roman" w:hint="default"/>
        </w:rPr>
        <w:t>3</w:t>
      </w:r>
      <w:r>
        <w:rPr/>
        <w:t>、人员独立 </w:t>
      </w:r>
      <w:r>
        <w:rPr>
          <w:spacing w:val="-4"/>
        </w:rPr>
        <w:t>公司独立招聘员工，设有独立的劳动、人事、工资管理体系。本公司董事、监事、高级管理人员均严格按照《公司法》、</w:t>
      </w:r>
    </w:p>
    <w:p>
      <w:pPr>
        <w:pStyle w:val="BodyText"/>
        <w:spacing w:line="316" w:lineRule="auto" w:before="31"/>
        <w:ind w:left="153" w:right="1130"/>
        <w:jc w:val="both"/>
      </w:pPr>
      <w:r>
        <w:rPr>
          <w:spacing w:val="-2"/>
        </w:rPr>
        <w:t>《公司章程》的有关规定经选举产生和聘任。公司总经理、副总经理、财务负责人、董事会秘书均在公司专职工作并领取薪</w:t>
      </w:r>
      <w:r>
        <w:rPr>
          <w:spacing w:val="-66"/>
        </w:rPr>
        <w:t> </w:t>
      </w:r>
      <w:r>
        <w:rPr>
          <w:spacing w:val="-66"/>
        </w:rPr>
      </w:r>
      <w:r>
        <w:rPr>
          <w:spacing w:val="-2"/>
        </w:rPr>
        <w:t>酬，未在控股股东及其它下属企业担任除董事、监事之外的任何职务；本公司的财务人员没有在控股股东、实际控制人及其</w:t>
      </w:r>
      <w:r>
        <w:rPr>
          <w:spacing w:val="-65"/>
        </w:rPr>
        <w:t> </w:t>
      </w:r>
      <w:r>
        <w:rPr>
          <w:spacing w:val="-65"/>
        </w:rPr>
      </w:r>
      <w:r>
        <w:rPr>
          <w:spacing w:val="-2"/>
        </w:rPr>
        <w:t>控制的其他企业中兼职。公司的董事、监事、高级管理人员及其近亲属所从事的工作均不存在与公司利益相冲突的情形，也</w:t>
      </w:r>
      <w:r>
        <w:rPr>
          <w:spacing w:val="-66"/>
        </w:rPr>
        <w:t> </w:t>
      </w:r>
      <w:r>
        <w:rPr>
          <w:spacing w:val="-66"/>
        </w:rPr>
      </w:r>
      <w:r>
        <w:rPr/>
        <w:t>未在与公司业务相同或相似的企业任职。</w:t>
      </w:r>
    </w:p>
    <w:p>
      <w:pPr>
        <w:pStyle w:val="BodyText"/>
        <w:spacing w:line="300" w:lineRule="auto" w:before="19"/>
        <w:ind w:left="511" w:right="1118"/>
        <w:jc w:val="left"/>
      </w:pPr>
      <w:r>
        <w:rPr>
          <w:rFonts w:ascii="Times New Roman" w:hAnsi="Times New Roman" w:cs="Times New Roman" w:eastAsia="Times New Roman" w:hint="default"/>
        </w:rPr>
        <w:t>4</w:t>
      </w:r>
      <w:r>
        <w:rPr/>
        <w:t>、机构独立 </w:t>
      </w:r>
      <w:r>
        <w:rPr>
          <w:spacing w:val="-2"/>
        </w:rPr>
        <w:t>公司设立了健全的组织机构体系，独立运作，不存在与控股股东或其职能部门之间的从属关系。公司建立了适应自身经</w:t>
      </w:r>
    </w:p>
    <w:p>
      <w:pPr>
        <w:pStyle w:val="BodyText"/>
        <w:spacing w:line="316" w:lineRule="auto" w:before="31"/>
        <w:ind w:left="153" w:right="0"/>
        <w:jc w:val="left"/>
      </w:pPr>
      <w:r>
        <w:rPr>
          <w:spacing w:val="-2"/>
        </w:rPr>
        <w:t>营发展需要的组织结构，按照《公司法》的要求，建立健全了股东大会、董事会、监事会和经营管理层的组织结构体系，各</w:t>
      </w:r>
      <w:r>
        <w:rPr>
          <w:spacing w:val="-71"/>
        </w:rPr>
        <w:t> </w:t>
      </w:r>
      <w:r>
        <w:rPr>
          <w:spacing w:val="-71"/>
        </w:rPr>
      </w:r>
      <w:r>
        <w:rPr/>
        <w:t>机构均独立运作。公司的生产经营和办公机构与控股股东完全独立，不存在混合经营、合署办公的情形。</w:t>
      </w:r>
    </w:p>
    <w:p>
      <w:pPr>
        <w:pStyle w:val="BodyText"/>
        <w:spacing w:line="300" w:lineRule="auto" w:before="19"/>
        <w:ind w:left="511" w:right="1118"/>
        <w:jc w:val="left"/>
      </w:pPr>
      <w:r>
        <w:rPr>
          <w:rFonts w:ascii="Times New Roman" w:hAnsi="Times New Roman" w:cs="Times New Roman" w:eastAsia="Times New Roman" w:hint="default"/>
        </w:rPr>
        <w:t>5</w:t>
      </w:r>
      <w:r>
        <w:rPr/>
        <w:t>、财务独立 </w:t>
      </w:r>
      <w:r>
        <w:rPr>
          <w:spacing w:val="-2"/>
        </w:rPr>
        <w:t>本公司作为独立纳税人，依法独立纳税。公司建立了独立的财务核算体系，具有规范的、符合上市公司要求的财务会计</w:t>
      </w:r>
    </w:p>
    <w:p>
      <w:pPr>
        <w:pStyle w:val="BodyText"/>
        <w:spacing w:line="316" w:lineRule="auto" w:before="31"/>
        <w:ind w:left="153" w:right="1033"/>
        <w:jc w:val="left"/>
      </w:pPr>
      <w:r>
        <w:rPr>
          <w:spacing w:val="-2"/>
        </w:rPr>
        <w:t>制度和对分公司、子公司的财务管理制度；公司能独立作出财务决策，不存在控制人干预公司资金使用的情况，不存在以资</w:t>
      </w:r>
      <w:r>
        <w:rPr>
          <w:spacing w:val="-66"/>
        </w:rPr>
        <w:t> </w:t>
      </w:r>
      <w:r>
        <w:rPr>
          <w:spacing w:val="-66"/>
        </w:rPr>
      </w:r>
      <w:r>
        <w:rPr>
          <w:spacing w:val="-2"/>
        </w:rPr>
        <w:t>产、权益或信誉为股东提供债务担保的情况，也不存在资产被股东占用而损害公司利益的情况。本公司财务负责人、财务会</w:t>
      </w:r>
      <w:r>
        <w:rPr>
          <w:spacing w:val="-66"/>
        </w:rPr>
        <w:t> </w:t>
      </w:r>
      <w:r>
        <w:rPr>
          <w:spacing w:val="-66"/>
        </w:rPr>
      </w:r>
      <w:r>
        <w:rPr/>
        <w:t>计人员均系专职工作人员，不存在在控股股东及其控制的其他企业兼职的情况。本公司独立开立基本存款账户，独立纳税， 不存在与控股股东、实际控制人及其控制的其他企业共用银行账户的情形。</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133"/>
      <w:bookmarkEnd w:id="133"/>
      <w:r>
        <w:rPr>
          <w:b w:val="0"/>
          <w:bCs w:val="0"/>
        </w:rPr>
      </w:r>
      <w:r>
        <w:rPr/>
        <w:t>七、同业竞争情况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4"/>
      <w:bookmarkEnd w:id="13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043" w:firstLine="360"/>
        <w:jc w:val="both"/>
      </w:pPr>
      <w:r>
        <w:rPr>
          <w:spacing w:val="-2"/>
        </w:rPr>
        <w:t>公司依据《董事、监事、高级管理人员薪酬制度》，建立了公正、合理、有效的绩效考核评价体系并有效实施。由董事</w:t>
      </w:r>
      <w:r>
        <w:rPr/>
        <w:t> </w:t>
      </w:r>
      <w:r>
        <w:rPr>
          <w:spacing w:val="-2"/>
        </w:rPr>
        <w:t>会薪酬与考核委员会负责组织对高级管理人员的工作能力、履职情况、责任目标完成情况等进行考评并形成了《</w:t>
      </w:r>
      <w:r>
        <w:rPr>
          <w:rFonts w:ascii="Times New Roman" w:hAnsi="Times New Roman" w:cs="Times New Roman" w:eastAsia="Times New Roman" w:hint="default"/>
          <w:spacing w:val="-2"/>
        </w:rPr>
        <w:t>2014</w:t>
      </w:r>
      <w:r>
        <w:rPr>
          <w:spacing w:val="-2"/>
        </w:rPr>
        <w:t>年度董</w:t>
      </w:r>
      <w:r>
        <w:rPr>
          <w:spacing w:val="-61"/>
        </w:rPr>
        <w:t> </w:t>
      </w:r>
      <w:r>
        <w:rPr>
          <w:spacing w:val="-2"/>
        </w:rPr>
        <w:t>事、监事、高级管理人员薪酬方案》，报董事会审议批准，公司高级管理人员直接对董事会负责，接受董事会的考核。报告</w:t>
      </w:r>
      <w:r>
        <w:rPr>
          <w:spacing w:val="-72"/>
        </w:rPr>
        <w:t> </w:t>
      </w:r>
      <w:r>
        <w:rPr>
          <w:spacing w:val="-72"/>
        </w:rPr>
      </w:r>
      <w:r>
        <w:rPr>
          <w:spacing w:val="-4"/>
        </w:rPr>
        <w:t>期内，公司高级管理人员领取的薪酬与披露的情况一致，符合行业及公司发展现状，不存在违反法律法规及相关规定的情形。</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01"/>
        <w:jc w:val="center"/>
        <w:rPr>
          <w:b w:val="0"/>
          <w:bCs w:val="0"/>
        </w:rPr>
      </w:pPr>
      <w:bookmarkStart w:name="第十节 内部控制" w:id="135"/>
      <w:bookmarkEnd w:id="135"/>
      <w:r>
        <w:rPr>
          <w:b w:val="0"/>
          <w:bCs w:val="0"/>
        </w:rPr>
      </w:r>
      <w:bookmarkStart w:name="_bookmark9" w:id="136"/>
      <w:bookmarkEnd w:id="136"/>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7"/>
      <w:bookmarkEnd w:id="137"/>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0" w:firstLine="290"/>
        <w:jc w:val="left"/>
      </w:pPr>
      <w:r>
        <w:rPr/>
        <w:t>为规范经营管理，提高企业经营管理水平和风险防范能力，保证经营业务活动的正常健康可持续的开展，公司按照《公 </w:t>
      </w:r>
      <w:r>
        <w:rPr>
          <w:spacing w:val="-2"/>
        </w:rPr>
        <w:t>司法》、《证券法》、《企业内部控制基本规范》等有关法律、法规和规章制度，结合公司实际情况，在生产经营控制、财</w:t>
      </w:r>
      <w:r>
        <w:rPr>
          <w:spacing w:val="-72"/>
        </w:rPr>
        <w:t> </w:t>
      </w:r>
      <w:r>
        <w:rPr>
          <w:spacing w:val="-72"/>
        </w:rPr>
      </w:r>
      <w:r>
        <w:rPr>
          <w:spacing w:val="-4"/>
        </w:rPr>
        <w:t>务管理控制、信息披露控制等方面制定了较为完善的内部控制制度，同时，公司在日常经营管理工作中，严格执行内控制度，</w:t>
      </w:r>
      <w:r>
        <w:rPr>
          <w:spacing w:val="-46"/>
        </w:rPr>
        <w:t> </w:t>
      </w:r>
      <w:r>
        <w:rPr>
          <w:spacing w:val="-46"/>
        </w:rPr>
      </w:r>
      <w:r>
        <w:rPr/>
        <w:t>通过不断的实践，进行完善与改进，以确保内部控制体系具备较好的完整性、合理性和有效性。内容详见公司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 </w:t>
      </w:r>
      <w:r>
        <w:rPr/>
        <w:t>日刊登于巨潮资讯网</w:t>
      </w:r>
      <w:hyperlink r:id="rId35">
        <w:r>
          <w:rPr>
            <w:rFonts w:ascii="Times New Roman" w:hAnsi="Times New Roman" w:cs="Times New Roman" w:eastAsia="Times New Roman" w:hint="default"/>
          </w:rPr>
          <w:t>www.cninfo.com.cn</w:t>
        </w:r>
        <w:r>
          <w:rPr/>
          <w:t>的《</w:t>
        </w:r>
      </w:hyperlink>
      <w:r>
        <w:rPr/>
        <w:t>内部控制评价报告》。</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董事会关于内部控制责任的声明" w:id="138"/>
      <w:bookmarkEnd w:id="138"/>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033" w:firstLine="290"/>
        <w:jc w:val="left"/>
      </w:pPr>
      <w:r>
        <w:rPr/>
        <w:t>公司董事会认为：公司已依据《公司法》、《证券法》、《内部会计控制规范</w:t>
      </w:r>
      <w:r>
        <w:rPr>
          <w:rFonts w:ascii="Times New Roman" w:hAnsi="Times New Roman" w:cs="Times New Roman" w:eastAsia="Times New Roman" w:hint="default"/>
        </w:rPr>
        <w:t>—</w:t>
      </w:r>
      <w:r>
        <w:rPr/>
        <w:t>基本规范（试行）》等法律、法规，建 </w:t>
      </w:r>
      <w:r>
        <w:rPr>
          <w:spacing w:val="-2"/>
        </w:rPr>
        <w:t>立了较为合理和完善的内部控制制度，内部控制制度在完整性、合理性方面不存在重大缺陷。公司内部控制制度的制定和运</w:t>
      </w:r>
      <w:r>
        <w:rPr>
          <w:spacing w:val="-66"/>
        </w:rPr>
        <w:t> </w:t>
      </w:r>
      <w:r>
        <w:rPr>
          <w:spacing w:val="-66"/>
        </w:rPr>
      </w:r>
      <w:r>
        <w:rPr>
          <w:spacing w:val="-2"/>
        </w:rPr>
        <w:t>行，保证了公司经营的正常、有效进行，促进了公司的内部管理。随着公司的不断发展壮大，公司将根据业务发展和内部机</w:t>
      </w:r>
      <w:r>
        <w:rPr>
          <w:spacing w:val="-66"/>
        </w:rPr>
        <w:t> </w:t>
      </w:r>
      <w:r>
        <w:rPr>
          <w:spacing w:val="-66"/>
        </w:rPr>
      </w:r>
      <w:r>
        <w:rPr/>
        <w:t>构调整的需要，及时完善和补充内部控制制度，提高内部控制制度的可操作性，使其更好的发挥在公司生产经营中的促进、</w:t>
      </w:r>
      <w:r>
        <w:rPr/>
        <w:t> 监督、制约作用。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139"/>
      <w:bookmarkEnd w:id="139"/>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0" w:firstLine="290"/>
        <w:jc w:val="left"/>
      </w:pPr>
      <w:r>
        <w:rPr>
          <w:spacing w:val="-1"/>
        </w:rPr>
        <w:t>公司依据《公司法》、《会计法》、《企业会计准则》和《企业内部控制基本规范》以及监管部门的相关规范性文件为</w:t>
      </w:r>
      <w:r>
        <w:rPr/>
        <w:t> 依据，建立了财务报告内部控制。报告期内，公司财务报告内部控制不存在重大缺陷。</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40"/>
      <w:bookmarkEnd w:id="140"/>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报告期内未发现内部控制存在重大缺陷。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年度内部控制评价报告》刊登在巨潮资讯网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41"/>
      <w:bookmarkEnd w:id="141"/>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年度报告重大差错责任追究制度的建立与执行情况" w:id="142"/>
      <w:bookmarkEnd w:id="142"/>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118" w:firstLine="290"/>
        <w:jc w:val="left"/>
      </w:pPr>
      <w:r>
        <w:rPr>
          <w:spacing w:val="-1"/>
        </w:rPr>
        <w:t>根据《年报信息披露重大差错责任追究制度》结合公司实际情况，报告期内未发生重大会计差错更正、重大遗漏信息补</w:t>
      </w:r>
      <w:r>
        <w:rPr/>
        <w:t> 充等情况。</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43"/>
      <w:bookmarkEnd w:id="143"/>
      <w:r>
        <w:rPr>
          <w:b w:val="0"/>
          <w:bCs w:val="0"/>
        </w:rPr>
      </w:r>
      <w:bookmarkStart w:name="_bookmark10" w:id="144"/>
      <w:bookmarkEnd w:id="14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5"/>
      <w:bookmarkEnd w:id="14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48060005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侯立勋</w:t>
              <w:tab/>
              <w:t>李梅</w:t>
            </w:r>
          </w:p>
        </w:tc>
      </w:tr>
    </w:tbl>
    <w:p>
      <w:pPr>
        <w:spacing w:line="357" w:lineRule="auto" w:before="51"/>
        <w:ind w:left="443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0" w:right="1156"/>
        <w:jc w:val="right"/>
      </w:pPr>
      <w:r>
        <w:rPr/>
        <w:t>瑞华审字【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48060005</w:t>
      </w:r>
      <w:r>
        <w:rPr/>
        <w:t>号</w:t>
      </w:r>
    </w:p>
    <w:p>
      <w:pPr>
        <w:pStyle w:val="Heading6"/>
        <w:spacing w:line="240" w:lineRule="auto" w:before="63"/>
        <w:ind w:right="0"/>
        <w:jc w:val="left"/>
        <w:rPr>
          <w:b w:val="0"/>
          <w:bCs w:val="0"/>
        </w:rPr>
      </w:pPr>
      <w:r>
        <w:rPr/>
        <w:t>茂硕电源科技股份有限公司全体股东：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left="153" w:right="1131" w:firstLine="480"/>
        <w:jc w:val="both"/>
      </w:pPr>
      <w:r>
        <w:rPr/>
        <w:t>我们审计了后附的茂硕电源科技股份有限公司（以下简称</w:t>
      </w:r>
      <w:r>
        <w:rPr>
          <w:rFonts w:ascii="Times New Roman" w:hAnsi="Times New Roman" w:cs="Times New Roman" w:eastAsia="Times New Roman" w:hint="default"/>
        </w:rPr>
        <w:t>“</w:t>
      </w:r>
      <w:r>
        <w:rPr/>
        <w:t>茂硕电源公司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 </w:t>
      </w:r>
      <w:r>
        <w:rPr>
          <w:spacing w:val="-2"/>
        </w:rPr>
        <w:t>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240" w:lineRule="auto" w:before="4"/>
        <w:rPr>
          <w:rFonts w:ascii="宋体" w:hAnsi="宋体" w:cs="宋体" w:eastAsia="宋体" w:hint="default"/>
          <w:sz w:val="26"/>
          <w:szCs w:val="26"/>
        </w:rPr>
      </w:pPr>
    </w:p>
    <w:p>
      <w:pPr>
        <w:spacing w:line="316" w:lineRule="auto" w:before="0"/>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编制和公允列报财务报表是茂硕电源公司管理层的责任。这种责任包括：（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248" w:lineRule="exact"/>
        <w:ind w:left="153" w:right="0"/>
        <w:jc w:val="left"/>
      </w:pPr>
      <w:r>
        <w:rPr/>
        <w:t>表，并使其实现公允反映；（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634"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3"/>
        </w:rPr>
        <w:t> </w:t>
      </w:r>
      <w:r>
        <w:rPr>
          <w:spacing w:val="-63"/>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634"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634" w:right="1118"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我们认为，上述财务报表在所有重大方面按照企业会计准则的规定编制，公允反映了茂硕电源公司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w:t>
      </w:r>
    </w:p>
    <w:p>
      <w:pPr>
        <w:pStyle w:val="BodyText"/>
        <w:spacing w:line="248" w:lineRule="exact"/>
        <w:ind w:left="153" w:right="0"/>
        <w:jc w:val="left"/>
      </w:pPr>
      <w:r>
        <w:rPr/>
        <w:t>并及公司的财务状况以及</w:t>
      </w:r>
      <w:r>
        <w:rPr>
          <w:rFonts w:ascii="Times New Roman" w:hAnsi="Times New Roman" w:cs="Times New Roman" w:eastAsia="Times New Roman" w:hint="default"/>
        </w:rPr>
        <w:t>2014</w:t>
      </w:r>
      <w:r>
        <w:rPr/>
        <w:t>年度合并及公司的经营成果和现金流量。</w:t>
      </w:r>
    </w:p>
    <w:p>
      <w:pPr>
        <w:spacing w:after="0" w:line="248" w:lineRule="exact"/>
        <w:jc w:val="lef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776" w:type="dxa"/>
        <w:tblLayout w:type="fixed"/>
        <w:tblCellMar>
          <w:top w:w="0" w:type="dxa"/>
          <w:left w:w="0" w:type="dxa"/>
          <w:bottom w:w="0" w:type="dxa"/>
          <w:right w:w="0" w:type="dxa"/>
        </w:tblCellMar>
        <w:tblLook w:val="01E0"/>
      </w:tblPr>
      <w:tblGrid>
        <w:gridCol w:w="4862"/>
        <w:gridCol w:w="3242"/>
      </w:tblGrid>
      <w:tr>
        <w:trPr>
          <w:trHeight w:val="802"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580"/>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82"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648"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8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242" w:type="dxa"/>
            <w:tcBorders>
              <w:top w:val="nil" w:sz="6" w:space="0" w:color="auto"/>
              <w:left w:val="nil" w:sz="6" w:space="0" w:color="auto"/>
              <w:bottom w:val="nil" w:sz="6" w:space="0" w:color="auto"/>
              <w:right w:val="nil" w:sz="6" w:space="0" w:color="auto"/>
            </w:tcBorders>
          </w:tcPr>
          <w:p>
            <w:pPr/>
          </w:p>
        </w:tc>
      </w:tr>
      <w:tr>
        <w:trPr>
          <w:trHeight w:val="479" w:hRule="exact"/>
        </w:trPr>
        <w:tc>
          <w:tcPr>
            <w:tcW w:w="48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80"/>
              <w:jc w:val="center"/>
              <w:rPr>
                <w:rFonts w:ascii="宋体" w:hAnsi="宋体" w:cs="宋体" w:eastAsia="宋体" w:hint="default"/>
                <w:sz w:val="18"/>
                <w:szCs w:val="18"/>
              </w:rPr>
            </w:pPr>
            <w:r>
              <w:rPr>
                <w:rFonts w:ascii="宋体" w:hAnsi="宋体" w:cs="宋体" w:eastAsia="宋体" w:hint="default"/>
                <w:sz w:val="18"/>
                <w:szCs w:val="18"/>
              </w:rPr>
              <w:t>二〇一五年三月九日</w:t>
            </w:r>
          </w:p>
        </w:tc>
        <w:tc>
          <w:tcPr>
            <w:tcW w:w="3242" w:type="dxa"/>
            <w:tcBorders>
              <w:top w:val="nil" w:sz="6" w:space="0" w:color="auto"/>
              <w:left w:val="nil" w:sz="6" w:space="0" w:color="auto"/>
              <w:bottom w:val="nil" w:sz="6" w:space="0" w:color="auto"/>
              <w:right w:val="nil" w:sz="6" w:space="0" w:color="auto"/>
            </w:tcBorders>
          </w:tcPr>
          <w:p>
            <w:pPr/>
          </w:p>
        </w:tc>
      </w:tr>
      <w:tr>
        <w:trPr>
          <w:trHeight w:val="477" w:hRule="exact"/>
        </w:trPr>
        <w:tc>
          <w:tcPr>
            <w:tcW w:w="4862"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82" w:right="0"/>
              <w:jc w:val="center"/>
              <w:rPr>
                <w:rFonts w:ascii="宋体" w:hAnsi="宋体" w:cs="宋体" w:eastAsia="宋体" w:hint="default"/>
                <w:sz w:val="18"/>
                <w:szCs w:val="18"/>
              </w:rPr>
            </w:pPr>
            <w:r>
              <w:rPr>
                <w:rFonts w:ascii="宋体" w:hAnsi="宋体" w:cs="宋体" w:eastAsia="宋体" w:hint="default"/>
                <w:sz w:val="18"/>
                <w:szCs w:val="18"/>
              </w:rPr>
              <w:t>侯立勋</w:t>
            </w:r>
          </w:p>
        </w:tc>
      </w:tr>
      <w:tr>
        <w:trPr>
          <w:trHeight w:val="1121" w:hRule="exact"/>
        </w:trPr>
        <w:tc>
          <w:tcPr>
            <w:tcW w:w="4862"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82"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893" w:hRule="exact"/>
        </w:trPr>
        <w:tc>
          <w:tcPr>
            <w:tcW w:w="4862"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82" w:right="0"/>
              <w:jc w:val="center"/>
              <w:rPr>
                <w:rFonts w:ascii="宋体" w:hAnsi="宋体" w:cs="宋体" w:eastAsia="宋体" w:hint="default"/>
                <w:sz w:val="18"/>
                <w:szCs w:val="18"/>
              </w:rPr>
            </w:pPr>
            <w:r>
              <w:rPr>
                <w:rFonts w:ascii="宋体" w:hAnsi="宋体" w:cs="宋体" w:eastAsia="宋体" w:hint="default"/>
                <w:sz w:val="18"/>
                <w:szCs w:val="18"/>
              </w:rPr>
              <w:t>李梅</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left="154" w:right="0"/>
        <w:jc w:val="left"/>
        <w:rPr>
          <w:b w:val="0"/>
          <w:bCs w:val="0"/>
        </w:rPr>
      </w:pPr>
      <w:bookmarkStart w:name="二、财务报表" w:id="146"/>
      <w:bookmarkEnd w:id="14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3" w:right="-19"/>
        <w:jc w:val="left"/>
      </w:pPr>
      <w:r>
        <w:rPr/>
        <w:t>编制单位：茂硕电源科技股份有限公司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r>
        <w:rPr/>
        <w:pict>
          <v:group style="position:absolute;margin-left:55.200001pt;margin-top:55.619984pt;width:485pt;height:.1pt;mso-position-horizontal-relative:page;mso-position-vertical-relative:page;z-index:-10469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233,471,876.61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199,650,767.77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3,654,795.71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35,867,242.89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42,268,159.43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296,930,702.88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278,938,190.49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6,470,813.06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432,197.97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8,889,481.99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13,698,042.72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23,043,756.11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82,213,650.81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94,526,897.17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2,396,919.77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1,991,158.66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13,195,716.67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688,331,959.09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802,298,533.50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25,653,877.09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20,241,867.76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373,949,665.80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29,691,671.49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7,840,620.36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118,486,633.90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14,468,451.44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14,486,077.49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780,292.52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10,451,110.03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8,891,901.89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3,153,023.28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16,528,974.28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6,793,054.56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2,830,292.24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25,048,301.34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473,521,045.65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231,351,739.85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1,161,853,004.74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1,033,650,273.35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133,394,904.00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83,635,471.42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64,697,918.54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193,459,858.86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183,335,931.06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11,163,405.89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8,163,640.10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9,369,092.47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13,017,442.10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2,670,356.46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-672,037.17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769,602.11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4,511,544.82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7,977,081.78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438,974,236.03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336,617,976.41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61,186.61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3,894,691.41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548,219.36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222,663.28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8,004,097.38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4,722,663.30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446,978,333.41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341,340,639.71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293,589,595.02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330,437,665.25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142,079,218.72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653,399,019.47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685,683,314.88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61,475,651.86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6,626,318.76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714,874,671.33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692,309,633.64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1,161,853,004.74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1,033,650,273.35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法定代表人：顾永德</w:t>
        <w:tab/>
        <w:t>主管会计工作负责人：罗宏健</w:t>
        <w:tab/>
        <w:t>会计机构负责人：邱华景</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127,547,746.73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110,312,136.20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3,654,795.71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32,838,601.63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40,725,665.06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295,081,683.07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255,107,098.08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2,741,898.58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1,099,655.05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145,687.99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4,921,819.06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40,519,326.85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17,669,105.72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11,817,686.07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60,240,566.39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895,905.56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1,534,570.13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754,265.72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515,997,597.91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643,095,037.57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428,171,427.74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367,789,418.41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33,902,160.96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9,017,816.78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222,222.24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1,846,314.47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2,839,249.39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2,380,365.67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1,818,990.20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7,680,503.35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2,291,645.58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127,202.24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24,203,717.84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477,607,974.43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411,183,060.44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993,605,572.34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1,054,278,098.01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133,394,904.00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74,708,162.70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10,890,641.11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133,837,824.89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188,221,779.32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9,622,133.49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6,934,297.01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3,241,619.72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3,567,853.12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1,323,713.18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-16,747,029.19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769,602.11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901,410.88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140,164,093.88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357,799,370.97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393,129,635.25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548,219.36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222,663.28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4,048,219.36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4,722,663.30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361,847,590.33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397,852,298.55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271,716,134.20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330,742,978.23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88,627,416.90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112,516,390.32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631,757,982.01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656,425,799.46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993,605,572.34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1,054,278,098.01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628,224,567.94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606,756,517.18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628,224,567.94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606,756,517.18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705,617,571.34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598,708,445.67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535,847,568.31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477,798,094.39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3,856,806.30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3,859,270.51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54,213,396.61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38,538,158.30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92,920,595.04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67,853,932.25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1,382,966.70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359,128.54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17,396,238.38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10,299,861.68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2,170,373.83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12,127,238.55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6,337,544.07</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551,680.10</w:t>
            </w:r>
          </w:p>
        </w:tc>
      </w:tr>
      <w:tr>
        <w:trPr>
          <w:trHeight w:val="402" w:hRule="exact"/>
        </w:trPr>
        <w:tc>
          <w:tcPr>
            <w:tcW w:w="305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-63,095,391.02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15,870,037.46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4,591,763.43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10,969,439.29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172,779.71</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172,876.82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604,364.05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136,855.82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28,652.41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72.47998pt;width:157.7pt;height:19.650pt;mso-position-horizontal-relative:page;mso-position-vertical-relative:page;z-index:-1046872" coordorigin="4245,1450" coordsize="3154,393">
            <v:shape style="position:absolute;left:4245;top:1450;width:3154;height:393" coordorigin="4245,1450" coordsize="3154,393" path="m4245,1842l7399,1842,7399,1450,4245,1450,4245,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87"/>
        <w:gridCol w:w="2135"/>
        <w:gridCol w:w="3276"/>
      </w:tblGrid>
      <w:tr>
        <w:trPr>
          <w:trHeight w:val="402" w:hRule="exact"/>
        </w:trPr>
        <w:tc>
          <w:tcPr>
            <w:tcW w:w="305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8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-58,676,504.41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26,235,112.70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-9,165,186.13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2,639,492.87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9" w:right="0"/>
              <w:jc w:val="left"/>
              <w:rPr>
                <w:rFonts w:ascii="Times New Roman" w:hAnsi="Times New Roman" w:cs="Times New Roman" w:eastAsia="Times New Roman" w:hint="default"/>
                <w:sz w:val="18"/>
                <w:szCs w:val="18"/>
              </w:rPr>
            </w:pPr>
            <w:r>
              <w:rPr>
                <w:rFonts w:ascii="Times New Roman"/>
                <w:sz w:val="18"/>
              </w:rPr>
              <w:t>-49,511,318.28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23,595,619.83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-47,859,425.18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24,922,433.33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-1,651,893.10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-1,326,813.50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9" w:right="0"/>
              <w:jc w:val="left"/>
              <w:rPr>
                <w:rFonts w:ascii="Times New Roman" w:hAnsi="Times New Roman" w:cs="Times New Roman" w:eastAsia="Times New Roman" w:hint="default"/>
                <w:sz w:val="18"/>
                <w:szCs w:val="18"/>
              </w:rPr>
            </w:pPr>
            <w:r>
              <w:rPr>
                <w:rFonts w:ascii="Times New Roman"/>
                <w:sz w:val="18"/>
              </w:rPr>
              <w:t>-49,511,318.28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23,595,619.83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-47,859,425.18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24,922,433.33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-1,651,893.10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-1,326,813.50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tabs>
          <w:tab w:pos="3574" w:val="left" w:leader="none"/>
          <w:tab w:pos="7715" w:val="left" w:leader="none"/>
        </w:tabs>
        <w:spacing w:line="621" w:lineRule="auto" w:before="44"/>
        <w:ind w:left="153" w:right="1229"/>
        <w:jc w:val="left"/>
      </w:pPr>
      <w:r>
        <w:rPr/>
        <w:t>本期发生同一控制下企业合并的，被合并方在合并前实现的净利润为：元，上期被合并方实现的净利润为：元。 法定代表人：顾永德</w:t>
        <w:tab/>
        <w:t>主管会计工作负责人：罗宏健</w:t>
        <w:tab/>
        <w:t>会计机构负责人：邱华景</w:t>
      </w:r>
    </w:p>
    <w:p>
      <w:pPr>
        <w:pStyle w:val="Heading4"/>
        <w:spacing w:line="240" w:lineRule="auto" w:before="65"/>
        <w:ind w:right="0"/>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618,416,416.08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534,596,929.48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526,298,287.04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438,043,747.60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1,867,890.79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2,744,466.15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44,989,194.86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23,496,383.18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71,434,857.98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49,438,537.47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2,355,342.80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3,522,350.86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9,431,919.89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8,410,855.71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2,170,373.83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9,564,622.73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5,513,317.76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-175,141.14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-26,226,080.72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15,938,328.15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3,111,527.42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9,181,504.15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172,779.71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12,921.81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574,727.00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3,920.81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-23,127,475.11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24,545,105.30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-5,063,301.69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3,123,438.61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-18,064,173.42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21,421,666.69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-18,064,173.42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21,421,666.69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619,961,691.07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574,523,199.13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38,352,791.25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38,602,619.84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24,344,469.88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30,090,821.36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682,658,952.20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643,216,640.33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480,485,041.05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395,535,376.29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152,948,725.17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122,330,915.50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17,944,995.13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37,595,305.77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54,190,976.41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81,877,496.88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705,569,737.76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637,339,094.44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-22,910,785.56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5,877,545.89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614,086,331.93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14,182,794.09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120,999.97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628,479,126.02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163,619.97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233,281,643.20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61,577,309.81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169,065,776.00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51,635,360.00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7,980,292.37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76,585,807.22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1,945,889.19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790,002,810.42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240,569,267.37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-161,523,684.40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-240,405,647.40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173,542,688.00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25,731,388.82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31,426,471.41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277,954,076.82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113,926,471.41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9,065,570.90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10,935,903.75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24,568,459.00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35,723,648.04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133,634,029.90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72,399,551.79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144,320,046.92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41,526,919.62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3,851,333.02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-1,955,055.36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-36,263,090.02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-194,956,237.25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192,879,371.15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387,835,608.40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156,616,281.13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576,619,314.31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468,969,184.44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38,352,791.25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37,650,329.11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144,067,482.58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204,128,813.13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759,039,588.14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710,748,326.68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513,568,558.00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427,361,238.96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52,289,464.51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31,238,350.12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3,341,653.57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28,650,000.87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314,736,192.84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105,893,018.84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883,935,868.92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593,142,608.79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-124,896,280.78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117,605,717.89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186,086,331.93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11,620,178.27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10,910,096.28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197,916,510.20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10,931,096.28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20,727,830.71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10,736,866.97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97,979,500.00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214,561,828.00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23,694,257.22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142,401,587.93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225,298,694.97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55,514,922.27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-214,367,598.69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173,542,688.00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7,306,072.73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182,722,688.00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87,306,072.73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9,065,570.90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10,596,546.67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13,307,079.00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19,282,459.66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122,372,649.90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49,879,006.33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60,350,038.10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37,427,066.40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3,783,492.39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-1,481,888.70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-5,247,828.02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-60,816,703.10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109,311,529.27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170,128,232.37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104,063,701.25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109,311,529.27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194,16</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330,437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,665.25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142,079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,218.72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6,626,3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,633.64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194,16</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330,437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,665.25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142,079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,218.72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6,626,3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,633.64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-36,848,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070.23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-53,684,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225.18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54,849,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333.10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22,565,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037.69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-47,859,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425.18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-49,511,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318.28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78,680,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21,399,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929.77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-22,178,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773.80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-778,84</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4.03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293,589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,595.02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993.54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61,475,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714,874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,671.33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437,528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,499.37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16,864,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264.24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129,162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,132.06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1,113,4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18.09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683,457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,113.76</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437,528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,499.37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16,864,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129,162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,132.06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1,113,4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683,457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,113.76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95,371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0,834.1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12,917,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086.66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5,512,9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8,852,5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24,922,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433.33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-626,53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24,295,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897.03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-8,459,0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6,139,4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36.97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-5,580,1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97.15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-12,305,</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180.00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-1,113,4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-16,679,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198.09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3,846,1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45.88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3,846,1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7,252,8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55.06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7,252,8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55.06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346.67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194,16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330,437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,665.25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142,079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,218.72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6,626,3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692,309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,633.64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194,160,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330,742,9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64" w:right="0"/>
              <w:jc w:val="left"/>
              <w:rPr>
                <w:rFonts w:ascii="Times New Roman" w:hAnsi="Times New Roman" w:cs="Times New Roman" w:eastAsia="Times New Roman" w:hint="default"/>
                <w:sz w:val="18"/>
                <w:szCs w:val="18"/>
              </w:rPr>
            </w:pPr>
            <w:r>
              <w:rPr>
                <w:rFonts w:ascii="Times New Roman"/>
                <w:sz w:val="18"/>
              </w:rPr>
              <w:t>112,516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,390.32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656,425,7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99.46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194,160,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330,742,9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,390.32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656,425,7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99.46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-59,026,8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-23,888,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973.42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-24,667,8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17.45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-18,064,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173.42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-18,064,1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73.42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252,408,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271,716,1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88,627,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416.90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631,757,9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98,788,8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437,427,2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16,864,26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104,243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,377.99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657,323,7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13.99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-1,143,3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07.69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-736,767.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98,788,8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437,833,8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16,864,26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103,100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,070.30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656,586,9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46.89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95,371,2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-107,090,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834.12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2,142,166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9,416,3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20.02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-161,147.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21,421,66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-3,260,6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-8,459,03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-11,719,6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-3,260,6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-15,565,7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3,846,145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3,846,145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2,142,166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346.67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2,142,166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-2,142,1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66.67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-9,863,1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-98,631,8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194,160,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330,742,9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19,006,43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,390.32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656,425,7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99.46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214" w:right="1078"/>
        <w:jc w:val="left"/>
        <w:rPr>
          <w:b w:val="0"/>
          <w:bCs w:val="0"/>
        </w:rPr>
      </w:pPr>
      <w:bookmarkStart w:name="三、公司基本情况" w:id="155"/>
      <w:bookmarkEnd w:id="15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693" w:right="7213"/>
        <w:jc w:val="left"/>
      </w:pPr>
      <w:r>
        <w:rPr/>
        <w:t>（一）公司概况 公司名称：茂硕电源科技股份有限公司</w:t>
      </w:r>
    </w:p>
    <w:p>
      <w:pPr>
        <w:pStyle w:val="BodyText"/>
        <w:spacing w:line="300" w:lineRule="auto" w:before="19"/>
        <w:ind w:left="694" w:right="4242"/>
        <w:jc w:val="left"/>
      </w:pPr>
      <w:r>
        <w:rPr/>
        <w:t>注册地址：深圳市南山区松白路关外小白芒桑泰工业园</w:t>
      </w:r>
      <w:r>
        <w:rPr>
          <w:rFonts w:ascii="Times New Roman" w:hAnsi="Times New Roman" w:cs="Times New Roman" w:eastAsia="Times New Roman" w:hint="default"/>
        </w:rPr>
        <w:t>6</w:t>
      </w:r>
      <w:r>
        <w:rPr/>
        <w:t>层 办公地址：广东省深圳市南山区科技园中区科发路</w:t>
      </w:r>
      <w:r>
        <w:rPr>
          <w:rFonts w:ascii="Times New Roman" w:hAnsi="Times New Roman" w:cs="Times New Roman" w:eastAsia="Times New Roman" w:hint="default"/>
        </w:rPr>
        <w:t>8</w:t>
      </w:r>
      <w:r>
        <w:rPr/>
        <w:t>号金融服务技术创新基地</w:t>
      </w:r>
    </w:p>
    <w:p>
      <w:pPr>
        <w:pStyle w:val="BodyText"/>
        <w:spacing w:line="300" w:lineRule="auto" w:before="13"/>
        <w:ind w:left="693" w:right="7303" w:firstLine="722"/>
        <w:jc w:val="left"/>
      </w:pPr>
      <w:r>
        <w:rPr>
          <w:rFonts w:ascii="Times New Roman" w:hAnsi="Times New Roman" w:cs="Times New Roman" w:eastAsia="Times New Roman" w:hint="default"/>
        </w:rPr>
        <w:t>2</w:t>
      </w:r>
      <w:r>
        <w:rPr/>
        <w:t>栋</w:t>
      </w:r>
      <w:r>
        <w:rPr>
          <w:rFonts w:ascii="Times New Roman" w:hAnsi="Times New Roman" w:cs="Times New Roman" w:eastAsia="Times New Roman" w:hint="default"/>
        </w:rPr>
        <w:t>9</w:t>
      </w:r>
      <w:r>
        <w:rPr/>
        <w:t>楼</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w:t>
      </w:r>
      <w:r>
        <w:rPr>
          <w:rFonts w:ascii="Times New Roman" w:hAnsi="Times New Roman" w:cs="Times New Roman" w:eastAsia="Times New Roman" w:hint="default"/>
        </w:rPr>
        <w:t>D</w:t>
      </w:r>
      <w:r>
        <w:rPr/>
        <w:t>单元 注册资本：</w:t>
      </w:r>
      <w:r>
        <w:rPr>
          <w:rFonts w:ascii="Times New Roman" w:hAnsi="Times New Roman" w:cs="Times New Roman" w:eastAsia="Times New Roman" w:hint="default"/>
        </w:rPr>
        <w:t>25,240.80</w:t>
      </w:r>
      <w:r>
        <w:rPr/>
        <w:t>万元 法人营业执照号码：</w:t>
      </w:r>
      <w:r>
        <w:rPr>
          <w:rFonts w:ascii="Times New Roman" w:hAnsi="Times New Roman" w:cs="Times New Roman" w:eastAsia="Times New Roman" w:hint="default"/>
        </w:rPr>
        <w:t>440301102798218 </w:t>
      </w:r>
      <w:r>
        <w:rPr/>
        <w:t>法定代表人：顾永德</w:t>
      </w:r>
    </w:p>
    <w:p>
      <w:pPr>
        <w:pStyle w:val="BodyText"/>
        <w:spacing w:line="316" w:lineRule="auto" w:before="31"/>
        <w:ind w:left="693" w:right="1078"/>
        <w:jc w:val="left"/>
      </w:pPr>
      <w:r>
        <w:rPr/>
        <w:t>（二）公司行业性质、经营范围 行业性质：根据中国证监会发布的《上市公司行业分类指引》，本公司所从事的行业归属于</w:t>
      </w:r>
      <w:r>
        <w:rPr>
          <w:rFonts w:ascii="Times New Roman" w:hAnsi="Times New Roman" w:cs="Times New Roman" w:eastAsia="Times New Roman" w:hint="default"/>
        </w:rPr>
        <w:t>“</w:t>
      </w:r>
      <w:r>
        <w:rPr/>
        <w:t>计算机、通信及其他电</w:t>
      </w:r>
    </w:p>
    <w:p>
      <w:pPr>
        <w:pStyle w:val="BodyText"/>
        <w:spacing w:line="248" w:lineRule="exact"/>
        <w:ind w:left="213" w:right="1078"/>
        <w:jc w:val="left"/>
      </w:pPr>
      <w:r>
        <w:rPr/>
        <w:t>子设备制造业</w:t>
      </w:r>
      <w:r>
        <w:rPr>
          <w:rFonts w:ascii="Times New Roman" w:hAnsi="Times New Roman" w:cs="Times New Roman" w:eastAsia="Times New Roman" w:hint="default"/>
        </w:rPr>
        <w:t>”</w:t>
      </w:r>
      <w:r>
        <w:rPr/>
        <w:t>。</w:t>
      </w:r>
    </w:p>
    <w:p>
      <w:pPr>
        <w:pStyle w:val="BodyText"/>
        <w:spacing w:line="312" w:lineRule="auto" w:before="63"/>
        <w:ind w:left="214" w:right="1032" w:firstLine="480"/>
        <w:jc w:val="left"/>
      </w:pPr>
      <w:r>
        <w:rPr>
          <w:spacing w:val="-3"/>
        </w:rPr>
        <w:t>经营范围：</w:t>
      </w:r>
      <w:r>
        <w:rPr>
          <w:rFonts w:ascii="Times New Roman" w:hAnsi="Times New Roman" w:cs="Times New Roman" w:eastAsia="Times New Roman" w:hint="default"/>
          <w:spacing w:val="-3"/>
        </w:rPr>
        <w:t>LED</w:t>
      </w:r>
      <w:r>
        <w:rPr>
          <w:spacing w:val="-3"/>
        </w:rPr>
        <w:t>智能驱动电源，太阳能光伏逆变器，</w:t>
      </w:r>
      <w:r>
        <w:rPr>
          <w:rFonts w:ascii="Times New Roman" w:hAnsi="Times New Roman" w:cs="Times New Roman" w:eastAsia="Times New Roman" w:hint="default"/>
          <w:spacing w:val="-3"/>
        </w:rPr>
        <w:t>DC/DC</w:t>
      </w:r>
      <w:r>
        <w:rPr>
          <w:spacing w:val="-3"/>
        </w:rPr>
        <w:t>高效、高密度模块电源，医疗电源，通信电源，开关电源，</w:t>
      </w:r>
      <w:r>
        <w:rPr/>
        <w:t> </w:t>
      </w:r>
      <w:r>
        <w:rPr>
          <w:spacing w:val="-2"/>
        </w:rPr>
        <w:t>高频变压器的研发、生产和销售；电子元器件，五金塑胶配件的销售以及提供新能源和再生能源的储能系统解决方案（以上</w:t>
      </w:r>
      <w:r>
        <w:rPr>
          <w:spacing w:val="-66"/>
        </w:rPr>
        <w:t> </w:t>
      </w:r>
      <w:r>
        <w:rPr>
          <w:spacing w:val="-66"/>
        </w:rPr>
      </w:r>
      <w:r>
        <w:rPr/>
        <w:t>不含限制项目）；经营进出口业务（法律、行政法规、国务院决定禁止的项目除外，限制的项目须取得许可后方可经营）； 普通货运。</w:t>
      </w:r>
    </w:p>
    <w:p>
      <w:pPr>
        <w:pStyle w:val="BodyText"/>
        <w:spacing w:line="316" w:lineRule="auto" w:before="22"/>
        <w:ind w:left="694" w:right="1078" w:firstLine="37"/>
        <w:jc w:val="left"/>
      </w:pPr>
      <w:r>
        <w:rPr/>
        <w:t>（三）公司主要产品或提供的劳务 </w:t>
      </w:r>
      <w:r>
        <w:rPr>
          <w:spacing w:val="-1"/>
        </w:rPr>
        <w:t>主要产品及提供的劳务：消费电子类电源、</w:t>
      </w:r>
      <w:r>
        <w:rPr>
          <w:rFonts w:ascii="Times New Roman" w:hAnsi="Times New Roman" w:cs="Times New Roman" w:eastAsia="Times New Roman" w:hint="default"/>
          <w:spacing w:val="-1"/>
        </w:rPr>
        <w:t>LED</w:t>
      </w:r>
      <w:r>
        <w:rPr>
          <w:spacing w:val="-1"/>
        </w:rPr>
        <w:t>驱动电源、变压器、太阳能光伏逆变器的生产和销售；太阳能光伏发</w:t>
      </w:r>
    </w:p>
    <w:p>
      <w:pPr>
        <w:pStyle w:val="BodyText"/>
        <w:spacing w:line="235" w:lineRule="exact"/>
        <w:ind w:left="214" w:right="1078"/>
        <w:jc w:val="left"/>
      </w:pPr>
      <w:r>
        <w:rPr/>
        <w:t>电系统的设计、开发、投资、建设和经营。</w:t>
      </w:r>
    </w:p>
    <w:p>
      <w:pPr>
        <w:pStyle w:val="BodyText"/>
        <w:spacing w:line="309" w:lineRule="auto" w:before="76"/>
        <w:ind w:left="693" w:right="2263" w:firstLine="37"/>
        <w:jc w:val="left"/>
      </w:pPr>
      <w:r>
        <w:rPr/>
        <w:t>（四）财务报表的批准 本公司财务报表及财务报表附注业经本公司第三届董事会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1</w:t>
      </w:r>
      <w:r>
        <w:rPr/>
        <w:t>次定期会议于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日批准。 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10</w:t>
      </w:r>
      <w:r>
        <w:rPr/>
        <w:t>户，</w:t>
      </w:r>
    </w:p>
    <w:p>
      <w:pPr>
        <w:spacing w:line="240" w:lineRule="auto" w:before="1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86"/>
        <w:gridCol w:w="1074"/>
        <w:gridCol w:w="1050"/>
        <w:gridCol w:w="796"/>
        <w:gridCol w:w="934"/>
        <w:gridCol w:w="936"/>
        <w:gridCol w:w="1463"/>
      </w:tblGrid>
      <w:tr>
        <w:trPr>
          <w:trHeight w:val="349" w:hRule="exact"/>
        </w:trPr>
        <w:tc>
          <w:tcPr>
            <w:tcW w:w="35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74" w:type="dxa"/>
            <w:vMerge w:val="restart"/>
            <w:tcBorders>
              <w:top w:val="single" w:sz="4" w:space="0" w:color="000000"/>
              <w:left w:val="single" w:sz="4" w:space="0" w:color="000000"/>
              <w:right w:val="single" w:sz="4" w:space="0" w:color="000000"/>
            </w:tcBorders>
          </w:tcPr>
          <w:p>
            <w:pPr>
              <w:pStyle w:val="TableParagraph"/>
              <w:spacing w:line="316" w:lineRule="auto" w:before="43"/>
              <w:ind w:left="442" w:right="171" w:hanging="271"/>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6" w:type="dxa"/>
            <w:vMerge w:val="restart"/>
            <w:tcBorders>
              <w:top w:val="single" w:sz="4" w:space="0" w:color="000000"/>
              <w:left w:val="single" w:sz="4" w:space="0" w:color="000000"/>
              <w:right w:val="single" w:sz="4" w:space="0" w:color="000000"/>
            </w:tcBorders>
          </w:tcPr>
          <w:p>
            <w:pPr>
              <w:pStyle w:val="TableParagraph"/>
              <w:spacing w:line="316" w:lineRule="auto" w:before="43"/>
              <w:ind w:left="302" w:right="12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9" w:hRule="exact"/>
        </w:trPr>
        <w:tc>
          <w:tcPr>
            <w:tcW w:w="3586" w:type="dxa"/>
            <w:vMerge/>
            <w:tcBorders>
              <w:left w:val="single" w:sz="4" w:space="0" w:color="000000"/>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463" w:type="dxa"/>
            <w:vMerge/>
            <w:tcBorders>
              <w:left w:val="single" w:sz="4" w:space="0" w:color="000000"/>
              <w:bottom w:val="single" w:sz="4" w:space="0" w:color="000000"/>
              <w:right w:val="single" w:sz="4" w:space="0" w:color="000000"/>
            </w:tcBorders>
          </w:tcPr>
          <w:p>
            <w:pPr/>
          </w:p>
        </w:tc>
      </w:tr>
      <w:tr>
        <w:trPr>
          <w:trHeight w:val="634"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深圳茂硕新能源技术研究院有限公司（以下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生产型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pacing w:val="2"/>
                <w:sz w:val="18"/>
                <w:szCs w:val="18"/>
              </w:rPr>
              <w:t>惠州茂硕能源科技有限公司（以下简称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惠</w:t>
            </w:r>
            <w:r>
              <w:rPr>
                <w:rFonts w:ascii="宋体" w:hAnsi="宋体" w:cs="宋体" w:eastAsia="宋体" w:hint="default"/>
                <w:spacing w:val="-85"/>
                <w:sz w:val="18"/>
                <w:szCs w:val="18"/>
              </w:rPr>
              <w:t> </w:t>
            </w:r>
            <w:r>
              <w:rPr>
                <w:rFonts w:ascii="宋体" w:hAnsi="宋体" w:cs="宋体" w:eastAsia="宋体" w:hint="default"/>
                <w:sz w:val="18"/>
                <w:szCs w:val="18"/>
              </w:rPr>
              <w:t>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生产型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0.36%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center"/>
              <w:rPr>
                <w:rFonts w:ascii="宋体" w:hAnsi="宋体" w:cs="宋体" w:eastAsia="宋体" w:hint="default"/>
                <w:sz w:val="18"/>
                <w:szCs w:val="18"/>
              </w:rPr>
            </w:pPr>
            <w:r>
              <w:rPr>
                <w:rFonts w:ascii="宋体" w:hAnsi="宋体" w:cs="宋体" w:eastAsia="宋体" w:hint="default"/>
                <w:sz w:val="18"/>
                <w:szCs w:val="18"/>
              </w:rPr>
              <w:t>生产型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center"/>
              <w:rPr>
                <w:rFonts w:ascii="宋体" w:hAnsi="宋体" w:cs="宋体" w:eastAsia="宋体" w:hint="default"/>
                <w:sz w:val="18"/>
                <w:szCs w:val="18"/>
              </w:rPr>
            </w:pPr>
            <w:r>
              <w:rPr>
                <w:rFonts w:ascii="宋体" w:hAnsi="宋体" w:cs="宋体" w:eastAsia="宋体" w:hint="default"/>
                <w:sz w:val="18"/>
                <w:szCs w:val="18"/>
              </w:rPr>
              <w:t>贸易型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深圳茂硕新能源科技有限公司（以下简称</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茂硕新能源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生产型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同</w:t>
            </w:r>
            <w:r>
              <w:rPr>
                <w:rFonts w:ascii="宋体" w:hAnsi="宋体" w:cs="宋体" w:eastAsia="宋体" w:hint="default"/>
                <w:spacing w:val="-57"/>
                <w:sz w:val="18"/>
                <w:szCs w:val="18"/>
              </w:rPr>
              <w:t> </w:t>
            </w:r>
            <w:r>
              <w:rPr>
                <w:rFonts w:ascii="宋体" w:hAnsi="宋体" w:cs="宋体" w:eastAsia="宋体" w:hint="default"/>
                <w:sz w:val="18"/>
                <w:szCs w:val="18"/>
              </w:rPr>
              <w:t>一</w:t>
            </w:r>
            <w:r>
              <w:rPr>
                <w:rFonts w:ascii="宋体" w:hAnsi="宋体" w:cs="宋体" w:eastAsia="宋体" w:hint="default"/>
                <w:spacing w:val="-57"/>
                <w:sz w:val="18"/>
                <w:szCs w:val="18"/>
              </w:rPr>
              <w:t> </w:t>
            </w:r>
            <w:r>
              <w:rPr>
                <w:rFonts w:ascii="宋体" w:hAnsi="宋体" w:cs="宋体" w:eastAsia="宋体" w:hint="default"/>
                <w:sz w:val="18"/>
                <w:szCs w:val="18"/>
              </w:rPr>
              <w:t>控</w:t>
            </w:r>
            <w:r>
              <w:rPr>
                <w:rFonts w:ascii="宋体" w:hAnsi="宋体" w:cs="宋体" w:eastAsia="宋体" w:hint="default"/>
                <w:spacing w:val="-58"/>
                <w:sz w:val="18"/>
                <w:szCs w:val="18"/>
              </w:rPr>
              <w:t> </w:t>
            </w:r>
            <w:r>
              <w:rPr>
                <w:rFonts w:ascii="宋体" w:hAnsi="宋体" w:cs="宋体" w:eastAsia="宋体" w:hint="default"/>
                <w:sz w:val="18"/>
                <w:szCs w:val="18"/>
              </w:rPr>
              <w:t>制</w:t>
            </w:r>
            <w:r>
              <w:rPr>
                <w:rFonts w:ascii="宋体" w:hAnsi="宋体" w:cs="宋体" w:eastAsia="宋体" w:hint="default"/>
                <w:spacing w:val="-58"/>
                <w:sz w:val="18"/>
                <w:szCs w:val="18"/>
              </w:rPr>
              <w:t> </w:t>
            </w:r>
            <w:r>
              <w:rPr>
                <w:rFonts w:ascii="宋体" w:hAnsi="宋体" w:cs="宋体" w:eastAsia="宋体" w:hint="default"/>
                <w:sz w:val="18"/>
                <w:szCs w:val="18"/>
              </w:rPr>
              <w:t>下</w:t>
            </w:r>
            <w:r>
              <w:rPr>
                <w:rFonts w:ascii="宋体" w:hAnsi="宋体" w:cs="宋体" w:eastAsia="宋体" w:hint="default"/>
                <w:sz w:val="18"/>
                <w:szCs w:val="18"/>
              </w:rPr>
              <w:t> 企业合并</w:t>
            </w:r>
          </w:p>
        </w:tc>
      </w:tr>
      <w:tr>
        <w:trPr>
          <w:trHeight w:val="635"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2"/>
              <w:jc w:val="left"/>
              <w:rPr>
                <w:rFonts w:ascii="宋体" w:hAnsi="宋体" w:cs="宋体" w:eastAsia="宋体" w:hint="default"/>
                <w:sz w:val="18"/>
                <w:szCs w:val="18"/>
              </w:rPr>
            </w:pPr>
            <w:r>
              <w:rPr>
                <w:rFonts w:ascii="宋体" w:hAnsi="宋体" w:cs="宋体" w:eastAsia="宋体" w:hint="default"/>
                <w:spacing w:val="2"/>
                <w:sz w:val="18"/>
                <w:szCs w:val="18"/>
              </w:rPr>
              <w:t>海宁茂硕诺华能源有限公司（以下简称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海</w:t>
            </w:r>
            <w:r>
              <w:rPr>
                <w:rFonts w:ascii="宋体" w:hAnsi="宋体" w:cs="宋体" w:eastAsia="宋体" w:hint="default"/>
                <w:spacing w:val="-85"/>
                <w:sz w:val="18"/>
                <w:szCs w:val="18"/>
              </w:rPr>
              <w:t> </w:t>
            </w:r>
            <w:r>
              <w:rPr>
                <w:rFonts w:ascii="宋体" w:hAnsi="宋体" w:cs="宋体" w:eastAsia="宋体" w:hint="default"/>
                <w:sz w:val="18"/>
                <w:szCs w:val="18"/>
              </w:rPr>
              <w:t>宁茂硕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83"/>
              <w:jc w:val="left"/>
              <w:rPr>
                <w:rFonts w:ascii="宋体" w:hAnsi="宋体" w:cs="宋体" w:eastAsia="宋体" w:hint="default"/>
                <w:sz w:val="18"/>
                <w:szCs w:val="18"/>
              </w:rPr>
            </w:pPr>
            <w:r>
              <w:rPr>
                <w:rFonts w:ascii="宋体" w:hAnsi="宋体" w:cs="宋体" w:eastAsia="宋体" w:hint="default"/>
                <w:spacing w:val="12"/>
                <w:sz w:val="18"/>
                <w:szCs w:val="18"/>
              </w:rPr>
              <w:t>光伏发</w:t>
            </w:r>
            <w:r>
              <w:rPr>
                <w:rFonts w:ascii="宋体" w:hAnsi="宋体" w:cs="宋体" w:eastAsia="宋体" w:hint="default"/>
                <w:spacing w:val="-71"/>
                <w:sz w:val="18"/>
                <w:szCs w:val="18"/>
              </w:rPr>
              <w:t> </w:t>
            </w:r>
            <w:r>
              <w:rPr>
                <w:rFonts w:ascii="宋体" w:hAnsi="宋体" w:cs="宋体" w:eastAsia="宋体" w:hint="default"/>
                <w:sz w:val="18"/>
                <w:szCs w:val="18"/>
              </w:rPr>
              <w:t>电</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70.60%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86"/>
        <w:gridCol w:w="1074"/>
        <w:gridCol w:w="1050"/>
        <w:gridCol w:w="796"/>
        <w:gridCol w:w="934"/>
        <w:gridCol w:w="936"/>
        <w:gridCol w:w="1463"/>
      </w:tblGrid>
      <w:tr>
        <w:trPr>
          <w:trHeight w:val="634"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深圳茂硕电气有限公司（以下简称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茂硕电</w:t>
            </w:r>
            <w:r>
              <w:rPr>
                <w:rFonts w:ascii="宋体" w:hAnsi="宋体" w:cs="宋体" w:eastAsia="宋体" w:hint="default"/>
                <w:spacing w:val="-83"/>
                <w:sz w:val="18"/>
                <w:szCs w:val="18"/>
              </w:rPr>
              <w:t> </w:t>
            </w:r>
            <w:r>
              <w:rPr>
                <w:rFonts w:ascii="宋体" w:hAnsi="宋体" w:cs="宋体" w:eastAsia="宋体" w:hint="default"/>
                <w:sz w:val="18"/>
                <w:szCs w:val="18"/>
              </w:rPr>
              <w:t>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生产型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2" w:firstLine="45"/>
              <w:jc w:val="left"/>
              <w:rPr>
                <w:rFonts w:ascii="宋体" w:hAnsi="宋体" w:cs="宋体" w:eastAsia="宋体" w:hint="default"/>
                <w:sz w:val="18"/>
                <w:szCs w:val="18"/>
              </w:rPr>
            </w:pPr>
            <w:r>
              <w:rPr>
                <w:rFonts w:ascii="宋体" w:hAnsi="宋体" w:cs="宋体" w:eastAsia="宋体" w:hint="default"/>
                <w:sz w:val="18"/>
                <w:szCs w:val="18"/>
              </w:rPr>
              <w:t>深圳茂硕钜泽科技有限公司（以下简称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 硕钜泽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贸易型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2"/>
              <w:jc w:val="left"/>
              <w:rPr>
                <w:rFonts w:ascii="宋体" w:hAnsi="宋体" w:cs="宋体" w:eastAsia="宋体" w:hint="default"/>
                <w:sz w:val="18"/>
                <w:szCs w:val="18"/>
              </w:rPr>
            </w:pPr>
            <w:r>
              <w:rPr>
                <w:rFonts w:ascii="宋体" w:hAnsi="宋体" w:cs="宋体" w:eastAsia="宋体" w:hint="default"/>
                <w:spacing w:val="2"/>
                <w:sz w:val="18"/>
                <w:szCs w:val="18"/>
              </w:rPr>
              <w:t>深圳茂硕希港科技有限公司（以下简称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茂</w:t>
            </w:r>
            <w:r>
              <w:rPr>
                <w:rFonts w:ascii="宋体" w:hAnsi="宋体" w:cs="宋体" w:eastAsia="宋体" w:hint="default"/>
                <w:spacing w:val="-85"/>
                <w:sz w:val="18"/>
                <w:szCs w:val="18"/>
              </w:rPr>
              <w:t> </w:t>
            </w:r>
            <w:r>
              <w:rPr>
                <w:rFonts w:ascii="宋体" w:hAnsi="宋体" w:cs="宋体" w:eastAsia="宋体" w:hint="default"/>
                <w:sz w:val="18"/>
                <w:szCs w:val="18"/>
              </w:rPr>
              <w:t>硕希港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贸易型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新余茂硕新能源科技有限公司（以下简称</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新余茂硕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江西新余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3"/>
              <w:jc w:val="left"/>
              <w:rPr>
                <w:rFonts w:ascii="宋体" w:hAnsi="宋体" w:cs="宋体" w:eastAsia="宋体" w:hint="default"/>
                <w:sz w:val="18"/>
                <w:szCs w:val="18"/>
              </w:rPr>
            </w:pPr>
            <w:r>
              <w:rPr>
                <w:rFonts w:ascii="宋体" w:hAnsi="宋体" w:cs="宋体" w:eastAsia="宋体" w:hint="default"/>
                <w:spacing w:val="12"/>
                <w:sz w:val="18"/>
                <w:szCs w:val="18"/>
              </w:rPr>
              <w:t>光伏发</w:t>
            </w:r>
            <w:r>
              <w:rPr>
                <w:rFonts w:ascii="宋体" w:hAnsi="宋体" w:cs="宋体" w:eastAsia="宋体" w:hint="default"/>
                <w:spacing w:val="-71"/>
                <w:sz w:val="18"/>
                <w:szCs w:val="18"/>
              </w:rPr>
              <w:t> </w:t>
            </w:r>
            <w:r>
              <w:rPr>
                <w:rFonts w:ascii="宋体" w:hAnsi="宋体" w:cs="宋体" w:eastAsia="宋体" w:hint="default"/>
                <w:sz w:val="18"/>
                <w:szCs w:val="18"/>
              </w:rPr>
              <w:t>电</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67..80%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sz w:val="21"/>
          <w:szCs w:val="21"/>
        </w:rPr>
      </w:pPr>
    </w:p>
    <w:p>
      <w:pPr>
        <w:pStyle w:val="BodyText"/>
        <w:spacing w:line="240" w:lineRule="auto" w:before="44"/>
        <w:ind w:left="513" w:right="1078"/>
        <w:jc w:val="left"/>
      </w:pPr>
      <w:r>
        <w:rPr/>
        <w:t>本期合并范围变更主要是新设以下</w:t>
      </w:r>
      <w:r>
        <w:rPr>
          <w:rFonts w:ascii="Times New Roman" w:hAnsi="Times New Roman" w:cs="Times New Roman" w:eastAsia="Times New Roman" w:hint="default"/>
        </w:rPr>
        <w:t>5</w:t>
      </w:r>
      <w:r>
        <w:rPr/>
        <w:t>户子公司</w:t>
      </w:r>
    </w:p>
    <w:p>
      <w:pPr>
        <w:spacing w:line="240" w:lineRule="auto" w:before="13"/>
        <w:rPr>
          <w:rFonts w:ascii="宋体" w:hAnsi="宋体" w:cs="宋体" w:eastAsia="宋体" w:hint="default"/>
          <w:sz w:val="3"/>
          <w:szCs w:val="3"/>
        </w:rPr>
      </w:pPr>
    </w:p>
    <w:tbl>
      <w:tblPr>
        <w:tblW w:w="0" w:type="auto"/>
        <w:jc w:val="left"/>
        <w:tblInd w:w="206" w:type="dxa"/>
        <w:tblLayout w:type="fixed"/>
        <w:tblCellMar>
          <w:top w:w="0" w:type="dxa"/>
          <w:left w:w="0" w:type="dxa"/>
          <w:bottom w:w="0" w:type="dxa"/>
          <w:right w:w="0" w:type="dxa"/>
        </w:tblCellMar>
        <w:tblLook w:val="01E0"/>
      </w:tblPr>
      <w:tblGrid>
        <w:gridCol w:w="4819"/>
        <w:gridCol w:w="4822"/>
      </w:tblGrid>
      <w:tr>
        <w:trPr>
          <w:trHeight w:val="355" w:hRule="exact"/>
        </w:trPr>
        <w:tc>
          <w:tcPr>
            <w:tcW w:w="4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成立日期</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53"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新余茂硕新能源科技有限公司</w:t>
            </w:r>
            <w:r>
              <w:rPr>
                <w:rFonts w:ascii="Times New Roman" w:hAnsi="Times New Roman" w:cs="Times New Roman" w:eastAsia="Times New Roman" w:hint="default"/>
                <w:sz w:val="18"/>
                <w:szCs w:val="18"/>
              </w:rPr>
              <w:t>*</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bl>
    <w:p>
      <w:pPr>
        <w:pStyle w:val="BodyText"/>
        <w:spacing w:line="240" w:lineRule="auto" w:before="10"/>
        <w:ind w:left="694" w:right="1078"/>
        <w:jc w:val="left"/>
      </w:pPr>
      <w:r>
        <w:rPr>
          <w:rFonts w:ascii="Times New Roman" w:hAnsi="Times New Roman" w:cs="Times New Roman" w:eastAsia="Times New Roman" w:hint="default"/>
        </w:rPr>
        <w:t>*</w:t>
      </w:r>
      <w:r>
        <w:rPr/>
        <w:t>新余茂硕新能源科技有限公司为本公司控股子公司深圳茂硕新能源科技有限公司的全资子公司。</w:t>
      </w:r>
    </w:p>
    <w:p>
      <w:pPr>
        <w:spacing w:line="240" w:lineRule="auto" w:before="1"/>
        <w:rPr>
          <w:rFonts w:ascii="宋体" w:hAnsi="宋体" w:cs="宋体" w:eastAsia="宋体" w:hint="default"/>
          <w:sz w:val="24"/>
          <w:szCs w:val="24"/>
        </w:rPr>
      </w:pPr>
    </w:p>
    <w:p>
      <w:pPr>
        <w:pStyle w:val="Heading2"/>
        <w:spacing w:line="240" w:lineRule="auto"/>
        <w:ind w:left="213" w:right="1078"/>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3" w:right="1078"/>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13" w:right="1129"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left="213" w:right="1133" w:firstLine="480"/>
        <w:jc w:val="both"/>
      </w:pPr>
      <w:r>
        <w:rPr>
          <w:spacing w:val="-1"/>
        </w:rPr>
        <w:t>根据企业会计准则的相关规定，本公司会计核算以权责发生制为基础。除某些金融工具外，本财务报表均以历史成本</w:t>
      </w:r>
      <w:r>
        <w:rPr/>
        <w:t> 为计量基础。资产如果发生减值，则按照相关规定计提相应的减值准备。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213" w:right="1078"/>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14" w:right="1078" w:firstLine="336"/>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line="240" w:lineRule="auto" w:before="9"/>
        <w:rPr>
          <w:rFonts w:ascii="宋体" w:hAnsi="宋体" w:cs="宋体" w:eastAsia="宋体" w:hint="default"/>
          <w:sz w:val="21"/>
          <w:szCs w:val="21"/>
        </w:rPr>
      </w:pPr>
    </w:p>
    <w:p>
      <w:pPr>
        <w:pStyle w:val="Heading2"/>
        <w:spacing w:line="240" w:lineRule="auto"/>
        <w:ind w:left="214" w:right="1078"/>
        <w:jc w:val="left"/>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94" w:right="1078" w:hanging="480"/>
        <w:jc w:val="left"/>
      </w:pPr>
      <w:r>
        <w:rPr/>
        <w:t>具体会计政策和会计估计提示： </w:t>
      </w:r>
      <w:r>
        <w:rPr>
          <w:spacing w:val="-1"/>
        </w:rPr>
        <w:t>本公司及各子公司从事计算机、通信及其他电子设备制造业经营。本公司及各子公司根据实际生产经营特点，依据相</w:t>
      </w:r>
    </w:p>
    <w:p>
      <w:pPr>
        <w:pStyle w:val="BodyText"/>
        <w:spacing w:line="224" w:lineRule="exact"/>
        <w:ind w:left="214" w:right="0"/>
        <w:jc w:val="left"/>
      </w:pPr>
      <w:r>
        <w:rPr/>
        <w:t>关企业会计准则的规定，对收入确认、建造合同完工百分比确定、研究开发支出等交易和事项制定了若干项具体会计政策和</w:t>
      </w:r>
    </w:p>
    <w:p>
      <w:pPr>
        <w:pStyle w:val="BodyText"/>
        <w:spacing w:line="240" w:lineRule="auto" w:before="76"/>
        <w:ind w:left="214" w:right="1033"/>
        <w:jc w:val="left"/>
      </w:pPr>
      <w:r>
        <w:rPr>
          <w:spacing w:val="-3"/>
        </w:rPr>
        <w:t>会计估计，详见本附注五、</w:t>
      </w:r>
      <w:r>
        <w:rPr>
          <w:rFonts w:ascii="Times New Roman" w:hAnsi="Times New Roman" w:cs="Times New Roman" w:eastAsia="Times New Roman" w:hint="default"/>
          <w:spacing w:val="-3"/>
        </w:rPr>
        <w:t>28“</w:t>
      </w:r>
      <w:r>
        <w:rPr>
          <w:spacing w:val="-3"/>
        </w:rPr>
        <w:t>收入</w:t>
      </w:r>
      <w:r>
        <w:rPr>
          <w:rFonts w:ascii="Times New Roman" w:hAnsi="Times New Roman" w:cs="Times New Roman" w:eastAsia="Times New Roman" w:hint="default"/>
          <w:spacing w:val="-3"/>
        </w:rPr>
        <w:t>”</w:t>
      </w:r>
      <w:r>
        <w:rPr>
          <w:spacing w:val="-3"/>
        </w:rPr>
        <w:t>各项描述。关于管理层所作出的重大会计判断和估计的说明，请参阅附注五、</w:t>
      </w:r>
      <w:r>
        <w:rPr>
          <w:rFonts w:ascii="Times New Roman" w:hAnsi="Times New Roman" w:cs="Times New Roman" w:eastAsia="Times New Roman" w:hint="default"/>
          <w:spacing w:val="-3"/>
        </w:rPr>
        <w:t>34“</w:t>
      </w:r>
      <w:r>
        <w:rPr>
          <w:spacing w:val="-3"/>
        </w:rPr>
        <w:t>其他</w:t>
      </w:r>
      <w:r>
        <w:rPr>
          <w:rFonts w:ascii="Times New Roman" w:hAnsi="Times New Roman" w:cs="Times New Roman" w:eastAsia="Times New Roman" w:hint="default"/>
          <w:spacing w:val="-3"/>
        </w:rPr>
        <w:t>”</w:t>
      </w:r>
      <w:r>
        <w:rPr>
          <w:spacing w:val="-3"/>
        </w:rPr>
        <w:t>。</w:t>
      </w:r>
    </w:p>
    <w:p>
      <w:pPr>
        <w:spacing w:after="0" w:line="240" w:lineRule="auto"/>
        <w:jc w:val="left"/>
        <w:sectPr>
          <w:footerReference w:type="default" r:id="rId36"/>
          <w:pgSz w:w="11910" w:h="16840"/>
          <w:pgMar w:footer="979" w:header="747" w:top="1060" w:bottom="1160" w:left="92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0" w:firstLine="48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w:t>
      </w:r>
      <w:r>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8"/>
        </w:rPr>
        <w:t> </w:t>
      </w:r>
      <w:r>
        <w:rPr>
          <w:spacing w:val="-68"/>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43" w:firstLine="480"/>
        <w:jc w:val="both"/>
      </w:pPr>
      <w:r>
        <w:rPr>
          <w:spacing w:val="-3"/>
        </w:rPr>
        <w:t>本公司的会计期间分为年度和中期，会计中期指短于一个完整的会计年度的报告期间。本公司会计年度采用公历年度，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0" w:firstLine="48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个月作为一个营业周</w:t>
      </w:r>
      <w:r>
        <w:rPr/>
        <w:t>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480"/>
        <w:jc w:val="both"/>
      </w:pPr>
      <w:r>
        <w:rPr>
          <w:spacing w:val="-1"/>
        </w:rPr>
        <w:t>人民币为本公司及境内子公司经营所处的主要经济环境中的货币，本公司及境内子公司以人民币为记账本位币。本公</w:t>
      </w:r>
      <w:r>
        <w:rPr/>
        <w:t> </w:t>
      </w:r>
      <w:r>
        <w:rPr>
          <w:spacing w:val="-2"/>
        </w:rPr>
        <w:t>司之境外子公司根据其经营所处的主要经济环境中的货币确定人民币为其记账本位币。本公司编制本财务报表时所采用的货</w:t>
      </w:r>
      <w:r>
        <w:rPr>
          <w:spacing w:val="-64"/>
        </w:rPr>
        <w:t> </w:t>
      </w:r>
      <w:r>
        <w:rPr>
          <w:spacing w:val="-64"/>
        </w:rPr>
      </w:r>
      <w:r>
        <w:rPr/>
        <w:t>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2"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right="1043"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4" w:right="0"/>
        <w:jc w:val="left"/>
      </w:pPr>
      <w:r>
        <w:rPr/>
        <w:t>合并方为进行企业合并发生的各项直接费用，于发生时计入当期损益。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31"/>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4" w:lineRule="auto" w:before="19"/>
        <w:ind w:right="1131"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5"/>
        </w:rPr>
        <w:t> </w:t>
      </w:r>
      <w:r>
        <w:rPr>
          <w:spacing w:val="-65"/>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p>
    <w:p>
      <w:pPr>
        <w:spacing w:after="0" w:line="314" w:lineRule="auto"/>
        <w:jc w:val="both"/>
        <w:sectPr>
          <w:footerReference w:type="default" r:id="rId37"/>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left="153" w:right="1131"/>
        <w:jc w:val="both"/>
      </w:pP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left="153" w:right="113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left="153" w:right="1035"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left="153" w:right="1131"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left="153" w:right="1130"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3"/>
        </w:rPr>
        <w:t> </w:t>
      </w:r>
      <w:r>
        <w:rPr>
          <w:spacing w:val="-63"/>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31"/>
        <w:ind w:left="153"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4" w:right="0"/>
        <w:jc w:val="left"/>
      </w:pPr>
      <w:r>
        <w:rPr/>
        <w:t>一旦相关事实和情况的变化导致上述控制定义涉及的相关要素发生了变化，本公司将进行重新评估。</w:t>
      </w:r>
    </w:p>
    <w:p>
      <w:pPr>
        <w:pStyle w:val="BodyText"/>
        <w:spacing w:line="300" w:lineRule="auto" w:before="76"/>
        <w:ind w:left="63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right="113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9" w:lineRule="auto" w:before="19"/>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00" w:lineRule="auto" w:before="17"/>
        <w:ind w:left="153" w:right="1130"/>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3"/>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r>
        <w:rPr>
          <w:spacing w:val="-77"/>
        </w:rPr>
        <w:t> </w:t>
      </w:r>
      <w:r>
        <w:rPr>
          <w:spacing w:val="-77"/>
        </w:rPr>
      </w:r>
      <w:r>
        <w:rPr/>
        <w:t>数股东权益。</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3" w:right="1130"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3"/>
        </w:rPr>
        <w:t> </w:t>
      </w:r>
      <w:r>
        <w:rPr>
          <w:spacing w:val="-63"/>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spacing w:val="-74"/>
        </w:rPr>
        <w:t> </w:t>
      </w:r>
      <w:r>
        <w:rPr>
          <w:spacing w:val="-74"/>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left="153" w:right="1036" w:firstLine="48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））和</w:t>
      </w:r>
      <w:r>
        <w:rPr>
          <w:rFonts w:ascii="Times New Roman" w:hAnsi="Times New Roman" w:cs="Times New Roman" w:eastAsia="Times New Roman" w:hint="default"/>
        </w:rPr>
        <w:t>“</w:t>
      </w:r>
      <w:r>
        <w:rPr/>
        <w:t>因处置部分股权投资或其他原因丧失了对原有子公司</w:t>
      </w:r>
      <w:r>
        <w:rPr>
          <w:spacing w:val="-68"/>
        </w:rPr>
        <w:t> </w:t>
      </w:r>
      <w:r>
        <w:rPr>
          <w:spacing w:val="-68"/>
        </w:rPr>
      </w:r>
      <w:r>
        <w:rPr/>
        <w:t>的控制权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w:t>
      </w:r>
      <w:r>
        <w:rPr>
          <w:spacing w:val="-77"/>
        </w:rPr>
        <w:t> </w:t>
      </w:r>
      <w:r>
        <w:rPr>
          <w:spacing w:val="-77"/>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left="154" w:right="0"/>
        <w:jc w:val="left"/>
        <w:rPr>
          <w:b w:val="0"/>
          <w:bCs w:val="0"/>
        </w:rPr>
      </w:pPr>
      <w:bookmarkStart w:name="7、合营安排分类及共同经营会计处理方法" w:id="166"/>
      <w:bookmarkEnd w:id="16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7"/>
        <w:ind w:left="153" w:right="1129" w:firstLine="48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5"/>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316" w:lineRule="auto" w:before="31"/>
        <w:ind w:right="1131"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9"/>
        <w:ind w:left="153" w:right="1131"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8、现金及现金等价物的确定标准" w:id="167"/>
      <w:bookmarkEnd w:id="16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本公司发生的外币交易在初始确认时，按交易日的即期近似汇率折算为记账本位币金额，但公司发生的外币兑换业务</w:t>
      </w:r>
    </w:p>
    <w:p>
      <w:pPr>
        <w:pStyle w:val="BodyText"/>
        <w:spacing w:line="240" w:lineRule="auto" w:before="31"/>
        <w:ind w:right="0"/>
        <w:jc w:val="left"/>
      </w:pPr>
      <w:r>
        <w:rPr/>
        <w:t>或涉及外币兑换的交易事项，按照实际采用的汇率折算为记账本位币金额。</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right="0"/>
        <w:jc w:val="left"/>
      </w:pPr>
      <w:r>
        <w:rPr>
          <w:spacing w:val="-2"/>
        </w:rPr>
        <w:t>资本化条件的资产相关的外币专门借款产生的汇兑差额按照借款费用资本化的原则处理；②可供出售的外币货币性项目除摊</w:t>
      </w:r>
      <w:r>
        <w:rPr>
          <w:spacing w:val="-64"/>
        </w:rPr>
        <w:t> </w:t>
      </w:r>
      <w:r>
        <w:rPr>
          <w:spacing w:val="-64"/>
        </w:rPr>
      </w:r>
      <w:r>
        <w:rPr/>
        <w:t>余成本之外的其他账面余额变动产生的汇兑差额计入其他综合收益之外，均计入当期损益。</w:t>
      </w:r>
    </w:p>
    <w:p>
      <w:pPr>
        <w:pStyle w:val="BodyText"/>
        <w:spacing w:line="316" w:lineRule="auto" w:before="19"/>
        <w:ind w:left="153" w:right="1133"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9"/>
        <w:ind w:right="1131"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00" w:lineRule="auto" w:before="19"/>
        <w:ind w:left="634"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00" w:lineRule="auto" w:before="31"/>
        <w:ind w:left="633" w:right="0" w:hanging="480"/>
        <w:jc w:val="left"/>
      </w:pPr>
      <w:r>
        <w:rPr/>
        <w:t>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4" w:lineRule="auto" w:before="31"/>
        <w:ind w:right="0"/>
        <w:jc w:val="left"/>
      </w:pPr>
      <w:r>
        <w:rPr/>
        <w:t>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项目外，其他项目采用发生时的即期汇率折算。利润表中的收入和费用项目，采 </w:t>
      </w:r>
      <w:r>
        <w:rPr>
          <w:spacing w:val="-2"/>
        </w:rPr>
        <w:t>用交易发生日的即期近似汇率折算。年初未分配利润为上一年折算后的年末未分配利润；年末未分配利润按折算后的利润分</w:t>
      </w:r>
      <w:r>
        <w:rPr>
          <w:spacing w:val="-64"/>
        </w:rPr>
        <w:t> </w:t>
      </w:r>
      <w:r>
        <w:rPr>
          <w:spacing w:val="-64"/>
        </w:rPr>
      </w:r>
      <w:r>
        <w:rPr>
          <w:spacing w:val="-2"/>
        </w:rPr>
        <w:t>配各项目计算列示；折算后资产类项目与负债类项目和股东权益类项目合计数的差额，作为外币报表折算差额，确认为其他</w:t>
      </w:r>
      <w:r>
        <w:rPr>
          <w:spacing w:val="-66"/>
        </w:rPr>
        <w:t> </w:t>
      </w:r>
      <w:r>
        <w:rPr>
          <w:spacing w:val="-66"/>
        </w:rPr>
      </w:r>
      <w:r>
        <w:rPr>
          <w:spacing w:val="-4"/>
        </w:rPr>
        <w:t>综合收益。处置境外经营并丧失控制权时，将资产负债表中股东权益项目下列示的、与该境外经营相关的外币报表折算差额，</w:t>
      </w:r>
      <w:r>
        <w:rPr>
          <w:spacing w:val="-44"/>
        </w:rPr>
        <w:t> </w:t>
      </w:r>
      <w:r>
        <w:rPr>
          <w:spacing w:val="-44"/>
        </w:rPr>
      </w:r>
      <w:r>
        <w:rPr/>
        <w:t>全部或按处置该境外经营的比例转入处置当期损益。</w:t>
      </w:r>
    </w:p>
    <w:p>
      <w:pPr>
        <w:pStyle w:val="BodyText"/>
        <w:spacing w:line="316" w:lineRule="auto" w:before="20"/>
        <w:ind w:right="1133" w:firstLine="480"/>
        <w:jc w:val="both"/>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316" w:lineRule="auto" w:before="19"/>
        <w:ind w:left="634" w:right="0"/>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right="1118"/>
        <w:jc w:val="left"/>
      </w:pPr>
      <w:r>
        <w:rPr>
          <w:spacing w:val="-2"/>
        </w:rPr>
        <w:t>债表中所有者权益项目下列示的、与该境外经营相关的归属于母公司所有者权益的外币报表折算差额，全部转入处置当期损</w:t>
      </w:r>
      <w:r>
        <w:rPr>
          <w:spacing w:val="-64"/>
        </w:rPr>
        <w:t> </w:t>
      </w:r>
      <w:r>
        <w:rPr>
          <w:spacing w:val="-64"/>
        </w:rPr>
      </w:r>
      <w:r>
        <w:rPr/>
        <w:t>益。</w:t>
      </w:r>
    </w:p>
    <w:p>
      <w:pPr>
        <w:pStyle w:val="BodyText"/>
        <w:spacing w:line="316" w:lineRule="auto" w:before="19"/>
        <w:ind w:right="0" w:firstLine="480"/>
        <w:jc w:val="left"/>
      </w:pPr>
      <w:r>
        <w:rPr/>
        <w:t>在处置部分股权投资或其他原因导致持有境外经营权益比例降低但不丧失对境外经营控制权时，与该境外经营处置部 </w:t>
      </w: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6"/>
        <w:spacing w:line="240" w:lineRule="auto"/>
        <w:ind w:right="0"/>
        <w:jc w:val="left"/>
        <w:rPr>
          <w:b w:val="0"/>
          <w:bCs w:val="0"/>
        </w:rPr>
      </w:pPr>
      <w:bookmarkStart w:name="10、金融工具" w:id="169"/>
      <w:bookmarkEnd w:id="169"/>
      <w:r>
        <w:rPr>
          <w:b w:val="0"/>
          <w:bCs w:val="0"/>
        </w:rPr>
      </w:r>
      <w:r>
        <w:rPr>
          <w:rFonts w:ascii="Times New Roman" w:hAnsi="Times New Roman" w:cs="Times New Roman" w:eastAsia="Times New Roman" w:hint="default"/>
          <w:sz w:val="21"/>
          <w:szCs w:val="21"/>
        </w:rPr>
        <w:t>1</w:t>
      </w:r>
      <w:r>
        <w:rPr>
          <w:rFonts w:ascii="Times New Roman" w:hAnsi="Times New Roman" w:cs="Times New Roman" w:eastAsia="Times New Roman" w:hint="default"/>
        </w:rPr>
        <w:t>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left="153" w:right="0"/>
        <w:jc w:val="left"/>
      </w:pPr>
      <w:r>
        <w:rPr/>
        <w:t>动计入当期损益的金融资产、持有至到期投资、贷款和应收款项以及可供出售金融资产。</w:t>
      </w:r>
    </w:p>
    <w:p>
      <w:pPr>
        <w:pStyle w:val="BodyText"/>
        <w:spacing w:line="240" w:lineRule="auto" w:before="76"/>
        <w:ind w:left="633" w:right="0"/>
        <w:jc w:val="left"/>
      </w:pPr>
      <w:r>
        <w:rPr/>
        <w:t>①以公允价值计量且其变动计入当期损益的金融资产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3" w:right="1113"/>
        <w:jc w:val="left"/>
      </w:pPr>
      <w:r>
        <w:rPr/>
        <w:t>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left="153" w:right="1130"/>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9"/>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left="153" w:right="1130"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3"/>
        </w:rPr>
        <w:t> </w:t>
      </w:r>
      <w:r>
        <w:rPr>
          <w:spacing w:val="-63"/>
        </w:rPr>
      </w:r>
      <w:r>
        <w:rPr/>
        <w:t>进行管理、评价并向关键管理人员报告。</w:t>
      </w:r>
    </w:p>
    <w:p>
      <w:pPr>
        <w:pStyle w:val="BodyText"/>
        <w:spacing w:line="316" w:lineRule="auto" w:before="26"/>
        <w:ind w:left="153" w:right="1133"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0"/>
        <w:jc w:val="left"/>
      </w:pPr>
      <w:r>
        <w:rPr/>
        <w:t>①以公允价值计量且其变动计入当期损益的金融资产 </w:t>
      </w:r>
      <w:r>
        <w:rPr>
          <w:spacing w:val="-1"/>
        </w:rPr>
        <w:t>包括交易性金融资产和指定为以公允价值计量且其变动计入当期损益的金融资产。本公司以公允价值计量且其变动计</w:t>
      </w:r>
    </w:p>
    <w:p>
      <w:pPr>
        <w:pStyle w:val="BodyText"/>
        <w:spacing w:line="316" w:lineRule="auto" w:before="19"/>
        <w:ind w:left="633" w:right="1113" w:hanging="480"/>
        <w:jc w:val="left"/>
      </w:pPr>
      <w:r>
        <w:rPr/>
        <w:t>入当期损益的金融资产均为交易性金融资产。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取得该金融资产的目的，主要是为了近期内出售或回购；</w:t>
      </w:r>
      <w:r>
        <w:rPr>
          <w:rFonts w:ascii="Times New Roman" w:hAnsi="Times New Roman" w:cs="Times New Roman" w:eastAsia="Times New Roman" w:hint="default"/>
        </w:rPr>
        <w:t>B.</w:t>
      </w:r>
      <w:r>
        <w:rPr/>
        <w:t>属</w:t>
      </w:r>
    </w:p>
    <w:p>
      <w:pPr>
        <w:pStyle w:val="BodyText"/>
        <w:spacing w:line="309" w:lineRule="auto"/>
        <w:ind w:left="153" w:right="1129"/>
        <w:jc w:val="both"/>
      </w:pPr>
      <w:r>
        <w:rPr/>
        <w:t>于进行集中管理的可辨认金融工具组合的一部分，且有客观证据表明本公司近期采用短期获利方式对该组合进行管理；</w:t>
      </w:r>
      <w:r>
        <w:rPr>
          <w:rFonts w:ascii="Times New Roman" w:hAnsi="Times New Roman" w:cs="Times New Roman" w:eastAsia="Times New Roman" w:hint="default"/>
        </w:rPr>
        <w:t>C.</w:t>
      </w:r>
      <w:r>
        <w:rPr>
          <w:rFonts w:ascii="Times New Roman" w:hAnsi="Times New Roman" w:cs="Times New Roman" w:eastAsia="Times New Roman" w:hint="default"/>
          <w:spacing w:val="15"/>
        </w:rPr>
        <w:t> </w:t>
      </w:r>
      <w:r>
        <w:rPr>
          <w:spacing w:val="-2"/>
        </w:rPr>
        <w:t>属于衍生工具，但是，被指定且为有效套期工具的衍生工具、属于财务担保合同的衍生工具、与在活跃市场中没有报价且其</w:t>
      </w:r>
      <w:r>
        <w:rPr>
          <w:spacing w:val="-66"/>
        </w:rPr>
        <w:t> </w:t>
      </w:r>
      <w:r>
        <w:rPr>
          <w:spacing w:val="-66"/>
        </w:rPr>
      </w:r>
      <w:r>
        <w:rPr/>
        <w:t>公允价值不能可靠计量的权益工具投资挂钩并须通过交付该权益工具结算的衍生工具除外。</w:t>
      </w:r>
    </w:p>
    <w:p>
      <w:pPr>
        <w:pStyle w:val="BodyText"/>
        <w:spacing w:line="316" w:lineRule="auto" w:before="24"/>
        <w:ind w:left="153" w:right="1133" w:firstLine="480"/>
        <w:jc w:val="both"/>
      </w:pPr>
      <w:r>
        <w:rPr>
          <w:spacing w:val="-1"/>
        </w:rPr>
        <w:t>交易性金融资产采用公允价值进行后续计量，公允价值变动形成的利得或损失以及与该金融资产相关的股利和利息收</w:t>
      </w:r>
      <w:r>
        <w:rPr/>
        <w:t> 入计入当期损益。</w:t>
      </w:r>
    </w:p>
    <w:p>
      <w:pPr>
        <w:pStyle w:val="BodyText"/>
        <w:spacing w:line="319" w:lineRule="auto" w:before="19"/>
        <w:ind w:left="633" w:right="1118"/>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7"/>
        <w:ind w:left="153" w:right="0"/>
        <w:jc w:val="both"/>
      </w:pPr>
      <w:r>
        <w:rPr/>
        <w:t>入当期损益。</w:t>
      </w:r>
    </w:p>
    <w:p>
      <w:pPr>
        <w:pStyle w:val="BodyText"/>
        <w:spacing w:line="316" w:lineRule="auto" w:before="76"/>
        <w:ind w:right="113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4" w:right="0"/>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4"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0"/>
        <w:jc w:val="both"/>
      </w:pPr>
      <w:r>
        <w:rPr/>
        <w:t>入当期损益。</w:t>
      </w:r>
    </w:p>
    <w:p>
      <w:pPr>
        <w:pStyle w:val="BodyText"/>
        <w:spacing w:line="316" w:lineRule="auto" w:before="76"/>
        <w:ind w:left="634" w:right="0"/>
        <w:jc w:val="left"/>
      </w:pPr>
      <w:r>
        <w:rPr/>
        <w:t>④可供出售金融资产 </w:t>
      </w:r>
      <w:r>
        <w:rPr>
          <w:spacing w:val="2"/>
        </w:rPr>
        <w:t>包括初始确认时即被指定为可供出售的非衍生金融资产，以及除了以公允价值计量且其变动计入当期损益的金融资</w:t>
      </w:r>
    </w:p>
    <w:p>
      <w:pPr>
        <w:pStyle w:val="BodyText"/>
        <w:spacing w:line="316" w:lineRule="auto" w:before="19"/>
        <w:ind w:left="634" w:right="0" w:hanging="480"/>
        <w:jc w:val="left"/>
      </w:pPr>
      <w:r>
        <w:rPr/>
        <w:t>产、贷款和应收款项、持有至到期投资以外的金融资产。 </w:t>
      </w:r>
      <w:r>
        <w:rPr>
          <w:spacing w:val="-1"/>
        </w:rPr>
        <w:t>可供出售债务工具投资的期末成本按照其摊余成本法确定，即初始确认金额扣除已偿还的本金，加上或减去采用实际</w:t>
      </w:r>
    </w:p>
    <w:p>
      <w:pPr>
        <w:pStyle w:val="BodyText"/>
        <w:spacing w:line="319" w:lineRule="auto" w:before="19"/>
        <w:ind w:right="1132"/>
        <w:jc w:val="both"/>
      </w:pP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7"/>
        <w:ind w:right="1032"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3" w:right="3073" w:hanging="480"/>
        <w:jc w:val="left"/>
      </w:pPr>
      <w:r>
        <w:rPr/>
        <w:t>衍生金融资产，按照成本进行后续计量。 可供出售金融资产持有期间取得的利息及被投资单位宣告发放的现金股利，计入投资收益。</w:t>
      </w:r>
    </w:p>
    <w:p>
      <w:pPr>
        <w:pStyle w:val="BodyText"/>
        <w:spacing w:line="300" w:lineRule="auto" w:before="19"/>
        <w:ind w:left="634"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2"/>
        <w:ind w:left="634"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4" w:right="0"/>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right="1032"/>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4" w:right="0"/>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00" w:lineRule="auto" w:before="19"/>
        <w:ind w:left="153" w:right="0"/>
        <w:jc w:val="left"/>
      </w:pPr>
      <w:r>
        <w:rPr>
          <w:spacing w:val="-1"/>
        </w:rPr>
        <w:t>生减值。其中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w:t>
      </w:r>
      <w:r>
        <w:rPr>
          <w:spacing w:val="-46"/>
        </w:rPr>
        <w:t> </w:t>
      </w:r>
      <w:r>
        <w:rPr>
          <w:spacing w:val="-46"/>
        </w:rPr>
      </w:r>
      <w:r>
        <w:rPr/>
        <w:t>续下跌期间的确定依据为公允价值连续下跌时间超过</w:t>
      </w:r>
      <w:r>
        <w:rPr>
          <w:rFonts w:ascii="Times New Roman" w:hAnsi="Times New Roman" w:cs="Times New Roman" w:eastAsia="Times New Roman" w:hint="default"/>
        </w:rPr>
        <w:t>12</w:t>
      </w:r>
      <w:r>
        <w:rPr/>
        <w:t>个月。</w:t>
      </w:r>
    </w:p>
    <w:p>
      <w:pPr>
        <w:pStyle w:val="BodyText"/>
        <w:spacing w:line="316" w:lineRule="auto" w:before="13"/>
        <w:ind w:right="1109" w:firstLine="480"/>
        <w:jc w:val="both"/>
      </w:pPr>
      <w:r>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9" w:lineRule="auto" w:before="19"/>
        <w:ind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7"/>
        <w:ind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00" w:lineRule="auto" w:before="19"/>
        <w:ind w:left="634" w:right="109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right="0"/>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9"/>
        <w:ind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9" w:lineRule="auto" w:before="19"/>
        <w:ind w:right="1130"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7"/>
        <w:ind w:left="63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债，以公允价值计量。对于以公允价值计量且其变动计入当期损益的金融负债，相关的交易费用直接计入当期损益，对于其</w:t>
      </w:r>
      <w:r>
        <w:rPr>
          <w:spacing w:val="-65"/>
        </w:rPr>
        <w:t> </w:t>
      </w:r>
      <w:r>
        <w:rPr>
          <w:spacing w:val="-65"/>
        </w:rPr>
      </w:r>
      <w:r>
        <w:rPr/>
        <w:t>他金融负债，相关交易费用计入初始确认金额。</w:t>
      </w:r>
    </w:p>
    <w:p>
      <w:pPr>
        <w:pStyle w:val="BodyText"/>
        <w:spacing w:line="316" w:lineRule="auto" w:before="19"/>
        <w:ind w:left="633" w:right="0"/>
        <w:jc w:val="left"/>
      </w:pPr>
      <w:r>
        <w:rPr/>
        <w:t>①以公允价值计量且其变动计入当期损益的金融负债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before="19"/>
        <w:ind w:left="633"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53" w:right="0"/>
        <w:jc w:val="left"/>
      </w:pPr>
      <w:r>
        <w:rPr/>
        <w:t>及与该等金融负债相关的股利和利息支出计入当期损益。</w:t>
      </w:r>
    </w:p>
    <w:p>
      <w:pPr>
        <w:pStyle w:val="BodyText"/>
        <w:spacing w:line="316" w:lineRule="auto" w:before="76"/>
        <w:ind w:left="633"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left="153" w:right="1118"/>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3" w:right="0"/>
        <w:jc w:val="left"/>
      </w:pPr>
      <w:r>
        <w:rPr/>
        <w:t>③财务担保合同 </w:t>
      </w:r>
      <w:r>
        <w:rPr>
          <w:spacing w:val="-1"/>
        </w:rPr>
        <w:t>不属于指定为以公允价值计量且其变动计入当期损益的金融负债的财务担保合同，以公允价值进行初始确认，在初始</w:t>
      </w:r>
    </w:p>
    <w:p>
      <w:pPr>
        <w:pStyle w:val="BodyText"/>
        <w:spacing w:line="300" w:lineRule="auto" w:before="19"/>
        <w:ind w:left="153" w:right="0"/>
        <w:jc w:val="left"/>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w:t>
      </w:r>
      <w:r>
        <w:rPr>
          <w:spacing w:val="-62"/>
        </w:rPr>
        <w:t> </w:t>
      </w:r>
      <w:r>
        <w:rPr>
          <w:spacing w:val="-62"/>
        </w:rPr>
      </w:r>
      <w:r>
        <w:rPr/>
        <w:t>确定的累计摊销额后的余额之中的较高者进行后续计量。</w:t>
      </w:r>
    </w:p>
    <w:p>
      <w:pPr>
        <w:pStyle w:val="BodyText"/>
        <w:spacing w:line="300" w:lineRule="auto" w:before="31"/>
        <w:ind w:left="634"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right="0"/>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1133"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right="0"/>
        <w:jc w:val="left"/>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right="1133"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3"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left="153"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1118"/>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31"/>
        <w:ind w:left="153" w:right="1118"/>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634" w:right="0"/>
        <w:jc w:val="left"/>
      </w:pPr>
      <w:r>
        <w:rPr>
          <w:spacing w:val="-3"/>
        </w:rPr>
        <w:t>本公司对权益工具持有方的各种分配（不包括股票股利），减少股东权益。本公司不确认权益工具的公允价值变动额。</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单项金额上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1.988285pt;width:479.2pt;height:114.2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计提坏账准备。单项金额虽不重大但单项计提坏账准备的应 收款项的特征：应收关联方款项；与对方存在争议或涉及诉 讼、仲裁的应收款项；已有明显迹象表明债务人很可能无法 履行还款义务的应收款项；等等。</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2、存货" w:id="174"/>
      <w:bookmarkEnd w:id="174"/>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3972"/>
        <w:jc w:val="left"/>
      </w:pPr>
      <w:r>
        <w:rPr/>
        <w:t>（</w:t>
      </w:r>
      <w:r>
        <w:rPr>
          <w:rFonts w:ascii="Times New Roman" w:hAnsi="Times New Roman" w:cs="Times New Roman" w:eastAsia="Times New Roman" w:hint="default"/>
        </w:rPr>
        <w:t>1</w:t>
      </w:r>
      <w:r>
        <w:rPr/>
        <w:t>）存货的分类 存货主要包括原材料、在产品及自制半成品、周转材料、产成品、库存商品等。</w:t>
      </w:r>
    </w:p>
    <w:p>
      <w:pPr>
        <w:pStyle w:val="BodyText"/>
        <w:spacing w:line="300" w:lineRule="auto" w:before="31"/>
        <w:ind w:left="633" w:right="127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63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6" w:lineRule="auto" w:before="31"/>
        <w:ind w:left="634" w:right="0" w:hanging="48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634" w:right="0" w:hanging="480"/>
        <w:jc w:val="left"/>
      </w:pPr>
      <w:r>
        <w:rPr/>
        <w:t>准备按单个存货项目的成本高于其可变现净值的差额提取。 </w:t>
      </w:r>
      <w:r>
        <w:rPr>
          <w:spacing w:val="-1"/>
        </w:rPr>
        <w:t>计提存货跌价准备后，如果以前减记存货价值的影响因素已经消失，导致存货的可变现净值高于其账面价值的，在原</w:t>
      </w:r>
    </w:p>
    <w:p>
      <w:pPr>
        <w:pStyle w:val="BodyText"/>
        <w:spacing w:line="240" w:lineRule="auto" w:before="19"/>
        <w:ind w:right="0"/>
        <w:jc w:val="left"/>
      </w:pPr>
      <w:r>
        <w:rPr/>
        <w:t>已计提的存货跌价准备金额内予以转回，转回的金额计入当期损益。</w:t>
      </w:r>
    </w:p>
    <w:p>
      <w:pPr>
        <w:pStyle w:val="BodyText"/>
        <w:spacing w:line="240" w:lineRule="auto" w:before="76"/>
        <w:ind w:left="63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633" w:right="415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13、划分为持有待售资产" w:id="175"/>
      <w:bookmarkEnd w:id="17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133" w:firstLine="480"/>
        <w:jc w:val="both"/>
      </w:pPr>
      <w:r>
        <w:rPr>
          <w:spacing w:val="-1"/>
        </w:rPr>
        <w:t>若某项非流动资产在其当前状况下仅根据出售此类资产的惯常条款即可立即出售，本公司已就处置该项非流动资产作</w:t>
      </w:r>
      <w:r>
        <w:rPr/>
        <w:t> </w:t>
      </w:r>
      <w:r>
        <w:rPr>
          <w:spacing w:val="-2"/>
        </w:rPr>
        <w:t>出决议，已经与受让方签订了不可撤销的转让协议，且该项转让将在一年内完成，则该非流动资产作为持有待售非流动资产</w:t>
      </w:r>
      <w:r>
        <w:rPr>
          <w:spacing w:val="-66"/>
        </w:rPr>
        <w:t> </w:t>
      </w:r>
      <w:r>
        <w:rPr>
          <w:spacing w:val="-66"/>
        </w:rPr>
      </w:r>
      <w:r>
        <w:rPr>
          <w:spacing w:val="-2"/>
        </w:rPr>
        <w:t>核算，自划分为持有待售之日起不计提折旧或进行摊销，按照账面价值与公允价值减去处置费用后的净额孰低计量。持有待</w:t>
      </w:r>
      <w:r>
        <w:rPr>
          <w:spacing w:val="-66"/>
        </w:rPr>
        <w:t> </w:t>
      </w:r>
      <w:r>
        <w:rPr>
          <w:spacing w:val="-66"/>
        </w:rPr>
      </w:r>
      <w:r>
        <w:rPr/>
        <w:t>售的非流动资产包括单项资产和处置组。如果处置组是一个《企业会计准则第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p>
    <w:p>
      <w:pPr>
        <w:pStyle w:val="BodyText"/>
        <w:spacing w:line="316" w:lineRule="auto" w:before="20"/>
        <w:ind w:left="153" w:right="1133" w:firstLine="480"/>
        <w:jc w:val="both"/>
      </w:pPr>
      <w:r>
        <w:rPr>
          <w:spacing w:val="-1"/>
        </w:rPr>
        <w:t>被划分为持有待售的单项非流动资产和处置组中的资产，在资产负债表的流动资产部分单独列报；被划分为持有待售</w:t>
      </w:r>
      <w:r>
        <w:rPr/>
        <w:t> 的处置组中的与转让资产相关的负债，在资产负债表的流动负债部分单独列报。</w:t>
      </w:r>
    </w:p>
    <w:p>
      <w:pPr>
        <w:pStyle w:val="BodyText"/>
        <w:spacing w:line="307" w:lineRule="auto" w:before="19"/>
        <w:ind w:left="153" w:right="1277" w:firstLine="480"/>
        <w:jc w:val="both"/>
      </w:pPr>
      <w:r>
        <w:rPr/>
        <w:t>某项资产或处置组被划归为持有待售，但后来不再满足持有待售的非流动资产的确认条件，本公司停止将其划归为 持有待售，并按照下列两项金额中较低者进行计量：（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w:t>
      </w:r>
      <w:r>
        <w:rPr>
          <w:spacing w:val="-53"/>
        </w:rPr>
        <w:t> </w:t>
      </w:r>
      <w:r>
        <w:rPr>
          <w:spacing w:val="-53"/>
        </w:rPr>
      </w:r>
      <w:r>
        <w:rPr/>
        <w:t>定在没有被划归为持有待售的情况下原应确认的折旧、摊销或减值进行调整后的金额；（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w:t>
      </w:r>
      <w:r>
        <w:rPr>
          <w:spacing w:val="-51"/>
        </w:rPr>
        <w:t> </w:t>
      </w:r>
      <w:r>
        <w:rPr>
          <w:spacing w:val="-51"/>
        </w:rPr>
      </w:r>
      <w:r>
        <w:rPr/>
        <w:t>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2"/>
        <w:ind w:right="0"/>
        <w:jc w:val="left"/>
        <w:rPr>
          <w:b w:val="0"/>
          <w:bCs w:val="0"/>
        </w:rPr>
      </w:pPr>
      <w:bookmarkStart w:name="14、长期股权投资" w:id="176"/>
      <w:bookmarkEnd w:id="17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480"/>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left="153" w:right="1133" w:firstLine="480"/>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他方一起共同控制这些政策的制定。</w:t>
      </w:r>
    </w:p>
    <w:p>
      <w:pPr>
        <w:pStyle w:val="BodyText"/>
        <w:spacing w:line="300" w:lineRule="auto" w:before="76"/>
        <w:ind w:left="634"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对于同一控制下的企业合并取得的长期股权投资，在合并日按照被合并方股东权益在最终控制方合并财务报表中的账</w:t>
      </w:r>
    </w:p>
    <w:p>
      <w:pPr>
        <w:pStyle w:val="BodyText"/>
        <w:spacing w:line="316" w:lineRule="auto" w:before="31"/>
        <w:ind w:right="1130"/>
        <w:jc w:val="both"/>
      </w:pPr>
      <w:r>
        <w:rPr>
          <w:spacing w:val="-2"/>
        </w:rPr>
        <w:t>面价值的份额作为长期股权投资的初始投资成本。长期股权投资初始投资成本与支付的现金、转让的非现金资产以及所承担</w:t>
      </w:r>
      <w:r>
        <w:rPr>
          <w:spacing w:val="-63"/>
        </w:rPr>
        <w:t> </w:t>
      </w:r>
      <w:r>
        <w:rPr>
          <w:spacing w:val="-63"/>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3"/>
        </w:rPr>
        <w:t>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312" w:lineRule="auto" w:before="19"/>
        <w:ind w:left="153" w:right="1130" w:firstLine="480"/>
        <w:jc w:val="both"/>
      </w:pPr>
      <w:r>
        <w:rPr>
          <w:spacing w:val="-1"/>
        </w:rPr>
        <w:t>对于非同一控制下的企业合并取得的长期股权投资，在购买日按照合并成本作为长期股权投资的初始投资成本，合并</w:t>
      </w:r>
      <w:r>
        <w:rPr/>
        <w:t>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1"/>
        </w:rPr>
        <w:t>的股权，最终形成非同一控制下的企业合并的，应分别是否属于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w:t>
      </w:r>
      <w:r>
        <w:rPr>
          <w:spacing w:val="-78"/>
        </w:rPr>
        <w:t> </w:t>
      </w:r>
      <w:r>
        <w:rPr>
          <w:spacing w:val="-78"/>
        </w:rPr>
      </w:r>
      <w:r>
        <w:rPr>
          <w:spacing w:val="-2"/>
        </w:rPr>
        <w:t>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w:t>
      </w:r>
      <w:r>
        <w:rPr>
          <w:spacing w:val="-44"/>
        </w:rPr>
        <w:t> </w:t>
      </w:r>
      <w:r>
        <w:rPr>
          <w:spacing w:val="-44"/>
        </w:rPr>
      </w:r>
      <w:r>
        <w:rPr>
          <w:spacing w:val="-2"/>
        </w:rPr>
        <w:t>成本之和，作为改按成本法核算的长期股权投资的初始投资成本。原持有的股权采用权益法核算的，相关其他综合收益暂不</w:t>
      </w:r>
      <w:r>
        <w:rPr>
          <w:spacing w:val="-66"/>
        </w:rPr>
        <w:t> </w:t>
      </w:r>
      <w:r>
        <w:rPr>
          <w:spacing w:val="-66"/>
        </w:rPr>
      </w:r>
      <w:r>
        <w:rPr>
          <w:spacing w:val="-2"/>
        </w:rPr>
        <w:t>进行会计处理。原持有股权投资为可供出售金融资产的，其公允价值与账面价值之间的差额，以及原计入其他综合收益的累</w:t>
      </w:r>
      <w:r>
        <w:rPr>
          <w:spacing w:val="-66"/>
        </w:rPr>
        <w:t> </w:t>
      </w:r>
      <w:r>
        <w:rPr>
          <w:spacing w:val="-66"/>
        </w:rPr>
      </w:r>
      <w:r>
        <w:rPr/>
        <w:t>计公允价值变动转入当期损益。</w:t>
      </w:r>
    </w:p>
    <w:p>
      <w:pPr>
        <w:pStyle w:val="BodyText"/>
        <w:spacing w:line="316" w:lineRule="auto" w:before="22"/>
        <w:ind w:left="153" w:right="1133" w:firstLine="480"/>
        <w:jc w:val="both"/>
      </w:pPr>
      <w:r>
        <w:rPr>
          <w:spacing w:val="-1"/>
        </w:rPr>
        <w:t>合并方或购买方为企业合并发生的审计、法律服务、评估咨询等中介费用以及其他相关管理费用，于发生时计入当期</w:t>
      </w:r>
      <w:r>
        <w:rPr/>
        <w:t> 损益。</w:t>
      </w:r>
    </w:p>
    <w:p>
      <w:pPr>
        <w:pStyle w:val="BodyText"/>
        <w:spacing w:line="314" w:lineRule="auto" w:before="19"/>
        <w:ind w:left="153" w:right="1110" w:firstLine="48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3"/>
        </w:rPr>
        <w:t> </w:t>
      </w:r>
      <w:r>
        <w:rPr>
          <w:spacing w:val="-63"/>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634" w:right="0"/>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31"/>
        <w:ind w:right="0"/>
        <w:jc w:val="both"/>
      </w:pPr>
      <w:r>
        <w:rPr/>
        <w:t>报表采用成本法核算能够对被投资单位实施控制的长期股权投资。</w:t>
      </w:r>
    </w:p>
    <w:p>
      <w:pPr>
        <w:pStyle w:val="BodyText"/>
        <w:spacing w:line="316" w:lineRule="auto" w:before="76"/>
        <w:ind w:left="634" w:right="0"/>
        <w:jc w:val="left"/>
      </w:pPr>
      <w:r>
        <w:rPr/>
        <w:t>①成本法核算的长期股权投资 </w:t>
      </w:r>
      <w:r>
        <w:rPr>
          <w:spacing w:val="-1"/>
        </w:rPr>
        <w:t>采用成本法核算时，长期股权投资按初始投资成本计价，追加或收回投资调整长期股权投资的成本。除取得投资时实</w:t>
      </w:r>
    </w:p>
    <w:p>
      <w:pPr>
        <w:pStyle w:val="BodyText"/>
        <w:spacing w:line="316" w:lineRule="auto" w:before="19"/>
        <w:ind w:right="1131"/>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634" w:right="0"/>
        <w:jc w:val="left"/>
      </w:pPr>
      <w:r>
        <w:rPr/>
        <w:t>②权益法核算的长期股权投资 </w:t>
      </w:r>
      <w:r>
        <w:rPr>
          <w:spacing w:val="-1"/>
        </w:rPr>
        <w:t>采用权益法核算时，长期股权投资的初始投资成本大于投资时应享有被投资单位可辨认净资产公允价值份额的，不调</w:t>
      </w:r>
    </w:p>
    <w:p>
      <w:pPr>
        <w:pStyle w:val="BodyText"/>
        <w:spacing w:line="316" w:lineRule="auto" w:before="19"/>
        <w:ind w:right="1132"/>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9" w:lineRule="auto" w:before="19"/>
        <w:ind w:right="1131" w:firstLine="480"/>
        <w:jc w:val="both"/>
      </w:pPr>
      <w:r>
        <w:rPr>
          <w:spacing w:val="-1"/>
        </w:rPr>
        <w:t>采用权益法核算时，按照应享有或应分担的被投资单位实现的净损益和其他综合收益的份额，分别确认投资收益和其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left="153" w:right="1033"/>
        <w:jc w:val="left"/>
      </w:pP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20"/>
        <w:ind w:left="153" w:right="1131"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left="153" w:right="1133" w:firstLine="480"/>
        <w:jc w:val="both"/>
      </w:pPr>
      <w:r>
        <w:rPr>
          <w:spacing w:val="-1"/>
        </w:rPr>
        <w:t>对于本公司首次执行新会计准则之前已经持有的对联营企业和合营企业的长期股权投资，如存在与该投资相关的股权</w:t>
      </w:r>
      <w:r>
        <w:rPr/>
        <w:t> 投资借方差额，按原剩余期限直线摊销的金额计入当期损益。</w:t>
      </w:r>
    </w:p>
    <w:p>
      <w:pPr>
        <w:pStyle w:val="BodyText"/>
        <w:spacing w:line="316" w:lineRule="auto" w:before="19"/>
        <w:ind w:left="634" w:right="0"/>
        <w:jc w:val="left"/>
      </w:pPr>
      <w:r>
        <w:rPr/>
        <w:t>③收购少数股权 </w:t>
      </w:r>
      <w:r>
        <w:rPr>
          <w:spacing w:val="-1"/>
        </w:rPr>
        <w:t>在编制合并财务报表时，因购买少数股权新增的长期股权投资与按照新增持股比例计算应享有子公司自购买日（或合</w:t>
      </w:r>
    </w:p>
    <w:p>
      <w:pPr>
        <w:pStyle w:val="BodyText"/>
        <w:spacing w:line="240" w:lineRule="auto" w:before="19"/>
        <w:ind w:right="0"/>
        <w:jc w:val="left"/>
      </w:pPr>
      <w:r>
        <w:rPr/>
        <w:t>并日）开始持续计算的净资产份额之间的差额，调整资本公积，资本公积不足冲减的，调整留存收益。</w:t>
      </w:r>
    </w:p>
    <w:p>
      <w:pPr>
        <w:pStyle w:val="BodyText"/>
        <w:spacing w:line="316" w:lineRule="auto" w:before="76"/>
        <w:ind w:left="633" w:right="0"/>
        <w:jc w:val="left"/>
      </w:pPr>
      <w:r>
        <w:rPr/>
        <w:t>④处置长期股权投资 </w:t>
      </w:r>
      <w:r>
        <w:rPr>
          <w:spacing w:val="-1"/>
        </w:rPr>
        <w:t>在合并财务报表中，母公司在不丧失控制权的情况下部分处置对子公司的长期股权投资，处置价款与处置长期股权投</w:t>
      </w:r>
    </w:p>
    <w:p>
      <w:pPr>
        <w:pStyle w:val="BodyText"/>
        <w:spacing w:line="316" w:lineRule="auto" w:before="19"/>
        <w:ind w:left="153"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633"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pStyle w:val="BodyText"/>
        <w:spacing w:line="316" w:lineRule="auto" w:before="19"/>
        <w:ind w:left="153"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left="153" w:right="1131" w:firstLine="480"/>
        <w:jc w:val="both"/>
      </w:pPr>
      <w:r>
        <w:rPr>
          <w:spacing w:val="-1"/>
        </w:rPr>
        <w:t>采用成本法核算的长期股权投资，处置后剩余股权仍采用成本法核算的，其在取得对被投资单位的控制之前因采用权</w:t>
      </w:r>
      <w:r>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left="153" w:right="1131" w:firstLine="480"/>
        <w:jc w:val="both"/>
      </w:pPr>
      <w:r>
        <w:rPr>
          <w:spacing w:val="-1"/>
        </w:rPr>
        <w:t>本公司因处置部分股权投资丧失了对被投资单位的控制的，在编制个别财务报表时，处置后的剩余股权能够对被投资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9" w:lineRule="auto" w:before="19"/>
        <w:ind w:left="153" w:right="0" w:firstLine="480"/>
        <w:jc w:val="left"/>
      </w:pPr>
      <w:r>
        <w:rPr>
          <w:spacing w:val="-1"/>
        </w:rPr>
        <w:t>本公司因处置部分股权投资丧失了对被投资单位的共同控制或重大影响的，处置后的剩余股权改按金融工具确认和计</w:t>
      </w:r>
      <w:r>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7"/>
        <w:ind w:right="1131" w:firstLine="480"/>
        <w:jc w:val="both"/>
      </w:pPr>
      <w:r>
        <w:rPr>
          <w:spacing w:val="-1"/>
        </w:rPr>
        <w:t>本公司通过多次交易分步处置对子公司股权投资直至丧失控制权，如果上述交易属于一揽子交易的，将各项交易作为</w:t>
      </w:r>
      <w:r>
        <w:rPr/>
        <w:t> </w:t>
      </w:r>
      <w:r>
        <w:rPr>
          <w:spacing w:val="-2"/>
        </w:rPr>
        <w:t>一项处置子公司股权投资并丧失控制权的交易进行会计处理，在丧失控制权之前每一次处置价款与所处置的股权对应的长期</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股权投资账面价值之间的差额，先确认为其他综合收益，到丧失控制权时再一并转入丧失控制权的当期损益。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15、投资性房地产" w:id="177"/>
      <w:bookmarkEnd w:id="17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54" w:right="0"/>
        <w:jc w:val="both"/>
        <w:rPr>
          <w:b w:val="0"/>
          <w:bCs w:val="0"/>
        </w:rPr>
      </w:pPr>
      <w:bookmarkStart w:name="16、固定资产" w:id="178"/>
      <w:bookmarkEnd w:id="1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3.80-4.75%</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3"/>
        </w:rPr>
        <w:t> </w:t>
      </w:r>
      <w:r>
        <w:rPr>
          <w:spacing w:val="-63"/>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17、在建工程" w:id="182"/>
      <w:bookmarkEnd w:id="1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480"/>
        <w:jc w:val="left"/>
      </w:pPr>
      <w:r>
        <w:rPr>
          <w:spacing w:val="-1"/>
        </w:rPr>
        <w:t>在建工程成本按实际工程支出确定，包括在建期间发生的各项工程支出、工程达到预定可使用状态前的资本化的借款</w:t>
      </w:r>
      <w:r>
        <w:rPr/>
        <w:t> 费用以及其他相关费用等。在建工程在达到预定可使用状态后结转为固定资产。</w:t>
      </w:r>
    </w:p>
    <w:p>
      <w:pPr>
        <w:pStyle w:val="BodyText"/>
        <w:spacing w:line="240" w:lineRule="auto" w:before="19"/>
        <w:ind w:left="423" w:right="0"/>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both"/>
        <w:rPr>
          <w:b w:val="0"/>
          <w:bCs w:val="0"/>
        </w:rPr>
      </w:pPr>
      <w:bookmarkStart w:name="18、借款费用" w:id="183"/>
      <w:bookmarkEnd w:id="18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借款费用包括借款利息、折价或溢价的摊销、辅助费用以及因外币借款而发生的汇兑差额等。可直接归属于符合资本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2"/>
        <w:jc w:val="both"/>
      </w:pP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9" w:lineRule="auto" w:before="19"/>
        <w:ind w:left="153" w:right="1130"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3"/>
        </w:rPr>
        <w:t> </w:t>
      </w:r>
      <w:r>
        <w:rPr>
          <w:spacing w:val="-63"/>
        </w:rPr>
      </w:r>
      <w:r>
        <w:rPr/>
        <w:t>化率，确定资本化金额。资本化率根据一般借款的加权平均利率计算确定。</w:t>
      </w:r>
    </w:p>
    <w:p>
      <w:pPr>
        <w:pStyle w:val="BodyText"/>
        <w:spacing w:line="316" w:lineRule="auto" w:before="17"/>
        <w:ind w:left="633"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316" w:lineRule="auto" w:before="19"/>
        <w:ind w:left="633" w:right="0" w:hanging="480"/>
        <w:jc w:val="left"/>
      </w:pPr>
      <w:r>
        <w:rPr/>
        <w:t>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w:t>
      </w:r>
    </w:p>
    <w:p>
      <w:pPr>
        <w:pStyle w:val="BodyText"/>
        <w:spacing w:line="235" w:lineRule="exact"/>
        <w:ind w:left="153" w:right="0"/>
        <w:jc w:val="left"/>
      </w:pPr>
      <w:r>
        <w:rPr/>
        <w:t>资本化，直至资产的购建或生产活动重新开始。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19、生物资产" w:id="184"/>
      <w:bookmarkEnd w:id="18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0、油气资产" w:id="185"/>
      <w:bookmarkEnd w:id="18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1、无形资产" w:id="186"/>
      <w:bookmarkEnd w:id="18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63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无形资产按成本进行初始计量。与无形资产有关的支出，如果相关的经济利益很可能流入本公司且其成本能可靠地计</w:t>
      </w:r>
    </w:p>
    <w:p>
      <w:pPr>
        <w:pStyle w:val="BodyText"/>
        <w:spacing w:line="316" w:lineRule="auto" w:before="17"/>
        <w:ind w:left="633" w:right="0" w:hanging="480"/>
        <w:jc w:val="left"/>
      </w:pPr>
      <w:r>
        <w:rPr/>
        <w:t>量，则计入无形资产成本。除此以外的其他项目的支出，在发生时计入当期损益。 </w:t>
      </w:r>
      <w:r>
        <w:rPr>
          <w:spacing w:val="-1"/>
        </w:rPr>
        <w:t>取得的土地使用权通常作为无形资产核算。自行开发建造厂房等建筑物，相关的土地使用权支出和建筑物建造成本则</w:t>
      </w:r>
    </w:p>
    <w:p>
      <w:pPr>
        <w:pStyle w:val="BodyText"/>
        <w:spacing w:line="316" w:lineRule="auto" w:before="19"/>
        <w:ind w:left="153"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1131" w:firstLine="480"/>
        <w:jc w:val="both"/>
      </w:pPr>
      <w:r>
        <w:rPr>
          <w:spacing w:val="-1"/>
        </w:rPr>
        <w:t>使用寿命有限的无形资产自可供使用时起，对其原值减去预计净残值和已计提的减值准备累计金额在其预计使用寿命</w:t>
      </w:r>
      <w:r>
        <w:rPr/>
        <w:t> 内采用直线法分期平均摊销。使用寿命不确定的无形资产不予摊销。</w:t>
      </w:r>
    </w:p>
    <w:p>
      <w:pPr>
        <w:pStyle w:val="BodyText"/>
        <w:spacing w:line="316" w:lineRule="auto" w:before="19"/>
        <w:ind w:right="1132" w:firstLine="445"/>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9"/>
        <w:ind w:left="444" w:right="0"/>
        <w:jc w:val="left"/>
      </w:pPr>
      <w:r>
        <w:rPr/>
        <w:t>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163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3" w:right="0"/>
        <w:jc w:val="left"/>
      </w:pPr>
      <w:r>
        <w:rPr/>
        <w:t>①完成该无形资产以使其能够使用或出售在技术上具有可行性；</w:t>
      </w:r>
    </w:p>
    <w:p>
      <w:pPr>
        <w:pStyle w:val="BodyText"/>
        <w:spacing w:line="240" w:lineRule="auto" w:before="76"/>
        <w:ind w:left="634" w:right="0"/>
        <w:jc w:val="left"/>
      </w:pPr>
      <w:r>
        <w:rPr/>
        <w:t>②具有完成该无形资产并使用或出售的意图；</w:t>
      </w:r>
    </w:p>
    <w:p>
      <w:pPr>
        <w:pStyle w:val="BodyText"/>
        <w:spacing w:line="316" w:lineRule="auto" w:before="76"/>
        <w:ind w:right="1133" w:firstLine="480"/>
        <w:jc w:val="both"/>
      </w:pPr>
      <w:r>
        <w:rPr>
          <w:spacing w:val="-1"/>
        </w:rPr>
        <w:t>③无形资产产生经济利益的方式，包括能够证明运用该无形资产生产的产品存在市场或无形资产自身存在市场，无形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634" w:right="0"/>
        <w:jc w:val="left"/>
      </w:pPr>
      <w:r>
        <w:rPr/>
        <w:t>④有足够的技术、财务资源和其他资源支持，以完成该无形资产的开发，并有能力使用或出售该无形资产；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3" w:right="3793"/>
        <w:jc w:val="left"/>
      </w:pPr>
      <w:r>
        <w:rPr/>
        <w:t>⑤归属于该无形资产开发阶段的支出能够可靠地计量。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2、长期资产减值" w:id="189"/>
      <w:bookmarkEnd w:id="18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48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r>
        <w:rPr/>
        <w:t> 每年均进行减值测试。</w:t>
      </w:r>
    </w:p>
    <w:p>
      <w:pPr>
        <w:pStyle w:val="BodyText"/>
        <w:spacing w:line="316" w:lineRule="auto" w:before="19"/>
        <w:ind w:right="1131" w:firstLine="480"/>
        <w:jc w:val="both"/>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33"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33"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3、长期待摊费用" w:id="190"/>
      <w:bookmarkEnd w:id="1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长期待摊费用为已经发生但应由报告期和以后各期负担的分摊期限在一年以上的各项费用。本公司的长期待摊费用主</w:t>
      </w:r>
      <w:r>
        <w:rPr/>
        <w:t> 要包括装修费及认证费等。长期待摊费用在预计受益期间按直线法摊销。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4、职工薪酬" w:id="191"/>
      <w:bookmarkEnd w:id="19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80"/>
        <w:jc w:val="both"/>
      </w:pPr>
      <w:r>
        <w:rPr>
          <w:spacing w:val="-1"/>
        </w:rPr>
        <w:t>短期薪酬主要包括工资、奖金、津贴和补贴、职工福利费、医疗保险费、生育保险费、工伤保险费、住房公积金、工</w:t>
      </w:r>
      <w:r>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36"/>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1" w:firstLine="480"/>
        <w:jc w:val="both"/>
      </w:pPr>
      <w:r>
        <w:rPr>
          <w:spacing w:val="-1"/>
        </w:rPr>
        <w:t>在职工劳动合同到期之前解除与职工的劳动关系，或为鼓励职工自愿接受裁减而提出给予补偿的建议，在本公司不能</w:t>
      </w:r>
      <w:r>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7"/>
        <w:ind w:left="153" w:right="1133" w:firstLine="480"/>
        <w:jc w:val="both"/>
      </w:pPr>
      <w:r>
        <w:rPr>
          <w:spacing w:val="-1"/>
        </w:rPr>
        <w:t>职工内部退休计划采用上述辞退福利相同的原则处理。本公司将自职工停止提供服务日至正常退休日的期间拟支付的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4）其他长期职工福利的会计处理方法" w:id="195"/>
      <w:bookmarkEnd w:id="19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3" w:firstLine="480"/>
        <w:jc w:val="both"/>
      </w:pPr>
      <w:r>
        <w:rPr>
          <w:spacing w:val="-1"/>
        </w:rPr>
        <w:t>本公司向职工提供的其他长期职工福利，符合设定提存计划的，按照设定提存计划进行会计处理，除此之外按照设定</w:t>
      </w:r>
      <w:r>
        <w:rPr/>
        <w:t> 收益计划进行会计处理。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5、预计负债" w:id="196"/>
      <w:bookmarkEnd w:id="19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2" w:firstLine="480"/>
        <w:jc w:val="both"/>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33" w:firstLine="480"/>
        <w:jc w:val="both"/>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right="1109" w:firstLine="480"/>
        <w:jc w:val="both"/>
      </w:pPr>
      <w:r>
        <w:rPr/>
        <w:t>如果清偿预计负债所需支出全部或部分预期由第三方补偿的，补偿金额在基本确定能够收到时，作为资产单独确认， 且确认的补偿金额不超过预计负债的账面价值。</w:t>
      </w:r>
    </w:p>
    <w:p>
      <w:pPr>
        <w:pStyle w:val="BodyText"/>
        <w:spacing w:line="300" w:lineRule="auto" w:before="19"/>
        <w:ind w:left="633" w:right="1118"/>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w:t>
      </w:r>
    </w:p>
    <w:p>
      <w:pPr>
        <w:pStyle w:val="BodyText"/>
        <w:spacing w:line="316" w:lineRule="auto" w:before="31"/>
        <w:ind w:left="153" w:right="1118"/>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00" w:lineRule="auto" w:before="19"/>
        <w:ind w:left="633" w:right="1118"/>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w:t>
      </w:r>
    </w:p>
    <w:p>
      <w:pPr>
        <w:pStyle w:val="BodyText"/>
        <w:spacing w:line="316" w:lineRule="auto" w:before="31"/>
        <w:ind w:left="153" w:right="1033"/>
        <w:jc w:val="left"/>
      </w:pPr>
      <w:r>
        <w:rPr/>
        <w:t>支出确定预计负债金额。对于出售部分业务的重组义务，只有在本公司承诺出售部分业务（即签订了约束性出售协议时）， 才确认与重组相关的义务。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6、股份支付" w:id="197"/>
      <w:bookmarkEnd w:id="19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）股份支付的会计处理方法 </w:t>
      </w:r>
      <w:r>
        <w:rPr>
          <w:spacing w:val="-1"/>
        </w:rPr>
        <w:t>股份支付是为了获取职工或其他方提供服务而授予权益工具或者承担以权益工具为基础确定的负债的交易。股份支付</w:t>
      </w:r>
    </w:p>
    <w:p>
      <w:pPr>
        <w:pStyle w:val="BodyText"/>
        <w:spacing w:line="240" w:lineRule="auto" w:before="31"/>
        <w:ind w:right="0"/>
        <w:jc w:val="left"/>
      </w:pPr>
      <w:r>
        <w:rPr/>
        <w:t>分为以权益结算的股份支付和以现金结算的股份支付。</w:t>
      </w:r>
    </w:p>
    <w:p>
      <w:pPr>
        <w:pStyle w:val="BodyText"/>
        <w:spacing w:line="319" w:lineRule="auto" w:before="76"/>
        <w:ind w:left="634" w:right="0"/>
        <w:jc w:val="left"/>
      </w:pPr>
      <w:r>
        <w:rPr/>
        <w:t>①以权益结算的股份支付 </w:t>
      </w:r>
      <w:r>
        <w:rPr>
          <w:spacing w:val="-1"/>
        </w:rPr>
        <w:t>用以换取职工提供的服务的权益结算的股份支付，以授予职工权益工具在授予日的公允价值计量。该公允价值的金额</w:t>
      </w:r>
    </w:p>
    <w:p>
      <w:pPr>
        <w:pStyle w:val="BodyText"/>
        <w:spacing w:line="316" w:lineRule="auto" w:before="17"/>
        <w:ind w:right="0"/>
        <w:jc w:val="left"/>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3" w:firstLine="480"/>
        <w:jc w:val="both"/>
      </w:pPr>
      <w:r>
        <w:rPr>
          <w:spacing w:val="-1"/>
        </w:rPr>
        <w:t>在等待期内每个资产负债表日，本公司根据最新取得的可行权职工人数变动等后续信息做出最佳估计，修正预计可行</w:t>
      </w:r>
      <w:r>
        <w:rPr/>
        <w:t> 权的权益工具数量。上述估计的影响计入当期相关成本或费用，并相应调整资本公积。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3" w:firstLine="480"/>
        <w:jc w:val="both"/>
      </w:pPr>
      <w:r>
        <w:rPr>
          <w:spacing w:val="-1"/>
        </w:rPr>
        <w:t>用以换取其他方服务的权益结算的股份支付，如果其他方服务的公允价值能够可靠计量，按照其他方服务在取得日的</w:t>
      </w:r>
      <w:r>
        <w:rPr/>
        <w:t> </w:t>
      </w:r>
      <w:r>
        <w:rPr>
          <w:spacing w:val="-2"/>
        </w:rPr>
        <w:t>公允价值计量，如果其他方服务的公允价值不能可靠计量，但权益工具的公允价值能够可靠计量的，按照权益工具在服务取</w:t>
      </w:r>
      <w:r>
        <w:rPr>
          <w:spacing w:val="-66"/>
        </w:rPr>
        <w:t> </w:t>
      </w:r>
      <w:r>
        <w:rPr>
          <w:spacing w:val="-66"/>
        </w:rPr>
      </w:r>
      <w:r>
        <w:rPr/>
        <w:t>得日的公允价值计量，计入相关成本或费用，相应增加股东权益。</w:t>
      </w:r>
    </w:p>
    <w:p>
      <w:pPr>
        <w:pStyle w:val="BodyText"/>
        <w:spacing w:line="319" w:lineRule="auto" w:before="19"/>
        <w:ind w:left="153" w:right="1133" w:firstLine="480"/>
        <w:jc w:val="both"/>
      </w:pPr>
      <w:r>
        <w:rPr>
          <w:spacing w:val="-1"/>
        </w:rPr>
        <w:t>当授予权益工具的公允价值无法可靠计量时，在服务取得日、后续的每个资产负债表日以及结算日，按权益工具的内</w:t>
      </w:r>
      <w:r>
        <w:rPr/>
        <w:t> 在价值计量，内在价值变动计入当期损益。</w:t>
      </w:r>
    </w:p>
    <w:p>
      <w:pPr>
        <w:pStyle w:val="BodyText"/>
        <w:spacing w:line="316" w:lineRule="auto" w:before="17"/>
        <w:ind w:left="633" w:right="0"/>
        <w:jc w:val="left"/>
      </w:pPr>
      <w:r>
        <w:rPr/>
        <w:t>②以现金结算的股份支付 </w:t>
      </w:r>
      <w:r>
        <w:rPr>
          <w:spacing w:val="-1"/>
        </w:rPr>
        <w:t>以现金结算的股份支付，按照本公司承担的以股份或其他权益工具为基础确定的负债的公允价值计量。如授予后立即</w:t>
      </w:r>
    </w:p>
    <w:p>
      <w:pPr>
        <w:pStyle w:val="BodyText"/>
        <w:spacing w:line="316" w:lineRule="auto" w:before="19"/>
        <w:ind w:left="153" w:right="1131"/>
        <w:jc w:val="both"/>
      </w:pPr>
      <w:r>
        <w:rPr>
          <w:spacing w:val="-2"/>
        </w:rPr>
        <w:t>可行权，在授予日计入相关成本或费用，相应增加负债；如须完成等待期内的服务或达到规定业绩条件以后才可行权，在等</w:t>
      </w:r>
      <w:r>
        <w:rPr>
          <w:spacing w:val="-66"/>
        </w:rPr>
        <w:t> </w:t>
      </w:r>
      <w:r>
        <w:rPr>
          <w:spacing w:val="-66"/>
        </w:rPr>
      </w:r>
      <w:r>
        <w:rPr>
          <w:spacing w:val="-2"/>
        </w:rPr>
        <w:t>待期的每个资产负债表日，以对可行权情况的最佳估计为基础，按照本公司承担负债的公允价值金额，将当期取得的服务计</w:t>
      </w:r>
      <w:r>
        <w:rPr>
          <w:spacing w:val="-65"/>
        </w:rPr>
        <w:t> </w:t>
      </w:r>
      <w:r>
        <w:rPr>
          <w:spacing w:val="-65"/>
        </w:rPr>
      </w:r>
      <w:r>
        <w:rPr/>
        <w:t>入成本或费用，相应增加负债。</w:t>
      </w:r>
    </w:p>
    <w:p>
      <w:pPr>
        <w:pStyle w:val="BodyText"/>
        <w:spacing w:line="240" w:lineRule="auto" w:before="19"/>
        <w:ind w:left="633" w:right="0"/>
        <w:jc w:val="left"/>
      </w:pPr>
      <w:r>
        <w:rPr/>
        <w:t>在相关负债结算前的每个资产负债表日以及结算日，对负债的公允价值重新计量，其变动计入当期损益。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本公司对股份支付计划进行修改时，若修改增加了所授予权益工具的公允价值，按照权益工具公允价值的增加相应确</w:t>
      </w:r>
    </w:p>
    <w:p>
      <w:pPr>
        <w:pStyle w:val="BodyText"/>
        <w:spacing w:line="316" w:lineRule="auto" w:before="31"/>
        <w:ind w:right="1132"/>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19"/>
        <w:ind w:left="153" w:right="1133" w:firstLine="480"/>
        <w:jc w:val="both"/>
      </w:pPr>
      <w:r>
        <w:rPr>
          <w:spacing w:val="-1"/>
        </w:rPr>
        <w:t>在等待期内，如果取消了授予的权益工具，本公司对取消所授予的权益性工具作为加速行权处理，将剩余等待期内应</w:t>
      </w:r>
      <w:r>
        <w:rPr/>
        <w:t>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pStyle w:val="BodyText"/>
        <w:spacing w:line="300" w:lineRule="auto" w:before="19"/>
        <w:ind w:left="63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涉及本公司与本公司股东或实际控制人的股份支付交易，结算企业与接受服务企业中其一在本公司内，另一在本公司</w:t>
      </w:r>
    </w:p>
    <w:p>
      <w:pPr>
        <w:pStyle w:val="BodyText"/>
        <w:spacing w:line="240" w:lineRule="auto" w:before="31"/>
        <w:ind w:left="153" w:right="0"/>
        <w:jc w:val="both"/>
      </w:pPr>
      <w:r>
        <w:rPr/>
        <w:t>外的，在本公司合并财务报表中按照以下规定进行会计处理：</w:t>
      </w:r>
    </w:p>
    <w:p>
      <w:pPr>
        <w:pStyle w:val="BodyText"/>
        <w:spacing w:line="316" w:lineRule="auto" w:before="77"/>
        <w:ind w:right="1131" w:firstLine="480"/>
        <w:jc w:val="both"/>
      </w:pPr>
      <w:r>
        <w:rPr>
          <w:spacing w:val="-1"/>
        </w:rPr>
        <w:t>①结算企业以其本身权益工具结算的，将该股份支付交易作为权益结算的股份支付处理；除此之外，作为现金结算的</w:t>
      </w:r>
      <w:r>
        <w:rPr/>
        <w:t> 股份支付处理。</w:t>
      </w:r>
    </w:p>
    <w:p>
      <w:pPr>
        <w:pStyle w:val="BodyText"/>
        <w:spacing w:line="316" w:lineRule="auto" w:before="19"/>
        <w:ind w:right="1133" w:firstLine="480"/>
        <w:jc w:val="both"/>
      </w:pPr>
      <w:r>
        <w:rPr>
          <w:spacing w:val="-1"/>
        </w:rPr>
        <w:t>结算企业是接受服务企业的投资者的，按照授予日权益工具的公允价值或应承担负债的公允价值确认为对接受服务企</w:t>
      </w:r>
      <w:r>
        <w:rPr/>
        <w:t> 业的长期股权投资，同时确认资本公积（其他资本公积）或负债。</w:t>
      </w:r>
    </w:p>
    <w:p>
      <w:pPr>
        <w:pStyle w:val="BodyText"/>
        <w:spacing w:line="316" w:lineRule="auto" w:before="19"/>
        <w:ind w:right="1133" w:firstLine="480"/>
        <w:jc w:val="both"/>
      </w:pPr>
      <w:r>
        <w:rPr>
          <w:spacing w:val="-1"/>
        </w:rPr>
        <w:t>②接受服务企业没有结算义务或授予本企业职工的是其本身权益工具的，将该股份支付交易作为权益结算的股份支付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1" w:firstLine="480"/>
        <w:jc w:val="both"/>
      </w:pPr>
      <w:r>
        <w:rPr>
          <w:spacing w:val="-1"/>
        </w:rPr>
        <w:t>本公司内各企业之间发生的股份支付交易，接受服务企业和结算企业不是同一企业的，在接受服务企业和结算企业各</w:t>
      </w:r>
      <w:r>
        <w:rPr/>
        <w:t> 自的个别财务报表中对该股份支付交易的确认和计量，比照上述原则处理。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7、优先股、永续债等其他金融工具" w:id="198"/>
      <w:bookmarkEnd w:id="19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3"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8、收入" w:id="199"/>
      <w:bookmarkEnd w:id="19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6" w:lineRule="auto" w:before="31"/>
        <w:ind w:right="1133"/>
        <w:jc w:val="both"/>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63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3" w:right="0" w:hanging="480"/>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3" w:right="1093" w:hanging="48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3" w:right="0" w:hanging="480"/>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left="153"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300" w:lineRule="auto" w:before="19"/>
        <w:ind w:left="634" w:right="0"/>
        <w:jc w:val="left"/>
      </w:pPr>
      <w:r>
        <w:rPr/>
        <w:t>（</w:t>
      </w:r>
      <w:r>
        <w:rPr>
          <w:rFonts w:ascii="Times New Roman" w:hAnsi="Times New Roman" w:cs="Times New Roman" w:eastAsia="Times New Roman" w:hint="default"/>
        </w:rPr>
        <w:t>3</w:t>
      </w:r>
      <w:r>
        <w:rPr/>
        <w:t>）建造合同收入 </w:t>
      </w:r>
      <w:r>
        <w:rPr>
          <w:spacing w:val="-1"/>
        </w:rPr>
        <w:t>在建造合同的结果能够可靠估计的情况下，于资产负债表日按照完工百分比法确认合同收入和合同费用。合同完工进</w:t>
      </w:r>
    </w:p>
    <w:p>
      <w:pPr>
        <w:pStyle w:val="BodyText"/>
        <w:spacing w:line="300" w:lineRule="auto" w:before="31"/>
        <w:ind w:left="633" w:right="0" w:hanging="480"/>
        <w:jc w:val="left"/>
      </w:pPr>
      <w:r>
        <w:rPr/>
        <w:t>度按已经完成的合同工作量占合同预计总工作量的比例</w:t>
      </w:r>
      <w:r>
        <w:rPr>
          <w:rFonts w:ascii="Times New Roman" w:hAnsi="Times New Roman" w:cs="Times New Roman" w:eastAsia="Times New Roman" w:hint="default"/>
        </w:rPr>
        <w:t>/</w:t>
      </w:r>
      <w:r>
        <w:rPr/>
        <w:t>实际测定的完工进度确定。 </w:t>
      </w:r>
      <w:r>
        <w:rPr>
          <w:spacing w:val="-1"/>
        </w:rPr>
        <w:t>建造合同的结果能够可靠估计是指同时满足：①合同总收入能够可靠地计量；②与合同相关的经济利益很可能流入企</w:t>
      </w:r>
    </w:p>
    <w:p>
      <w:pPr>
        <w:pStyle w:val="BodyText"/>
        <w:spacing w:line="316" w:lineRule="auto" w:before="31"/>
        <w:ind w:left="634" w:right="1032" w:hanging="480"/>
        <w:jc w:val="left"/>
      </w:pPr>
      <w:r>
        <w:rPr/>
        <w:t>业；③实际发生的合同成本能够清楚地区分和可靠地计量；④合同完工进度和为完成合同尚需发生的成本能够可靠地确定。 如建造合同的结果不能可靠地估计，但合同成本能够收回的，合同收入根据能够收回的实际合同成本予以确认，合同</w:t>
      </w:r>
    </w:p>
    <w:p>
      <w:pPr>
        <w:pStyle w:val="BodyText"/>
        <w:spacing w:line="316" w:lineRule="auto" w:before="19"/>
        <w:ind w:right="0"/>
        <w:jc w:val="left"/>
      </w:pPr>
      <w:r>
        <w:rPr>
          <w:spacing w:val="-2"/>
        </w:rPr>
        <w:t>成本在其发生的当期确认为合同费用；合同成本不可能收回的，在发生时立即确认为合同费用，不确认合同收入。使建造合</w:t>
      </w:r>
      <w:r>
        <w:rPr>
          <w:spacing w:val="-66"/>
        </w:rPr>
        <w:t> </w:t>
      </w:r>
      <w:r>
        <w:rPr>
          <w:spacing w:val="-66"/>
        </w:rPr>
      </w:r>
      <w:r>
        <w:rPr/>
        <w:t>同的结果不能可靠估计的不确定因素不复存在的，按照完工百分比法确定与建造合同有关的收入和费用。</w:t>
      </w:r>
    </w:p>
    <w:p>
      <w:pPr>
        <w:pStyle w:val="BodyText"/>
        <w:spacing w:line="316" w:lineRule="auto" w:before="19"/>
        <w:ind w:left="634" w:right="1152"/>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与已结算的价款在资产负债表中以抵销后的净额列示。在建合</w:t>
      </w:r>
    </w:p>
    <w:p>
      <w:pPr>
        <w:pStyle w:val="BodyText"/>
        <w:spacing w:line="300" w:lineRule="auto"/>
        <w:ind w:left="153" w:right="0"/>
        <w:jc w:val="left"/>
      </w:pPr>
      <w:r>
        <w:rPr>
          <w:spacing w:val="-1"/>
        </w:rPr>
        <w:t>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w:t>
      </w:r>
      <w:r>
        <w:rPr>
          <w:spacing w:val="-57"/>
        </w:rPr>
        <w:t> </w:t>
      </w:r>
      <w:r>
        <w:rPr>
          <w:spacing w:val="-57"/>
        </w:rPr>
      </w:r>
      <w:r>
        <w:rPr/>
        <w:t>已发生的成本与累计已确认的毛利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13"/>
        <w:ind w:left="634" w:right="649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2"/>
        <w:ind w:left="633" w:right="577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0"/>
        <w:jc w:val="left"/>
        <w:rPr>
          <w:b w:val="0"/>
          <w:bCs w:val="0"/>
        </w:rPr>
      </w:pPr>
      <w:bookmarkStart w:name="29、政府补助" w:id="200"/>
      <w:bookmarkEnd w:id="20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131" w:firstLine="290"/>
        <w:jc w:val="both"/>
      </w:pPr>
      <w:r>
        <w:rPr>
          <w:spacing w:val="-1"/>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）政府文件中对用途仅作一般性表述，没有指明特定项目的，作为与收益相关的政府补助。与 资产相关的政府补助，确认为递延收益，并在相关资产的使用寿命内平均分配计入当期损益。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05" w:firstLine="384"/>
        <w:jc w:val="both"/>
      </w:pPr>
      <w:r>
        <w:rPr/>
        <w:t>与收益相关的政府补助，用于补偿以后期间的相关费用和损失的，确认为递延收益，并在确认相关费用的期间计入当 期损益；用于补偿已经发生的相关费用和损失的，直接计入当期损益。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0、递延所得税资产/递延所得税负债" w:id="203"/>
      <w:bookmarkEnd w:id="20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资产负债表日，对于当期和以前期间形成的当期所得税负债（或资产），以按照税法规定计算的预期应交纳（或返还）</w:t>
      </w:r>
    </w:p>
    <w:p>
      <w:pPr>
        <w:pStyle w:val="BodyText"/>
        <w:spacing w:line="316" w:lineRule="auto" w:before="32"/>
        <w:ind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633"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6" w:lineRule="auto" w:before="31"/>
        <w:ind w:left="153" w:right="1131"/>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130" w:firstLine="480"/>
        <w:jc w:val="both"/>
      </w:pPr>
      <w:r>
        <w:rPr>
          <w:spacing w:val="-1"/>
        </w:rPr>
        <w:t>与商誉的初始确认有关，以及与既不是企业合并、发生时也不影响会计利润和应纳税所得额（或可抵扣亏损）的交易</w:t>
      </w:r>
      <w:r>
        <w:rPr>
          <w:spacing w:val="1"/>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right="1131"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right="1133"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right="1131"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right="1133"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4" w:right="685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29" w:firstLine="480"/>
        <w:jc w:val="both"/>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4"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31"/>
        <w:ind w:left="634" w:right="0"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0"/>
        <w:jc w:val="both"/>
        <w:rPr>
          <w:b w:val="0"/>
          <w:bCs w:val="0"/>
        </w:rPr>
      </w:pPr>
      <w:bookmarkStart w:name="31、租赁" w:id="204"/>
      <w:bookmarkEnd w:id="204"/>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融资租赁以外的其他租赁为经营租赁。</w:t>
      </w:r>
    </w:p>
    <w:p>
      <w:pPr>
        <w:pStyle w:val="BodyText"/>
        <w:spacing w:line="240" w:lineRule="auto" w:before="76"/>
        <w:ind w:left="634" w:right="0"/>
        <w:jc w:val="left"/>
      </w:pPr>
      <w:r>
        <w:rPr/>
        <w:t>①本公司作为承租人记录经营租赁业务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firstLine="480"/>
        <w:jc w:val="left"/>
      </w:pPr>
      <w:r>
        <w:rPr>
          <w:spacing w:val="-1"/>
        </w:rPr>
        <w:t>经营租赁的租金支出在租赁期内的各个期间按直线法计入相关资产成本或当期损益。初始直接费用计入当期损益。或</w:t>
      </w:r>
      <w:r>
        <w:rPr/>
        <w:t> 有租金于实际发生时计入当期损益。</w:t>
      </w:r>
    </w:p>
    <w:p>
      <w:pPr>
        <w:pStyle w:val="BodyText"/>
        <w:spacing w:line="316" w:lineRule="auto" w:before="19"/>
        <w:ind w:left="633" w:right="0"/>
        <w:jc w:val="left"/>
      </w:pPr>
      <w:r>
        <w:rPr/>
        <w:t>②本公司作为出租人记录经营租赁业务 </w:t>
      </w:r>
      <w:r>
        <w:rPr>
          <w:spacing w:val="-1"/>
        </w:rPr>
        <w:t>经营租赁的租金收入在租赁期内的各个期间按直线法确认为当期损益。对金额较大的初始直接费用于发生时予以资本</w:t>
      </w:r>
    </w:p>
    <w:p>
      <w:pPr>
        <w:pStyle w:val="BodyText"/>
        <w:spacing w:line="316" w:lineRule="auto" w:before="19"/>
        <w:ind w:left="153" w:right="0"/>
        <w:jc w:val="left"/>
      </w:pPr>
      <w:r>
        <w:rPr>
          <w:spacing w:val="-2"/>
        </w:rPr>
        <w:t>化，在整个租赁期间内按照与确认租金收入相同的基础分期计入当期损益；其他金额较小的初始直接费用于发生时计入当期</w:t>
      </w:r>
      <w:r>
        <w:rPr>
          <w:spacing w:val="-63"/>
        </w:rPr>
        <w:t> </w:t>
      </w:r>
      <w:r>
        <w:rPr>
          <w:spacing w:val="-63"/>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8" w:right="0"/>
        <w:jc w:val="left"/>
      </w:pPr>
      <w:r>
        <w:rPr/>
        <w:t>融资租赁为实质上转移了与资产所有权有关的全部风险和报酬的租赁，其所有权最终可能转移，也可能不转移。</w:t>
      </w:r>
    </w:p>
    <w:p>
      <w:pPr>
        <w:pStyle w:val="BodyText"/>
        <w:spacing w:line="316" w:lineRule="auto" w:before="76"/>
        <w:ind w:left="633" w:right="1093"/>
        <w:jc w:val="left"/>
      </w:pPr>
      <w:r>
        <w:rPr/>
        <w:t>①本公司作为承租人记录融资租赁业务 于租赁期开始日，将租赁开始日租赁资产的公允价值与最低租赁付款额现值两者中较低者作为租入资产的入账价值，</w:t>
      </w:r>
    </w:p>
    <w:p>
      <w:pPr>
        <w:pStyle w:val="BodyText"/>
        <w:spacing w:line="316" w:lineRule="auto" w:before="19"/>
        <w:ind w:left="153" w:right="1131"/>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633" w:right="0"/>
        <w:jc w:val="left"/>
      </w:pPr>
      <w:r>
        <w:rPr/>
        <w:t>未确认融资费用在租赁期内采用实际利率法计算确认当期的融资费用。或有租金于实际发生时计入当期损益。</w:t>
      </w:r>
    </w:p>
    <w:p>
      <w:pPr>
        <w:pStyle w:val="BodyText"/>
        <w:spacing w:line="316" w:lineRule="auto" w:before="76"/>
        <w:ind w:left="633" w:right="0"/>
        <w:jc w:val="left"/>
      </w:pPr>
      <w:r>
        <w:rPr/>
        <w:t>②本公司作为出租人记录融资租赁业务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316" w:lineRule="auto" w:before="19"/>
        <w:ind w:left="153" w:right="0"/>
        <w:jc w:val="left"/>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19"/>
        <w:ind w:left="633"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32、其他重要的会计政策和会计估计" w:id="207"/>
      <w:bookmarkEnd w:id="20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1118"/>
        <w:jc w:val="left"/>
      </w:pPr>
      <w:r>
        <w:rPr/>
        <w:t>（</w:t>
      </w:r>
      <w:r>
        <w:rPr>
          <w:rFonts w:ascii="Times New Roman" w:hAnsi="Times New Roman" w:cs="Times New Roman" w:eastAsia="Times New Roman" w:hint="default"/>
        </w:rPr>
        <w:t>1</w:t>
      </w:r>
      <w:r>
        <w:rPr/>
        <w:t>）终止经营 </w:t>
      </w:r>
      <w:r>
        <w:rPr>
          <w:spacing w:val="-1"/>
        </w:rPr>
        <w:t>终止经营，是指满足下列条件之一的已被本公司处置或划归为持有待售的、在经营和编制财务报表时能够单独区分的</w:t>
      </w:r>
    </w:p>
    <w:p>
      <w:pPr>
        <w:pStyle w:val="BodyText"/>
        <w:spacing w:line="316" w:lineRule="auto" w:before="31"/>
        <w:ind w:left="153" w:right="0"/>
        <w:jc w:val="left"/>
      </w:pPr>
      <w:r>
        <w:rPr>
          <w:spacing w:val="-2"/>
        </w:rPr>
        <w:t>组成部分：①该组成部分代表一项独立的主要业务或一个主要经营地区；②该组成部分是拟对一项独立的主要业务或一个主</w:t>
      </w:r>
      <w:r>
        <w:rPr>
          <w:spacing w:val="-64"/>
        </w:rPr>
        <w:t> </w:t>
      </w:r>
      <w:r>
        <w:rPr>
          <w:spacing w:val="-64"/>
        </w:rPr>
      </w:r>
      <w:r>
        <w:rPr/>
        <w:t>要经营地区进行处置计划的一部分；③该组成部分是仅仅为了再出售而取得的子公司。</w:t>
      </w:r>
    </w:p>
    <w:p>
      <w:pPr>
        <w:pStyle w:val="BodyText"/>
        <w:spacing w:line="240" w:lineRule="auto" w:before="19"/>
        <w:ind w:left="633" w:right="0"/>
        <w:jc w:val="left"/>
      </w:pPr>
      <w:r>
        <w:rPr/>
        <w:t>终止经营的会计处理方法参见本附注五、</w:t>
      </w:r>
      <w:r>
        <w:rPr>
          <w:rFonts w:ascii="Times New Roman" w:hAnsi="Times New Roman" w:cs="Times New Roman" w:eastAsia="Times New Roman" w:hint="default"/>
        </w:rPr>
        <w:t>13“</w:t>
      </w:r>
      <w:r>
        <w:rPr/>
        <w:t>划分为持有待售资产</w:t>
      </w:r>
      <w:r>
        <w:rPr>
          <w:rFonts w:ascii="Times New Roman" w:hAnsi="Times New Roman" w:cs="Times New Roman" w:eastAsia="Times New Roman" w:hint="default"/>
        </w:rPr>
        <w:t>”</w:t>
      </w:r>
      <w:r>
        <w:rPr/>
        <w:t>相关描述。</w:t>
      </w:r>
    </w:p>
    <w:p>
      <w:pPr>
        <w:pStyle w:val="BodyText"/>
        <w:spacing w:line="300" w:lineRule="auto" w:before="63"/>
        <w:ind w:left="1114" w:right="9103" w:hanging="481"/>
        <w:jc w:val="left"/>
      </w:pPr>
      <w:r>
        <w:rPr/>
        <w:t>（</w:t>
      </w:r>
      <w:r>
        <w:rPr>
          <w:rFonts w:ascii="Times New Roman" w:hAnsi="Times New Roman" w:cs="Times New Roman" w:eastAsia="Times New Roman" w:hint="default"/>
        </w:rPr>
        <w:t>2</w:t>
      </w:r>
      <w:r>
        <w:rPr/>
        <w:t>）套期会计 无</w:t>
      </w:r>
    </w:p>
    <w:p>
      <w:pPr>
        <w:pStyle w:val="BodyText"/>
        <w:spacing w:line="300" w:lineRule="auto" w:before="31"/>
        <w:ind w:left="1114" w:right="9103" w:hanging="481"/>
        <w:jc w:val="left"/>
      </w:pPr>
      <w:r>
        <w:rPr/>
        <w:t>（</w:t>
      </w:r>
      <w:r>
        <w:rPr>
          <w:rFonts w:ascii="Times New Roman" w:hAnsi="Times New Roman" w:cs="Times New Roman" w:eastAsia="Times New Roman" w:hint="default"/>
        </w:rPr>
        <w:t>3</w:t>
      </w:r>
      <w:r>
        <w:rPr/>
        <w:t>）回购股份 无</w:t>
      </w:r>
    </w:p>
    <w:p>
      <w:pPr>
        <w:pStyle w:val="BodyText"/>
        <w:spacing w:line="240" w:lineRule="auto" w:before="31"/>
        <w:ind w:left="633" w:right="0"/>
        <w:jc w:val="left"/>
      </w:pPr>
      <w:r>
        <w:rPr/>
        <w:t>（</w:t>
      </w:r>
      <w:r>
        <w:rPr>
          <w:rFonts w:ascii="Times New Roman" w:hAnsi="Times New Roman" w:cs="Times New Roman" w:eastAsia="Times New Roman" w:hint="default"/>
        </w:rPr>
        <w:t>4</w:t>
      </w:r>
      <w:r>
        <w:rPr/>
        <w:t>）资产证券化</w:t>
      </w:r>
    </w:p>
    <w:p>
      <w:pPr>
        <w:pStyle w:val="BodyText"/>
        <w:spacing w:line="240" w:lineRule="auto" w:before="63"/>
        <w:ind w:left="1114"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33、重要会计政策和会计估计变更" w:id="208"/>
      <w:bookmarkEnd w:id="20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footerReference w:type="default" r:id="rId38"/>
          <w:pgSz w:w="11910" w:h="16840"/>
          <w:pgMar w:footer="1447" w:header="747" w:top="1060" w:bottom="1640" w:left="980" w:right="0"/>
          <w:pgNumType w:start="119"/>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届</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董事会第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次会议审议通过了《关于会 计政策变更的议案》</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0" w:right="1051"/>
        <w:jc w:val="right"/>
      </w:pPr>
      <w:r>
        <w:rPr/>
        <w:t>本公司在编制</w:t>
      </w:r>
      <w:r>
        <w:rPr>
          <w:rFonts w:ascii="Times New Roman" w:hAnsi="Times New Roman" w:cs="Times New Roman" w:eastAsia="Times New Roman" w:hint="default"/>
        </w:rPr>
        <w:t>2014</w:t>
      </w:r>
      <w:r>
        <w:rPr/>
        <w:t>年年度财务报告时根据各准则衔接要求进行了调整，对当期和列报前期财务报表项目及金额的影响如下：</w:t>
      </w:r>
    </w:p>
    <w:p>
      <w:pPr>
        <w:pStyle w:val="BodyText"/>
        <w:spacing w:line="240" w:lineRule="auto" w:before="63"/>
        <w:ind w:left="0" w:right="1130"/>
        <w:jc w:val="right"/>
      </w:pPr>
      <w:r>
        <w:rPr/>
        <w:t>单位：元</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7"/>
        <w:gridCol w:w="4252"/>
        <w:gridCol w:w="2128"/>
        <w:gridCol w:w="1842"/>
      </w:tblGrid>
      <w:tr>
        <w:trPr>
          <w:trHeight w:val="659"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575" w:right="575"/>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42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307" w:right="1127" w:hanging="180"/>
              <w:jc w:val="left"/>
              <w:rPr>
                <w:rFonts w:ascii="宋体" w:hAnsi="宋体" w:cs="宋体" w:eastAsia="宋体" w:hint="default"/>
                <w:sz w:val="18"/>
                <w:szCs w:val="18"/>
              </w:rPr>
            </w:pPr>
            <w:r>
              <w:rPr>
                <w:rFonts w:ascii="宋体" w:hAnsi="宋体" w:cs="宋体" w:eastAsia="宋体" w:hint="default"/>
                <w:sz w:val="18"/>
                <w:szCs w:val="18"/>
              </w:rPr>
              <w:t>会计政策变更的内容及其 对本公司的影响说明</w:t>
            </w:r>
          </w:p>
        </w:tc>
        <w:tc>
          <w:tcPr>
            <w:tcW w:w="397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806" w:right="807" w:firstLine="154"/>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 相关财务报表项目的影响金额</w:t>
            </w:r>
          </w:p>
        </w:tc>
      </w:tr>
      <w:tr>
        <w:trPr>
          <w:trHeight w:val="660" w:hRule="exact"/>
        </w:trPr>
        <w:tc>
          <w:tcPr>
            <w:tcW w:w="1527" w:type="dxa"/>
            <w:vMerge/>
            <w:tcBorders>
              <w:left w:val="single" w:sz="6" w:space="0" w:color="000000"/>
              <w:bottom w:val="single" w:sz="6" w:space="0" w:color="000000"/>
              <w:right w:val="single" w:sz="6" w:space="0" w:color="000000"/>
            </w:tcBorders>
          </w:tcPr>
          <w:p>
            <w:pPr/>
          </w:p>
        </w:tc>
        <w:tc>
          <w:tcPr>
            <w:tcW w:w="4252" w:type="dxa"/>
            <w:vMerge/>
            <w:tcBorders>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47" w:right="445"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655"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pacing w:val="-68"/>
                <w:sz w:val="18"/>
                <w:szCs w:val="18"/>
              </w:rPr>
              <w:t> </w:t>
            </w:r>
            <w:r>
              <w:rPr>
                <w:rFonts w:ascii="宋体" w:hAnsi="宋体" w:cs="宋体" w:eastAsia="宋体" w:hint="default"/>
                <w:spacing w:val="10"/>
                <w:sz w:val="18"/>
                <w:szCs w:val="18"/>
              </w:rPr>
              <w:t>会计</w:t>
            </w:r>
            <w:r>
              <w:rPr>
                <w:rFonts w:ascii="宋体" w:hAnsi="宋体" w:cs="宋体" w:eastAsia="宋体" w:hint="default"/>
                <w:spacing w:val="-68"/>
                <w:sz w:val="18"/>
                <w:szCs w:val="18"/>
              </w:rPr>
              <w:t> </w:t>
            </w:r>
            <w:r>
              <w:rPr>
                <w:rFonts w:ascii="宋体" w:hAnsi="宋体" w:cs="宋体" w:eastAsia="宋体" w:hint="default"/>
                <w:spacing w:val="14"/>
                <w:sz w:val="18"/>
                <w:szCs w:val="18"/>
              </w:rPr>
              <w:t>准则第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4252"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4"/>
                <w:sz w:val="18"/>
                <w:szCs w:val="18"/>
              </w:rPr>
              <w:t>将持有的不具有控制、共同控制或重大影响且其在活跃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市场中没有报价、公允价值不可计量的长期股权投资重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分类调整至可供出售金融资产会计科目，并进行追溯调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628" w:hRule="exact"/>
        </w:trPr>
        <w:tc>
          <w:tcPr>
            <w:tcW w:w="1527" w:type="dxa"/>
            <w:vMerge/>
            <w:tcBorders>
              <w:left w:val="single" w:sz="6" w:space="0" w:color="000000"/>
              <w:bottom w:val="single" w:sz="6" w:space="0" w:color="000000"/>
              <w:right w:val="single" w:sz="6" w:space="0" w:color="000000"/>
            </w:tcBorders>
          </w:tcPr>
          <w:p>
            <w:pPr/>
          </w:p>
        </w:tc>
        <w:tc>
          <w:tcPr>
            <w:tcW w:w="4252" w:type="dxa"/>
            <w:vMerge/>
            <w:tcBorders>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3"/>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3"/>
        <w:rPr>
          <w:rFonts w:ascii="宋体" w:hAnsi="宋体" w:cs="宋体" w:eastAsia="宋体" w:hint="default"/>
          <w:sz w:val="21"/>
          <w:szCs w:val="21"/>
        </w:rPr>
      </w:pPr>
    </w:p>
    <w:p>
      <w:pPr>
        <w:pStyle w:val="BodyText"/>
        <w:spacing w:line="300" w:lineRule="auto" w:before="44"/>
        <w:ind w:left="153" w:right="1130" w:firstLine="480"/>
        <w:jc w:val="both"/>
      </w:pPr>
      <w:r>
        <w:rPr>
          <w:spacing w:val="-3"/>
        </w:rPr>
        <w:t>执行《企业会计准则第</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w:t>
      </w:r>
      <w:r>
        <w:rPr>
          <w:spacing w:val="-3"/>
        </w:rPr>
        <w:t>职工薪酬》、《企业会计准则第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2"/>
        </w:rPr>
        <w:t>合并财务报表》、《企业会计准则第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合营安排》和《企业会计准则第</w:t>
      </w:r>
      <w:r>
        <w:rPr>
          <w:spacing w:val="-63"/>
        </w:rPr>
        <w:t> </w:t>
      </w:r>
      <w:r>
        <w:rPr>
          <w:spacing w:val="-63"/>
        </w:rPr>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在其他主体中权益的披露》的相关情况：</w:t>
      </w:r>
    </w:p>
    <w:p>
      <w:pPr>
        <w:pStyle w:val="BodyText"/>
        <w:spacing w:line="309" w:lineRule="auto" w:before="13"/>
        <w:ind w:left="153" w:right="1131" w:firstLine="480"/>
        <w:jc w:val="both"/>
      </w:pPr>
      <w:r>
        <w:rPr>
          <w:spacing w:val="-1"/>
        </w:rPr>
        <w:t>公司本次会计政策变更之前财务报表中关于职工薪酬、财务报表列报、合并财务报表、公允价值计量、合营安排及与</w:t>
      </w:r>
      <w:r>
        <w:rPr/>
        <w:t> </w:t>
      </w:r>
      <w:r>
        <w:rPr>
          <w:spacing w:val="-2"/>
        </w:rPr>
        <w:t>在其他主体中权益的相关业务及事项，自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日起按上述准则的规定进行核算与披露。由于新准则的实施而进行的会</w:t>
      </w:r>
      <w:r>
        <w:rPr>
          <w:spacing w:val="-58"/>
        </w:rPr>
        <w:t> </w:t>
      </w:r>
      <w:r>
        <w:rPr>
          <w:spacing w:val="-58"/>
        </w:rPr>
      </w:r>
      <w:r>
        <w:rPr/>
        <w:t>计政策变更不会对公司</w:t>
      </w:r>
      <w:r>
        <w:rPr>
          <w:rFonts w:ascii="Times New Roman" w:hAnsi="Times New Roman" w:cs="Times New Roman" w:eastAsia="Times New Roman" w:hint="default"/>
        </w:rPr>
        <w:t>2013</w:t>
      </w:r>
      <w:r>
        <w:rPr/>
        <w:t>年度及本期财务报表产生影响，也无需进行追溯调整。</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其他" w:id="211"/>
      <w:bookmarkEnd w:id="211"/>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6" w:firstLine="480"/>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1133" w:firstLine="480"/>
        <w:jc w:val="both"/>
      </w:pPr>
      <w:r>
        <w:rPr>
          <w:spacing w:val="-1"/>
        </w:rPr>
        <w:t>本公司对前述判断、估计和假设在持续经营的基础上进行定期复核，会计估计的变更仅影响变更当期的，其影响数在</w:t>
      </w:r>
      <w:r>
        <w:rPr/>
        <w:t> 变更当期予以确认；既影响变更当期又影响未来期间的，其影响数在变更当期和未来期间予以确认。</w:t>
      </w:r>
    </w:p>
    <w:p>
      <w:pPr>
        <w:pStyle w:val="BodyText"/>
        <w:spacing w:line="240" w:lineRule="auto" w:before="19"/>
        <w:ind w:left="633" w:right="0"/>
        <w:jc w:val="left"/>
      </w:pPr>
      <w:r>
        <w:rPr/>
        <w:t>于资产负债表日，本公司需对财务报表项目金额进行判断、估计和假设的重要领域如下：</w:t>
      </w:r>
    </w:p>
    <w:p>
      <w:pPr>
        <w:pStyle w:val="BodyText"/>
        <w:spacing w:line="300" w:lineRule="auto" w:before="76"/>
        <w:ind w:left="634" w:right="0"/>
        <w:jc w:val="left"/>
      </w:pPr>
      <w:r>
        <w:rPr/>
        <w:t>（</w:t>
      </w:r>
      <w:r>
        <w:rPr>
          <w:rFonts w:ascii="Times New Roman" w:hAnsi="Times New Roman" w:cs="Times New Roman" w:eastAsia="Times New Roman" w:hint="default"/>
        </w:rPr>
        <w:t>1</w:t>
      </w:r>
      <w:r>
        <w:rPr/>
        <w:t>）租赁的归类 </w:t>
      </w:r>
      <w:r>
        <w:rPr>
          <w:spacing w:val="-1"/>
        </w:rPr>
        <w:t>本公司根据《企业会计准则第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租赁》的规定，将租赁归类为经营租赁和融资租赁，在进行归类时，管理层需</w:t>
      </w:r>
    </w:p>
    <w:p>
      <w:pPr>
        <w:pStyle w:val="BodyText"/>
        <w:spacing w:line="316" w:lineRule="auto" w:before="13"/>
        <w:ind w:left="153" w:right="0"/>
        <w:jc w:val="left"/>
      </w:pP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300" w:lineRule="auto" w:before="19"/>
        <w:ind w:left="634" w:right="0"/>
        <w:jc w:val="left"/>
      </w:pPr>
      <w:r>
        <w:rPr/>
        <w:t>（</w:t>
      </w:r>
      <w:r>
        <w:rPr>
          <w:rFonts w:ascii="Times New Roman" w:hAnsi="Times New Roman" w:cs="Times New Roman" w:eastAsia="Times New Roman" w:hint="default"/>
        </w:rPr>
        <w:t>2</w:t>
      </w:r>
      <w:r>
        <w:rPr/>
        <w:t>）坏账准备计提 </w:t>
      </w:r>
      <w:r>
        <w:rPr>
          <w:spacing w:val="-1"/>
        </w:rPr>
        <w:t>本公司根据应收款项的会计政策，采用备抵法核算坏账损失。应收账款减值是基于评估应收账款的可收回性。鉴定应</w:t>
      </w:r>
    </w:p>
    <w:p>
      <w:pPr>
        <w:pStyle w:val="BodyText"/>
        <w:spacing w:line="240" w:lineRule="auto" w:before="31"/>
        <w:ind w:right="0"/>
        <w:jc w:val="left"/>
      </w:pPr>
      <w:r>
        <w:rPr/>
        <w:t>收账款减值要求管理层的判断和估计</w:t>
      </w:r>
      <w:r>
        <w:rPr>
          <w:spacing w:val="-82"/>
        </w:rPr>
        <w:t>。</w:t>
      </w:r>
      <w:r>
        <w:rPr/>
        <w:t>实际的结果与原先估计的差异将在估计被改变的期间影响应收账款的账面价值及应收</w:t>
      </w:r>
    </w:p>
    <w:p>
      <w:pPr>
        <w:spacing w:after="0" w:line="240" w:lineRule="auto"/>
        <w:jc w:val="left"/>
        <w:sectPr>
          <w:footerReference w:type="default" r:id="rId39"/>
          <w:pgSz w:w="11910" w:h="16840"/>
          <w:pgMar w:footer="979" w:header="747" w:top="1060" w:bottom="1160" w:left="980" w:right="0"/>
          <w:pgNumType w:start="12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账款坏账准备的计提或转回。</w:t>
      </w:r>
    </w:p>
    <w:p>
      <w:pPr>
        <w:pStyle w:val="BodyText"/>
        <w:spacing w:line="300" w:lineRule="auto" w:before="76"/>
        <w:ind w:left="634" w:right="0"/>
        <w:jc w:val="left"/>
      </w:pPr>
      <w:r>
        <w:rPr/>
        <w:t>（</w:t>
      </w:r>
      <w:r>
        <w:rPr>
          <w:rFonts w:ascii="Times New Roman" w:hAnsi="Times New Roman" w:cs="Times New Roman" w:eastAsia="Times New Roman" w:hint="default"/>
        </w:rPr>
        <w:t>3</w:t>
      </w:r>
      <w:r>
        <w:rPr/>
        <w:t>）存货跌价准备 </w:t>
      </w:r>
      <w:r>
        <w:rPr>
          <w:spacing w:val="-1"/>
        </w:rPr>
        <w:t>本公司根据存货会计政策，按照成本与可变现净值孰低计量，对成本高于可变现净值及陈旧和滞销的存货，计提存货</w:t>
      </w:r>
    </w:p>
    <w:p>
      <w:pPr>
        <w:pStyle w:val="BodyText"/>
        <w:spacing w:line="319" w:lineRule="auto" w:before="31"/>
        <w:ind w:right="1130"/>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3"/>
        </w:rPr>
        <w:t> </w:t>
      </w:r>
      <w:r>
        <w:rPr>
          <w:spacing w:val="-63"/>
        </w:rPr>
      </w:r>
      <w:r>
        <w:rPr/>
        <w:t>计被改变的期间影响存货的账面价值及存货跌价准备的计提或转回。</w:t>
      </w:r>
    </w:p>
    <w:p>
      <w:pPr>
        <w:pStyle w:val="BodyText"/>
        <w:spacing w:line="300" w:lineRule="auto" w:before="17"/>
        <w:ind w:left="634" w:right="0"/>
        <w:jc w:val="left"/>
      </w:pPr>
      <w:r>
        <w:rPr/>
        <w:t>（</w:t>
      </w:r>
      <w:r>
        <w:rPr>
          <w:rFonts w:ascii="Times New Roman" w:hAnsi="Times New Roman" w:cs="Times New Roman" w:eastAsia="Times New Roman" w:hint="default"/>
        </w:rPr>
        <w:t>4</w:t>
      </w:r>
      <w:r>
        <w:rPr/>
        <w:t>）金融工具公允价值 </w:t>
      </w:r>
      <w:r>
        <w:rPr>
          <w:spacing w:val="-1"/>
        </w:rPr>
        <w:t>对不存在活跃交易市场的金融工具，本公司通过各种估值方法确定其公允价值。这些估值方法包括贴现现金流模型分</w:t>
      </w:r>
    </w:p>
    <w:p>
      <w:pPr>
        <w:pStyle w:val="BodyText"/>
        <w:spacing w:line="316" w:lineRule="auto" w:before="31"/>
        <w:ind w:right="1133"/>
        <w:jc w:val="both"/>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300" w:lineRule="auto" w:before="19"/>
        <w:ind w:left="634" w:right="0"/>
        <w:jc w:val="left"/>
      </w:pPr>
      <w:r>
        <w:rPr/>
        <w:t>（</w:t>
      </w:r>
      <w:r>
        <w:rPr>
          <w:rFonts w:ascii="Times New Roman" w:hAnsi="Times New Roman" w:cs="Times New Roman" w:eastAsia="Times New Roman" w:hint="default"/>
        </w:rPr>
        <w:t>5</w:t>
      </w:r>
      <w:r>
        <w:rPr/>
        <w:t>）持有至到期投资 </w:t>
      </w:r>
      <w:r>
        <w:rPr>
          <w:spacing w:val="2"/>
        </w:rPr>
        <w:t>本公司将符合条件的有固定或可确定还款金额和固定到期日且本公司有明确意图和能力持有至到期的非衍生金融资</w:t>
      </w:r>
    </w:p>
    <w:p>
      <w:pPr>
        <w:pStyle w:val="BodyText"/>
        <w:spacing w:line="316" w:lineRule="auto" w:before="31"/>
        <w:ind w:right="1131"/>
        <w:jc w:val="both"/>
      </w:pPr>
      <w:r>
        <w:rPr>
          <w:spacing w:val="-2"/>
        </w:rPr>
        <w:t>产归类为持有至到期投资。进行此项归类工作需涉及大量的判断。在进行判断的过程中，本公司会对其持有该类投资至到期</w:t>
      </w:r>
      <w:r>
        <w:rPr>
          <w:spacing w:val="-66"/>
        </w:rPr>
        <w:t> </w:t>
      </w:r>
      <w:r>
        <w:rPr>
          <w:spacing w:val="-66"/>
        </w:rPr>
      </w:r>
      <w:r>
        <w:rPr>
          <w:spacing w:val="-2"/>
        </w:rPr>
        <w:t>日的意愿和能力进行评估。除特定情况外（例如在接近到期日时出售金额不重大的投资），如果本公司未能将这些投资持有</w:t>
      </w:r>
      <w:r>
        <w:rPr>
          <w:spacing w:val="-66"/>
        </w:rPr>
        <w:t> </w:t>
      </w:r>
      <w:r>
        <w:rPr>
          <w:spacing w:val="-66"/>
        </w:rPr>
      </w:r>
      <w:r>
        <w:rPr>
          <w:spacing w:val="-2"/>
        </w:rPr>
        <w:t>至到期日，则须将全部该类投资重分类至可供出售金融资产，且在本会计年度及以后两个完整的会计年度内不得再将该金融</w:t>
      </w:r>
      <w:r>
        <w:rPr>
          <w:spacing w:val="-64"/>
        </w:rPr>
        <w:t> </w:t>
      </w:r>
      <w:r>
        <w:rPr>
          <w:spacing w:val="-64"/>
        </w:rPr>
      </w:r>
      <w:r>
        <w:rPr>
          <w:spacing w:val="-2"/>
        </w:rPr>
        <w:t>资产划分为持有至到期投资。如出现此类情况，可能对财务报表上所列报的相关金融资产价值产生重大的影响，并且可能影</w:t>
      </w:r>
      <w:r>
        <w:rPr>
          <w:spacing w:val="-66"/>
        </w:rPr>
        <w:t> </w:t>
      </w:r>
      <w:r>
        <w:rPr>
          <w:spacing w:val="-66"/>
        </w:rPr>
      </w:r>
      <w:r>
        <w:rPr/>
        <w:t>响本公司的金融工具风险管理策略。</w:t>
      </w:r>
    </w:p>
    <w:p>
      <w:pPr>
        <w:pStyle w:val="BodyText"/>
        <w:spacing w:line="300" w:lineRule="auto" w:before="19"/>
        <w:ind w:left="634" w:right="0"/>
        <w:jc w:val="left"/>
      </w:pPr>
      <w:r>
        <w:rPr/>
        <w:t>（</w:t>
      </w:r>
      <w:r>
        <w:rPr>
          <w:rFonts w:ascii="Times New Roman" w:hAnsi="Times New Roman" w:cs="Times New Roman" w:eastAsia="Times New Roman" w:hint="default"/>
        </w:rPr>
        <w:t>6</w:t>
      </w:r>
      <w:r>
        <w:rPr/>
        <w:t>）持有至到期投资减值 </w:t>
      </w:r>
      <w:r>
        <w:rPr>
          <w:spacing w:val="-1"/>
        </w:rPr>
        <w:t>本公司确定持有至到期投资是否减值在很大程度上依赖于管理层的判断。发生减值的客观证据包括发行方发生严重财</w:t>
      </w:r>
    </w:p>
    <w:p>
      <w:pPr>
        <w:pStyle w:val="BodyText"/>
        <w:spacing w:line="316" w:lineRule="auto" w:before="31"/>
        <w:ind w:right="1133"/>
        <w:jc w:val="both"/>
      </w:pPr>
      <w:r>
        <w:rPr>
          <w:spacing w:val="-2"/>
        </w:rPr>
        <w:t>务困难使该金融资产无法在活跃市场继续交易、无法履行合同条款（例如，偿付利息或本金发生违约）等。在进行判断的过</w:t>
      </w:r>
      <w:r>
        <w:rPr>
          <w:spacing w:val="-66"/>
        </w:rPr>
        <w:t> </w:t>
      </w:r>
      <w:r>
        <w:rPr>
          <w:spacing w:val="-66"/>
        </w:rPr>
      </w:r>
      <w:r>
        <w:rPr/>
        <w:t>程中，本公司需评估发生减值的客观证据对该项投资预计未来现金流的影响。</w:t>
      </w:r>
    </w:p>
    <w:p>
      <w:pPr>
        <w:pStyle w:val="BodyText"/>
        <w:spacing w:line="300" w:lineRule="auto" w:before="19"/>
        <w:ind w:left="634" w:right="0"/>
        <w:jc w:val="left"/>
      </w:pPr>
      <w:r>
        <w:rPr/>
        <w:t>（</w:t>
      </w:r>
      <w:r>
        <w:rPr>
          <w:rFonts w:ascii="Times New Roman" w:hAnsi="Times New Roman" w:cs="Times New Roman" w:eastAsia="Times New Roman" w:hint="default"/>
        </w:rPr>
        <w:t>7</w:t>
      </w:r>
      <w:r>
        <w:rPr/>
        <w:t>）可供出售金融资产减值 </w:t>
      </w:r>
      <w:r>
        <w:rPr>
          <w:spacing w:val="-1"/>
        </w:rPr>
        <w:t>本公司确定可供出售金融资产是否减值在很大程度上依赖于管理层的判断和假设，以确定是否需要在利润表中确认其</w:t>
      </w:r>
    </w:p>
    <w:p>
      <w:pPr>
        <w:pStyle w:val="BodyText"/>
        <w:spacing w:line="316" w:lineRule="auto" w:before="31"/>
        <w:ind w:right="1133"/>
        <w:jc w:val="both"/>
      </w:pPr>
      <w:r>
        <w:rPr>
          <w:spacing w:val="-2"/>
        </w:rPr>
        <w:t>减值损失。在进行判断和作出假设的过程中，本公司需评估该项投资的公允价值低于成本的程度和持续期间，以及被投资对</w:t>
      </w:r>
      <w:r>
        <w:rPr>
          <w:spacing w:val="-66"/>
        </w:rPr>
        <w:t> </w:t>
      </w:r>
      <w:r>
        <w:rPr>
          <w:spacing w:val="-66"/>
        </w:rPr>
      </w:r>
      <w:r>
        <w:rPr/>
        <w:t>象的财务状况和短期业务展望，包括行业状况、技术变革、信用评级、违约率和对手方的风险。</w:t>
      </w:r>
    </w:p>
    <w:p>
      <w:pPr>
        <w:pStyle w:val="BodyText"/>
        <w:spacing w:line="300" w:lineRule="auto" w:before="19"/>
        <w:ind w:left="633" w:right="0"/>
        <w:jc w:val="left"/>
      </w:pPr>
      <w:r>
        <w:rPr/>
        <w:t>（</w:t>
      </w:r>
      <w:r>
        <w:rPr>
          <w:rFonts w:ascii="Times New Roman" w:hAnsi="Times New Roman" w:cs="Times New Roman" w:eastAsia="Times New Roman" w:hint="default"/>
        </w:rPr>
        <w:t>8</w:t>
      </w:r>
      <w:r>
        <w:rPr/>
        <w:t>）非金融非流动资产减值准备 </w:t>
      </w:r>
      <w:r>
        <w:rPr>
          <w:spacing w:val="-1"/>
        </w:rPr>
        <w:t>本公司于资产负债表日对除金融资产之外的非流动资产判断是否存在可能发生减值的迹象。对使用寿命不确定的无形</w:t>
      </w:r>
    </w:p>
    <w:p>
      <w:pPr>
        <w:pStyle w:val="BodyText"/>
        <w:spacing w:line="316" w:lineRule="auto" w:before="31"/>
        <w:ind w:left="153" w:right="1133"/>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9"/>
        <w:ind w:left="153" w:right="1133" w:firstLine="480"/>
        <w:jc w:val="both"/>
      </w:pPr>
      <w:r>
        <w:rPr>
          <w:spacing w:val="-1"/>
        </w:rPr>
        <w:t>当资产或资产组的账面价值高于可收回金额，即公允价值减去处置费用后的净额和预计未来现金流量的现值中的较高</w:t>
      </w:r>
      <w:r>
        <w:rPr/>
        <w:t> 者，表明发生了减值。</w:t>
      </w:r>
    </w:p>
    <w:p>
      <w:pPr>
        <w:pStyle w:val="BodyText"/>
        <w:spacing w:line="316" w:lineRule="auto" w:before="19"/>
        <w:ind w:left="153" w:right="1131" w:firstLine="480"/>
        <w:jc w:val="both"/>
      </w:pPr>
      <w:r>
        <w:rPr>
          <w:spacing w:val="-1"/>
        </w:rPr>
        <w:t>公允价值减去处置费用后的净额，参考公平交易中类似资产的销售协议价格或可观察到的市场价格，减去可直接归属</w:t>
      </w:r>
      <w:r>
        <w:rPr/>
        <w:t> 于该资产处置的增量成本确定。</w:t>
      </w:r>
    </w:p>
    <w:p>
      <w:pPr>
        <w:pStyle w:val="BodyText"/>
        <w:spacing w:line="316" w:lineRule="auto" w:before="19"/>
        <w:ind w:left="153" w:right="1132" w:firstLine="480"/>
        <w:jc w:val="both"/>
      </w:pPr>
      <w:r>
        <w:rPr>
          <w:spacing w:val="-1"/>
        </w:rPr>
        <w:t>在预计未来现金流量现值时，需要对该资产（或资产组）的产量、售价、相关经营成本以及计算现值时使用的折现率</w:t>
      </w:r>
      <w:r>
        <w:rPr/>
        <w:t>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9"/>
        <w:ind w:left="153" w:right="1131" w:firstLine="480"/>
        <w:jc w:val="both"/>
      </w:pPr>
      <w:r>
        <w:rPr>
          <w:spacing w:val="-1"/>
        </w:rPr>
        <w:t>本公司至少每年测试商誉是否发生减值。这要求对分配了商誉的资产组或者资产组组合的未来现金流量的现值进行预</w:t>
      </w:r>
      <w:r>
        <w:rPr/>
        <w:t> </w:t>
      </w:r>
      <w:r>
        <w:rPr>
          <w:spacing w:val="-2"/>
        </w:rPr>
        <w:t>计。对未来现金流量的现值进行预计时，本公司需要预计未来资产组或者资产组组合产生的现金流量，同时选择恰当的折现</w:t>
      </w:r>
      <w:r>
        <w:rPr>
          <w:spacing w:val="-65"/>
        </w:rPr>
        <w:t> </w:t>
      </w:r>
      <w:r>
        <w:rPr>
          <w:spacing w:val="-65"/>
        </w:rPr>
      </w:r>
      <w:r>
        <w:rPr/>
        <w:t>率确定未来现金流量的现值。</w:t>
      </w:r>
    </w:p>
    <w:p>
      <w:pPr>
        <w:pStyle w:val="BodyText"/>
        <w:spacing w:line="300" w:lineRule="auto" w:before="19"/>
        <w:ind w:left="634" w:right="0"/>
        <w:jc w:val="left"/>
      </w:pPr>
      <w:r>
        <w:rPr/>
        <w:t>（</w:t>
      </w:r>
      <w:r>
        <w:rPr>
          <w:rFonts w:ascii="Times New Roman" w:hAnsi="Times New Roman" w:cs="Times New Roman" w:eastAsia="Times New Roman" w:hint="default"/>
        </w:rPr>
        <w:t>9</w:t>
      </w:r>
      <w:r>
        <w:rPr/>
        <w:t>）折旧和摊销 </w:t>
      </w:r>
      <w:r>
        <w:rPr>
          <w:spacing w:val="-1"/>
        </w:rPr>
        <w:t>本公司对投资性房地产、固定资产和无形资产在考虑其残值后，在使用寿命内按直线法计提折旧和摊销。本公司定期</w:t>
      </w:r>
    </w:p>
    <w:p>
      <w:pPr>
        <w:pStyle w:val="BodyText"/>
        <w:spacing w:line="316" w:lineRule="auto" w:before="31"/>
        <w:ind w:right="1132"/>
        <w:jc w:val="both"/>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240" w:lineRule="auto" w:before="19"/>
        <w:ind w:left="633" w:right="0"/>
        <w:jc w:val="left"/>
      </w:pPr>
      <w:r>
        <w:rPr/>
        <w:t>（</w:t>
      </w:r>
      <w:r>
        <w:rPr>
          <w:rFonts w:ascii="Times New Roman" w:hAnsi="Times New Roman" w:cs="Times New Roman" w:eastAsia="Times New Roman" w:hint="default"/>
        </w:rPr>
        <w:t>10</w:t>
      </w:r>
      <w:r>
        <w:rPr/>
        <w:t>）开发支出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0"/>
        <w:jc w:val="left"/>
      </w:pPr>
      <w:r>
        <w:rPr>
          <w:spacing w:val="-3"/>
        </w:rPr>
        <w:t>确定资本化的金额时，本公司管理层需要作出有关资产的预计未来现金流量、适用的折现率以及预计受益期间的假设。</w:t>
      </w:r>
    </w:p>
    <w:p>
      <w:pPr>
        <w:pStyle w:val="BodyText"/>
        <w:spacing w:line="300" w:lineRule="auto" w:before="76"/>
        <w:ind w:left="634" w:right="0"/>
        <w:jc w:val="left"/>
      </w:pPr>
      <w:r>
        <w:rPr/>
        <w:t>（</w:t>
      </w:r>
      <w:r>
        <w:rPr>
          <w:rFonts w:ascii="Times New Roman" w:hAnsi="Times New Roman" w:cs="Times New Roman" w:eastAsia="Times New Roman" w:hint="default"/>
        </w:rPr>
        <w:t>11</w:t>
      </w:r>
      <w:r>
        <w:rPr/>
        <w:t>）递延所得税资产 </w:t>
      </w:r>
      <w:r>
        <w:rPr>
          <w:spacing w:val="-1"/>
        </w:rPr>
        <w:t>在很有可能有足够的应纳税利润来抵扣亏损的限度内，本公司就所有未利用的税务亏损确认递延所得税资产。这需要</w:t>
      </w:r>
    </w:p>
    <w:p>
      <w:pPr>
        <w:pStyle w:val="BodyText"/>
        <w:spacing w:line="319" w:lineRule="auto" w:before="31"/>
        <w:ind w:right="1132"/>
        <w:jc w:val="both"/>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7"/>
        <w:ind w:left="633" w:right="1118"/>
        <w:jc w:val="left"/>
      </w:pPr>
      <w:r>
        <w:rPr/>
        <w:t>（</w:t>
      </w:r>
      <w:r>
        <w:rPr>
          <w:rFonts w:ascii="Times New Roman" w:hAnsi="Times New Roman" w:cs="Times New Roman" w:eastAsia="Times New Roman" w:hint="default"/>
        </w:rPr>
        <w:t>12</w:t>
      </w:r>
      <w:r>
        <w:rPr/>
        <w:t>）所得税 </w:t>
      </w:r>
      <w:r>
        <w:rPr>
          <w:spacing w:val="-1"/>
        </w:rPr>
        <w:t>本公司在正常的经营活动中，有部分交易其最终的税务处理和计算存在一定的不确定性。部分项目是否能够在税前列</w:t>
      </w:r>
    </w:p>
    <w:p>
      <w:pPr>
        <w:pStyle w:val="BodyText"/>
        <w:spacing w:line="316" w:lineRule="auto" w:before="31"/>
        <w:ind w:left="153" w:right="1132"/>
        <w:jc w:val="both"/>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300" w:lineRule="auto" w:before="19"/>
        <w:ind w:left="633" w:right="0"/>
        <w:jc w:val="left"/>
      </w:pPr>
      <w:r>
        <w:rPr/>
        <w:t>（</w:t>
      </w:r>
      <w:r>
        <w:rPr>
          <w:rFonts w:ascii="Times New Roman" w:hAnsi="Times New Roman" w:cs="Times New Roman" w:eastAsia="Times New Roman" w:hint="default"/>
        </w:rPr>
        <w:t>13</w:t>
      </w:r>
      <w:r>
        <w:rPr/>
        <w:t>）预计负债 </w:t>
      </w:r>
      <w:r>
        <w:rPr>
          <w:spacing w:val="-1"/>
        </w:rPr>
        <w:t>本公司根据合约条款、现有知识及历史经验，对产品质量保证、预计合同亏损、延迟交货违约金等估计并计提相应准</w:t>
      </w:r>
    </w:p>
    <w:p>
      <w:pPr>
        <w:pStyle w:val="BodyText"/>
        <w:spacing w:line="316" w:lineRule="auto" w:before="31"/>
        <w:ind w:left="153" w:right="1133"/>
        <w:jc w:val="both"/>
      </w:pPr>
      <w:r>
        <w:rPr>
          <w:spacing w:val="-2"/>
        </w:rPr>
        <w:t>备。在该等或有事项已经形成一项现时义务，且履行该等现时义务很可能导致经济利益流出本公司的情况下，本公司对或有</w:t>
      </w:r>
      <w:r>
        <w:rPr>
          <w:spacing w:val="-66"/>
        </w:rPr>
        <w:t> </w:t>
      </w:r>
      <w:r>
        <w:rPr>
          <w:spacing w:val="-66"/>
        </w:rPr>
      </w:r>
      <w:r>
        <w:rPr/>
        <w:t>事项按履行相关现时义务所需支出的最佳估计数确认为预计负债。预计负债的确认和计量在很大程度上依赖于管理层的判</w:t>
      </w:r>
      <w:r>
        <w:rPr>
          <w:spacing w:val="-9"/>
        </w:rPr>
        <w:t> </w:t>
      </w:r>
      <w:r>
        <w:rPr>
          <w:spacing w:val="-9"/>
        </w:rPr>
      </w:r>
      <w:r>
        <w:rPr/>
        <w:t>断。在进行判断过程中本公司需评估该等或有事项相关的风险、不确定性及货币时间价值等因素。</w:t>
      </w:r>
    </w:p>
    <w:p>
      <w:pPr>
        <w:pStyle w:val="BodyText"/>
        <w:spacing w:line="316" w:lineRule="auto" w:before="19"/>
        <w:ind w:left="153" w:right="1133" w:firstLine="480"/>
        <w:jc w:val="both"/>
      </w:pPr>
      <w:r>
        <w:rPr>
          <w:spacing w:val="-1"/>
        </w:rPr>
        <w:t>其中，本公司会就出售、维修及改造所售商品向客户提供的售后质量维修承诺预计负债。预计负债时已考虑本公司近</w:t>
      </w:r>
      <w:r>
        <w:rPr/>
        <w:t> </w:t>
      </w:r>
      <w:r>
        <w:rPr>
          <w:spacing w:val="-2"/>
        </w:rPr>
        <w:t>期的维修经验数据，但近期的维修经验可能无法反映将来的维修情况。这项准备的任何增加或减少，均可能影响未来年度的</w:t>
      </w:r>
      <w:r>
        <w:rPr>
          <w:spacing w:val="-66"/>
        </w:rPr>
        <w:t> </w:t>
      </w:r>
      <w:r>
        <w:rPr>
          <w:spacing w:val="-66"/>
        </w:rPr>
      </w:r>
      <w:r>
        <w:rPr/>
        <w:t>损益。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六、税项" w:id="212"/>
      <w:bookmarkEnd w:id="21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日，本公司取得深圳市科技创新委员会、深圳市财政委员会、深圳市国家税务局、深圳市地方税务局联 合颁发的高新技术企业证书，证书编号：</w:t>
      </w:r>
      <w:r>
        <w:rPr>
          <w:rFonts w:ascii="Times New Roman" w:hAnsi="Times New Roman" w:cs="Times New Roman" w:eastAsia="Times New Roman" w:hint="default"/>
        </w:rPr>
        <w:t>GF201244200443</w:t>
      </w:r>
      <w:r>
        <w:rPr/>
        <w:t>，有效期</w:t>
      </w:r>
      <w:r>
        <w:rPr>
          <w:rFonts w:ascii="Times New Roman" w:hAnsi="Times New Roman" w:cs="Times New Roman" w:eastAsia="Times New Roman" w:hint="default"/>
        </w:rPr>
        <w:t>3</w:t>
      </w:r>
      <w:r>
        <w:rPr/>
        <w:t>年，本公司</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2014</w:t>
      </w:r>
      <w:r>
        <w:rPr/>
        <w:t>年度的企业所得税率为</w:t>
      </w:r>
      <w:r>
        <w:rPr>
          <w:rFonts w:ascii="Times New Roman" w:hAnsi="Times New Roman" w:cs="Times New Roman" w:eastAsia="Times New Roman" w:hint="default"/>
        </w:rPr>
        <w:t>15%</w:t>
      </w:r>
      <w:r>
        <w:rPr/>
        <w:t>。</w:t>
      </w:r>
    </w:p>
    <w:p>
      <w:pPr>
        <w:pStyle w:val="BodyText"/>
        <w:spacing w:line="300" w:lineRule="auto" w:before="13"/>
        <w:ind w:right="0"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日，全资子公司深圳茂硕电子科技有限公司（以下简称</w:t>
      </w:r>
      <w:r>
        <w:rPr>
          <w:rFonts w:ascii="Times New Roman" w:hAnsi="Times New Roman" w:cs="Times New Roman" w:eastAsia="Times New Roman" w:hint="default"/>
        </w:rPr>
        <w:t>“</w:t>
      </w:r>
      <w:r>
        <w:rPr/>
        <w:t>茂硕电子</w:t>
      </w:r>
      <w:r>
        <w:rPr>
          <w:rFonts w:ascii="Times New Roman" w:hAnsi="Times New Roman" w:cs="Times New Roman" w:eastAsia="Times New Roman" w:hint="default"/>
        </w:rPr>
        <w:t>”</w:t>
      </w:r>
      <w:r>
        <w:rPr/>
        <w:t>）取得深圳市科技创新委员会、深圳 市财政委员会、深圳市国家税务局、深圳市地方税务局联合颁发的高新技术企业证书，证书编号：</w:t>
      </w:r>
      <w:r>
        <w:rPr>
          <w:rFonts w:ascii="Times New Roman" w:hAnsi="Times New Roman" w:cs="Times New Roman" w:eastAsia="Times New Roman" w:hint="default"/>
        </w:rPr>
        <w:t>GF201244200830</w:t>
      </w:r>
      <w:r>
        <w:rPr/>
        <w:t>，有效</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4" w:right="2202" w:hanging="480"/>
        <w:jc w:val="left"/>
      </w:pPr>
      <w:r>
        <w:rPr/>
        <w:t>期</w:t>
      </w:r>
      <w:r>
        <w:rPr>
          <w:rFonts w:ascii="Times New Roman" w:hAnsi="Times New Roman" w:cs="Times New Roman" w:eastAsia="Times New Roman" w:hint="default"/>
        </w:rPr>
        <w:t>3</w:t>
      </w:r>
      <w:r>
        <w:rPr/>
        <w:t>年，茂硕电子</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2014</w:t>
      </w:r>
      <w:r>
        <w:rPr/>
        <w:t>年度的企业所得税率为</w:t>
      </w:r>
      <w:r>
        <w:rPr>
          <w:rFonts w:ascii="Times New Roman" w:hAnsi="Times New Roman" w:cs="Times New Roman" w:eastAsia="Times New Roman" w:hint="default"/>
        </w:rPr>
        <w:t>15%</w:t>
      </w:r>
      <w:r>
        <w:rPr/>
        <w:t>。 深圳茂硕希港科技有限公司、深圳茂硕钜泽科技有限公司为小型微企业，适用</w:t>
      </w:r>
      <w:r>
        <w:rPr>
          <w:rFonts w:ascii="Times New Roman" w:hAnsi="Times New Roman" w:cs="Times New Roman" w:eastAsia="Times New Roman" w:hint="default"/>
        </w:rPr>
        <w:t>10%</w:t>
      </w:r>
      <w:r>
        <w:rPr/>
        <w:t>的企业所得税税率。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0"/>
        <w:jc w:val="left"/>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firstLine="338"/>
        <w:jc w:val="left"/>
      </w:pPr>
      <w:r>
        <w:rPr>
          <w:spacing w:val="-3"/>
        </w:rPr>
        <w:t>本公司之控股子公司茂硕能源科技（香港）国际有限公司（以下简称</w:t>
      </w:r>
      <w:r>
        <w:rPr>
          <w:rFonts w:ascii="Times New Roman" w:hAnsi="Times New Roman" w:cs="Times New Roman" w:eastAsia="Times New Roman" w:hint="default"/>
          <w:spacing w:val="-3"/>
        </w:rPr>
        <w:t>“</w:t>
      </w:r>
      <w:r>
        <w:rPr>
          <w:spacing w:val="-3"/>
        </w:rPr>
        <w:t>香港茂硕</w:t>
      </w:r>
      <w:r>
        <w:rPr>
          <w:rFonts w:ascii="Times New Roman" w:hAnsi="Times New Roman" w:cs="Times New Roman" w:eastAsia="Times New Roman" w:hint="default"/>
          <w:spacing w:val="-3"/>
        </w:rPr>
        <w:t>”</w:t>
      </w:r>
      <w:r>
        <w:rPr>
          <w:spacing w:val="-3"/>
        </w:rPr>
        <w:t>）依照香港立法局颁布的《税务条例》，</w:t>
      </w:r>
      <w:r>
        <w:rPr/>
        <w:t> 依据课税年度的应纳税所得额按</w:t>
      </w:r>
      <w:r>
        <w:rPr>
          <w:rFonts w:ascii="Times New Roman" w:hAnsi="Times New Roman" w:cs="Times New Roman" w:eastAsia="Times New Roman" w:hint="default"/>
        </w:rPr>
        <w:t>16.5%</w:t>
      </w:r>
      <w:r>
        <w:rPr/>
        <w:t>的税率缴纳利得税。</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227,782,314.44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192,613,069.67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5,607,045.48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6,771,396.62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233,471,876.61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199,650,767.77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236,139.54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2,718,154.67</w:t>
            </w:r>
          </w:p>
        </w:tc>
      </w:tr>
    </w:tbl>
    <w:p>
      <w:pPr>
        <w:pStyle w:val="BodyText"/>
        <w:spacing w:line="240" w:lineRule="auto" w:before="51"/>
        <w:ind w:right="0"/>
        <w:jc w:val="left"/>
      </w:pPr>
      <w:r>
        <w:rPr/>
        <w:t>其他说明</w:t>
      </w:r>
    </w:p>
    <w:p>
      <w:pPr>
        <w:pStyle w:val="BodyText"/>
        <w:spacing w:line="240" w:lineRule="auto" w:before="116"/>
        <w:ind w:left="634" w:right="0"/>
        <w:jc w:val="left"/>
      </w:pPr>
      <w:r>
        <w:rPr/>
        <w:t>其他货币资金为银行承兑汇票保证金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0"/>
        <w:jc w:val="left"/>
        <w:rPr>
          <w:b w:val="0"/>
          <w:bCs w:val="0"/>
        </w:rPr>
      </w:pPr>
      <w:bookmarkStart w:name="2、以公允价值计量且其变动计入当期损益的金融资产" w:id="218"/>
      <w:bookmarkEnd w:id="21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3,654,795.71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3,654,795.71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3,654,795.71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1,484,421.88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19"/>
      <w:bookmarkEnd w:id="21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应收票据" w:id="220"/>
      <w:bookmarkEnd w:id="22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20,112,631.38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31,000,939.00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15,754,611.51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11,267,220.43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35,867,242.89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42,268,159.43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公司已质押的应收票据" w:id="222"/>
      <w:bookmarkEnd w:id="22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公司已背书或贴现且在资产负债表日尚未到期的应收票据" w:id="223"/>
      <w:bookmarkEnd w:id="22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14,191,029.71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14,191,029.71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期末公司因出票人未履约而将其转应收账款的票据" w:id="224"/>
      <w:bookmarkEnd w:id="22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应收账款" w:id="225"/>
      <w:bookmarkEnd w:id="22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432,837.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432,837</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432,837.4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317,000,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657.17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20,069,9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296,930,7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02.88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293,192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,801.31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14,254,61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278,938,19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0.49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317,433,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494.62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20,502,7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91.74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296,930,7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02.88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293,625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,638.76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14,687,44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278,938,19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0.49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东莞建永数码科技有限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该公司破产</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432,837.45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170,362,263.97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94,501,869.53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4,725,093.48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264,864,133.50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4,725,093.48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29,319,800.25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2,931,980.03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11,856,563.04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2,371,312.61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1,837,184.41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918,592.20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9,122,975.97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9,122,975.97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317,000,657.17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20,069,954.29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6433"/>
        <w:jc w:val="left"/>
      </w:pPr>
      <w:r>
        <w:rPr/>
        <w:t>确定该组合依据的说明： 相同账龄的应收款项具有类似信用风险特征 组合中，采用余额百分比法计提坏账准备的应收账款：</w:t>
      </w:r>
    </w:p>
    <w:p>
      <w:pPr>
        <w:pStyle w:val="BodyText"/>
        <w:spacing w:line="240" w:lineRule="auto" w:before="29"/>
        <w:ind w:right="0"/>
        <w:jc w:val="left"/>
      </w:pPr>
      <w:r>
        <w:rPr/>
        <w:t>□ 适用 √ 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组合中，采用其他方法计提坏账准备的应收账款：</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3" w:right="-12"/>
        <w:jc w:val="left"/>
      </w:pPr>
      <w:r>
        <w:rPr/>
        <w:t>本期计提坏账准备金额</w:t>
      </w:r>
      <w:r>
        <w:rPr>
          <w:spacing w:val="-47"/>
        </w:rPr>
        <w:t> </w:t>
      </w:r>
      <w:r>
        <w:rPr>
          <w:rFonts w:ascii="Times New Roman" w:hAnsi="Times New Roman" w:cs="Times New Roman" w:eastAsia="Times New Roman" w:hint="default"/>
        </w:rPr>
        <w:t>5,892,324.71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76,981.24</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按欠款方归集的期末余额前五吊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483" w:firstLine="480"/>
        <w:jc w:val="left"/>
      </w:pPr>
      <w:r>
        <w:rPr/>
        <w:t>本公司年末余额前五名应收账款金额为</w:t>
      </w:r>
      <w:r>
        <w:rPr>
          <w:rFonts w:ascii="Times New Roman" w:hAnsi="Times New Roman" w:cs="Times New Roman" w:eastAsia="Times New Roman" w:hint="default"/>
        </w:rPr>
        <w:t>70,557,715.39</w:t>
      </w:r>
      <w:r>
        <w:rPr/>
        <w:t>元，占应收账款年末余额合计数的比例为</w:t>
      </w:r>
      <w:r>
        <w:rPr>
          <w:rFonts w:ascii="Times New Roman" w:hAnsi="Times New Roman" w:cs="Times New Roman" w:eastAsia="Times New Roman" w:hint="default"/>
        </w:rPr>
        <w:t>22.23%</w:t>
      </w:r>
      <w:r>
        <w:rPr/>
        <w:t>，相应计提 的坏账准备年末余额汇总金额为</w:t>
      </w:r>
      <w:r>
        <w:rPr>
          <w:rFonts w:ascii="Times New Roman" w:hAnsi="Times New Roman" w:cs="Times New Roman" w:eastAsia="Times New Roman" w:hint="default"/>
        </w:rPr>
        <w:t>1,587,586.29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5）因金融资产转移而终止确认的应收账款" w:id="230"/>
      <w:bookmarkEnd w:id="23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3" w:right="7043"/>
        <w:jc w:val="center"/>
      </w:pPr>
      <w:r>
        <w:rPr/>
        <w:t>无因金融资产转移而终止确认的应收账款。</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6）转移应收账款且继续涉入形成的资产、负债金额" w:id="231"/>
      <w:bookmarkEnd w:id="23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084" w:firstLine="169"/>
        <w:jc w:val="left"/>
      </w:pPr>
      <w:r>
        <w:rPr/>
        <w:t>年末无转移应收账款且继续涉入形成的资产、负债金额。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6,470,813.06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1,505,700.00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6,470,813.06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1,505,700.00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吊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393" w:firstLine="480"/>
        <w:jc w:val="left"/>
      </w:pPr>
      <w:r>
        <w:rPr>
          <w:spacing w:val="-2"/>
        </w:rPr>
        <w:t>本公司按预付对象归集的年末余额前五名预付账款汇总金额为</w:t>
      </w:r>
      <w:r>
        <w:rPr>
          <w:rFonts w:ascii="Times New Roman" w:hAnsi="Times New Roman" w:cs="Times New Roman" w:eastAsia="Times New Roman" w:hint="default"/>
          <w:spacing w:val="-2"/>
        </w:rPr>
        <w:t>5,365,155.15</w:t>
      </w:r>
      <w:r>
        <w:rPr>
          <w:spacing w:val="-2"/>
        </w:rPr>
        <w:t>元，占预付账款年末余额合计数的比例</w:t>
      </w:r>
      <w:r>
        <w:rPr/>
        <w:t> 为</w:t>
      </w:r>
      <w:r>
        <w:rPr>
          <w:rFonts w:ascii="Times New Roman" w:hAnsi="Times New Roman" w:cs="Times New Roman" w:eastAsia="Times New Roman" w:hint="default"/>
        </w:rPr>
        <w:t>82.91%</w:t>
      </w:r>
      <w:r>
        <w:rPr/>
        <w:t>。</w:t>
      </w:r>
    </w:p>
    <w:p>
      <w:pPr>
        <w:spacing w:line="240" w:lineRule="auto" w:before="0"/>
        <w:rPr>
          <w:rFonts w:ascii="宋体" w:hAnsi="宋体" w:cs="宋体" w:eastAsia="宋体" w:hint="default"/>
          <w:sz w:val="18"/>
          <w:szCs w:val="18"/>
        </w:rPr>
      </w:pPr>
    </w:p>
    <w:p>
      <w:pPr>
        <w:pStyle w:val="BodyText"/>
        <w:spacing w:line="240" w:lineRule="auto" w:before="130"/>
        <w:ind w:left="153"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7、应收利息" w:id="235"/>
      <w:bookmarkEnd w:id="23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利息分类" w:id="236"/>
      <w:bookmarkEnd w:id="23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428,302.07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3,978,523.09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4,910,958.90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432,197.97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8,889,481.99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逾期利息" w:id="237"/>
      <w:bookmarkEnd w:id="23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8、应收股利" w:id="238"/>
      <w:bookmarkEnd w:id="23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股利" w:id="239"/>
      <w:bookmarkEnd w:id="23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的账龄超过1年的应收股利" w:id="240"/>
      <w:bookmarkEnd w:id="24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41"/>
      <w:bookmarkEnd w:id="24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42"/>
      <w:bookmarkEnd w:id="2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6,119,00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3,059,50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3,059,500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11,119,81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481,275.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10,638,54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23,939,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729.39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895,973.2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23,043,756.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17,238,8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18.13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3,540,77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13,698,04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23,939,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729.39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895,973.2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23,043,756.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On-Q,LLC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诉讼中，按预计不可回 收部分计提</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3,059,500.00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8,437,241.98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1,041,941.69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52,097.09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9,479,183.67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52,097.09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598,041.44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299,020.72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11,119,818.13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481,275.41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pStyle w:val="Heading5"/>
        <w:spacing w:line="240" w:lineRule="auto" w:before="90"/>
        <w:ind w:left="154" w:right="0"/>
        <w:jc w:val="left"/>
      </w:pPr>
      <w:r>
        <w:rPr/>
        <w:t>相同账龄的其他应收款具有类似信用风险特征</w:t>
      </w:r>
    </w:p>
    <w:p>
      <w:pPr>
        <w:spacing w:line="240" w:lineRule="auto" w:before="0"/>
        <w:rPr>
          <w:rFonts w:ascii="宋体" w:hAnsi="宋体" w:cs="宋体" w:eastAsia="宋体" w:hint="default"/>
          <w:sz w:val="20"/>
          <w:szCs w:val="20"/>
        </w:rPr>
      </w:pPr>
    </w:p>
    <w:p>
      <w:pPr>
        <w:pStyle w:val="BodyText"/>
        <w:spacing w:line="240" w:lineRule="auto" w:before="153"/>
        <w:ind w:right="0"/>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left="153" w:right="-12"/>
        <w:jc w:val="left"/>
      </w:pPr>
      <w:r>
        <w:rPr/>
        <w:t>本期计提坏账准备金额</w:t>
      </w:r>
      <w:r>
        <w:rPr>
          <w:spacing w:val="-47"/>
        </w:rPr>
        <w:t> </w:t>
      </w:r>
      <w:r>
        <w:rPr>
          <w:rFonts w:ascii="Times New Roman" w:hAnsi="Times New Roman" w:cs="Times New Roman" w:eastAsia="Times New Roman" w:hint="default"/>
        </w:rPr>
        <w:t>2,644,802.13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244"/>
      <w:bookmarkEnd w:id="24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其他应收款核销说明：</w:t>
      </w:r>
    </w:p>
    <w:p>
      <w:pPr>
        <w:pStyle w:val="Heading3"/>
        <w:spacing w:line="240" w:lineRule="auto" w:before="65"/>
        <w:ind w:left="154" w:right="0"/>
        <w:jc w:val="left"/>
      </w:pPr>
      <w:r>
        <w:rPr/>
        <w:t>本年无实际核销的其他应收款</w:t>
      </w:r>
    </w:p>
    <w:p>
      <w:pPr>
        <w:spacing w:line="240" w:lineRule="auto" w:before="9"/>
        <w:rPr>
          <w:rFonts w:ascii="宋体" w:hAnsi="宋体" w:cs="宋体" w:eastAsia="宋体" w:hint="default"/>
          <w:sz w:val="24"/>
          <w:szCs w:val="24"/>
        </w:rPr>
      </w:pPr>
    </w:p>
    <w:p>
      <w:pPr>
        <w:pStyle w:val="Heading4"/>
        <w:spacing w:line="240" w:lineRule="auto"/>
        <w:ind w:left="154" w:right="0"/>
        <w:jc w:val="left"/>
        <w:rPr>
          <w:b w:val="0"/>
          <w:bCs w:val="0"/>
        </w:rPr>
      </w:pPr>
      <w:bookmarkStart w:name="（4）其他应收款按款项性质分类情况" w:id="245"/>
      <w:bookmarkEnd w:id="2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7,190,077.48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8,461,911.59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1,973,593.03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4,688,209.40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192,089.00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5,379,417.18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5,280,027.98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5,456,780.42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17,238,818.13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23,939,729.39</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吊的其他应收款情况" w:id="246"/>
      <w:bookmarkEnd w:id="24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On-Q,LLC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568,342.80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13,190,984.24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3,059,500.00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247"/>
      <w:bookmarkEnd w:id="24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7）因金融资产转移而终止确认的其他应收款" w:id="248"/>
      <w:bookmarkEnd w:id="24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本报告期无因金融资产转移而终止确认的其他应收款；</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8）转移其他应收款且继续涉入形成的资产、负债金额" w:id="249"/>
      <w:bookmarkEnd w:id="24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5533"/>
        <w:jc w:val="left"/>
      </w:pPr>
      <w:r>
        <w:rPr/>
        <w:t>本报告期无转移其他应收款且继续涉入形成的资产、负债的情况。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4"/>
        <w:spacing w:line="240" w:lineRule="auto"/>
        <w:ind w:right="0"/>
        <w:jc w:val="left"/>
        <w:rPr>
          <w:b w:val="0"/>
          <w:bCs w:val="0"/>
        </w:rPr>
      </w:pPr>
      <w:bookmarkStart w:name="10、存货" w:id="250"/>
      <w:bookmarkEnd w:id="250"/>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存货分类" w:id="251"/>
      <w:bookmarkEnd w:id="25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31,120,224.17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1,345,669.96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29,774,554.21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30,834,637.20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757,042.04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30,077,595.16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9,250,177.00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9,130,934.63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7,685,606.83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44,106.04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7,641,500.79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44,254,503.29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3,478,437.23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40,776,066.06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42,255,561.40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40,988,976.08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2,532,095.91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2,532,095.91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15,818,825.14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15,818,825.14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87,157,000.37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4,943,349.56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82,213,650.81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96,594,630.57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2,067,733.40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94,526,897.17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757,042.04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3,397,268.29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2,808,640.37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1,345,669.96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44,106.04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632,540.54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557,404.21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119,242.37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1,266,585.32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7,174,470.53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4,962,618.62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3,478,437.23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2,067,733.40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11,204,279.36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8,328,663.20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4,943,349.56</w:t>
            </w:r>
          </w:p>
        </w:tc>
      </w:tr>
    </w:tbl>
    <w:p>
      <w:pPr>
        <w:spacing w:line="240" w:lineRule="auto" w:before="11"/>
        <w:rPr>
          <w:rFonts w:ascii="宋体" w:hAnsi="宋体" w:cs="宋体" w:eastAsia="宋体" w:hint="default"/>
          <w:sz w:val="23"/>
          <w:szCs w:val="23"/>
        </w:rPr>
      </w:pPr>
    </w:p>
    <w:tbl>
      <w:tblPr>
        <w:tblW w:w="0" w:type="auto"/>
        <w:jc w:val="left"/>
        <w:tblInd w:w="164" w:type="dxa"/>
        <w:tblLayout w:type="fixed"/>
        <w:tblCellMar>
          <w:top w:w="0" w:type="dxa"/>
          <w:left w:w="0" w:type="dxa"/>
          <w:bottom w:w="0" w:type="dxa"/>
          <w:right w:w="0" w:type="dxa"/>
        </w:tblCellMar>
        <w:tblLook w:val="01E0"/>
      </w:tblPr>
      <w:tblGrid>
        <w:gridCol w:w="1419"/>
        <w:gridCol w:w="2978"/>
        <w:gridCol w:w="2622"/>
        <w:gridCol w:w="2622"/>
      </w:tblGrid>
      <w:tr>
        <w:trPr>
          <w:trHeight w:val="355" w:hRule="exact"/>
        </w:trPr>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呆滞料</w:t>
            </w:r>
          </w:p>
        </w:tc>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原材料已被研发领用</w:t>
            </w:r>
          </w:p>
        </w:tc>
        <w:tc>
          <w:tcPr>
            <w:tcW w:w="2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原材料已销售</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不良产品</w:t>
            </w:r>
          </w:p>
        </w:tc>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原材料已被研发领用</w:t>
            </w:r>
          </w:p>
        </w:tc>
        <w:tc>
          <w:tcPr>
            <w:tcW w:w="2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在产品已销售</w:t>
            </w:r>
          </w:p>
        </w:tc>
      </w:tr>
      <w:tr>
        <w:trPr>
          <w:trHeight w:val="352"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不良产品</w:t>
            </w:r>
          </w:p>
        </w:tc>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产成品已销售</w:t>
            </w:r>
          </w:p>
        </w:tc>
      </w:tr>
      <w:tr>
        <w:trPr>
          <w:trHeight w:val="353" w:hRule="exact"/>
        </w:trPr>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1"/>
          <w:szCs w:val="21"/>
        </w:rPr>
      </w:pPr>
    </w:p>
    <w:p>
      <w:pPr>
        <w:pStyle w:val="BodyText"/>
        <w:spacing w:line="300" w:lineRule="auto" w:before="44"/>
        <w:ind w:left="153" w:right="0" w:firstLine="480"/>
        <w:jc w:val="left"/>
      </w:pPr>
      <w:r>
        <w:rPr>
          <w:rFonts w:ascii="Times New Roman" w:hAnsi="Times New Roman" w:cs="Times New Roman" w:eastAsia="Times New Roman" w:hint="default"/>
          <w:spacing w:val="-1"/>
        </w:rPr>
        <w:t>2014</w:t>
      </w:r>
      <w:r>
        <w:rPr>
          <w:spacing w:val="-1"/>
        </w:rPr>
        <w:t>年度计提存货跌价准备的产成品主要为客退不良品、产线不良品；由于产品的更新换代，导致公司部分前期备料</w:t>
      </w:r>
      <w:r>
        <w:rPr/>
        <w:t> 变为呆滞料，上述原因使存货可变现净值低于存货成本。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0"/>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存货年末余额中无借款费用资本化金额。</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4）期末建造合同形成的已完工未结算资产情况" w:id="254"/>
      <w:bookmarkEnd w:id="25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bookmarkStart w:name="11、划分为持有待售的资产" w:id="255"/>
      <w:bookmarkEnd w:id="255"/>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12、一年内到期的非流动资产" w:id="256"/>
      <w:bookmarkEnd w:id="25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2,396,919.77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1,991,158.66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2,396,919.77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1,991,158.66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57"/>
      <w:bookmarkEnd w:id="25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预交税款及待抵扣增值税进项税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12,695,716.67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13,195,716.67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58"/>
      <w:bookmarkEnd w:id="25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12,125,860.00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54" w:right="0"/>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8"/>
              <w:jc w:val="both"/>
              <w:rPr>
                <w:rFonts w:ascii="宋体" w:hAnsi="宋体" w:cs="宋体" w:eastAsia="宋体" w:hint="default"/>
                <w:sz w:val="18"/>
                <w:szCs w:val="18"/>
              </w:rPr>
            </w:pPr>
            <w:r>
              <w:rPr>
                <w:rFonts w:ascii="宋体" w:hAnsi="宋体" w:cs="宋体" w:eastAsia="宋体" w:hint="default"/>
                <w:sz w:val="18"/>
                <w:szCs w:val="18"/>
              </w:rPr>
              <w:t>河南弘康 茂硕新能 源科技有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7"/>
              <w:jc w:val="left"/>
              <w:rPr>
                <w:rFonts w:ascii="Times New Roman" w:hAnsi="Times New Roman" w:cs="Times New Roman" w:eastAsia="Times New Roman" w:hint="default"/>
                <w:sz w:val="18"/>
                <w:szCs w:val="18"/>
              </w:rPr>
            </w:pPr>
            <w:r>
              <w:rPr>
                <w:rFonts w:ascii="Times New Roman"/>
                <w:sz w:val="18"/>
              </w:rPr>
              <w:t>Brilliant</w:t>
            </w:r>
            <w:r>
              <w:rPr>
                <w:rFonts w:ascii="Times New Roman"/>
                <w:w w:val="99"/>
                <w:sz w:val="18"/>
              </w:rPr>
              <w:t> </w:t>
            </w:r>
            <w:r>
              <w:rPr>
                <w:rFonts w:ascii="Times New Roman"/>
                <w:sz w:val="18"/>
              </w:rPr>
              <w:t>Info</w:t>
            </w:r>
            <w:r>
              <w:rPr>
                <w:rFonts w:ascii="Times New Roman"/>
                <w:w w:val="99"/>
                <w:sz w:val="18"/>
              </w:rPr>
              <w:t> </w:t>
            </w:r>
            <w:r>
              <w:rPr>
                <w:rFonts w:ascii="Times New Roman"/>
                <w:sz w:val="18"/>
              </w:rPr>
              <w:t>Corporatio</w:t>
            </w:r>
            <w:r>
              <w:rPr>
                <w:rFonts w:ascii="Times New Roman"/>
                <w:w w:val="99"/>
                <w:sz w:val="18"/>
              </w:rPr>
              <w:t> </w:t>
            </w:r>
            <w:r>
              <w:rPr>
                <w:rFonts w:ascii="Times New Roman"/>
                <w:sz w:val="18"/>
              </w:rPr>
              <w:t>n</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5"/>
              <w:jc w:val="left"/>
              <w:rPr>
                <w:rFonts w:ascii="Times New Roman" w:hAnsi="Times New Roman" w:cs="Times New Roman" w:eastAsia="Times New Roman" w:hint="default"/>
                <w:sz w:val="18"/>
                <w:szCs w:val="18"/>
              </w:rPr>
            </w:pPr>
            <w:r>
              <w:rPr>
                <w:rFonts w:ascii="Times New Roman"/>
                <w:spacing w:val="-2"/>
                <w:sz w:val="18"/>
              </w:rPr>
              <w:t>glamorsky,</w:t>
            </w:r>
            <w:r>
              <w:rPr>
                <w:rFonts w:ascii="Times New Roman"/>
                <w:spacing w:val="-38"/>
                <w:sz w:val="18"/>
              </w:rPr>
              <w:t> </w:t>
            </w:r>
            <w:r>
              <w:rPr>
                <w:rFonts w:ascii="Times New Roman"/>
                <w:spacing w:val="-38"/>
                <w:sz w:val="18"/>
              </w:rPr>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9,125,860.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12,125,860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54" w:right="0"/>
        <w:jc w:val="left"/>
        <w:rPr>
          <w:b w:val="0"/>
          <w:bCs w:val="0"/>
        </w:rPr>
      </w:pPr>
      <w:bookmarkStart w:name="（4）报告期内可供出售金融资产减值的变动情况" w:id="262"/>
      <w:bookmarkEnd w:id="26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2"/>
        <w:ind w:left="153" w:right="4093"/>
        <w:jc w:val="left"/>
      </w:pPr>
      <w:r>
        <w:rPr/>
        <w:t>其他说明 本年无可供出售权益工具年末公允价值严重下跌或非暂时性下跌但未计提减值准备。</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5、持有至到期投资" w:id="264"/>
      <w:bookmarkEnd w:id="26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5"/>
      <w:bookmarkEnd w:id="26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重要的持有至到期投资" w:id="266"/>
      <w:bookmarkEnd w:id="26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重分类的持有至到期投资" w:id="267"/>
      <w:bookmarkEnd w:id="26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应收款情况" w:id="269"/>
      <w:bookmarkEnd w:id="26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因金融资产转移而终止确认的长期应收款" w:id="270"/>
      <w:bookmarkEnd w:id="27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转移长期应收款且继续涉入形成的资产、负债金额" w:id="271"/>
      <w:bookmarkEnd w:id="27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长期股权投资" w:id="272"/>
      <w:bookmarkEnd w:id="27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1,674,843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9,797.89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18,567,02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-179,012.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17,609,16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深圳市连 硕自动化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20,789,50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4,157,900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深圳茂硕 投资发展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43,916.89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4,543,916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国利英核 </w:t>
            </w:r>
            <w:r>
              <w:rPr>
                <w:rFonts w:ascii="Times New Roman" w:hAnsi="Times New Roman" w:cs="Times New Roman" w:eastAsia="Times New Roman" w:hint="default"/>
                <w:sz w:val="18"/>
                <w:szCs w:val="18"/>
              </w:rPr>
              <w:t>(</w:t>
            </w:r>
            <w:r>
              <w:rPr>
                <w:rFonts w:ascii="宋体" w:hAnsi="宋体" w:cs="宋体" w:eastAsia="宋体" w:hint="default"/>
                <w:sz w:val="18"/>
                <w:szCs w:val="18"/>
              </w:rPr>
              <w:t>浙江</w:t>
            </w:r>
            <w:r>
              <w:rPr>
                <w:rFonts w:ascii="Times New Roman" w:hAnsi="Times New Roman" w:cs="Times New Roman" w:eastAsia="Times New Roman" w:hint="default"/>
                <w:sz w:val="18"/>
                <w:szCs w:val="18"/>
              </w:rPr>
              <w:t>)</w:t>
            </w:r>
            <w:r>
              <w:rPr>
                <w:rFonts w:ascii="宋体" w:hAnsi="宋体" w:cs="宋体" w:eastAsia="宋体" w:hint="default"/>
                <w:sz w:val="18"/>
                <w:szCs w:val="18"/>
              </w:rPr>
              <w:t>能 源有限公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-103,848.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1,816,151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20,241,86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27,209,50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-229,146.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4,157,900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20,241,86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27,209,50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-229,146.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4,157,900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投资性房地产" w:id="273"/>
      <w:bookmarkEnd w:id="27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采用成本计量模式的投资性房地产" w:id="274"/>
      <w:bookmarkEnd w:id="27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采用公允价值计量模式的投资性房地产" w:id="275"/>
      <w:bookmarkEnd w:id="27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未办妥产权证书的投资性房地产情况" w:id="276"/>
      <w:bookmarkEnd w:id="27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9、固定资产" w:id="277"/>
      <w:bookmarkEnd w:id="27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78"/>
      <w:bookmarkEnd w:id="27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20,196,282.90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24,203,957.50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10,595,278.66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54,995,519.06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232,030,643.14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7,151,151.00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2,268,152.31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113,008,781.55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354,458,728.00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21,344,528.00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5,535,766.37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2,045,930.07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9,533,001.40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38,459,225.84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210,686,115.14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1,615,384.63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222,222.24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103,475,780.15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315,999,502.16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214,070.92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1,053,249.90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673,749.72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1,941,070.54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214,070.92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1,053,249.90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673,749.72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1,941,070.54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232,030,643.14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27,133,362.98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25,418,859.91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122,930,310.49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407,513,176.52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6,149,820.61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13,782,924.07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5,371,102.89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25,303,847.57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1,179,842.26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2,939,458.28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3,491,080.69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1,783,079.41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9,393,460.64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1,179,842.26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2,939,458.28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3,491,080.69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1,783,079.41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9,393,460.64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306,920.57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194,705.83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632,171.09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1,133,797.49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306,920.57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194,705.83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632,171.09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1,133,797.49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1,179,842.26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8,782,358.32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17,079,298.93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6,522,011.21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33,563,510.72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230,850,800.88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18,351,004.66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8,339,560.98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116,408,299.28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373,949,665.80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14,046,462.29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10,421,033.43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5,224,175.77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29,691,671.49</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暂时闲置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通过融资租赁租入的固定资产情况" w:id="280"/>
      <w:bookmarkEnd w:id="28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通过经营租赁租出的固定资产" w:id="281"/>
      <w:bookmarkEnd w:id="28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5）未办妥产权证书的固定资产情况" w:id="282"/>
      <w:bookmarkEnd w:id="28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菁英家园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21,344,528.00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人才安居工程，目前尚无法办理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惠州厂房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209,506,272.88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Times New Roman" w:hAnsi="Times New Roman" w:cs="Times New Roman" w:eastAsia="Times New Roman" w:hint="default"/>
                <w:sz w:val="18"/>
                <w:szCs w:val="18"/>
              </w:rPr>
              <w:t>-</w:t>
            </w:r>
            <w:r>
              <w:rPr>
                <w:rFonts w:ascii="宋体" w:hAnsi="宋体" w:cs="宋体" w:eastAsia="宋体" w:hint="default"/>
                <w:sz w:val="18"/>
                <w:szCs w:val="18"/>
              </w:rPr>
              <w:t>汽车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896,734.68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临近报表日购买，办理中</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0、在建工程" w:id="283"/>
      <w:bookmarkEnd w:id="28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建工程情况" w:id="284"/>
      <w:bookmarkEnd w:id="28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惠州茂硕产业基 地主体工程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116,292,616.77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116,292,616.77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自动线设备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1,486,250.62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1,486,250.62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1,615,384.63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1,615,384.63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电子负载老化测 试设备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节能老化房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838,899.14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838,899.14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245,299.14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245,299.14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远荣工业机器人 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1,641,025.60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1,641,025.60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装修配套工程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电梯安装工程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2,374,445.00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2,374,445.00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7,840,620.36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7,840,620.36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118,486,633.90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118,486,633.90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在建工程项目本期变动情况" w:id="285"/>
      <w:bookmarkEnd w:id="28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惠州茂 硕产业 基地主 体工程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210,686,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116,292,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616.77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94,393,4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210,686,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210,686,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116,292,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616.77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94,393,4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210,686,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计提在建工程减值准备情况" w:id="286"/>
      <w:bookmarkEnd w:id="28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工程物资" w:id="287"/>
      <w:bookmarkEnd w:id="28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288"/>
      <w:bookmarkEnd w:id="28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289"/>
      <w:bookmarkEnd w:id="28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0"/>
      <w:bookmarkEnd w:id="29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采用公允价值计量模式的生产性生物资产" w:id="291"/>
      <w:bookmarkEnd w:id="29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4、油气资产" w:id="292"/>
      <w:bookmarkEnd w:id="29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5、无形资产" w:id="293"/>
      <w:bookmarkEnd w:id="29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294"/>
      <w:bookmarkEnd w:id="29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9,399,810.38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19,743,832.15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1,329,913.23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684,957.26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2,014,870.49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684,957.26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684,957.26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1,329,913.23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1,329,913.23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1,689,913.23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10,084,767.64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21,758,702.64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645,992.35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112,666.70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4,484,095.61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5,257,754.66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197,313.88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116,330.44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1,658,852.22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2,032,496.54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197,313.88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116,330.44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1,658,852.22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2,032,496.54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228,997.14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6,142,947.83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7,290,251.20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8,840,715.54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1,460,916.09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3,941,819.81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14,468,451.44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9,038,029.42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247,333.30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4,915,714.77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14,486,077.49</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9.19%</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95"/>
      <w:bookmarkEnd w:id="29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left="153" w:right="8053"/>
        <w:jc w:val="left"/>
      </w:pPr>
      <w:r>
        <w:rPr/>
        <w:t>其他说明： 无未办妥产权证书的土地使用权。</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6、开发支出" w:id="296"/>
      <w:bookmarkEnd w:id="29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高性能中大功 率光伏逆变器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1,414,198.66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1,329,913.23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84,285.43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中小型离网及</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630,284.21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630,284.21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67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1"/>
              <w:jc w:val="left"/>
              <w:rPr>
                <w:rFonts w:ascii="宋体" w:hAnsi="宋体" w:cs="宋体" w:eastAsia="宋体" w:hint="default"/>
                <w:sz w:val="18"/>
                <w:szCs w:val="18"/>
              </w:rPr>
            </w:pPr>
            <w:r>
              <w:rPr>
                <w:rFonts w:ascii="宋体" w:hAnsi="宋体" w:cs="宋体" w:eastAsia="宋体" w:hint="default"/>
                <w:sz w:val="18"/>
                <w:szCs w:val="18"/>
              </w:rPr>
              <w:t>储能智能光伏 发电系统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模块化大功率 新能源智能充 电机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65,722.88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65,722.88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2,110,205.75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1,329,913.23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780,292.52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商誉" w:id="297"/>
      <w:bookmarkEnd w:id="297"/>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商誉账面原值" w:id="298"/>
      <w:bookmarkEnd w:id="29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10,451,110.03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10,451,110.03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商誉减值准备" w:id="299"/>
      <w:bookmarkEnd w:id="29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6072"/>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28、长期待摊费用" w:id="300"/>
      <w:bookmarkEnd w:id="30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197,208.89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6,531,418.34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1,441,615.41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450,314.77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4,836,697.05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2,943,314.39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2,469,889.08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1,034,769.56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323,229.07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4,055,204.84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3,153,023.28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9,001,307.42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2,488,884.97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773,543.84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8,891,901.89</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9、递延所得税资产/递延所得税负债" w:id="301"/>
      <w:bookmarkEnd w:id="30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02"/>
      <w:bookmarkEnd w:id="30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28,986,916.71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4,420,632.09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14,687,448.27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2,656,921.33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5,118,849.46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1,279,712.37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-1,664.39</w:t>
            </w:r>
            <w:r>
              <w:rPr>
                <w:rFonts w:ascii="Times New Roman"/>
                <w:sz w:val="18"/>
              </w:rPr>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62,426,013.89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10,813,333.17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16,992,646.05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4,137,797.62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61,186.61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15,296.65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96,592,966.67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16,528,974.28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31,668,998.40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6,793,054.56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经抵销的递延所得税负债" w:id="303"/>
      <w:bookmarkEnd w:id="30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3,654,795.71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548,219.36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1,484,421.88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222,663.28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3,654,795.71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548,219.36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1,484,421.88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222,663.28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以抵销后净额列示的递延所得税资产或负债" w:id="304"/>
      <w:bookmarkEnd w:id="30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16,528,974.28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6,793,054.56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548,219.36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222,663.28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确认递延所得税资产明细" w:id="305"/>
      <w:bookmarkEnd w:id="30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7,758,276.42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7,758,276.42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确认递延所得税资产的可抵扣亏损将于以下年度到期" w:id="306"/>
      <w:bookmarkEnd w:id="30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383,630.35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724,273.74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3,282,607.12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2,041,384.23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1,326,380.98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7,758,276.42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07"/>
      <w:bookmarkEnd w:id="30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预付建设款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23,471,960.00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2,830,292.24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1,576,341.34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2,830,292.24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25,048,301.34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短期借款" w:id="308"/>
      <w:bookmarkEnd w:id="30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借款分类" w:id="309"/>
      <w:bookmarkEnd w:id="30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18,454,904.00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133,394,904.00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已逾期未偿还的短期借款情况" w:id="310"/>
      <w:bookmarkEnd w:id="31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2、以公允价值计量且其变动计入当期损益的金融负债" w:id="311"/>
      <w:bookmarkEnd w:id="31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12"/>
      <w:bookmarkEnd w:id="31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13"/>
      <w:bookmarkEnd w:id="31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83,635,471.42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64,697,918.54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83,635,471.42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64,697,918.54</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35、应付账款" w:id="314"/>
      <w:bookmarkEnd w:id="31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315"/>
      <w:bookmarkEnd w:id="31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193,236,314.66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182,942,972.37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160,959.54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375,618.65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57,740.62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16,674.24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193,459,858.86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183,335,931.06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应付账款" w:id="316"/>
      <w:bookmarkEnd w:id="31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预收款项" w:id="317"/>
      <w:bookmarkEnd w:id="31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318"/>
      <w:bookmarkEnd w:id="31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9,827,764.05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7,856,411.75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1,107,458.07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307,228.35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228,183.77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11,163,405.89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8,163,640.10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319"/>
      <w:bookmarkEnd w:id="3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建造合同形成的已结算未完工项目情况" w:id="320"/>
      <w:bookmarkEnd w:id="32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21"/>
      <w:bookmarkEnd w:id="32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322"/>
      <w:bookmarkEnd w:id="32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13,017,442.10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145,480,018.79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149,128,368.42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9,369,092.47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8,452,088.31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8,452,088.31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13,017,442.10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153,932,107.10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157,580,456.73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9,369,092.47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323"/>
      <w:bookmarkEnd w:id="32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13,017,442.10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137,704,803.15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141,353,152.78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9,369,092.47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3,135,795.00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3,135,795.00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1,335,006.46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1,335,006.46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1,011,491.67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1,011,491.67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238,374.41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238,374.41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85,140.38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85,140.38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3,263,439.12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3,263,439.12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40,975.06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40,975.06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13,017,442.10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145,480,018.79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149,128,368.42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9,369,092.47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设定提存计划列示" w:id="324"/>
      <w:bookmarkEnd w:id="32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7,877,684.75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7,877,684.75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574,403.56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574,403.56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8,452,088.31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8,452,088.31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应交税费" w:id="325"/>
      <w:bookmarkEnd w:id="32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1,915,601.11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475,379.61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162,404.02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-1,841,101.20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379,915.67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354,464.95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153,580.32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65,820.14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27,521.49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43,880.09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48,918.59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64,683.69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2,670,356.46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-672,037.17</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应付利息" w:id="326"/>
      <w:bookmarkEnd w:id="32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769,602.11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769,602.11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tc>
      </w:tr>
    </w:tbl>
    <w:p>
      <w:pPr>
        <w:pStyle w:val="BodyText"/>
        <w:spacing w:line="240" w:lineRule="auto" w:before="51"/>
        <w:ind w:right="0"/>
        <w:jc w:val="left"/>
      </w:pPr>
      <w:r>
        <w:rPr/>
        <w:t>重要的已逾期未支付的利息情况：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应付股利" w:id="327"/>
      <w:bookmarkEnd w:id="32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28"/>
      <w:bookmarkEnd w:id="32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329"/>
      <w:bookmarkEnd w:id="32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3,615,519.46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7,465,703.03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79,375.36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79,061.36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73,292.46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72,060.93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4,511,544.82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7,977,081.78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其他应付款"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2、划分为持有待售的负债" w:id="331"/>
      <w:bookmarkEnd w:id="33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32"/>
      <w:bookmarkEnd w:id="33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4、其他流动负债" w:id="333"/>
      <w:bookmarkEnd w:id="33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长期借款" w:id="334"/>
      <w:bookmarkEnd w:id="33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借款分类" w:id="335"/>
      <w:bookmarkEnd w:id="33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46、应付债券" w:id="336"/>
      <w:bookmarkEnd w:id="33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债券" w:id="337"/>
      <w:bookmarkEnd w:id="33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债券的增减变动（上包括划分为金融负债的优先股、永续债等其他金融工具）" w:id="338"/>
      <w:bookmarkEnd w:id="33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可转换公司债券的转股条件、转股时间说明" w:id="339"/>
      <w:bookmarkEnd w:id="33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4）划分为金融负债的其他金融工具说明" w:id="340"/>
      <w:bookmarkEnd w:id="34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7513"/>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7、长期应付款" w:id="341"/>
      <w:bookmarkEnd w:id="34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长期应付款" w:id="342"/>
      <w:bookmarkEnd w:id="34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43"/>
      <w:bookmarkEnd w:id="34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4"/>
      <w:bookmarkEnd w:id="34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设定受益计划变动情况" w:id="345"/>
      <w:bookmarkEnd w:id="34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9、专项应付款" w:id="346"/>
      <w:bookmarkEnd w:id="34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0、预计负债" w:id="347"/>
      <w:bookmarkEnd w:id="34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61,186.61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部分产品有五年保修期</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61,186.61</w:t>
            </w:r>
          </w:p>
        </w:tc>
        <w:tc>
          <w:tcPr>
            <w:tcW w:w="2392" w:type="dxa"/>
            <w:tcBorders>
              <w:top w:val="single" w:sz="4" w:space="0" w:color="000000"/>
              <w:left w:val="single" w:sz="4" w:space="0" w:color="000000"/>
              <w:bottom w:val="single" w:sz="4" w:space="0" w:color="000000"/>
              <w:right w:val="single" w:sz="13"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634" w:right="6072" w:hanging="480"/>
        <w:jc w:val="left"/>
      </w:pPr>
      <w:r>
        <w:rPr/>
        <w:t>其他说明，包括重要预计负债的相关重要假设、估计说明： 公司按附有质保期的产品销售额的</w:t>
      </w:r>
      <w:r>
        <w:rPr>
          <w:rFonts w:ascii="Times New Roman" w:hAnsi="Times New Roman" w:cs="Times New Roman" w:eastAsia="Times New Roman" w:hint="default"/>
        </w:rPr>
        <w:t>0.5%</w:t>
      </w:r>
      <w:r>
        <w:rPr/>
        <w:t>计提质保金。</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left="154" w:right="0"/>
        <w:jc w:val="left"/>
        <w:rPr>
          <w:b w:val="0"/>
          <w:bCs w:val="0"/>
        </w:rPr>
      </w:pPr>
      <w:bookmarkStart w:name="51、递延收益" w:id="348"/>
      <w:bookmarkEnd w:id="34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4,786,800.00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892,108.59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3,894,691.41</w:t>
            </w:r>
          </w:p>
        </w:tc>
        <w:tc>
          <w:tcPr>
            <w:tcW w:w="1595"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大功率智能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 源驱动生产项目</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4,786,800.00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892,108.59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3,894,691.41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大功率智能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电源驱动生产项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4,786,800.00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892,108.59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3,894,691.41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892,108.59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3,894,691.41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right="1130" w:firstLine="480"/>
        <w:jc w:val="both"/>
      </w:pPr>
      <w:r>
        <w:rPr/>
        <w:t>根据粤发改产业【</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419</w:t>
      </w:r>
      <w:r>
        <w:rPr/>
        <w:t>号、发改投资【</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1120</w:t>
      </w:r>
      <w:r>
        <w:rPr/>
        <w:t>号文件，国家计划投资</w:t>
      </w:r>
      <w:r>
        <w:rPr>
          <w:rFonts w:ascii="Times New Roman" w:hAnsi="Times New Roman" w:cs="Times New Roman" w:eastAsia="Times New Roman" w:hint="default"/>
        </w:rPr>
        <w:t>1,062</w:t>
      </w:r>
      <w:r>
        <w:rPr/>
        <w:t>万元用于惠州茂硕能源科技有限 公司大功率智能</w:t>
      </w:r>
      <w:r>
        <w:rPr>
          <w:rFonts w:ascii="Times New Roman" w:hAnsi="Times New Roman" w:cs="Times New Roman" w:eastAsia="Times New Roman" w:hint="default"/>
        </w:rPr>
        <w:t>LED</w:t>
      </w:r>
      <w:r>
        <w:rPr/>
        <w:t>电源驱动生产项目，本年因该项目共计向政府申请投资补贴</w:t>
      </w:r>
      <w:r>
        <w:rPr>
          <w:rFonts w:ascii="Times New Roman" w:hAnsi="Times New Roman" w:cs="Times New Roman" w:eastAsia="Times New Roman" w:hint="default"/>
        </w:rPr>
        <w:t>4,786,800.00</w:t>
      </w:r>
      <w:r>
        <w:rPr/>
        <w:t>，确定为递延收益。购进资产</w:t>
      </w:r>
      <w:r>
        <w:rPr>
          <w:spacing w:val="-39"/>
        </w:rPr>
        <w:t> </w:t>
      </w:r>
      <w:r>
        <w:rPr>
          <w:spacing w:val="-39"/>
        </w:rPr>
      </w:r>
      <w:r>
        <w:rPr/>
        <w:t>对应的进项税</w:t>
      </w:r>
      <w:r>
        <w:rPr>
          <w:rFonts w:ascii="Times New Roman" w:hAnsi="Times New Roman" w:cs="Times New Roman" w:eastAsia="Times New Roman" w:hint="default"/>
        </w:rPr>
        <w:t>822,102.63</w:t>
      </w:r>
      <w:r>
        <w:rPr/>
        <w:t>在当期确认为营业外收入，资产在本年摊销额</w:t>
      </w:r>
      <w:r>
        <w:rPr>
          <w:rFonts w:ascii="Times New Roman" w:hAnsi="Times New Roman" w:cs="Times New Roman" w:eastAsia="Times New Roman" w:hint="default"/>
        </w:rPr>
        <w:t>70,005.95</w:t>
      </w:r>
      <w:r>
        <w:rPr/>
        <w:t>元计入当期营业外收入。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4" w:right="0"/>
        <w:jc w:val="left"/>
        <w:rPr>
          <w:b w:val="0"/>
          <w:bCs w:val="0"/>
        </w:rPr>
      </w:pPr>
      <w:bookmarkStart w:name="52、其他非流动负债" w:id="349"/>
      <w:bookmarkEnd w:id="34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建设资助款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1,500,000.02</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全数字高效智能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驱动电源及系统 的研究开发及应用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3、股本" w:id="350"/>
      <w:bookmarkEnd w:id="35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194,160,000.00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58,248,000.00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58,248,000.00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252,408,000.00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4、其他权益工具" w:id="351"/>
      <w:bookmarkEnd w:id="35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期末发行在外的优先股、永续债等其他金融工具基本情况" w:id="352"/>
      <w:bookmarkEnd w:id="35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期末发行在外的优先股、永续债等金融工具变动情况表" w:id="353"/>
      <w:bookmarkEnd w:id="35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54"/>
      <w:bookmarkEnd w:id="35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317,043,178.28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258,795,178.28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13,394,486.97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13,394,486.97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 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22,178,773.80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778,844.03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21,399,929.77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330,437,665.25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22,178,773.80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59,026,844.03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293,589,595.02</w:t>
            </w:r>
          </w:p>
        </w:tc>
      </w:tr>
    </w:tbl>
    <w:p>
      <w:pPr>
        <w:pStyle w:val="BodyText"/>
        <w:spacing w:line="240" w:lineRule="auto" w:before="51"/>
        <w:ind w:right="0"/>
        <w:jc w:val="left"/>
      </w:pPr>
      <w:r>
        <w:rPr/>
        <w:t>其他说明，包括本期增减变动情况、变动原因说明：</w:t>
      </w:r>
    </w:p>
    <w:p>
      <w:pPr>
        <w:pStyle w:val="BodyText"/>
        <w:spacing w:line="300" w:lineRule="auto" w:before="116"/>
        <w:ind w:left="153" w:right="1033" w:firstLine="4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日，公司召开的</w:t>
      </w:r>
      <w:r>
        <w:rPr>
          <w:rFonts w:ascii="Times New Roman" w:hAnsi="Times New Roman" w:cs="Times New Roman" w:eastAsia="Times New Roman" w:hint="default"/>
        </w:rPr>
        <w:t>2013</w:t>
      </w:r>
      <w:r>
        <w:rPr/>
        <w:t>年年度股东大会审议通过了《关于公司</w:t>
      </w:r>
      <w:r>
        <w:rPr>
          <w:rFonts w:ascii="Times New Roman" w:hAnsi="Times New Roman" w:cs="Times New Roman" w:eastAsia="Times New Roman" w:hint="default"/>
        </w:rPr>
        <w:t>2013</w:t>
      </w:r>
      <w:r>
        <w:rPr/>
        <w:t>年度利润分配的议案》，同意公司 </w:t>
      </w:r>
      <w:r>
        <w:rPr>
          <w:rFonts w:ascii="Times New Roman" w:hAnsi="Times New Roman" w:cs="Times New Roman" w:eastAsia="Times New Roman" w:hint="default"/>
          <w:spacing w:val="-2"/>
        </w:rPr>
        <w:t>2013</w:t>
      </w:r>
      <w:r>
        <w:rPr>
          <w:spacing w:val="-2"/>
        </w:rPr>
        <w:t>年度利润分配方案：</w:t>
      </w:r>
      <w:r>
        <w:rPr>
          <w:rFonts w:ascii="Times New Roman" w:hAnsi="Times New Roman" w:cs="Times New Roman" w:eastAsia="Times New Roman" w:hint="default"/>
          <w:spacing w:val="-2"/>
        </w:rPr>
        <w:t>“</w:t>
      </w:r>
      <w:r>
        <w:rPr>
          <w:spacing w:val="-2"/>
        </w:rPr>
        <w:t>以公司总股本</w:t>
      </w:r>
      <w:r>
        <w:rPr>
          <w:rFonts w:ascii="Times New Roman" w:hAnsi="Times New Roman" w:cs="Times New Roman" w:eastAsia="Times New Roman" w:hint="default"/>
          <w:spacing w:val="-2"/>
        </w:rPr>
        <w:t>19,416</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0.30</w:t>
      </w:r>
      <w:r>
        <w:rPr>
          <w:spacing w:val="-2"/>
        </w:rPr>
        <w:t>元人民币（含税）；同时进</w:t>
      </w:r>
      <w:r>
        <w:rPr>
          <w:spacing w:val="-42"/>
        </w:rPr>
        <w:t> </w:t>
      </w:r>
      <w:r>
        <w:rPr>
          <w:spacing w:val="-42"/>
        </w:rPr>
      </w:r>
      <w:r>
        <w:rPr/>
        <w:t>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股，转增后公司总股本增加至</w:t>
      </w:r>
      <w:r>
        <w:rPr>
          <w:rFonts w:ascii="Times New Roman" w:hAnsi="Times New Roman" w:cs="Times New Roman" w:eastAsia="Times New Roman" w:hint="default"/>
        </w:rPr>
        <w:t>25,240.80</w:t>
      </w:r>
      <w:r>
        <w:rPr/>
        <w:t>万股，资本公积减少</w:t>
      </w:r>
      <w:r>
        <w:rPr>
          <w:rFonts w:ascii="Times New Roman" w:hAnsi="Times New Roman" w:cs="Times New Roman" w:eastAsia="Times New Roman" w:hint="default"/>
        </w:rPr>
        <w:t>5,824.80</w:t>
      </w:r>
      <w:r>
        <w:rPr/>
        <w:t>万元。 变更后的累计注册资本为人民币</w:t>
      </w:r>
      <w:r>
        <w:rPr>
          <w:rFonts w:ascii="Times New Roman" w:hAnsi="Times New Roman" w:cs="Times New Roman" w:eastAsia="Times New Roman" w:hint="default"/>
        </w:rPr>
        <w:t>25,240.80</w:t>
      </w:r>
      <w:r>
        <w:rPr/>
        <w:t>万元，本次增资业经瑞华会计师事务所（特殊普通合伙）出具的瑞华验字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48090110</w:t>
      </w:r>
      <w:r>
        <w:rPr/>
        <w:t>号验资报告审验在案。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日，深圳市市场监督管理局核准了本次增资变更登记；</w:t>
      </w:r>
    </w:p>
    <w:p>
      <w:pPr>
        <w:pStyle w:val="BodyText"/>
        <w:spacing w:line="240" w:lineRule="auto" w:before="13"/>
        <w:ind w:left="633" w:right="0"/>
        <w:jc w:val="left"/>
      </w:pPr>
      <w:r>
        <w:rPr/>
        <w:t>（</w:t>
      </w:r>
      <w:r>
        <w:rPr>
          <w:rFonts w:ascii="Times New Roman" w:hAnsi="Times New Roman" w:cs="Times New Roman" w:eastAsia="Times New Roman" w:hint="default"/>
        </w:rPr>
        <w:t>2</w:t>
      </w:r>
      <w:r>
        <w:rPr/>
        <w:t>）其他资本公积</w:t>
      </w:r>
      <w:r>
        <w:rPr>
          <w:rFonts w:ascii="Times New Roman" w:hAnsi="Times New Roman" w:cs="Times New Roman" w:eastAsia="Times New Roman" w:hint="default"/>
        </w:rPr>
        <w:t>-</w:t>
      </w:r>
      <w:r>
        <w:rPr/>
        <w:t>其他权益的本期增加为以下在子公司所有者权益份额发生变化所致：</w:t>
      </w:r>
    </w:p>
    <w:p>
      <w:pPr>
        <w:pStyle w:val="BodyText"/>
        <w:spacing w:line="300" w:lineRule="auto" w:before="63"/>
        <w:ind w:right="0" w:firstLine="480"/>
        <w:jc w:val="left"/>
      </w:pPr>
      <w:r>
        <w:rPr>
          <w:rFonts w:ascii="Times New Roman" w:hAnsi="Times New Roman" w:cs="Times New Roman" w:eastAsia="Times New Roman" w:hint="default"/>
          <w:spacing w:val="-1"/>
        </w:rPr>
        <w:t>2014</w:t>
      </w:r>
      <w:r>
        <w:rPr>
          <w:spacing w:val="-1"/>
        </w:rPr>
        <w:t>年度，惠州茂硕引入广东省粤科财政股权投资有限公司投资</w:t>
      </w:r>
      <w:r>
        <w:rPr>
          <w:rFonts w:ascii="Times New Roman" w:hAnsi="Times New Roman" w:cs="Times New Roman" w:eastAsia="Times New Roman" w:hint="default"/>
          <w:spacing w:val="-1"/>
        </w:rPr>
        <w:t>6,000</w:t>
      </w:r>
      <w:r>
        <w:rPr>
          <w:spacing w:val="-1"/>
        </w:rPr>
        <w:t>万元，占比</w:t>
      </w:r>
      <w:r>
        <w:rPr>
          <w:rFonts w:ascii="Times New Roman" w:hAnsi="Times New Roman" w:cs="Times New Roman" w:eastAsia="Times New Roman" w:hint="default"/>
          <w:spacing w:val="-1"/>
        </w:rPr>
        <w:t>10%</w:t>
      </w:r>
      <w:r>
        <w:rPr>
          <w:spacing w:val="-1"/>
        </w:rPr>
        <w:t>，导致本公司在子公司所有者权</w:t>
      </w:r>
      <w:r>
        <w:rPr/>
        <w:t> 益份额增加，合并报表时调增资本公积</w:t>
      </w:r>
      <w:r>
        <w:rPr>
          <w:rFonts w:ascii="Times New Roman" w:hAnsi="Times New Roman" w:cs="Times New Roman" w:eastAsia="Times New Roman" w:hint="default"/>
        </w:rPr>
        <w:t>25,152,871.39</w:t>
      </w:r>
      <w:r>
        <w:rPr/>
        <w:t>元；</w:t>
      </w:r>
    </w:p>
    <w:p>
      <w:pPr>
        <w:pStyle w:val="BodyText"/>
        <w:spacing w:line="240" w:lineRule="auto" w:before="13"/>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年度</w:t>
      </w:r>
      <w:r>
        <w:rPr>
          <w:spacing w:val="-83"/>
        </w:rPr>
        <w:t>，</w:t>
      </w:r>
      <w:r>
        <w:rPr/>
        <w:t>本公司对茂硕新能源增资</w:t>
      </w:r>
      <w:r>
        <w:rPr>
          <w:spacing w:val="-83"/>
        </w:rPr>
        <w:t>，</w:t>
      </w:r>
      <w:r>
        <w:rPr/>
        <w:t>导致本公司在该子公司的所有者权益减少</w:t>
      </w:r>
      <w:r>
        <w:rPr>
          <w:spacing w:val="-83"/>
        </w:rPr>
        <w:t>，</w:t>
      </w:r>
      <w:r>
        <w:rPr/>
        <w:t>合并报表时调减资本公积</w:t>
      </w:r>
      <w:r>
        <w:rPr>
          <w:rFonts w:ascii="Times New Roman" w:hAnsi="Times New Roman" w:cs="Times New Roman" w:eastAsia="Times New Roman" w:hint="default"/>
        </w:rPr>
        <w:t>3,023,08</w:t>
      </w:r>
      <w:r>
        <w:rPr>
          <w:rFonts w:ascii="Times New Roman" w:hAnsi="Times New Roman" w:cs="Times New Roman" w:eastAsia="Times New Roman" w:hint="default"/>
          <w:spacing w:val="-2"/>
        </w:rPr>
        <w:t>6</w:t>
      </w:r>
      <w:r>
        <w:rPr>
          <w:rFonts w:ascii="Times New Roman" w:hAnsi="Times New Roman" w:cs="Times New Roman" w:eastAsia="Times New Roman" w:hint="default"/>
        </w:rPr>
        <w:t>.52</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0"/>
        <w:jc w:val="left"/>
      </w:pPr>
      <w:r>
        <w:rPr/>
        <w:t>元；</w:t>
      </w:r>
    </w:p>
    <w:p>
      <w:pPr>
        <w:pStyle w:val="BodyText"/>
        <w:spacing w:line="240" w:lineRule="auto" w:before="76"/>
        <w:ind w:left="634" w:right="0"/>
        <w:jc w:val="left"/>
      </w:pPr>
      <w:r>
        <w:rPr>
          <w:rFonts w:ascii="Times New Roman" w:hAnsi="Times New Roman" w:cs="Times New Roman" w:eastAsia="Times New Roman" w:hint="default"/>
        </w:rPr>
        <w:t>2014</w:t>
      </w:r>
      <w:r>
        <w:rPr/>
        <w:t>年度，海宁茂硕的其他股东放弃部分出资权，本公司补足，导致本公司在该子公司的所有者权益减少，合并报表</w:t>
      </w:r>
    </w:p>
    <w:p>
      <w:pPr>
        <w:pStyle w:val="BodyText"/>
        <w:spacing w:line="240" w:lineRule="auto" w:before="63"/>
        <w:ind w:left="153" w:right="0"/>
        <w:jc w:val="left"/>
      </w:pPr>
      <w:r>
        <w:rPr/>
        <w:t>时调减资本公积</w:t>
      </w:r>
      <w:r>
        <w:rPr>
          <w:rFonts w:ascii="Times New Roman" w:hAnsi="Times New Roman" w:cs="Times New Roman" w:eastAsia="Times New Roman" w:hint="default"/>
        </w:rPr>
        <w:t>4,359.04</w:t>
      </w:r>
      <w:r>
        <w:rPr/>
        <w:t>元；</w:t>
      </w:r>
    </w:p>
    <w:p>
      <w:pPr>
        <w:pStyle w:val="BodyText"/>
        <w:spacing w:line="300" w:lineRule="auto" w:before="63"/>
        <w:ind w:right="1126" w:firstLine="506"/>
        <w:jc w:val="left"/>
      </w:pPr>
      <w:r>
        <w:rPr>
          <w:rFonts w:ascii="Times New Roman" w:hAnsi="Times New Roman" w:cs="Times New Roman" w:eastAsia="Times New Roman" w:hint="default"/>
        </w:rPr>
        <w:t>2014</w:t>
      </w:r>
      <w:r>
        <w:rPr/>
        <w:t>年度，茂硕电气的控股比例由原</w:t>
      </w:r>
      <w:r>
        <w:rPr>
          <w:rFonts w:ascii="Times New Roman" w:hAnsi="Times New Roman" w:cs="Times New Roman" w:eastAsia="Times New Roman" w:hint="default"/>
        </w:rPr>
        <w:t>80%</w:t>
      </w:r>
      <w:r>
        <w:rPr/>
        <w:t>变更为</w:t>
      </w:r>
      <w:r>
        <w:rPr>
          <w:rFonts w:ascii="Times New Roman" w:hAnsi="Times New Roman" w:cs="Times New Roman" w:eastAsia="Times New Roman" w:hint="default"/>
        </w:rPr>
        <w:t>70%</w:t>
      </w:r>
      <w:r>
        <w:rPr/>
        <w:t>，导致本公司在该子公司的所有者权益增加，合并报表时调增资 本公积</w:t>
      </w:r>
      <w:r>
        <w:rPr>
          <w:rFonts w:ascii="Times New Roman" w:hAnsi="Times New Roman" w:cs="Times New Roman" w:eastAsia="Times New Roman" w:hint="default"/>
        </w:rPr>
        <w:t>53,347.97</w:t>
      </w:r>
      <w:r>
        <w:rPr/>
        <w:t>元。</w:t>
      </w:r>
    </w:p>
    <w:p>
      <w:pPr>
        <w:pStyle w:val="BodyText"/>
        <w:spacing w:line="240" w:lineRule="auto" w:before="13"/>
        <w:ind w:left="633" w:right="0"/>
        <w:jc w:val="left"/>
      </w:pPr>
      <w:r>
        <w:rPr/>
        <w:t>（</w:t>
      </w:r>
      <w:r>
        <w:rPr>
          <w:rFonts w:ascii="Times New Roman" w:hAnsi="Times New Roman" w:cs="Times New Roman" w:eastAsia="Times New Roman" w:hint="default"/>
        </w:rPr>
        <w:t>3</w:t>
      </w:r>
      <w:r>
        <w:rPr/>
        <w:t>）其他资本公积</w:t>
      </w:r>
      <w:r>
        <w:rPr>
          <w:rFonts w:ascii="Times New Roman" w:hAnsi="Times New Roman" w:cs="Times New Roman" w:eastAsia="Times New Roman" w:hint="default"/>
        </w:rPr>
        <w:t>-</w:t>
      </w:r>
      <w:r>
        <w:rPr/>
        <w:t>其他权益的本期减少系对联营企业深圳市通新源物业管理有限公司持股比例变更产生。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56、库存股" w:id="355"/>
      <w:bookmarkEnd w:id="35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7、其他综合收益" w:id="356"/>
      <w:bookmarkEnd w:id="35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专项储备" w:id="357"/>
      <w:bookmarkEnd w:id="35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9、盈余公积" w:id="358"/>
      <w:bookmarkEnd w:id="35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19,006,430.91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r>
    </w:tbl>
    <w:p>
      <w:pPr>
        <w:pStyle w:val="BodyText"/>
        <w:spacing w:line="240" w:lineRule="auto" w:before="51"/>
        <w:ind w:right="0"/>
        <w:jc w:val="left"/>
      </w:pPr>
      <w:r>
        <w:rPr/>
        <w:t>盈余公积说明，包括本期增减变动情况、变动原因说明：</w:t>
      </w:r>
    </w:p>
    <w:p>
      <w:pPr>
        <w:pStyle w:val="BodyText"/>
        <w:spacing w:line="300" w:lineRule="auto" w:before="116"/>
        <w:ind w:right="1026"/>
        <w:jc w:val="left"/>
      </w:pPr>
      <w:r>
        <w:rPr>
          <w:spacing w:val="-2"/>
        </w:rPr>
        <w:t>根据公司法、章程的规定，本公司按净利润的</w:t>
      </w:r>
      <w:r>
        <w:rPr>
          <w:rFonts w:ascii="Times New Roman" w:hAnsi="Times New Roman" w:cs="Times New Roman" w:eastAsia="Times New Roman" w:hint="default"/>
          <w:spacing w:val="-2"/>
        </w:rPr>
        <w:t>10%</w:t>
      </w:r>
      <w:r>
        <w:rPr>
          <w:spacing w:val="-2"/>
        </w:rPr>
        <w:t>提取法定盈余公积金。法定盈余公积累计额为本公司注册资本</w:t>
      </w:r>
      <w:r>
        <w:rPr>
          <w:rFonts w:ascii="Times New Roman" w:hAnsi="Times New Roman" w:cs="Times New Roman" w:eastAsia="Times New Roman" w:hint="default"/>
          <w:spacing w:val="-2"/>
        </w:rPr>
        <w:t>50%</w:t>
      </w:r>
      <w:r>
        <w:rPr>
          <w:spacing w:val="-2"/>
        </w:rPr>
        <w:t>以上的，</w:t>
      </w:r>
      <w:r>
        <w:rPr/>
        <w:t> 可不再提取。</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0、未分配利润" w:id="359"/>
      <w:bookmarkEnd w:id="35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129,162,132.06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129,162,132.06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-47,859,425.18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24,922,433.33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2,142,166.67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9,863,180.00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60"/>
      <w:bookmarkEnd w:id="36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627,041,968.49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533,261,123.58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605,401,658.13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477,708,550.50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2,586,444.73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1,354,859.05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89,543.89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628,224,567.94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535,847,568.31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606,756,517.18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477,798,094.39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2、营业税金及附加" w:id="361"/>
      <w:bookmarkEnd w:id="36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162,404.02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2,154,390.92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2,251,241.13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924,006.81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964,817.63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616,004.55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643,211.75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3,856,806.30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3,859,270.51</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3、销售费用" w:id="362"/>
      <w:bookmarkEnd w:id="36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21,094,355.23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16,570,507.71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售后品质费用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8,482,573.32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6,017,359.38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4,404,112.25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3,724,284.62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2,667,488.47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2,611,839.49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4,760,299.31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低值易耗品与材料费用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2,535,362.33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1,842,628.39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2,306,333.68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2,133,542.18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1,700,561.61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819,556.69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1,208,170.00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250,620.00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1,844,580.00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4,281,936.95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3,493,443.30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54,213,396.61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38,538,158.30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63"/>
      <w:bookmarkEnd w:id="36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43,728,999.22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31,345,475.79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19,234,083.76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14,862,750.04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4,175,955.39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2,876,834.94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2,950,549.79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2,455,594.07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2,791,316.64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2,116,758.69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1,314,857.88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1,667,847.76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1,995,778.49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1,293,592.62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960,026.11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1,187,415.39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1,037,453.96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1,090,804.99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14,731,573.80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8,956,857.96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92,920,595.04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67,853,932.25</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5、财务费用" w:id="364"/>
      <w:bookmarkEnd w:id="36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4,761,706.34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1,201,680.60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2,891,940.92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6,017,750.77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338,747.23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5,132,982.46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-498,056.90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161,919.14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-327,489.05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-119,702.89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1,382,966.70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359,128.54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65"/>
      <w:bookmarkEnd w:id="36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8,537,126.84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8,232,128.28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8,859,111.54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2,067,733.40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17,396,238.38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10,299,861.68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66"/>
      <w:bookmarkEnd w:id="36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2,170,373.83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2,170,373.83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1,484,421.88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67"/>
      <w:bookmarkEnd w:id="36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551,680.10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4,157,900.00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97,405.07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外汇套期保值投资收益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3,084,550.00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777,500.00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5,113,935.19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4,910,958.90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12,127,238.55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6,337,544.07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9、营业外收入" w:id="368"/>
      <w:bookmarkEnd w:id="36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172,779.71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172,779.71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358,765.28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473,528.00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3,631,398.44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9,694,097.57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3,631,398.44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314,057.28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916,576.44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314,057.28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4,591,763.43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10,969,439.29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4,591,763.43</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战略性新兴产业发展专项资 金</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2,666,666.59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南山区财政局人才安居补贴 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产业振兴和技术改造项目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892,108.59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会展会补贴费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221,959.83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英飞特国家支撑计划</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市场开拓资助款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164,130.00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社保局补贴款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年科技专项奖金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both"/>
              <w:rPr>
                <w:rFonts w:ascii="宋体" w:hAnsi="宋体" w:cs="宋体" w:eastAsia="宋体" w:hint="default"/>
                <w:sz w:val="18"/>
                <w:szCs w:val="18"/>
              </w:rPr>
            </w:pPr>
            <w:r>
              <w:rPr>
                <w:rFonts w:ascii="宋体" w:hAnsi="宋体" w:cs="宋体" w:eastAsia="宋体" w:hint="default"/>
                <w:sz w:val="18"/>
                <w:szCs w:val="18"/>
              </w:rPr>
              <w:t>民营及中小企业发展专项资 金企业改制上市培育项目资 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茂硕品牌培育推广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产业技术进步资金投资补贴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高导热高绝缘纳米涂层技术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系统集成模组产品上 的应用及产业化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全数字高效智能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 源及系统的研究开发及应用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499,999.98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高可靠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驱动电源技术开 发及可靠性研究</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产业转型升级专项资金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优化外贸出口结构</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3,631,398.44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9,694,097.57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0、营业外支出" w:id="369"/>
      <w:bookmarkEnd w:id="36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136,855.82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28,652.41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136,855.82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136,855.82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28,652.41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136,855.82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172,876.82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604,364.05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172,876.82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1、所得税费用" w:id="370"/>
      <w:bookmarkEnd w:id="37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371"/>
      <w:bookmarkEnd w:id="3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245,177.51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4,720,239.84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-9,410,363.64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-2,080,746.97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-9,165,186.13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2,639,492.87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372"/>
      <w:bookmarkEnd w:id="3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-58,676,504.41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-8,801,475.66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-1,312,606.14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244,651.89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373,482.07</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1,939,569.11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前期已确认递延所得税资产的可弥补亏损到期的影响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179,810.83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-1,822,938.48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内部未实现利润的影响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-9,165,186.13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2、其他综合收益" w:id="373"/>
      <w:bookmarkEnd w:id="373"/>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73、现金流量表项目" w:id="374"/>
      <w:bookmarkEnd w:id="374"/>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75"/>
      <w:bookmarkEnd w:id="3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6,214,592.86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7,648,798.01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8,463,831.00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16,415,547.02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13,978,192.35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24,344,469.88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30,090,821.36</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支付的其他与经营活动有关的现金" w:id="376"/>
      <w:bookmarkEnd w:id="3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334,708.83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161,923.58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3,034,373.97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5,384,334.83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10,414,800.82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7,510,334.83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5,809,801.42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4,558,013.51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6,769,678.02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4,782,606.13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3,667,702.56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4,149,914.64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6,121,186.76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6,760,195.69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5,896,719.49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4,518,829.02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3,189,865.65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3,447,788.02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3,186,785.09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35,527,397.08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5,732,472.80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4,540,359.55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54,190,976.41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81,877,496.88</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收到的其他与投资活动有关的现金" w:id="377"/>
      <w:bookmarkEnd w:id="3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支付的其他与投资活动有关的现金" w:id="378"/>
      <w:bookmarkEnd w:id="3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处置子公司支付的现金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1,945,889.19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71,395,550.00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5,190,257.22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76,585,807.22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1,945,889.19</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收到的其他与筹资活动有关的现金" w:id="379"/>
      <w:bookmarkEnd w:id="3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25,731,388.82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31,426,471.41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25,731,388.82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31,426,471.41</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支付的其他与筹资活动有关的现金" w:id="380"/>
      <w:bookmarkEnd w:id="3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24,568,459.00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20,157,868.04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1046824"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回购公司股票支付的现金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15,565,780.00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24,568,459.00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35,723,648.04</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74、现金流量表补充资料" w:id="381"/>
      <w:bookmarkEnd w:id="381"/>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2"/>
      <w:bookmarkEnd w:id="3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-49,511,318.28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23,595,619.83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17,396,238.38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10,299,861.68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9,393,460.64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6,103,330.13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2,032,496.54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1,977,527.60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2,496,667.70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1,785,530.67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-35,923.89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28,652.41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-2,170,373.83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-1,484,421.88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4,761,706.34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1,201,680.60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-12,127,238.55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-6,337,544.07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-9,735,919.72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-2,303,410.25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325,556.08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222,663.28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9,437,630.20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-11,505,665.17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-12,124,816.00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-83,296,848.77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16,951,048.83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61,744,423.95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3,846,145.88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-22,910,785.56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5,877,545.89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156,616,281.13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192,879,371.15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387,835,608.40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-36,263,090.02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-194,956,237.25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支付的取得子公司的现金净额" w:id="383"/>
      <w:bookmarkEnd w:id="3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4"/>
      <w:bookmarkEnd w:id="38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85"/>
      <w:bookmarkEnd w:id="38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266,301.48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156,533,764.44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192,613,069.67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156,616,281.13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192,879,371.15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5、所有者权益变动表项目注释" w:id="386"/>
      <w:bookmarkEnd w:id="386"/>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7"/>
      <w:bookmarkEnd w:id="387"/>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8,840,715.54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惠州茂硕增资合同项下抵押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5,607,045.48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平安银行质押贷款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77,899,534.08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惠州茂硕增资合同项下质押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110,704,295.10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7、外币货币性项目" w:id="388"/>
      <w:bookmarkEnd w:id="38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89"/>
      <w:bookmarkEnd w:id="38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7,270,635.89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44,489,021.01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734,211.81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579,197.67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14,380,027.98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87,991,391.21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6,053.95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3,133,238.26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2,471,717.67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23,809.12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145,688.01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6,134,309.37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18,454,904.00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30,182.94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184,689.41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890,588.06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5,449,508.34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880,386.32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5,387,083.89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109,074.68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17,556.04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13,849.43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1,223,800.00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2）境外经营实体说明，包括对于重要的境外经营实体，应披露其境外主要经营地、记账" w:id="390"/>
      <w:bookmarkEnd w:id="39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8、套期" w:id="391"/>
      <w:bookmarkEnd w:id="391"/>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2"/>
      <w:bookmarkEnd w:id="392"/>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both"/>
      </w:pPr>
      <w:r>
        <w:rPr/>
        <w:t>其他说明：不适用</w:t>
      </w:r>
    </w:p>
    <w:p>
      <w:pPr>
        <w:spacing w:line="240" w:lineRule="auto" w:before="11"/>
        <w:rPr>
          <w:rFonts w:ascii="宋体" w:hAnsi="宋体" w:cs="宋体" w:eastAsia="宋体" w:hint="default"/>
          <w:sz w:val="26"/>
          <w:szCs w:val="26"/>
        </w:rPr>
      </w:pPr>
    </w:p>
    <w:p>
      <w:pPr>
        <w:pStyle w:val="Heading4"/>
        <w:spacing w:line="240" w:lineRule="auto"/>
        <w:ind w:left="154" w:right="0"/>
        <w:jc w:val="both"/>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072"/>
        <w:jc w:val="left"/>
      </w:pPr>
      <w:r>
        <w:rPr/>
        <w:t>合并成本公允价值的确定方法、或有对价及其变动的说明： 大额商誉形成的主要原因：</w:t>
      </w:r>
    </w:p>
    <w:p>
      <w:pPr>
        <w:pStyle w:val="BodyText"/>
        <w:spacing w:line="240" w:lineRule="auto" w:before="28"/>
        <w:ind w:right="0"/>
        <w:jc w:val="both"/>
      </w:pPr>
      <w:r>
        <w:rPr/>
        <w:t>其他说明：不适用</w:t>
      </w:r>
    </w:p>
    <w:p>
      <w:pPr>
        <w:spacing w:line="240" w:lineRule="auto" w:before="11"/>
        <w:rPr>
          <w:rFonts w:ascii="宋体" w:hAnsi="宋体" w:cs="宋体" w:eastAsia="宋体" w:hint="default"/>
          <w:sz w:val="26"/>
          <w:szCs w:val="26"/>
        </w:rPr>
      </w:pPr>
    </w:p>
    <w:p>
      <w:pPr>
        <w:pStyle w:val="Heading4"/>
        <w:spacing w:line="240" w:lineRule="auto"/>
        <w:ind w:left="154" w:right="0"/>
        <w:jc w:val="both"/>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30"/>
        <w:jc w:val="both"/>
      </w:pPr>
      <w:r>
        <w:rPr/>
        <w:t>可辨认资产、负债公允价值的确定方法： 企业合并中承担的被购买方的或有负债： 其他说明：不适用</w:t>
      </w:r>
    </w:p>
    <w:p>
      <w:pPr>
        <w:spacing w:line="240" w:lineRule="auto" w:before="11"/>
        <w:rPr>
          <w:rFonts w:ascii="宋体" w:hAnsi="宋体" w:cs="宋体" w:eastAsia="宋体" w:hint="default"/>
          <w:sz w:val="19"/>
          <w:szCs w:val="19"/>
        </w:rPr>
      </w:pPr>
    </w:p>
    <w:p>
      <w:pPr>
        <w:pStyle w:val="Heading4"/>
        <w:spacing w:line="240" w:lineRule="auto"/>
        <w:ind w:left="154" w:right="0"/>
        <w:jc w:val="both"/>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或有对价及其变动的说明： 其他说明：不适用</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513"/>
        <w:jc w:val="left"/>
      </w:pPr>
      <w:r>
        <w:rPr/>
        <w:t>企业合并中承担的被合并方的或有负债： 其他说明：不适用</w:t>
      </w:r>
    </w:p>
    <w:p>
      <w:pPr>
        <w:spacing w:line="240" w:lineRule="auto" w:before="13"/>
        <w:rPr>
          <w:rFonts w:ascii="宋体" w:hAnsi="宋体" w:cs="宋体" w:eastAsia="宋体" w:hint="default"/>
          <w:sz w:val="19"/>
          <w:szCs w:val="19"/>
        </w:rPr>
      </w:pPr>
    </w:p>
    <w:p>
      <w:pPr>
        <w:pStyle w:val="Heading4"/>
        <w:spacing w:line="240" w:lineRule="auto"/>
        <w:ind w:left="154" w:right="0"/>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54" w:right="0"/>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258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的金额</w:t>
            </w: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1"/>
              <w:jc w:val="both"/>
              <w:rPr>
                <w:rFonts w:ascii="宋体" w:hAnsi="宋体" w:cs="宋体" w:eastAsia="宋体" w:hint="default"/>
                <w:sz w:val="18"/>
                <w:szCs w:val="18"/>
              </w:rPr>
            </w:pPr>
            <w:r>
              <w:rPr>
                <w:rFonts w:ascii="宋体" w:hAnsi="宋体" w:cs="宋体" w:eastAsia="宋体" w:hint="default"/>
                <w:sz w:val="18"/>
                <w:szCs w:val="18"/>
              </w:rPr>
              <w:t>河南茂 鑫能源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15,300,0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48" w:right="0"/>
              <w:jc w:val="lef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收回投 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both"/>
              <w:rPr>
                <w:rFonts w:ascii="Times New Roman" w:hAnsi="Times New Roman" w:cs="Times New Roman" w:eastAsia="Times New Roman" w:hint="default"/>
                <w:sz w:val="18"/>
                <w:szCs w:val="18"/>
              </w:rPr>
            </w:pPr>
            <w:r>
              <w:rPr>
                <w:rFonts w:ascii="宋体" w:hAnsi="宋体" w:cs="宋体" w:eastAsia="宋体" w:hint="default"/>
                <w:sz w:val="18"/>
                <w:szCs w:val="18"/>
              </w:rPr>
              <w:t>茂硕电 源第三 届董事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年第十 二次临 时会议 审议通 过</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4993"/>
        <w:jc w:val="left"/>
      </w:pPr>
      <w:r>
        <w:rPr/>
        <w:t>其他说明： 是否存在通过多次交易分步处置对子公司投资且在本期丧失控制权的情形</w:t>
      </w:r>
    </w:p>
    <w:p>
      <w:pPr>
        <w:pStyle w:val="BodyText"/>
        <w:spacing w:line="240" w:lineRule="auto" w:before="2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说明其他原因导致的合并范围变动（如，新设子公司、清算子公司等）及其相关情况：</w:t>
      </w:r>
    </w:p>
    <w:p>
      <w:pPr>
        <w:pStyle w:val="BodyText"/>
        <w:spacing w:line="240" w:lineRule="auto" w:before="115"/>
        <w:ind w:left="633" w:right="0"/>
        <w:jc w:val="left"/>
      </w:pPr>
      <w:r>
        <w:rPr>
          <w:rFonts w:ascii="Times New Roman" w:hAnsi="Times New Roman" w:cs="Times New Roman" w:eastAsia="Times New Roman" w:hint="default"/>
        </w:rPr>
        <w:t>2014</w:t>
      </w:r>
      <w:r>
        <w:rPr/>
        <w:t>年度，公司新设以下子公司，均纳入合并范围：</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819"/>
        <w:gridCol w:w="4822"/>
      </w:tblGrid>
      <w:tr>
        <w:trPr>
          <w:trHeight w:val="356" w:hRule="exact"/>
        </w:trPr>
        <w:tc>
          <w:tcPr>
            <w:tcW w:w="4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成立日期</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53"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新余茂硕新能源科技有限公司</w:t>
            </w:r>
            <w:r>
              <w:rPr>
                <w:rFonts w:ascii="Times New Roman" w:hAnsi="Times New Roman" w:cs="Times New Roman" w:eastAsia="Times New Roman" w:hint="default"/>
                <w:sz w:val="18"/>
                <w:szCs w:val="18"/>
              </w:rPr>
              <w:t>*</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深圳茂硕钜泽科技有限公司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52" w:hRule="exact"/>
        </w:trPr>
        <w:tc>
          <w:tcPr>
            <w:tcW w:w="48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深圳茂硕希港科技有限公司</w:t>
            </w:r>
          </w:p>
        </w:tc>
        <w:tc>
          <w:tcPr>
            <w:tcW w:w="48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bl>
    <w:p>
      <w:pPr>
        <w:pStyle w:val="BodyText"/>
        <w:spacing w:line="240" w:lineRule="auto" w:before="10"/>
        <w:ind w:left="634" w:right="0"/>
        <w:jc w:val="left"/>
      </w:pPr>
      <w:r>
        <w:rPr>
          <w:rFonts w:ascii="Times New Roman" w:hAnsi="Times New Roman" w:cs="Times New Roman" w:eastAsia="Times New Roman" w:hint="default"/>
        </w:rPr>
        <w:t>*</w:t>
      </w:r>
      <w:r>
        <w:rPr/>
        <w:t>新余茂硕新能源科技有限公司为本公司控股子公司深圳茂硕新能源科技有限公司的全资子公司。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487" w:lineRule="auto" w:before="0"/>
        <w:ind w:left="153" w:right="8052"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9"/>
      <w:bookmarkEnd w:id="4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0"/>
      <w:bookmarkEnd w:id="41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深圳茂硕新能源 技术研究院有限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公司（以下简称</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茂硕研究院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惠州茂硕能源科 技有限公司（以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 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（香港）国际有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p>
            <w:pPr>
              <w:pStyle w:val="TableParagraph"/>
              <w:spacing w:line="302" w:lineRule="auto" w:before="19"/>
              <w:ind w:left="22"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 硕新能源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海宁茂硕诺华能 源 </w:t>
            </w:r>
            <w:r>
              <w:rPr>
                <w:rFonts w:ascii="宋体" w:hAnsi="宋体" w:cs="宋体" w:eastAsia="宋体" w:hint="default"/>
                <w:spacing w:val="-6"/>
                <w:sz w:val="18"/>
                <w:szCs w:val="18"/>
              </w:rPr>
              <w:t>有限公司（以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海宁茂 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深圳茂硕电气有 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深圳茂硕钜泽科 技有限公司（以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茂硕钜 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深圳茂硕希港科 技有限公司（以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茂硕希 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新余茂硕新能源 科技有限公司</w:t>
            </w:r>
          </w:p>
          <w:p>
            <w:pPr>
              <w:pStyle w:val="TableParagraph"/>
              <w:spacing w:line="302" w:lineRule="auto" w:before="19"/>
              <w:ind w:left="22" w:right="185"/>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 余茂硕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5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pStyle w:val="BodyText"/>
        <w:spacing w:line="240" w:lineRule="auto" w:before="25"/>
        <w:ind w:right="0"/>
        <w:jc w:val="left"/>
      </w:pPr>
      <w:r>
        <w:rPr/>
        <w:t>深圳市富凌控制技术有限公司于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日更名为深圳茂硕新能源科技有限公司。</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-225,113.46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34,622,015.15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-1,254,937.69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8,394,467.59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-82,494.46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14,621,864.58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-3,794.20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2,942,857.83</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惠州茂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145,378,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219.60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243,944,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791.57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389,323,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011.17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39,208,1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68.28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3,894,69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43,102,8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171,211,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129,628,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025.56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300,839,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228.00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13,452,5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13,452,5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60.27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茂硕新 能源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33,211,4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8,437,66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41,649,0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15,579,3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17.09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15,579,3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10,572,5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6,499,44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17,072,0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3,548,92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3,548,92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9.48</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海宁茂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20,730,7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105,689,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568.99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126,420,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76,686,0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93.97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76,686,0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茂硕电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19,421,7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43.01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6,700,41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26,122,1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16,251,4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42.40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61,186.6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16,312,6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6,168,373.73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-1,166,516.25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114,694,731.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1,270,755.92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2,442,822.93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-90,883,668.6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25,136,453.1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-3,103,324.39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-4,986,556.71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7,538,750.00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-4,904,746.58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-3,420,681.15</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-265,766.72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-389,134.02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12,237,321.6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-190,473.89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-4,866,472.26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7"/>
          <w:szCs w:val="27"/>
        </w:rPr>
      </w:pPr>
    </w:p>
    <w:p>
      <w:pPr>
        <w:pStyle w:val="Heading4"/>
        <w:spacing w:line="240" w:lineRule="auto"/>
        <w:ind w:right="0"/>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480"/>
        <w:jc w:val="left"/>
      </w:pPr>
      <w:r>
        <w:rPr>
          <w:rFonts w:ascii="Times New Roman" w:hAnsi="Times New Roman" w:cs="Times New Roman" w:eastAsia="Times New Roman" w:hint="default"/>
        </w:rPr>
        <w:t>2014</w:t>
      </w:r>
      <w:r>
        <w:rPr/>
        <w:t>年度，惠州茂硕引入广东省粤科财政股权投资有限公司投资</w:t>
      </w:r>
      <w:r>
        <w:rPr>
          <w:rFonts w:ascii="Times New Roman" w:hAnsi="Times New Roman" w:cs="Times New Roman" w:eastAsia="Times New Roman" w:hint="default"/>
        </w:rPr>
        <w:t>6000</w:t>
      </w:r>
      <w:r>
        <w:rPr/>
        <w:t>万，占比</w:t>
      </w:r>
      <w:r>
        <w:rPr>
          <w:rFonts w:ascii="Times New Roman" w:hAnsi="Times New Roman" w:cs="Times New Roman" w:eastAsia="Times New Roman" w:hint="default"/>
        </w:rPr>
        <w:t>10%</w:t>
      </w:r>
      <w:r>
        <w:rPr/>
        <w:t>，导致本公司在子公司所有者权益 份额增加，调增资本公积</w:t>
      </w:r>
      <w:r>
        <w:rPr>
          <w:rFonts w:ascii="Times New Roman" w:hAnsi="Times New Roman" w:cs="Times New Roman" w:eastAsia="Times New Roman" w:hint="default"/>
        </w:rPr>
        <w:t>25,152,871.39</w:t>
      </w:r>
      <w:r>
        <w:rPr/>
        <w:t>元；</w:t>
      </w:r>
    </w:p>
    <w:p>
      <w:pPr>
        <w:pStyle w:val="BodyText"/>
        <w:spacing w:line="240" w:lineRule="auto" w:before="13"/>
        <w:ind w:left="633" w:right="0"/>
        <w:jc w:val="left"/>
      </w:pPr>
      <w:r>
        <w:rPr>
          <w:rFonts w:ascii="Times New Roman" w:hAnsi="Times New Roman" w:cs="Times New Roman" w:eastAsia="Times New Roman" w:hint="default"/>
        </w:rPr>
        <w:t>2014</w:t>
      </w:r>
      <w:r>
        <w:rPr/>
        <w:t>年度，本公司对茂硕新能源增资，导致本公司在该子公司的所有者权益减少，调减资本公积</w:t>
      </w:r>
      <w:r>
        <w:rPr>
          <w:rFonts w:ascii="Times New Roman" w:hAnsi="Times New Roman" w:cs="Times New Roman" w:eastAsia="Times New Roman" w:hint="default"/>
        </w:rPr>
        <w:t>3,023,086.52</w:t>
      </w:r>
      <w:r>
        <w:rPr/>
        <w:t>元；</w:t>
      </w:r>
    </w:p>
    <w:p>
      <w:pPr>
        <w:pStyle w:val="BodyText"/>
        <w:spacing w:line="300" w:lineRule="auto" w:before="63"/>
        <w:ind w:right="0" w:firstLine="480"/>
        <w:jc w:val="left"/>
      </w:pPr>
      <w:r>
        <w:rPr>
          <w:rFonts w:ascii="Times New Roman" w:hAnsi="Times New Roman" w:cs="Times New Roman" w:eastAsia="Times New Roman" w:hint="default"/>
          <w:spacing w:val="-1"/>
        </w:rPr>
        <w:t>2014</w:t>
      </w:r>
      <w:r>
        <w:rPr>
          <w:spacing w:val="-1"/>
        </w:rPr>
        <w:t>年度，海宁茂硕的其他股东放弃部分出资权，本公司补足，导致本公司在该子公司的所有者权益减少，调减资本</w:t>
      </w:r>
      <w:r>
        <w:rPr/>
        <w:t> 公积</w:t>
      </w:r>
      <w:r>
        <w:rPr>
          <w:rFonts w:ascii="Times New Roman" w:hAnsi="Times New Roman" w:cs="Times New Roman" w:eastAsia="Times New Roman" w:hint="default"/>
        </w:rPr>
        <w:t>4,359.04</w:t>
      </w:r>
      <w:r>
        <w:rPr/>
        <w:t>元；</w:t>
      </w:r>
    </w:p>
    <w:p>
      <w:pPr>
        <w:pStyle w:val="BodyText"/>
        <w:spacing w:line="240" w:lineRule="auto" w:before="13"/>
        <w:ind w:left="633" w:right="0"/>
        <w:jc w:val="left"/>
      </w:pPr>
      <w:r>
        <w:rPr>
          <w:rFonts w:ascii="Times New Roman" w:hAnsi="Times New Roman" w:cs="Times New Roman" w:eastAsia="Times New Roman" w:hint="default"/>
          <w:spacing w:val="7"/>
        </w:rPr>
        <w:t>2014</w:t>
      </w:r>
      <w:r>
        <w:rPr>
          <w:spacing w:val="7"/>
        </w:rPr>
        <w:t>年度，茂硕电气的控股比例由原</w:t>
      </w:r>
      <w:r>
        <w:rPr>
          <w:rFonts w:ascii="Times New Roman" w:hAnsi="Times New Roman" w:cs="Times New Roman" w:eastAsia="Times New Roman" w:hint="default"/>
          <w:spacing w:val="7"/>
        </w:rPr>
        <w:t>80%</w:t>
      </w:r>
      <w:r>
        <w:rPr>
          <w:spacing w:val="7"/>
        </w:rPr>
        <w:t>变更为</w:t>
      </w:r>
      <w:r>
        <w:rPr>
          <w:rFonts w:ascii="Times New Roman" w:hAnsi="Times New Roman" w:cs="Times New Roman" w:eastAsia="Times New Roman" w:hint="default"/>
          <w:spacing w:val="7"/>
        </w:rPr>
        <w:t>70%</w:t>
      </w:r>
      <w:r>
        <w:rPr>
          <w:spacing w:val="7"/>
        </w:rPr>
        <w:t>，导致本公司在该子公司的所有者权益增加，调增资本公积</w:t>
      </w:r>
    </w:p>
    <w:p>
      <w:pPr>
        <w:pStyle w:val="BodyText"/>
        <w:spacing w:line="240" w:lineRule="auto" w:before="63"/>
        <w:ind w:left="153" w:right="0"/>
        <w:jc w:val="left"/>
      </w:pPr>
      <w:r>
        <w:rPr>
          <w:rFonts w:ascii="Times New Roman" w:hAnsi="Times New Roman" w:cs="Times New Roman" w:eastAsia="Times New Roman" w:hint="default"/>
        </w:rPr>
        <w:t>53,347.97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深圳华智测控技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深圳茂硕投资发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浙江国利英核能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213" w:right="1078"/>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078"/>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3" w:right="1078"/>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515"/>
        <w:gridCol w:w="1160"/>
        <w:gridCol w:w="1252"/>
        <w:gridCol w:w="1250"/>
        <w:gridCol w:w="1162"/>
        <w:gridCol w:w="1161"/>
        <w:gridCol w:w="1252"/>
        <w:gridCol w:w="552"/>
        <w:gridCol w:w="552"/>
      </w:tblGrid>
      <w:tr>
        <w:trPr>
          <w:trHeight w:val="322" w:hRule="exact"/>
        </w:trPr>
        <w:tc>
          <w:tcPr>
            <w:tcW w:w="15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2"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3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1259" w:hRule="exact"/>
        </w:trPr>
        <w:tc>
          <w:tcPr>
            <w:tcW w:w="1515" w:type="dxa"/>
            <w:vMerge/>
            <w:tcBorders>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81" w:right="179"/>
              <w:jc w:val="both"/>
              <w:rPr>
                <w:rFonts w:ascii="宋体" w:hAnsi="宋体" w:cs="宋体" w:eastAsia="宋体" w:hint="default"/>
                <w:sz w:val="18"/>
                <w:szCs w:val="18"/>
              </w:rPr>
            </w:pPr>
            <w:r>
              <w:rPr>
                <w:rFonts w:ascii="宋体" w:hAnsi="宋体" w:cs="宋体" w:eastAsia="宋体" w:hint="default"/>
                <w:sz w:val="18"/>
                <w:szCs w:val="18"/>
              </w:rPr>
              <w:t>茂 硕 投 资</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81" w:right="179"/>
              <w:jc w:val="both"/>
              <w:rPr>
                <w:rFonts w:ascii="宋体" w:hAnsi="宋体" w:cs="宋体" w:eastAsia="宋体" w:hint="default"/>
                <w:sz w:val="18"/>
                <w:szCs w:val="18"/>
              </w:rPr>
            </w:pPr>
            <w:r>
              <w:rPr>
                <w:rFonts w:ascii="宋体" w:hAnsi="宋体" w:cs="宋体" w:eastAsia="宋体" w:hint="default"/>
                <w:sz w:val="18"/>
                <w:szCs w:val="18"/>
              </w:rPr>
              <w:t>国 利 英 核</w:t>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6,647,047.01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6,439,018.68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3,909,325.09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8,114,592.30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6,621,246.18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19,731,374.21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4"/>
                <w:sz w:val="18"/>
                <w:szCs w:val="18"/>
              </w:rPr>
              <w:t>其中：现金和现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金等价物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383,950.06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292,500.34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2,913,982.01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6,703,350.45</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579,177.43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11,723,965.19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1,472,529.99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70,170,478.24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6,536,007.29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966,164.82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591,461.33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57,588,980.00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8,119,577.00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76,609,496.92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10,445,332.38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9,080,757.12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7,212,707.51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77,320,354.21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3,728,451.63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313,277.25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347,739.29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2,850,475.95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248,515.66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3,728,451.63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313,277.25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347,739.29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2,850,475.95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248,515.66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2,706,484.09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58,687,052.17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5,553,676.20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7,264,605.70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2,687,388.17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58,504,814.18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归属于母公司股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东权益</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1,684,641.28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17,609,167.50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4,543,916.89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1,816,151.42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1,674,843.39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18,567,024.37</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按持股比例计算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的净资产份额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1,489,030.61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17,609,167.50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4,543,916.89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1,816,151.42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1,479,232.72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17,788,180.34</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195,610.67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195,610.67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778,844.03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195,610.67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195,610.67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内部交易未实</w:t>
            </w:r>
            <w:r>
              <w:rPr>
                <w:rFonts w:ascii="宋体" w:hAnsi="宋体" w:cs="宋体" w:eastAsia="宋体" w:hint="default"/>
                <w:sz w:val="18"/>
                <w:szCs w:val="18"/>
              </w:rPr>
              <w:t> 现利润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778,844.03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对合营企业权益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投资的账面价值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1,684,641.28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17,609,167.50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4,543,916.89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1,816,151.42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1,674,843.39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18,567,024.37</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3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4"/>
                <w:sz w:val="18"/>
                <w:szCs w:val="18"/>
              </w:rPr>
              <w:t>存在公开报价的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合营企业权益投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资的公允价值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8,166,806.52</w:t>
            </w: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1,648,974.66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5,124,862.01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-868.71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-38,723.25</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w w:val="95"/>
                <w:sz w:val="18"/>
              </w:rPr>
              <w:t>-6,444.38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-9,845.41</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40,070.79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584,396.39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12,941.09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66,890.74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213,022.38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-10,077.74</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28,893.81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-775,618.88</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97,593.09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-519,242.88</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w w:val="95"/>
                <w:sz w:val="18"/>
              </w:rPr>
              <w:t>-406,808.76</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-1,688,891.73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终止经营的净利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28,893.81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-775,618.88</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97,593.09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-519,242.88</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w w:val="95"/>
                <w:sz w:val="18"/>
              </w:rPr>
              <w:t>-406,808.76</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-1,688,891.73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4"/>
                <w:sz w:val="18"/>
                <w:szCs w:val="18"/>
              </w:rPr>
              <w:t>本年度收到的来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1515"/>
        <w:gridCol w:w="1160"/>
        <w:gridCol w:w="1252"/>
        <w:gridCol w:w="1250"/>
        <w:gridCol w:w="1162"/>
        <w:gridCol w:w="1161"/>
        <w:gridCol w:w="1252"/>
        <w:gridCol w:w="552"/>
        <w:gridCol w:w="552"/>
      </w:tblGrid>
      <w:tr>
        <w:trPr>
          <w:trHeight w:val="63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4"/>
                <w:sz w:val="18"/>
                <w:szCs w:val="18"/>
              </w:rPr>
              <w:t>自合营企业的股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w:t>
            </w:r>
          </w:p>
        </w:tc>
        <w:tc>
          <w:tcPr>
            <w:tcW w:w="116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214" w:right="1078"/>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3" w:right="1078"/>
        <w:jc w:val="left"/>
        <w:rPr>
          <w:b w:val="0"/>
          <w:bCs w:val="0"/>
        </w:rPr>
      </w:pPr>
      <w:bookmarkStart w:name="（4）上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214" w:right="1078"/>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3" w:right="1078"/>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3" w:right="1078"/>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214" w:right="1078"/>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13" w:right="1078"/>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1078"/>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1078"/>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213" w:right="5533"/>
        <w:jc w:val="left"/>
      </w:pPr>
      <w:r>
        <w:rPr/>
        <w:t>在共同经营中的持股比例或享有的份额不同于表决权比例的说明： 共同经营为单独主体的，分类为共同经营的依据：</w:t>
      </w:r>
    </w:p>
    <w:p>
      <w:pPr>
        <w:pStyle w:val="BodyText"/>
        <w:spacing w:line="240" w:lineRule="auto" w:before="29"/>
        <w:ind w:left="213" w:right="1078"/>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3" w:right="1078"/>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78"/>
        <w:jc w:val="left"/>
      </w:pPr>
      <w:r>
        <w:rPr/>
        <w:t>未纳入合并财务报表范围的结构化主体的相关说明：</w:t>
      </w:r>
    </w:p>
    <w:p>
      <w:pPr>
        <w:spacing w:after="0" w:line="240" w:lineRule="auto"/>
        <w:jc w:val="left"/>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2" w:firstLine="480"/>
        <w:jc w:val="both"/>
      </w:pPr>
      <w:r>
        <w:rPr>
          <w:spacing w:val="-1"/>
        </w:rPr>
        <w:t>本公司的主要金融工具包括股权投资、借款、应收账款、应付账款、以公允价值计量且变动计入当期损益的金融资产</w:t>
      </w:r>
      <w:r>
        <w:rPr/>
        <w:t> </w:t>
      </w:r>
      <w:r>
        <w:rPr>
          <w:spacing w:val="-2"/>
        </w:rPr>
        <w:t>等，各项金融工具的详细情况说明见本附注六相关项目。与这些金融工具有关的风险，以及本公司为降低这些风险所采取的</w:t>
      </w:r>
      <w:r>
        <w:rPr>
          <w:spacing w:val="-66"/>
        </w:rPr>
        <w:t> </w:t>
      </w:r>
      <w:r>
        <w:rPr>
          <w:spacing w:val="-66"/>
        </w:rPr>
      </w:r>
      <w:r>
        <w:rPr/>
        <w:t>风险管理政策如下所述。本公司管理层对这些风险敞口进行管理和监控以确保将上述风险控制在限定的范围之内。</w:t>
      </w:r>
    </w:p>
    <w:p>
      <w:pPr>
        <w:pStyle w:val="BodyText"/>
        <w:spacing w:line="316" w:lineRule="auto" w:before="19"/>
        <w:ind w:left="153" w:right="1133"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pStyle w:val="BodyText"/>
        <w:spacing w:line="316" w:lineRule="auto" w:before="19"/>
        <w:ind w:left="634" w:right="0"/>
        <w:jc w:val="left"/>
      </w:pPr>
      <w:r>
        <w:rPr/>
        <w:t>（一）风险管理目标和政策 </w:t>
      </w:r>
      <w:r>
        <w:rPr>
          <w:spacing w:val="-1"/>
        </w:rPr>
        <w:t>本公司从事风险管理的目标是在风险和收益之间取得适当的平衡，将风险对本公司经营业绩的负面影响降低到最低水</w:t>
      </w:r>
    </w:p>
    <w:p>
      <w:pPr>
        <w:pStyle w:val="BodyText"/>
        <w:spacing w:line="316" w:lineRule="auto" w:before="19"/>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19"/>
        <w:ind w:left="634" w:right="0"/>
        <w:jc w:val="left"/>
      </w:pPr>
      <w:r>
        <w:rPr>
          <w:rFonts w:ascii="Times New Roman" w:hAnsi="Times New Roman" w:cs="Times New Roman" w:eastAsia="Times New Roman" w:hint="default"/>
        </w:rPr>
        <w:t>1</w:t>
      </w:r>
      <w:r>
        <w:rPr/>
        <w:t>、市场风险</w:t>
      </w:r>
    </w:p>
    <w:p>
      <w:pPr>
        <w:pStyle w:val="BodyText"/>
        <w:spacing w:line="300" w:lineRule="auto" w:before="63"/>
        <w:ind w:left="633" w:right="1118"/>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外汇风险指因汇率变动产生损失的风险。本公司承受外汇风险主要与美元、港币有关，本公司、茂硕新能源、茂硕电</w:t>
      </w:r>
    </w:p>
    <w:p>
      <w:pPr>
        <w:pStyle w:val="BodyText"/>
        <w:spacing w:line="309" w:lineRule="auto" w:before="31"/>
        <w:ind w:left="153" w:right="1131"/>
        <w:jc w:val="both"/>
      </w:pPr>
      <w:r>
        <w:rPr>
          <w:spacing w:val="-2"/>
        </w:rPr>
        <w:t>子以美元进行部分采购和销售，香港茂硕以港币与美元进行采购和销售，本公司的其他主要业务活动以人民币计价结算。于</w:t>
      </w:r>
      <w:r>
        <w:rPr>
          <w:spacing w:val="-66"/>
        </w:rPr>
        <w:t> </w:t>
      </w:r>
      <w:r>
        <w:rPr>
          <w:spacing w:val="-66"/>
        </w:rPr>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日，附注七、</w:t>
      </w:r>
      <w:r>
        <w:rPr>
          <w:rFonts w:ascii="Times New Roman" w:hAnsi="Times New Roman" w:cs="Times New Roman" w:eastAsia="Times New Roman" w:hint="default"/>
          <w:spacing w:val="-2"/>
        </w:rPr>
        <w:t>77</w:t>
      </w:r>
      <w:r>
        <w:rPr>
          <w:spacing w:val="-2"/>
        </w:rPr>
        <w:t>所列项目为外币外，本公司的资产及负债均为人民币余额。该等外币余额的资产和负债产生的</w:t>
      </w:r>
      <w:r>
        <w:rPr>
          <w:spacing w:val="-56"/>
        </w:rPr>
        <w:t> </w:t>
      </w:r>
      <w:r>
        <w:rPr>
          <w:spacing w:val="-56"/>
        </w:rPr>
      </w:r>
      <w:r>
        <w:rPr/>
        <w:t>外汇风险可能对本公司的经营业绩产生影响。</w:t>
      </w:r>
    </w:p>
    <w:p>
      <w:pPr>
        <w:pStyle w:val="BodyText"/>
        <w:spacing w:line="240" w:lineRule="auto" w:before="24"/>
        <w:ind w:left="634" w:right="0"/>
        <w:jc w:val="left"/>
      </w:pPr>
      <w:r>
        <w:rPr/>
        <w:t>本公司与银行已签订若干远期结汇合同，确认为以公允价值计量且其变动计入当期损益的金融资产的远期外汇合同于</w:t>
      </w:r>
    </w:p>
    <w:p>
      <w:pPr>
        <w:pStyle w:val="BodyText"/>
        <w:spacing w:line="300" w:lineRule="auto" w:before="77"/>
        <w:ind w:left="633" w:right="5398" w:hanging="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日的公允价值为人民币</w:t>
      </w:r>
      <w:r>
        <w:rPr>
          <w:rFonts w:ascii="Times New Roman" w:hAnsi="Times New Roman" w:cs="Times New Roman" w:eastAsia="Times New Roman" w:hint="default"/>
        </w:rPr>
        <w:t>3,654,795.71</w:t>
      </w:r>
      <w:r>
        <w:rPr/>
        <w:t>元，见附注七、</w:t>
      </w:r>
      <w:r>
        <w:rPr>
          <w:rFonts w:ascii="Times New Roman" w:hAnsi="Times New Roman" w:cs="Times New Roman" w:eastAsia="Times New Roman" w:hint="default"/>
        </w:rPr>
        <w:t>2</w:t>
      </w:r>
      <w:r>
        <w:rPr/>
        <w:t>。 外汇风险敏感性分析：</w:t>
      </w:r>
    </w:p>
    <w:p>
      <w:pPr>
        <w:pStyle w:val="BodyText"/>
        <w:spacing w:line="316" w:lineRule="auto" w:before="31"/>
        <w:ind w:left="153" w:right="0" w:firstLine="480"/>
        <w:jc w:val="left"/>
      </w:pPr>
      <w:r>
        <w:rPr>
          <w:spacing w:val="-1"/>
        </w:rPr>
        <w:t>外汇风险敏感性分析假设：所有境外经营净投资套期及现金流量套期均高度有效。在上述假设的基础上，在其他变量</w:t>
      </w:r>
      <w:r>
        <w:rPr/>
        <w:t> 不变的情况下，汇率可能发生的合理变动对当期损益和股东权益的税前影响如下：</w:t>
      </w:r>
    </w:p>
    <w:tbl>
      <w:tblPr>
        <w:tblW w:w="0" w:type="auto"/>
        <w:jc w:val="left"/>
        <w:tblInd w:w="146" w:type="dxa"/>
        <w:tblLayout w:type="fixed"/>
        <w:tblCellMar>
          <w:top w:w="0" w:type="dxa"/>
          <w:left w:w="0" w:type="dxa"/>
          <w:bottom w:w="0" w:type="dxa"/>
          <w:right w:w="0" w:type="dxa"/>
        </w:tblCellMar>
        <w:tblLook w:val="01E0"/>
      </w:tblPr>
      <w:tblGrid>
        <w:gridCol w:w="1085"/>
        <w:gridCol w:w="1847"/>
        <w:gridCol w:w="1540"/>
        <w:gridCol w:w="1922"/>
        <w:gridCol w:w="1539"/>
        <w:gridCol w:w="1922"/>
      </w:tblGrid>
      <w:tr>
        <w:trPr>
          <w:trHeight w:val="355" w:hRule="exact"/>
        </w:trPr>
        <w:tc>
          <w:tcPr>
            <w:tcW w:w="1085" w:type="dxa"/>
            <w:vMerge w:val="restart"/>
            <w:tcBorders>
              <w:top w:val="single" w:sz="6" w:space="0" w:color="000000"/>
              <w:left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46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46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53" w:hRule="exact"/>
        </w:trPr>
        <w:tc>
          <w:tcPr>
            <w:tcW w:w="1085" w:type="dxa"/>
            <w:vMerge/>
            <w:tcBorders>
              <w:left w:val="single" w:sz="6" w:space="0" w:color="000000"/>
              <w:bottom w:val="single" w:sz="12" w:space="0" w:color="000000"/>
              <w:right w:val="single" w:sz="6" w:space="0" w:color="000000"/>
            </w:tcBorders>
          </w:tcPr>
          <w:p>
            <w:pPr/>
          </w:p>
        </w:tc>
        <w:tc>
          <w:tcPr>
            <w:tcW w:w="1847" w:type="dxa"/>
            <w:vMerge/>
            <w:tcBorders>
              <w:left w:val="single" w:sz="6" w:space="0" w:color="000000"/>
              <w:bottom w:val="single" w:sz="12" w:space="0" w:color="000000"/>
              <w:right w:val="single" w:sz="6" w:space="0" w:color="000000"/>
            </w:tcBorders>
          </w:tcPr>
          <w:p>
            <w:pP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2"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5,549,833.78</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5,549,833.78</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7,453,539.05</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7,453,539.05</w:t>
            </w:r>
          </w:p>
        </w:tc>
      </w:tr>
      <w:tr>
        <w:trPr>
          <w:trHeight w:val="352"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-5,549,833.78</w:t>
            </w:r>
          </w:p>
        </w:tc>
        <w:tc>
          <w:tcPr>
            <w:tcW w:w="19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-5,549,833.78</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-7,453,539.05</w:t>
            </w:r>
          </w:p>
        </w:tc>
        <w:tc>
          <w:tcPr>
            <w:tcW w:w="19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-7,453,539.05</w:t>
            </w:r>
          </w:p>
        </w:tc>
      </w:tr>
    </w:tbl>
    <w:p>
      <w:pPr>
        <w:pStyle w:val="BodyText"/>
        <w:spacing w:line="300" w:lineRule="auto" w:before="19"/>
        <w:ind w:left="633" w:right="0"/>
        <w:jc w:val="left"/>
      </w:pPr>
      <w:r>
        <w:rPr/>
        <w:t>（</w:t>
      </w:r>
      <w:r>
        <w:rPr>
          <w:rFonts w:ascii="Times New Roman" w:hAnsi="Times New Roman" w:cs="Times New Roman" w:eastAsia="Times New Roman" w:hint="default"/>
        </w:rPr>
        <w:t>2</w:t>
      </w:r>
      <w:r>
        <w:rPr/>
        <w:t>）利率风险－现金流量变动风险 </w:t>
      </w:r>
      <w:r>
        <w:rPr>
          <w:spacing w:val="-1"/>
        </w:rPr>
        <w:t>本公司因利率变动引起金融工具现金流量变动的风险主要与浮动利率银行借款有关。本公司的政策是保持这些借款的</w:t>
      </w:r>
    </w:p>
    <w:p>
      <w:pPr>
        <w:pStyle w:val="BodyText"/>
        <w:spacing w:line="240" w:lineRule="auto" w:before="31"/>
        <w:ind w:left="153" w:right="0"/>
        <w:jc w:val="left"/>
      </w:pPr>
      <w:r>
        <w:rPr/>
        <w:t>浮动利率。</w:t>
      </w:r>
    </w:p>
    <w:p>
      <w:pPr>
        <w:pStyle w:val="BodyText"/>
        <w:spacing w:line="316" w:lineRule="auto" w:before="76"/>
        <w:ind w:left="634" w:right="7392"/>
        <w:jc w:val="left"/>
      </w:pPr>
      <w:r>
        <w:rPr/>
        <w:t>利率风险敏感性分析： 利率风险敏感性分析基于下述假设：</w:t>
      </w:r>
    </w:p>
    <w:p>
      <w:pPr>
        <w:pStyle w:val="BodyText"/>
        <w:spacing w:line="240" w:lineRule="auto" w:before="19"/>
        <w:ind w:left="694" w:right="0"/>
        <w:jc w:val="left"/>
      </w:pPr>
      <w:r>
        <w:rPr/>
        <w:t>·  市场利率变化影响可变利率金融工具的利息收入或费用；</w:t>
      </w:r>
    </w:p>
    <w:p>
      <w:pPr>
        <w:pStyle w:val="BodyText"/>
        <w:spacing w:line="240" w:lineRule="auto" w:before="76"/>
        <w:ind w:left="694" w:right="0"/>
        <w:jc w:val="left"/>
      </w:pPr>
      <w:r>
        <w:rPr/>
        <w:t>·  对于以公允价值计量的固定利率金融工具，市场利率变化仅仅影响其利息收入或费用；</w:t>
      </w:r>
    </w:p>
    <w:p>
      <w:pPr>
        <w:pStyle w:val="BodyText"/>
        <w:spacing w:line="240" w:lineRule="auto" w:before="76"/>
        <w:ind w:left="694" w:right="0"/>
        <w:jc w:val="left"/>
      </w:pPr>
      <w:r>
        <w:rPr/>
        <w:t>·  对于指定为套期工具的衍生金融工具，市场利率变化影响其公允价值，并且所有利率套期预计都是高度有效的；</w:t>
      </w:r>
    </w:p>
    <w:p>
      <w:pPr>
        <w:pStyle w:val="BodyText"/>
        <w:spacing w:line="316" w:lineRule="auto" w:before="76"/>
        <w:ind w:left="633" w:right="1093" w:firstLine="60"/>
        <w:jc w:val="left"/>
      </w:pPr>
      <w:r>
        <w:rPr/>
        <w:t>· 以资产负债表日市场利率采用现金流量折现法计算衍生金融工具及其他金融资产和负债的公允价值变化。 在上述假设的基础上，在其他变量不变的情况下，利率可能发生的合理变动对当期损益和股东权益的税前影响如下：</w:t>
      </w:r>
    </w:p>
    <w:tbl>
      <w:tblPr>
        <w:tblW w:w="0" w:type="auto"/>
        <w:jc w:val="left"/>
        <w:tblInd w:w="146" w:type="dxa"/>
        <w:tblLayout w:type="fixed"/>
        <w:tblCellMar>
          <w:top w:w="0" w:type="dxa"/>
          <w:left w:w="0" w:type="dxa"/>
          <w:bottom w:w="0" w:type="dxa"/>
          <w:right w:w="0" w:type="dxa"/>
        </w:tblCellMar>
        <w:tblLook w:val="01E0"/>
      </w:tblPr>
      <w:tblGrid>
        <w:gridCol w:w="1206"/>
        <w:gridCol w:w="1098"/>
        <w:gridCol w:w="1690"/>
        <w:gridCol w:w="2152"/>
        <w:gridCol w:w="1559"/>
        <w:gridCol w:w="2150"/>
      </w:tblGrid>
      <w:tr>
        <w:trPr>
          <w:trHeight w:val="355" w:hRule="exact"/>
        </w:trPr>
        <w:tc>
          <w:tcPr>
            <w:tcW w:w="120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98" w:type="dxa"/>
            <w:vMerge w:val="restart"/>
            <w:tcBorders>
              <w:top w:val="single" w:sz="6" w:space="0" w:color="000000"/>
              <w:left w:val="single" w:sz="6"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84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71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53" w:hRule="exact"/>
        </w:trPr>
        <w:tc>
          <w:tcPr>
            <w:tcW w:w="1206" w:type="dxa"/>
            <w:vMerge/>
            <w:tcBorders>
              <w:left w:val="single" w:sz="6" w:space="0" w:color="000000"/>
              <w:bottom w:val="single" w:sz="12" w:space="0" w:color="000000"/>
              <w:right w:val="single" w:sz="6" w:space="0" w:color="000000"/>
            </w:tcBorders>
          </w:tcPr>
          <w:p>
            <w:pPr/>
          </w:p>
        </w:tc>
        <w:tc>
          <w:tcPr>
            <w:tcW w:w="1098" w:type="dxa"/>
            <w:vMerge/>
            <w:tcBorders>
              <w:left w:val="single" w:sz="6" w:space="0" w:color="000000"/>
              <w:bottom w:val="single" w:sz="12" w:space="0" w:color="000000"/>
              <w:right w:val="single" w:sz="6" w:space="0" w:color="000000"/>
            </w:tcBorders>
          </w:tcPr>
          <w:p>
            <w:pP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2" w:hRule="exact"/>
        </w:trPr>
        <w:tc>
          <w:tcPr>
            <w:tcW w:w="12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5%</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01" w:right="0"/>
              <w:jc w:val="left"/>
              <w:rPr>
                <w:rFonts w:ascii="Times New Roman" w:hAnsi="Times New Roman" w:cs="Times New Roman" w:eastAsia="Times New Roman" w:hint="default"/>
                <w:sz w:val="18"/>
                <w:szCs w:val="18"/>
              </w:rPr>
            </w:pPr>
            <w:r>
              <w:rPr>
                <w:rFonts w:ascii="Times New Roman"/>
                <w:sz w:val="18"/>
              </w:rPr>
              <w:t>-304,771.67</w:t>
            </w:r>
          </w:p>
        </w:tc>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264" w:right="0"/>
              <w:jc w:val="left"/>
              <w:rPr>
                <w:rFonts w:ascii="Times New Roman" w:hAnsi="Times New Roman" w:cs="Times New Roman" w:eastAsia="Times New Roman" w:hint="default"/>
                <w:sz w:val="18"/>
                <w:szCs w:val="18"/>
              </w:rPr>
            </w:pPr>
            <w:r>
              <w:rPr>
                <w:rFonts w:ascii="Times New Roman"/>
                <w:sz w:val="18"/>
              </w:rPr>
              <w:t>-304,771.67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60" w:right="0"/>
              <w:jc w:val="left"/>
              <w:rPr>
                <w:rFonts w:ascii="Times New Roman" w:hAnsi="Times New Roman" w:cs="Times New Roman" w:eastAsia="Times New Roman" w:hint="default"/>
                <w:sz w:val="18"/>
                <w:szCs w:val="18"/>
              </w:rPr>
            </w:pPr>
            <w:r>
              <w:rPr>
                <w:rFonts w:ascii="Times New Roman"/>
                <w:sz w:val="18"/>
              </w:rPr>
              <w:t>-66,049.32</w:t>
            </w:r>
          </w:p>
        </w:tc>
        <w:tc>
          <w:tcPr>
            <w:tcW w:w="2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412" w:right="0"/>
              <w:jc w:val="left"/>
              <w:rPr>
                <w:rFonts w:ascii="Times New Roman" w:hAnsi="Times New Roman" w:cs="Times New Roman" w:eastAsia="Times New Roman" w:hint="default"/>
                <w:sz w:val="18"/>
                <w:szCs w:val="18"/>
              </w:rPr>
            </w:pPr>
            <w:r>
              <w:rPr>
                <w:rFonts w:ascii="Times New Roman"/>
                <w:sz w:val="18"/>
              </w:rPr>
              <w:t>66,049.32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06"/>
        <w:gridCol w:w="1098"/>
        <w:gridCol w:w="1690"/>
        <w:gridCol w:w="2152"/>
        <w:gridCol w:w="1559"/>
        <w:gridCol w:w="2150"/>
      </w:tblGrid>
      <w:tr>
        <w:trPr>
          <w:trHeight w:val="355" w:hRule="exact"/>
        </w:trPr>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5%</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861" w:right="0"/>
              <w:jc w:val="left"/>
              <w:rPr>
                <w:rFonts w:ascii="Times New Roman" w:hAnsi="Times New Roman" w:cs="Times New Roman" w:eastAsia="Times New Roman" w:hint="default"/>
                <w:sz w:val="18"/>
                <w:szCs w:val="18"/>
              </w:rPr>
            </w:pPr>
            <w:r>
              <w:rPr>
                <w:rFonts w:ascii="Times New Roman"/>
                <w:sz w:val="18"/>
              </w:rPr>
              <w:t>304,771.67</w:t>
            </w:r>
          </w:p>
        </w:tc>
        <w:tc>
          <w:tcPr>
            <w:tcW w:w="2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324" w:right="0"/>
              <w:jc w:val="left"/>
              <w:rPr>
                <w:rFonts w:ascii="Times New Roman" w:hAnsi="Times New Roman" w:cs="Times New Roman" w:eastAsia="Times New Roman" w:hint="default"/>
                <w:sz w:val="18"/>
                <w:szCs w:val="18"/>
              </w:rPr>
            </w:pPr>
            <w:r>
              <w:rPr>
                <w:rFonts w:ascii="Times New Roman"/>
                <w:sz w:val="18"/>
              </w:rPr>
              <w:t>304,771.67</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820" w:right="0"/>
              <w:jc w:val="left"/>
              <w:rPr>
                <w:rFonts w:ascii="Times New Roman" w:hAnsi="Times New Roman" w:cs="Times New Roman" w:eastAsia="Times New Roman" w:hint="default"/>
                <w:sz w:val="18"/>
                <w:szCs w:val="18"/>
              </w:rPr>
            </w:pPr>
            <w:r>
              <w:rPr>
                <w:rFonts w:ascii="Times New Roman"/>
                <w:sz w:val="18"/>
              </w:rPr>
              <w:t>66,049.32</w:t>
            </w:r>
          </w:p>
        </w:tc>
        <w:tc>
          <w:tcPr>
            <w:tcW w:w="21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1352" w:right="0"/>
              <w:jc w:val="left"/>
              <w:rPr>
                <w:rFonts w:ascii="Times New Roman" w:hAnsi="Times New Roman" w:cs="Times New Roman" w:eastAsia="Times New Roman" w:hint="default"/>
                <w:sz w:val="18"/>
                <w:szCs w:val="18"/>
              </w:rPr>
            </w:pPr>
            <w:r>
              <w:rPr>
                <w:rFonts w:ascii="Times New Roman"/>
                <w:sz w:val="18"/>
              </w:rPr>
              <w:t>-66,049.32</w:t>
            </w:r>
          </w:p>
        </w:tc>
      </w:tr>
    </w:tbl>
    <w:p>
      <w:pPr>
        <w:pStyle w:val="BodyText"/>
        <w:spacing w:line="300" w:lineRule="auto" w:before="10"/>
        <w:ind w:left="633" w:right="4873"/>
        <w:jc w:val="left"/>
      </w:pPr>
      <w:r>
        <w:rPr/>
        <w:t>（</w:t>
      </w:r>
      <w:r>
        <w:rPr>
          <w:rFonts w:ascii="Times New Roman" w:hAnsi="Times New Roman" w:cs="Times New Roman" w:eastAsia="Times New Roman" w:hint="default"/>
        </w:rPr>
        <w:t>3</w:t>
      </w:r>
      <w:r>
        <w:rPr/>
        <w:t>）其他价格风险 本公司持有的分类为可供出售金融资产在资产负债表日以成本计量。</w:t>
      </w:r>
    </w:p>
    <w:p>
      <w:pPr>
        <w:spacing w:line="240" w:lineRule="auto" w:before="4"/>
        <w:rPr>
          <w:rFonts w:ascii="宋体" w:hAnsi="宋体" w:cs="宋体" w:eastAsia="宋体" w:hint="default"/>
          <w:sz w:val="26"/>
          <w:szCs w:val="26"/>
        </w:rPr>
      </w:pPr>
    </w:p>
    <w:p>
      <w:pPr>
        <w:pStyle w:val="BodyText"/>
        <w:spacing w:line="240" w:lineRule="auto"/>
        <w:ind w:left="633" w:right="0"/>
        <w:jc w:val="left"/>
      </w:pPr>
      <w:r>
        <w:rPr>
          <w:rFonts w:ascii="Times New Roman" w:hAnsi="Times New Roman" w:cs="Times New Roman" w:eastAsia="Times New Roman" w:hint="default"/>
        </w:rPr>
        <w:t>2</w:t>
      </w:r>
      <w:r>
        <w:rPr/>
        <w:t>、信用风险</w:t>
      </w:r>
    </w:p>
    <w:p>
      <w:pPr>
        <w:pStyle w:val="BodyText"/>
        <w:spacing w:line="300" w:lineRule="auto" w:before="63"/>
        <w:ind w:right="1131" w:firstLine="48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融资产产生的损失以及本公司承担的财务担保，具体包括：</w:t>
      </w:r>
    </w:p>
    <w:p>
      <w:pPr>
        <w:pStyle w:val="BodyText"/>
        <w:spacing w:line="316" w:lineRule="auto" w:before="31"/>
        <w:ind w:right="1043" w:firstLine="480"/>
        <w:jc w:val="both"/>
      </w:pPr>
      <w:r>
        <w:rPr>
          <w:spacing w:val="-3"/>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9"/>
        <w:ind w:left="153" w:right="1133" w:firstLine="480"/>
        <w:jc w:val="both"/>
      </w:pPr>
      <w:r>
        <w:rPr>
          <w:spacing w:val="-1"/>
        </w:rPr>
        <w:t>为降低信用风险，本公司制定了相关的内部控制政策负责确定信用额度、进行信用审批，并执行其他监控程序以确保</w:t>
      </w:r>
      <w:r>
        <w:rPr/>
        <w:t> </w:t>
      </w:r>
      <w:r>
        <w:rPr>
          <w:spacing w:val="-2"/>
        </w:rPr>
        <w:t>采取必要的措施回收过期债权。此外，本公司于每个资产负债表日审核每一单项应收款的回收情况，以确保就无法回收的款</w:t>
      </w:r>
      <w:r>
        <w:rPr>
          <w:spacing w:val="-66"/>
        </w:rPr>
        <w:t> </w:t>
      </w:r>
      <w:r>
        <w:rPr>
          <w:spacing w:val="-66"/>
        </w:rPr>
      </w:r>
      <w:r>
        <w:rPr/>
        <w:t>项计提充分的坏账准备。因此，本公司管理层认为本公司所承担的信用风险已经大为降低。</w:t>
      </w:r>
    </w:p>
    <w:p>
      <w:pPr>
        <w:pStyle w:val="BodyText"/>
        <w:spacing w:line="240" w:lineRule="auto" w:before="19"/>
        <w:ind w:left="633" w:right="0"/>
        <w:jc w:val="left"/>
      </w:pPr>
      <w:r>
        <w:rPr/>
        <w:t>本公司的流动资金存放在信用评级较高的银行，故流动资金的信用风险较低。</w:t>
      </w:r>
    </w:p>
    <w:p>
      <w:pPr>
        <w:pStyle w:val="BodyText"/>
        <w:spacing w:line="300" w:lineRule="auto" w:before="76"/>
        <w:ind w:left="634" w:right="6942"/>
        <w:jc w:val="left"/>
      </w:pPr>
      <w:r>
        <w:rPr/>
        <w:t>（</w:t>
      </w:r>
      <w:r>
        <w:rPr>
          <w:rFonts w:ascii="Times New Roman" w:hAnsi="Times New Roman" w:cs="Times New Roman" w:eastAsia="Times New Roman" w:hint="default"/>
        </w:rPr>
        <w:t>1</w:t>
      </w:r>
      <w:r>
        <w:rPr/>
        <w:t>）已逾期未减值的金融资产的账龄分析 本公司无已逾期未计提减值的金融资产。</w:t>
      </w:r>
    </w:p>
    <w:p>
      <w:pPr>
        <w:pStyle w:val="BodyText"/>
        <w:spacing w:line="300" w:lineRule="auto" w:before="31"/>
        <w:ind w:left="633" w:right="0"/>
        <w:jc w:val="left"/>
      </w:pPr>
      <w:r>
        <w:rPr/>
        <w:t>（</w:t>
      </w:r>
      <w:r>
        <w:rPr>
          <w:rFonts w:ascii="Times New Roman" w:hAnsi="Times New Roman" w:cs="Times New Roman" w:eastAsia="Times New Roman" w:hint="default"/>
        </w:rPr>
        <w:t>2</w:t>
      </w:r>
      <w:r>
        <w:rPr/>
        <w:t>）已发生单项减值的金融资产的分析，包括判断该金融资产发生减值所考虑的因素。 </w:t>
      </w:r>
      <w:r>
        <w:rPr>
          <w:spacing w:val="-1"/>
        </w:rPr>
        <w:t>资产负债表日，单项确定已发生减值的应收东莞建永数码科技有限公司单位款项，由于该公司破产，本公司已全额计</w:t>
      </w:r>
    </w:p>
    <w:p>
      <w:pPr>
        <w:pStyle w:val="BodyText"/>
        <w:spacing w:line="240" w:lineRule="auto" w:before="31"/>
        <w:ind w:left="153" w:right="0"/>
        <w:jc w:val="left"/>
      </w:pPr>
      <w:r>
        <w:rPr/>
        <w:t>提坏账准备。</w:t>
      </w:r>
    </w:p>
    <w:p>
      <w:pPr>
        <w:pStyle w:val="BodyText"/>
        <w:spacing w:line="300" w:lineRule="auto" w:before="76"/>
        <w:ind w:left="633" w:right="1118"/>
        <w:jc w:val="left"/>
      </w:pPr>
      <w:r>
        <w:rPr>
          <w:rFonts w:ascii="Times New Roman" w:hAnsi="Times New Roman" w:cs="Times New Roman" w:eastAsia="Times New Roman" w:hint="default"/>
        </w:rPr>
        <w:t>3</w:t>
      </w:r>
      <w:r>
        <w:rPr/>
        <w:t>、流动风险 </w:t>
      </w:r>
      <w:r>
        <w:rPr>
          <w:spacing w:val="-1"/>
        </w:rPr>
        <w:t>管理流动风险时，本公司保持管理层认为充分的现金及现金等价物并对其进行监控，以满足本公司经营需要，并降低</w:t>
      </w:r>
    </w:p>
    <w:p>
      <w:pPr>
        <w:pStyle w:val="BodyText"/>
        <w:spacing w:line="309" w:lineRule="auto" w:before="31"/>
        <w:ind w:left="633" w:right="1048" w:hanging="480"/>
        <w:jc w:val="left"/>
      </w:pPr>
      <w:r>
        <w:rPr/>
        <w:t>现金流量波动的影响。本公司管理层对银行借款的使用情况进行监控并确保遵守借款协议。 本公司将银行借款作为主要资金来源。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462,368,840.58</w:t>
      </w:r>
      <w:r>
        <w:rPr/>
        <w:t>元。</w:t>
      </w:r>
      <w:r>
        <w:rPr>
          <w:spacing w:val="-2"/>
        </w:rPr>
        <w:t> </w:t>
      </w:r>
      <w:r>
        <w:rPr/>
        <w:t>本公司持有的金融资产、金融负债按未折现剩余合同义务的到期期限分析如下：</w:t>
      </w:r>
    </w:p>
    <w:tbl>
      <w:tblPr>
        <w:tblW w:w="0" w:type="auto"/>
        <w:jc w:val="left"/>
        <w:tblInd w:w="146" w:type="dxa"/>
        <w:tblLayout w:type="fixed"/>
        <w:tblCellMar>
          <w:top w:w="0" w:type="dxa"/>
          <w:left w:w="0" w:type="dxa"/>
          <w:bottom w:w="0" w:type="dxa"/>
          <w:right w:w="0" w:type="dxa"/>
        </w:tblCellMar>
        <w:tblLook w:val="01E0"/>
      </w:tblPr>
      <w:tblGrid>
        <w:gridCol w:w="2661"/>
        <w:gridCol w:w="1844"/>
        <w:gridCol w:w="1572"/>
        <w:gridCol w:w="1820"/>
        <w:gridCol w:w="1960"/>
      </w:tblGrid>
      <w:tr>
        <w:trPr>
          <w:trHeight w:val="355" w:hRule="exact"/>
        </w:trPr>
        <w:tc>
          <w:tcPr>
            <w:tcW w:w="2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53"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非衍生金融资产及负债：</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572" w:type="dxa"/>
            <w:tcBorders>
              <w:top w:val="single" w:sz="12" w:space="0" w:color="000000"/>
              <w:left w:val="single" w:sz="6" w:space="0" w:color="000000"/>
              <w:bottom w:val="single" w:sz="12" w:space="0" w:color="000000"/>
              <w:right w:val="single" w:sz="6" w:space="0" w:color="000000"/>
            </w:tcBorders>
          </w:tcPr>
          <w:p>
            <w:pPr/>
          </w:p>
        </w:tc>
        <w:tc>
          <w:tcPr>
            <w:tcW w:w="1820"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35,867,242.89</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264,864,133.50</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29,319,800.25</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11,856,563.04</w:t>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11,392,997.83</w:t>
            </w:r>
          </w:p>
        </w:tc>
      </w:tr>
      <w:tr>
        <w:trPr>
          <w:trHeight w:val="353"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9,479,183.67</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816,626.02</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6,340,840.00</w:t>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602,168.44</w:t>
            </w: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133,394,904.00</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83,635,471.42</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193,236,314.66</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160,959.54</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57,740.62</w:t>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4,844.04</w:t>
            </w: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3,615,519.46</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583,314.00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233,650.00</w:t>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79,061.36</w:t>
            </w:r>
          </w:p>
        </w:tc>
      </w:tr>
      <w:tr>
        <w:trPr>
          <w:trHeight w:val="352"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1572" w:type="dxa"/>
            <w:tcBorders>
              <w:top w:val="single" w:sz="12" w:space="0" w:color="000000"/>
              <w:left w:val="single" w:sz="6" w:space="0" w:color="000000"/>
              <w:bottom w:val="single" w:sz="12" w:space="0" w:color="000000"/>
              <w:right w:val="single" w:sz="6" w:space="0" w:color="000000"/>
            </w:tcBorders>
          </w:tcPr>
          <w:p>
            <w:pPr/>
          </w:p>
        </w:tc>
        <w:tc>
          <w:tcPr>
            <w:tcW w:w="1820"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远期外汇合同</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3,654,795.71</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2"/>
        <w:spacing w:line="240" w:lineRule="auto" w:before="26"/>
        <w:ind w:left="154" w:right="0"/>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0"/>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6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35"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3,654,795.71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3,654,795.71</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衍生金融资产系公司签定的远期结汇协议产生，按协议约定汇率与报表日汇率差额及协议结汇总额计算得出。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0"/>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left="154" w:right="0"/>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left="154" w:right="0"/>
        <w:jc w:val="left"/>
        <w:rPr>
          <w:b w:val="0"/>
          <w:bCs w:val="0"/>
        </w:rPr>
      </w:pPr>
      <w:bookmarkStart w:name="5、持续的第三层次公允价值计量项目，期初与期末账面价值间的调节信息及上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7"/>
          <w:szCs w:val="27"/>
        </w:rPr>
      </w:pPr>
    </w:p>
    <w:p>
      <w:pPr>
        <w:pStyle w:val="Heading4"/>
        <w:spacing w:line="240" w:lineRule="auto"/>
        <w:ind w:left="154" w:right="0"/>
        <w:jc w:val="left"/>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left="154" w:right="0"/>
        <w:jc w:val="left"/>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4"/>
        <w:spacing w:line="240" w:lineRule="auto"/>
        <w:ind w:left="154" w:right="0"/>
        <w:jc w:val="left"/>
        <w:rPr>
          <w:b w:val="0"/>
          <w:bCs w:val="0"/>
        </w:rPr>
      </w:pPr>
      <w:bookmarkStart w:name="8、上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spacing w:line="487" w:lineRule="auto" w:before="0"/>
        <w:ind w:left="154" w:right="8052"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3"/>
      <w:bookmarkEnd w:id="44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深圳德旺投资发展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24.10%</w:t>
            </w:r>
          </w:p>
        </w:tc>
      </w:tr>
    </w:tbl>
    <w:p>
      <w:pPr>
        <w:pStyle w:val="BodyText"/>
        <w:spacing w:line="360" w:lineRule="auto" w:before="51"/>
        <w:ind w:left="153" w:right="8413"/>
        <w:jc w:val="left"/>
      </w:pPr>
      <w:r>
        <w:rPr/>
        <w:t>本企业的母公司情况的说明 本企业最终控制方是顾永德。 其他说明：</w:t>
      </w:r>
    </w:p>
    <w:p>
      <w:pPr>
        <w:spacing w:line="240" w:lineRule="auto" w:before="12"/>
        <w:rPr>
          <w:rFonts w:ascii="宋体" w:hAnsi="宋体" w:cs="宋体" w:eastAsia="宋体" w:hint="default"/>
          <w:sz w:val="19"/>
          <w:szCs w:val="19"/>
        </w:rPr>
      </w:pPr>
    </w:p>
    <w:p>
      <w:pPr>
        <w:spacing w:line="547" w:lineRule="auto" w:before="0"/>
        <w:ind w:left="153" w:right="4093" w:firstLine="0"/>
        <w:jc w:val="left"/>
        <w:rPr>
          <w:rFonts w:ascii="宋体" w:hAnsi="宋体" w:cs="宋体" w:eastAsia="宋体" w:hint="default"/>
          <w:sz w:val="21"/>
          <w:szCs w:val="21"/>
        </w:rPr>
      </w:pPr>
      <w:bookmarkStart w:name="2、本企业的子公司情况" w:id="444"/>
      <w:bookmarkEnd w:id="4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5"/>
      <w:bookmarkEnd w:id="4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left="153" w:right="2293"/>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顾永德与周莉夫妇合计持有该公司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70.086%</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本公司独立董事施伟力在该公司任独立董事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股份、本公司董秘为该公司董事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26"/>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持有本公司控股子公司海宁茂硕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董事、董秘、副总经理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董事、副董事长（</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谢颖彬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王细亮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顾永德的妻子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周莉的姐姐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刘泽民持有深圳茂硕钜泽科技有限公司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方慧持有深圳茂硕希港科技有限公司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2,528,396.33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1,236,918.21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1,739,427.15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海宁市诺耶科华太阳能电力工 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97,680,940.18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采购低值易耗品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10,096.62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深圳连硕自动化科技有限公司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1,861,538.44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52"/>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5"/>
                <w:sz w:val="18"/>
              </w:rPr>
              <w:t> </w:t>
            </w:r>
            <w:r>
              <w:rPr>
                <w:rFonts w:ascii="Times New Roman"/>
                <w:sz w:val="18"/>
              </w:rPr>
              <w:t>INFO</w:t>
            </w:r>
            <w:r>
              <w:rPr>
                <w:rFonts w:ascii="Times New Roman"/>
                <w:w w:val="99"/>
                <w:sz w:val="18"/>
              </w:rPr>
              <w:t> </w:t>
            </w:r>
            <w:r>
              <w:rPr>
                <w:rFonts w:ascii="Times New Roman"/>
                <w:sz w:val="18"/>
              </w:rPr>
              <w:t>CORPORATION</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7,482,200.18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大连路明发光科技股份有限公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27,895.74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山西光宇半导体照明股份有限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31,770.09</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2"/>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6" w:right="24"/>
              <w:jc w:val="center"/>
              <w:rPr>
                <w:rFonts w:ascii="宋体" w:hAnsi="宋体" w:cs="宋体" w:eastAsia="宋体" w:hint="default"/>
                <w:sz w:val="18"/>
                <w:szCs w:val="18"/>
              </w:rPr>
            </w:pPr>
            <w:r>
              <w:rPr>
                <w:rFonts w:ascii="宋体" w:hAnsi="宋体" w:cs="宋体" w:eastAsia="宋体" w:hint="default"/>
                <w:sz w:val="18"/>
                <w:szCs w:val="18"/>
              </w:rPr>
              <w:t>深圳茂硕电子科技有限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01"/>
              <w:jc w:val="right"/>
              <w:rPr>
                <w:rFonts w:ascii="Times New Roman" w:hAnsi="Times New Roman" w:cs="Times New Roman" w:eastAsia="Times New Roman" w:hint="default"/>
                <w:sz w:val="18"/>
                <w:szCs w:val="18"/>
              </w:rPr>
            </w:pPr>
            <w:r>
              <w:rPr>
                <w:rFonts w:ascii="Times New Roman"/>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01"/>
              <w:jc w:val="right"/>
              <w:rPr>
                <w:rFonts w:ascii="Times New Roman" w:hAnsi="Times New Roman" w:cs="Times New Roman" w:eastAsia="Times New Roman" w:hint="default"/>
                <w:sz w:val="18"/>
                <w:szCs w:val="18"/>
              </w:rPr>
            </w:pPr>
            <w:r>
              <w:rPr>
                <w:rFonts w:ascii="Times New Roman"/>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46"/>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46"/>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1"/>
              <w:jc w:val="right"/>
              <w:rPr>
                <w:rFonts w:ascii="Times New Roman" w:hAnsi="Times New Roman" w:cs="Times New Roman" w:eastAsia="Times New Roman" w:hint="default"/>
                <w:sz w:val="18"/>
                <w:szCs w:val="18"/>
              </w:rPr>
            </w:pPr>
            <w:r>
              <w:rPr>
                <w:rFonts w:ascii="Times New Roman"/>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深圳茂硕电子科技有限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2" w:right="51" w:hanging="721"/>
              <w:jc w:val="left"/>
              <w:rPr>
                <w:rFonts w:ascii="宋体" w:hAnsi="宋体" w:cs="宋体" w:eastAsia="宋体" w:hint="default"/>
                <w:sz w:val="18"/>
                <w:szCs w:val="18"/>
              </w:rPr>
            </w:pPr>
            <w:r>
              <w:rPr>
                <w:rFonts w:ascii="宋体" w:hAnsi="宋体" w:cs="宋体" w:eastAsia="宋体" w:hint="default"/>
                <w:sz w:val="18"/>
                <w:szCs w:val="18"/>
              </w:rPr>
              <w:t>深圳茂硕电子科技有限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关联担保情况说明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4,270,505.04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山西光宇半导体照 明股份有限公司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135,279.01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15,884.21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235,279.01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21,669.35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49"/>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6"/>
                <w:sz w:val="18"/>
              </w:rPr>
              <w:t> </w:t>
            </w:r>
            <w:r>
              <w:rPr>
                <w:rFonts w:ascii="Times New Roman"/>
                <w:sz w:val="18"/>
              </w:rPr>
              <w:t>INFO</w:t>
            </w:r>
            <w:r>
              <w:rPr>
                <w:rFonts w:ascii="Times New Roman"/>
                <w:w w:val="99"/>
                <w:sz w:val="18"/>
              </w:rPr>
              <w:t> </w:t>
            </w:r>
            <w:r>
              <w:rPr>
                <w:rFonts w:ascii="Times New Roman"/>
                <w:sz w:val="18"/>
              </w:rPr>
              <w:t>CORPORATION</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7,839,097.77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396,302.87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海宁市诺耶科华太 阳能电力工程有限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2,048,920.00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大连路明发光科技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58,028.03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58,028.03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4,170.88</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刘耀平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157,517.94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1,025,644.64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海宁市诺耶科华太阳能电力 工程有限公司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11,477,635.46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90,452.49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深圳连硕自动化科技有限公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spacing w:line="487" w:lineRule="auto" w:before="0"/>
        <w:ind w:left="153" w:right="8751"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1"/>
      <w:bookmarkEnd w:id="46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53"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spacing w:line="487" w:lineRule="auto" w:before="0"/>
        <w:ind w:left="153" w:right="8344"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BodyText"/>
        <w:spacing w:line="300" w:lineRule="auto" w:before="116"/>
        <w:ind w:left="634" w:right="4332" w:firstLine="2"/>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tbl>
      <w:tblPr>
        <w:tblW w:w="0" w:type="auto"/>
        <w:jc w:val="left"/>
        <w:tblInd w:w="146" w:type="dxa"/>
        <w:tblLayout w:type="fixed"/>
        <w:tblCellMar>
          <w:top w:w="0" w:type="dxa"/>
          <w:left w:w="0" w:type="dxa"/>
          <w:bottom w:w="0" w:type="dxa"/>
          <w:right w:w="0" w:type="dxa"/>
        </w:tblCellMar>
        <w:tblLook w:val="01E0"/>
      </w:tblPr>
      <w:tblGrid>
        <w:gridCol w:w="5065"/>
        <w:gridCol w:w="2315"/>
        <w:gridCol w:w="2315"/>
      </w:tblGrid>
      <w:tr>
        <w:trPr>
          <w:trHeight w:val="355" w:hRule="exact"/>
        </w:trPr>
        <w:tc>
          <w:tcPr>
            <w:tcW w:w="5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15" w:type="dxa"/>
            <w:tcBorders>
              <w:top w:val="single" w:sz="12" w:space="0" w:color="000000"/>
              <w:left w:val="single" w:sz="6" w:space="0" w:color="000000"/>
              <w:bottom w:val="single" w:sz="12" w:space="0" w:color="000000"/>
              <w:right w:val="single" w:sz="6" w:space="0" w:color="000000"/>
            </w:tcBorders>
          </w:tcPr>
          <w:p>
            <w:pPr/>
          </w:p>
        </w:tc>
        <w:tc>
          <w:tcPr>
            <w:tcW w:w="231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9,167,577.00</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7,290,662.55</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6,278,416.88</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6,242,296.20</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6,442,961.73</w:t>
            </w:r>
          </w:p>
        </w:tc>
      </w:tr>
      <w:tr>
        <w:trPr>
          <w:trHeight w:val="353"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6,044,100.05</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6,442,961.73</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37,122,840.00</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46,732,207.17</w:t>
            </w:r>
          </w:p>
        </w:tc>
      </w:tr>
      <w:tr>
        <w:trPr>
          <w:trHeight w:val="352" w:hRule="exact"/>
        </w:trPr>
        <w:tc>
          <w:tcPr>
            <w:tcW w:w="50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56,699,898.80</w:t>
            </w:r>
          </w:p>
        </w:tc>
        <w:tc>
          <w:tcPr>
            <w:tcW w:w="23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75,064,124.51</w:t>
            </w:r>
          </w:p>
        </w:tc>
      </w:tr>
    </w:tbl>
    <w:p>
      <w:pPr>
        <w:pStyle w:val="BodyText"/>
        <w:spacing w:line="240" w:lineRule="auto" w:before="31"/>
        <w:ind w:left="636" w:right="0"/>
        <w:jc w:val="left"/>
      </w:pPr>
      <w:r>
        <w:rPr/>
        <w:t>（</w:t>
      </w:r>
      <w:r>
        <w:rPr>
          <w:rFonts w:ascii="Times New Roman" w:hAnsi="Times New Roman" w:cs="Times New Roman" w:eastAsia="Times New Roman" w:hint="default"/>
        </w:rPr>
        <w:t>2</w:t>
      </w:r>
      <w:r>
        <w:rPr/>
        <w:t>）其他承诺事项</w:t>
      </w:r>
    </w:p>
    <w:p>
      <w:pPr>
        <w:pStyle w:val="BodyText"/>
        <w:spacing w:line="302" w:lineRule="auto" w:before="63"/>
        <w:ind w:left="153" w:right="1128" w:firstLine="480"/>
        <w:jc w:val="both"/>
      </w:pPr>
      <w:r>
        <w:rPr/>
        <w:t>①</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月，广东省粤科财政股权投资有限公司（以下简称</w:t>
      </w:r>
      <w:r>
        <w:rPr>
          <w:rFonts w:ascii="Times New Roman" w:hAnsi="Times New Roman" w:cs="Times New Roman" w:eastAsia="Times New Roman" w:hint="default"/>
        </w:rPr>
        <w:t>“</w:t>
      </w:r>
      <w:r>
        <w:rPr/>
        <w:t>粤科财政投资</w:t>
      </w:r>
      <w:r>
        <w:rPr>
          <w:rFonts w:ascii="Times New Roman" w:hAnsi="Times New Roman" w:cs="Times New Roman" w:eastAsia="Times New Roman" w:hint="default"/>
        </w:rPr>
        <w:t>”</w:t>
      </w:r>
      <w:r>
        <w:rPr/>
        <w:t>）以人民币</w:t>
      </w:r>
      <w:r>
        <w:rPr>
          <w:rFonts w:ascii="Times New Roman" w:hAnsi="Times New Roman" w:cs="Times New Roman" w:eastAsia="Times New Roman" w:hint="default"/>
        </w:rPr>
        <w:t>6,000</w:t>
      </w:r>
      <w:r>
        <w:rPr/>
        <w:t>万元对惠州茂硕进行股 </w:t>
      </w:r>
      <w:r>
        <w:rPr>
          <w:spacing w:val="-1"/>
        </w:rPr>
        <w:t>权投资，增资后粤科财政投资持有惠州茂硕</w:t>
      </w:r>
      <w:r>
        <w:rPr>
          <w:rFonts w:ascii="Times New Roman" w:hAnsi="Times New Roman" w:cs="Times New Roman" w:eastAsia="Times New Roman" w:hint="default"/>
          <w:spacing w:val="-1"/>
        </w:rPr>
        <w:t>10%</w:t>
      </w:r>
      <w:r>
        <w:rPr>
          <w:spacing w:val="-1"/>
        </w:rPr>
        <w:t>的股权。经过本公司与粤科财政投资的一致同意，粤科财政投资持有惠州茂</w:t>
      </w:r>
      <w:r>
        <w:rPr>
          <w:spacing w:val="-87"/>
        </w:rPr>
        <w:t> </w:t>
      </w:r>
      <w:r>
        <w:rPr>
          <w:spacing w:val="-87"/>
        </w:rPr>
      </w:r>
      <w:r>
        <w:rPr/>
        <w:t>硕股权满三年后</w:t>
      </w:r>
      <w:r>
        <w:rPr>
          <w:rFonts w:ascii="Times New Roman" w:hAnsi="Times New Roman" w:cs="Times New Roman" w:eastAsia="Times New Roman" w:hint="default"/>
        </w:rPr>
        <w:t>6</w:t>
      </w:r>
      <w:r>
        <w:rPr/>
        <w:t>个月内，粤科财政投资有权按照双方签署的《增资协议》约定的价款向本公司或者本公司指定的第三方转</w:t>
      </w:r>
      <w:r>
        <w:rPr>
          <w:spacing w:val="-83"/>
        </w:rPr>
        <w:t> </w:t>
      </w:r>
      <w:r>
        <w:rPr>
          <w:spacing w:val="-83"/>
        </w:rPr>
      </w:r>
      <w:r>
        <w:rPr/>
        <w:t>让其持有惠州茂硕的全部或者部分股权，且本公司或本公司指定的第三方应按照《增资协议》约定的价款受让</w:t>
      </w:r>
      <w:r>
        <w:rPr>
          <w:rFonts w:ascii="Times New Roman" w:hAnsi="Times New Roman" w:cs="Times New Roman" w:eastAsia="Times New Roman" w:hint="default"/>
        </w:rPr>
        <w:t>/</w:t>
      </w:r>
      <w:r>
        <w:rPr/>
        <w:t>竞买。协议</w:t>
      </w:r>
      <w:r>
        <w:rPr>
          <w:spacing w:val="-44"/>
        </w:rPr>
        <w:t> </w:t>
      </w:r>
      <w:r>
        <w:rPr/>
        <w:t>约定价款为：粤科财政投资对惠州茂硕增资款</w:t>
      </w:r>
      <w:r>
        <w:rPr>
          <w:rFonts w:ascii="Times New Roman" w:hAnsi="Times New Roman" w:cs="Times New Roman" w:eastAsia="Times New Roman" w:hint="default"/>
        </w:rPr>
        <w:t>×</w:t>
      </w:r>
      <w:r>
        <w:rPr/>
        <w:t>（</w:t>
      </w:r>
      <w:r>
        <w:rPr>
          <w:rFonts w:ascii="Times New Roman" w:hAnsi="Times New Roman" w:cs="Times New Roman" w:eastAsia="Times New Roman" w:hint="default"/>
        </w:rPr>
        <w:t>1+5%×</w:t>
      </w:r>
      <w:r>
        <w:rPr/>
        <w:t>投资期限</w:t>
      </w:r>
      <w:r>
        <w:rPr>
          <w:rFonts w:ascii="Times New Roman" w:hAnsi="Times New Roman" w:cs="Times New Roman" w:eastAsia="Times New Roman" w:hint="default"/>
        </w:rPr>
        <w:t>/360</w:t>
      </w:r>
      <w:r>
        <w:rPr/>
        <w:t>）减去粤科财政投资持有惠州茂硕股权期间分得的利</w:t>
      </w:r>
      <w:r>
        <w:rPr>
          <w:spacing w:val="-53"/>
        </w:rPr>
        <w:t> </w:t>
      </w:r>
      <w:r>
        <w:rPr>
          <w:spacing w:val="-53"/>
        </w:rPr>
      </w:r>
      <w:r>
        <w:rPr>
          <w:spacing w:val="-1"/>
        </w:rPr>
        <w:t>润；为保证茂硕电源依约履行其在《增资协议》项下的回购义务，茂硕电源以其持有惠州茂硕</w:t>
      </w:r>
      <w:r>
        <w:rPr>
          <w:rFonts w:ascii="Times New Roman" w:hAnsi="Times New Roman" w:cs="Times New Roman" w:eastAsia="Times New Roman" w:hint="default"/>
          <w:spacing w:val="-1"/>
        </w:rPr>
        <w:t>22.5%</w:t>
      </w:r>
      <w:r>
        <w:rPr>
          <w:spacing w:val="-1"/>
        </w:rPr>
        <w:t>股权（增资后）及其权</w:t>
      </w:r>
      <w:r>
        <w:rPr>
          <w:spacing w:val="-47"/>
        </w:rPr>
        <w:t> </w:t>
      </w:r>
      <w:r>
        <w:rPr>
          <w:spacing w:val="-47"/>
        </w:rPr>
      </w:r>
      <w:r>
        <w:rPr>
          <w:spacing w:val="-2"/>
        </w:rPr>
        <w:t>益包括但不限于股息、分配的利润等作为担保；同时茂硕电源以其有权处分的惠州茂硕的土地使用权为《增资合同》约定的</w:t>
      </w:r>
      <w:r>
        <w:rPr>
          <w:spacing w:val="-66"/>
        </w:rPr>
        <w:t> </w:t>
      </w:r>
      <w:r>
        <w:rPr>
          <w:spacing w:val="-66"/>
        </w:rPr>
      </w:r>
      <w:r>
        <w:rPr>
          <w:rFonts w:ascii="Times New Roman" w:hAnsi="Times New Roman" w:cs="Times New Roman" w:eastAsia="Times New Roman" w:hint="default"/>
        </w:rPr>
        <w:t>“</w:t>
      </w:r>
      <w:r>
        <w:rPr/>
        <w:t>股权回购</w:t>
      </w:r>
      <w:r>
        <w:rPr>
          <w:rFonts w:ascii="Times New Roman" w:hAnsi="Times New Roman" w:cs="Times New Roman" w:eastAsia="Times New Roman" w:hint="default"/>
        </w:rPr>
        <w:t>”</w:t>
      </w:r>
      <w:r>
        <w:rPr/>
        <w:t>条款提供抵押担保。</w:t>
      </w:r>
    </w:p>
    <w:p>
      <w:pPr>
        <w:pStyle w:val="BodyText"/>
        <w:spacing w:line="300" w:lineRule="auto" w:before="11"/>
        <w:ind w:left="153" w:right="1128" w:firstLine="480"/>
        <w:jc w:val="both"/>
      </w:pPr>
      <w:r>
        <w:rPr/>
        <w:t>②公司于</w:t>
      </w:r>
      <w:r>
        <w:rPr>
          <w:rFonts w:ascii="Times New Roman" w:hAnsi="Times New Roman" w:cs="Times New Roman" w:eastAsia="Times New Roman" w:hint="default"/>
        </w:rPr>
        <w:t>2014</w:t>
      </w:r>
      <w:r>
        <w:rPr/>
        <w:t>的</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日开始筹划重大资产重组。于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日签署《发行股份及支付现金购买资产协议》，茂 </w:t>
      </w:r>
      <w:r>
        <w:rPr>
          <w:spacing w:val="-1"/>
        </w:rPr>
        <w:t>硕电源拟向湖南省方正达电子科技有限公司（以下简称</w:t>
      </w:r>
      <w:r>
        <w:rPr>
          <w:rFonts w:ascii="Times New Roman" w:hAnsi="Times New Roman" w:cs="Times New Roman" w:eastAsia="Times New Roman" w:hint="default"/>
          <w:spacing w:val="-1"/>
        </w:rPr>
        <w:t>“</w:t>
      </w:r>
      <w:r>
        <w:rPr>
          <w:spacing w:val="-1"/>
        </w:rPr>
        <w:t>湖南方正达</w:t>
      </w:r>
      <w:r>
        <w:rPr>
          <w:rFonts w:ascii="Times New Roman" w:hAnsi="Times New Roman" w:cs="Times New Roman" w:eastAsia="Times New Roman" w:hint="default"/>
          <w:spacing w:val="-1"/>
        </w:rPr>
        <w:t>”</w:t>
      </w:r>
      <w:r>
        <w:rPr>
          <w:spacing w:val="-1"/>
        </w:rPr>
        <w:t>）发行</w:t>
      </w:r>
      <w:r>
        <w:rPr>
          <w:rFonts w:ascii="Times New Roman" w:hAnsi="Times New Roman" w:cs="Times New Roman" w:eastAsia="Times New Roman" w:hint="default"/>
          <w:spacing w:val="-1"/>
        </w:rPr>
        <w:t>1,870</w:t>
      </w:r>
      <w:r>
        <w:rPr>
          <w:spacing w:val="-1"/>
        </w:rPr>
        <w:t>万股股份及支付</w:t>
      </w:r>
      <w:r>
        <w:rPr>
          <w:rFonts w:ascii="Times New Roman" w:hAnsi="Times New Roman" w:cs="Times New Roman" w:eastAsia="Times New Roman" w:hint="default"/>
          <w:spacing w:val="-1"/>
        </w:rPr>
        <w:t>3,009.60</w:t>
      </w:r>
      <w:r>
        <w:rPr>
          <w:spacing w:val="-1"/>
        </w:rPr>
        <w:t>万元现金收购方笑</w:t>
      </w:r>
      <w:r>
        <w:rPr>
          <w:spacing w:val="-52"/>
        </w:rPr>
        <w:t> </w:t>
      </w:r>
      <w:r>
        <w:rPr>
          <w:spacing w:val="-52"/>
        </w:rPr>
      </w:r>
      <w:r>
        <w:rPr>
          <w:spacing w:val="-2"/>
        </w:rPr>
        <w:t>求、蓝顺明合计持有的湖南方正达的</w:t>
      </w:r>
      <w:r>
        <w:rPr>
          <w:rFonts w:ascii="Times New Roman" w:hAnsi="Times New Roman" w:cs="Times New Roman" w:eastAsia="Times New Roman" w:hint="default"/>
          <w:spacing w:val="-2"/>
        </w:rPr>
        <w:t>55%</w:t>
      </w:r>
      <w:r>
        <w:rPr>
          <w:spacing w:val="-2"/>
        </w:rPr>
        <w:t>股权（各</w:t>
      </w:r>
      <w:r>
        <w:rPr>
          <w:rFonts w:ascii="Times New Roman" w:hAnsi="Times New Roman" w:cs="Times New Roman" w:eastAsia="Times New Roman" w:hint="default"/>
          <w:spacing w:val="-2"/>
        </w:rPr>
        <w:t>27.5%</w:t>
      </w:r>
      <w:r>
        <w:rPr>
          <w:spacing w:val="-2"/>
        </w:rPr>
        <w:t>股权），其中</w:t>
      </w:r>
      <w:r>
        <w:rPr>
          <w:rFonts w:ascii="Times New Roman" w:hAnsi="Times New Roman" w:cs="Times New Roman" w:eastAsia="Times New Roman" w:hint="default"/>
          <w:spacing w:val="-2"/>
        </w:rPr>
        <w:t>3,009.60</w:t>
      </w:r>
      <w:r>
        <w:rPr>
          <w:spacing w:val="-2"/>
        </w:rPr>
        <w:t>万元现金对价由本公司以发行股份募集的配套</w:t>
      </w:r>
      <w:r>
        <w:rPr>
          <w:spacing w:val="-39"/>
        </w:rPr>
        <w:t> </w:t>
      </w:r>
      <w:r>
        <w:rPr>
          <w:spacing w:val="-39"/>
        </w:rPr>
      </w:r>
      <w:r>
        <w:rPr/>
        <w:t>资金向乙方支付；若发行股份募集的配套资金不足以支付该现金对价，由本公司以自有资金补足；公司第三届董事会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年第</w:t>
      </w:r>
      <w:r>
        <w:rPr>
          <w:rFonts w:ascii="Times New Roman" w:hAnsi="Times New Roman" w:cs="Times New Roman" w:eastAsia="Times New Roman" w:hint="default"/>
        </w:rPr>
        <w:t>10</w:t>
      </w:r>
      <w:r>
        <w:rPr/>
        <w:t>次临时会议及</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3</w:t>
      </w:r>
      <w:r>
        <w:rPr/>
        <w:t>次临时股东大会审议通过《关于公司发行股份及支付现金购买资产并募集配套资金方案的议</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32"/>
        <w:jc w:val="both"/>
      </w:pPr>
      <w:r>
        <w:rPr>
          <w:spacing w:val="-1"/>
        </w:rPr>
        <w:t>案》等相关议案，公司拟向宗佩民、曹国熊分别发行</w:t>
      </w:r>
      <w:r>
        <w:rPr>
          <w:rFonts w:ascii="Times New Roman" w:hAnsi="Times New Roman" w:cs="Times New Roman" w:eastAsia="Times New Roman" w:hint="default"/>
          <w:spacing w:val="-1"/>
        </w:rPr>
        <w:t>311.665</w:t>
      </w:r>
      <w:r>
        <w:rPr>
          <w:spacing w:val="-1"/>
        </w:rPr>
        <w:t>万股股份募集配套资金</w:t>
      </w:r>
      <w:r>
        <w:rPr>
          <w:rFonts w:ascii="Times New Roman" w:hAnsi="Times New Roman" w:cs="Times New Roman" w:eastAsia="Times New Roman" w:hint="default"/>
          <w:spacing w:val="-1"/>
        </w:rPr>
        <w:t>5,385.5712</w:t>
      </w:r>
      <w:r>
        <w:rPr>
          <w:spacing w:val="-1"/>
        </w:rPr>
        <w:t>万元，发行股份募集的配套资</w:t>
      </w:r>
      <w:r>
        <w:rPr>
          <w:spacing w:val="-70"/>
        </w:rPr>
        <w:t> </w:t>
      </w:r>
      <w:r>
        <w:rPr>
          <w:spacing w:val="-70"/>
        </w:rPr>
      </w:r>
      <w:r>
        <w:rPr/>
        <w:t>金将用于向方笑求、蓝顺明支付</w:t>
      </w:r>
      <w:r>
        <w:rPr>
          <w:rFonts w:ascii="Times New Roman" w:hAnsi="Times New Roman" w:cs="Times New Roman" w:eastAsia="Times New Roman" w:hint="default"/>
        </w:rPr>
        <w:t>3,009.60</w:t>
      </w:r>
      <w:r>
        <w:rPr/>
        <w:t>万元现金对价及支付与本次发行股份及支付现金购买资产并募集配套资金事宜相关</w:t>
      </w:r>
      <w:r>
        <w:rPr>
          <w:spacing w:val="-85"/>
        </w:rPr>
        <w:t> </w:t>
      </w:r>
      <w:r>
        <w:rPr>
          <w:spacing w:val="-85"/>
        </w:rPr>
      </w:r>
      <w:r>
        <w:rPr/>
        <w:t>的中介机构费用、交易税费等并购费用，剩余部分将用于湖南方正达增资。截止报表日，该重组事项仍在进行中。</w:t>
      </w:r>
    </w:p>
    <w:p>
      <w:pPr>
        <w:pStyle w:val="BodyText"/>
        <w:spacing w:line="304" w:lineRule="auto" w:before="31"/>
        <w:ind w:left="153" w:right="1130" w:firstLine="480"/>
        <w:jc w:val="both"/>
      </w:pPr>
      <w:r>
        <w:rPr/>
        <w:t>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日，茂硕电源、茂硕投资和鲁证创业投资有限公司（以下简称</w:t>
      </w:r>
      <w:r>
        <w:rPr>
          <w:rFonts w:ascii="Times New Roman" w:hAnsi="Times New Roman" w:cs="Times New Roman" w:eastAsia="Times New Roman" w:hint="default"/>
        </w:rPr>
        <w:t>“</w:t>
      </w:r>
      <w:r>
        <w:rPr/>
        <w:t>鲁证创投</w:t>
      </w:r>
      <w:r>
        <w:rPr>
          <w:rFonts w:ascii="Times New Roman" w:hAnsi="Times New Roman" w:cs="Times New Roman" w:eastAsia="Times New Roman" w:hint="default"/>
        </w:rPr>
        <w:t>”</w:t>
      </w:r>
      <w:r>
        <w:rPr/>
        <w:t>）签订了《关于联合发起产 </w:t>
      </w:r>
      <w:r>
        <w:rPr>
          <w:spacing w:val="-2"/>
        </w:rPr>
        <w:t>业并购基金的框架方案》。为了充分发挥各方的平台优势，通过鲁证创投的资源优势及其各种专业金融工具加强茂硕电源的</w:t>
      </w:r>
      <w:r>
        <w:rPr>
          <w:spacing w:val="-66"/>
        </w:rPr>
        <w:t> </w:t>
      </w:r>
      <w:r>
        <w:rPr>
          <w:spacing w:val="-66"/>
        </w:rPr>
      </w:r>
      <w:r>
        <w:rPr>
          <w:spacing w:val="-2"/>
        </w:rPr>
        <w:t>投资能力，提高和巩固茂硕电源在行业内的地位，由茂硕电源和鲁证创投共同发起设立鲁证茂硕产业发展合伙企业（有限合</w:t>
      </w:r>
      <w:r>
        <w:rPr>
          <w:spacing w:val="-66"/>
        </w:rPr>
        <w:t> </w:t>
      </w:r>
      <w:r>
        <w:rPr>
          <w:spacing w:val="-66"/>
        </w:rPr>
      </w:r>
      <w:r>
        <w:rPr>
          <w:spacing w:val="-2"/>
        </w:rPr>
        <w:t>伙）（以下简称</w:t>
      </w:r>
      <w:r>
        <w:rPr>
          <w:rFonts w:ascii="Times New Roman" w:hAnsi="Times New Roman" w:cs="Times New Roman" w:eastAsia="Times New Roman" w:hint="default"/>
          <w:spacing w:val="-2"/>
        </w:rPr>
        <w:t>“</w:t>
      </w:r>
      <w:r>
        <w:rPr>
          <w:spacing w:val="-2"/>
        </w:rPr>
        <w:t>鲁证茂硕</w:t>
      </w:r>
      <w:r>
        <w:rPr>
          <w:rFonts w:ascii="Times New Roman" w:hAnsi="Times New Roman" w:cs="Times New Roman" w:eastAsia="Times New Roman" w:hint="default"/>
          <w:spacing w:val="-2"/>
        </w:rPr>
        <w:t>”</w:t>
      </w:r>
      <w:r>
        <w:rPr>
          <w:spacing w:val="-2"/>
        </w:rPr>
        <w:t>，名称以工商局核准为准），作为茂硕电源产业并购整合的平台；同时，鲁证创投与茂硕投资共</w:t>
      </w:r>
      <w:r>
        <w:rPr>
          <w:spacing w:val="-45"/>
        </w:rPr>
        <w:t> </w:t>
      </w:r>
      <w:r>
        <w:rPr>
          <w:spacing w:val="-45"/>
        </w:rPr>
      </w:r>
      <w:r>
        <w:rPr>
          <w:spacing w:val="-2"/>
        </w:rPr>
        <w:t>同发起设立深圳鲁证茂硕投资管理有限公司（以下简称</w:t>
      </w:r>
      <w:r>
        <w:rPr>
          <w:rFonts w:ascii="Times New Roman" w:hAnsi="Times New Roman" w:cs="Times New Roman" w:eastAsia="Times New Roman" w:hint="default"/>
          <w:spacing w:val="-2"/>
        </w:rPr>
        <w:t>“</w:t>
      </w:r>
      <w:r>
        <w:rPr>
          <w:spacing w:val="-2"/>
        </w:rPr>
        <w:t>鲁茂投资</w:t>
      </w:r>
      <w:r>
        <w:rPr>
          <w:rFonts w:ascii="Times New Roman" w:hAnsi="Times New Roman" w:cs="Times New Roman" w:eastAsia="Times New Roman" w:hint="default"/>
          <w:spacing w:val="-2"/>
        </w:rPr>
        <w:t>”</w:t>
      </w:r>
      <w:r>
        <w:rPr>
          <w:spacing w:val="-2"/>
        </w:rPr>
        <w:t>，名称以工商局核准为准）负责鲁证茂硕的具体投资管理</w:t>
      </w:r>
      <w:r>
        <w:rPr>
          <w:spacing w:val="-46"/>
        </w:rPr>
        <w:t> </w:t>
      </w:r>
      <w:r>
        <w:rPr>
          <w:spacing w:val="-46"/>
        </w:rPr>
      </w:r>
      <w:r>
        <w:rPr>
          <w:spacing w:val="-1"/>
        </w:rPr>
        <w:t>业务，该公司计划注册资金为</w:t>
      </w:r>
      <w:r>
        <w:rPr>
          <w:rFonts w:ascii="Times New Roman" w:hAnsi="Times New Roman" w:cs="Times New Roman" w:eastAsia="Times New Roman" w:hint="default"/>
          <w:spacing w:val="-1"/>
        </w:rPr>
        <w:t>350</w:t>
      </w:r>
      <w:r>
        <w:rPr>
          <w:spacing w:val="-1"/>
        </w:rPr>
        <w:t>万元，由鲁证创投出资</w:t>
      </w:r>
      <w:r>
        <w:rPr>
          <w:rFonts w:ascii="Times New Roman" w:hAnsi="Times New Roman" w:cs="Times New Roman" w:eastAsia="Times New Roman" w:hint="default"/>
          <w:spacing w:val="-1"/>
        </w:rPr>
        <w:t>178.5</w:t>
      </w:r>
      <w:r>
        <w:rPr>
          <w:spacing w:val="-1"/>
        </w:rPr>
        <w:t>万元，占鲁茂投资</w:t>
      </w:r>
      <w:r>
        <w:rPr>
          <w:rFonts w:ascii="Times New Roman" w:hAnsi="Times New Roman" w:cs="Times New Roman" w:eastAsia="Times New Roman" w:hint="default"/>
          <w:spacing w:val="-1"/>
        </w:rPr>
        <w:t>51%</w:t>
      </w:r>
      <w:r>
        <w:rPr>
          <w:spacing w:val="-1"/>
        </w:rPr>
        <w:t>的股权，茂硕投资出资</w:t>
      </w:r>
      <w:r>
        <w:rPr>
          <w:rFonts w:ascii="Times New Roman" w:hAnsi="Times New Roman" w:cs="Times New Roman" w:eastAsia="Times New Roman" w:hint="default"/>
          <w:spacing w:val="-1"/>
        </w:rPr>
        <w:t>171.5</w:t>
      </w:r>
      <w:r>
        <w:rPr>
          <w:spacing w:val="-1"/>
        </w:rPr>
        <w:t>万元，占鲁</w:t>
      </w:r>
      <w:r>
        <w:rPr>
          <w:spacing w:val="-84"/>
        </w:rPr>
        <w:t> </w:t>
      </w:r>
      <w:r>
        <w:rPr>
          <w:spacing w:val="-84"/>
        </w:rPr>
      </w:r>
      <w:r>
        <w:rPr/>
        <w:t>茂投资</w:t>
      </w:r>
      <w:r>
        <w:rPr>
          <w:rFonts w:ascii="Times New Roman" w:hAnsi="Times New Roman" w:cs="Times New Roman" w:eastAsia="Times New Roman" w:hint="default"/>
        </w:rPr>
        <w:t>49%</w:t>
      </w:r>
      <w:r>
        <w:rPr/>
        <w:t>股权。鲁证茂硕计划出资总额为</w:t>
      </w:r>
      <w:r>
        <w:rPr>
          <w:rFonts w:ascii="Times New Roman" w:hAnsi="Times New Roman" w:cs="Times New Roman" w:eastAsia="Times New Roman" w:hint="default"/>
        </w:rPr>
        <w:t>3</w:t>
      </w:r>
      <w:r>
        <w:rPr/>
        <w:t>亿元，茂硕电源作为鲁证茂硕的有限合伙人出资人民币</w:t>
      </w:r>
      <w:r>
        <w:rPr>
          <w:rFonts w:ascii="Times New Roman" w:hAnsi="Times New Roman" w:cs="Times New Roman" w:eastAsia="Times New Roman" w:hint="default"/>
        </w:rPr>
        <w:t>3000</w:t>
      </w:r>
      <w:r>
        <w:rPr/>
        <w:t>万元，占鲁证茂硕</w:t>
      </w:r>
      <w:r>
        <w:rPr>
          <w:spacing w:val="-56"/>
        </w:rPr>
        <w:t> </w:t>
      </w:r>
      <w:r>
        <w:rPr>
          <w:spacing w:val="-56"/>
        </w:rPr>
      </w:r>
      <w:r>
        <w:rPr>
          <w:spacing w:val="-1"/>
        </w:rPr>
        <w:t>出资总额的</w:t>
      </w:r>
      <w:r>
        <w:rPr>
          <w:rFonts w:ascii="Times New Roman" w:hAnsi="Times New Roman" w:cs="Times New Roman" w:eastAsia="Times New Roman" w:hint="default"/>
          <w:spacing w:val="-1"/>
        </w:rPr>
        <w:t>10%</w:t>
      </w:r>
      <w:r>
        <w:rPr>
          <w:spacing w:val="-1"/>
        </w:rPr>
        <w:t>，鲁证创投作为鲁证茂硕的有限合伙人出资人民币</w:t>
      </w:r>
      <w:r>
        <w:rPr>
          <w:rFonts w:ascii="Times New Roman" w:hAnsi="Times New Roman" w:cs="Times New Roman" w:eastAsia="Times New Roman" w:hint="default"/>
          <w:spacing w:val="-1"/>
        </w:rPr>
        <w:t>3000</w:t>
      </w:r>
      <w:r>
        <w:rPr>
          <w:spacing w:val="-1"/>
        </w:rPr>
        <w:t>万元，占鲁证茂硕出资总额的</w:t>
      </w:r>
      <w:r>
        <w:rPr>
          <w:rFonts w:ascii="Times New Roman" w:hAnsi="Times New Roman" w:cs="Times New Roman" w:eastAsia="Times New Roman" w:hint="default"/>
          <w:spacing w:val="-1"/>
        </w:rPr>
        <w:t>10%</w:t>
      </w:r>
      <w:r>
        <w:rPr>
          <w:spacing w:val="-1"/>
        </w:rPr>
        <w:t>，鲁茂投资承诺出</w:t>
      </w:r>
      <w:r>
        <w:rPr>
          <w:spacing w:val="-56"/>
        </w:rPr>
        <w:t> </w:t>
      </w:r>
      <w:r>
        <w:rPr>
          <w:spacing w:val="-56"/>
        </w:rPr>
      </w:r>
      <w:r>
        <w:rPr/>
        <w:t>资</w:t>
      </w:r>
      <w:r>
        <w:rPr>
          <w:rFonts w:ascii="Times New Roman" w:hAnsi="Times New Roman" w:cs="Times New Roman" w:eastAsia="Times New Roman" w:hint="default"/>
        </w:rPr>
        <w:t>300</w:t>
      </w:r>
      <w:r>
        <w:rPr/>
        <w:t>万元，占鲁证茂硕出资总额的</w:t>
      </w:r>
      <w:r>
        <w:rPr>
          <w:rFonts w:ascii="Times New Roman" w:hAnsi="Times New Roman" w:cs="Times New Roman" w:eastAsia="Times New Roman" w:hint="default"/>
        </w:rPr>
        <w:t>1%</w:t>
      </w:r>
      <w:r>
        <w:rPr/>
        <w:t>。鲁证茂硕其余</w:t>
      </w:r>
      <w:r>
        <w:rPr>
          <w:rFonts w:ascii="Times New Roman" w:hAnsi="Times New Roman" w:cs="Times New Roman" w:eastAsia="Times New Roman" w:hint="default"/>
        </w:rPr>
        <w:t>79%</w:t>
      </w:r>
      <w:r>
        <w:rPr/>
        <w:t>的出资，即人民币</w:t>
      </w:r>
      <w:r>
        <w:rPr>
          <w:rFonts w:ascii="Times New Roman" w:hAnsi="Times New Roman" w:cs="Times New Roman" w:eastAsia="Times New Roman" w:hint="default"/>
        </w:rPr>
        <w:t>2.37</w:t>
      </w:r>
      <w:r>
        <w:rPr/>
        <w:t>亿元，由鲁茂投资负责对外募集，并根据</w:t>
      </w:r>
      <w:r>
        <w:rPr>
          <w:spacing w:val="-74"/>
        </w:rPr>
        <w:t> </w:t>
      </w:r>
      <w:r>
        <w:rPr>
          <w:spacing w:val="-74"/>
        </w:rPr>
      </w:r>
      <w:r>
        <w:rPr/>
        <w:t>项目实际投资进度分期到位。截止报表日，该事项仍在进行中。</w:t>
      </w:r>
    </w:p>
    <w:p>
      <w:pPr>
        <w:pStyle w:val="BodyText"/>
        <w:spacing w:line="300" w:lineRule="auto" w:before="28"/>
        <w:ind w:left="153" w:right="1040" w:firstLine="480"/>
        <w:jc w:val="both"/>
      </w:pPr>
      <w:r>
        <w:rPr/>
        <w:t>④本公司控股子公司茂硕新能源于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日与江西省萍乡市安源区人民政府签订了《萍乡市安源区</w:t>
      </w:r>
      <w:r>
        <w:rPr>
          <w:rFonts w:ascii="Times New Roman" w:hAnsi="Times New Roman" w:cs="Times New Roman" w:eastAsia="Times New Roman" w:hint="default"/>
        </w:rPr>
        <w:t>50MW</w:t>
      </w:r>
      <w:r>
        <w:rPr/>
        <w:t>光伏 并网发电项目合作协议书》，协议的主要内容为在萍乡市安源区投资建设</w:t>
      </w:r>
      <w:r>
        <w:rPr>
          <w:rFonts w:ascii="Times New Roman" w:hAnsi="Times New Roman" w:cs="Times New Roman" w:eastAsia="Times New Roman" w:hint="default"/>
        </w:rPr>
        <w:t>50MW</w:t>
      </w:r>
      <w:r>
        <w:rPr/>
        <w:t>光伏并网发电项目，预计总投资</w:t>
      </w:r>
      <w:r>
        <w:rPr>
          <w:rFonts w:ascii="Times New Roman" w:hAnsi="Times New Roman" w:cs="Times New Roman" w:eastAsia="Times New Roman" w:hint="default"/>
        </w:rPr>
        <w:t>5</w:t>
      </w:r>
      <w:r>
        <w:rPr/>
        <w:t>亿元人民</w:t>
      </w:r>
      <w:r>
        <w:rPr>
          <w:spacing w:val="-53"/>
        </w:rPr>
        <w:t> </w:t>
      </w:r>
      <w:r>
        <w:rPr>
          <w:spacing w:val="-53"/>
        </w:rPr>
      </w:r>
      <w:r>
        <w:rPr>
          <w:spacing w:val="-1"/>
        </w:rPr>
        <w:t>币，项目分二期进行，其中，一期建设</w:t>
      </w:r>
      <w:r>
        <w:rPr>
          <w:rFonts w:ascii="Times New Roman" w:hAnsi="Times New Roman" w:cs="Times New Roman" w:eastAsia="Times New Roman" w:hint="default"/>
          <w:spacing w:val="-1"/>
        </w:rPr>
        <w:t>20MW</w:t>
      </w:r>
      <w:r>
        <w:rPr>
          <w:spacing w:val="-1"/>
        </w:rPr>
        <w:t>，预计投资</w:t>
      </w:r>
      <w:r>
        <w:rPr>
          <w:rFonts w:ascii="Times New Roman" w:hAnsi="Times New Roman" w:cs="Times New Roman" w:eastAsia="Times New Roman" w:hint="default"/>
          <w:spacing w:val="-1"/>
        </w:rPr>
        <w:t>2</w:t>
      </w:r>
      <w:r>
        <w:rPr>
          <w:spacing w:val="-1"/>
        </w:rPr>
        <w:t>亿元人民币。截止报表日，该光伏并网发电项目尚处在筹备阶段。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4"/>
        <w:spacing w:line="240" w:lineRule="auto"/>
        <w:ind w:left="154" w:right="0"/>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2"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4"/>
      <w:bookmarkEnd w:id="47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09"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茂硕电源于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日收到中国证券监督管理委 </w:t>
            </w:r>
            <w:r>
              <w:rPr>
                <w:rFonts w:ascii="宋体" w:hAnsi="宋体" w:cs="宋体" w:eastAsia="宋体" w:hint="default"/>
                <w:spacing w:val="-4"/>
                <w:sz w:val="18"/>
                <w:szCs w:val="18"/>
              </w:rPr>
              <w:t>员会证监许可［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316" w:lineRule="auto" w:before="5"/>
              <w:ind w:left="16" w:right="100"/>
              <w:jc w:val="both"/>
              <w:rPr>
                <w:rFonts w:ascii="宋体" w:hAnsi="宋体" w:cs="宋体" w:eastAsia="宋体" w:hint="default"/>
                <w:sz w:val="18"/>
                <w:szCs w:val="18"/>
              </w:rPr>
            </w:pPr>
            <w:r>
              <w:rPr>
                <w:rFonts w:ascii="宋体" w:hAnsi="宋体" w:cs="宋体" w:eastAsia="宋体" w:hint="default"/>
                <w:sz w:val="18"/>
                <w:szCs w:val="18"/>
              </w:rPr>
              <w:t>《关于核准茂硕电源科技股 份有限公司向方笑求等发行</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610"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317"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股份购买资产并募集配套资</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金的批复</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公司发行股份购</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买资产并募集配套资金方案</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已经获审核通过：</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核准公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司向方笑求发行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9,350,000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股份、向蓝顺明发行</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股份购买相关资</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核准公司非公开发行</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6,233,300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股新股募集</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本次发行股份购买资产的配</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7"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套资金。</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其他资产负债表日后事项说明" w:id="477"/>
      <w:bookmarkEnd w:id="47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0" w:firstLine="480"/>
        <w:jc w:val="both"/>
      </w:pPr>
      <w:r>
        <w:rPr>
          <w:spacing w:val="-1"/>
        </w:rPr>
        <w:t>本公司正在筹划重大资产重组事项，公司股票自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日开市时起停牌。本公司承诺争取停牌时间不超过</w:t>
      </w:r>
      <w:r>
        <w:rPr>
          <w:rFonts w:ascii="Times New Roman" w:hAnsi="Times New Roman" w:cs="Times New Roman" w:eastAsia="Times New Roman" w:hint="default"/>
          <w:spacing w:val="-1"/>
        </w:rPr>
        <w:t>30</w:t>
      </w:r>
      <w:r>
        <w:rPr>
          <w:spacing w:val="-1"/>
        </w:rPr>
        <w:t>个自</w:t>
      </w:r>
      <w:r>
        <w:rPr/>
        <w:t> </w:t>
      </w:r>
      <w:r>
        <w:rPr>
          <w:spacing w:val="-2"/>
        </w:rPr>
        <w:t>然日，即承诺争取在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日前披露符合《公开发行证券的公司信息披露内容与格式准则第</w:t>
      </w:r>
      <w:r>
        <w:rPr>
          <w:rFonts w:ascii="Times New Roman" w:hAnsi="Times New Roman" w:cs="Times New Roman" w:eastAsia="Times New Roman" w:hint="default"/>
          <w:spacing w:val="-2"/>
        </w:rPr>
        <w:t>26</w:t>
      </w:r>
      <w:r>
        <w:rPr>
          <w:spacing w:val="-2"/>
        </w:rPr>
        <w:t>号－上市公司重大资产重</w:t>
      </w:r>
      <w:r>
        <w:rPr>
          <w:spacing w:val="-56"/>
        </w:rPr>
        <w:t> </w:t>
      </w:r>
      <w:r>
        <w:rPr>
          <w:spacing w:val="-2"/>
        </w:rPr>
        <w:t>组申请文件》要求的发行股份购买资产预案（或报告书），公司股票将在公司董事会审议通过并公告发行股份购买资产预案</w:t>
      </w:r>
    </w:p>
    <w:p>
      <w:pPr>
        <w:pStyle w:val="BodyText"/>
        <w:spacing w:line="316" w:lineRule="auto" w:before="31"/>
        <w:ind w:left="153" w:right="0"/>
        <w:jc w:val="left"/>
      </w:pPr>
      <w:r>
        <w:rPr>
          <w:spacing w:val="-2"/>
        </w:rPr>
        <w:t>（或报告书）后复牌。如公司未能在上述期限内披露重大资产重组预案（或报告书），公司将根据重组推进情况确定是否向</w:t>
      </w:r>
      <w:r>
        <w:rPr>
          <w:spacing w:val="-66"/>
        </w:rPr>
        <w:t> </w:t>
      </w:r>
      <w:r>
        <w:rPr>
          <w:spacing w:val="-66"/>
        </w:rPr>
      </w:r>
      <w:r>
        <w:rPr/>
        <w:t>交易所申请延期复牌。</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六、其他重要事项" w:id="478"/>
      <w:bookmarkEnd w:id="47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79"/>
      <w:bookmarkEnd w:id="47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80"/>
      <w:bookmarkEnd w:id="48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来适用法" w:id="481"/>
      <w:bookmarkEnd w:id="48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82"/>
      <w:bookmarkEnd w:id="48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3"/>
      <w:bookmarkEnd w:id="48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4"/>
      <w:bookmarkEnd w:id="48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5"/>
      <w:bookmarkEnd w:id="48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6"/>
      <w:bookmarkEnd w:id="48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7"/>
      <w:bookmarkEnd w:id="48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488"/>
      <w:bookmarkEnd w:id="48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报告分部的确定依据与会计政策" w:id="489"/>
      <w:bookmarkEnd w:id="48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2）报告分部的财务信息" w:id="490"/>
      <w:bookmarkEnd w:id="49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公司无报告分部的，或者上能披露各报告分部的资产总额和负债总额的，应说明原因" w:id="491"/>
      <w:bookmarkEnd w:id="49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其他说明" w:id="492"/>
      <w:bookmarkEnd w:id="49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7、其他对投资者决策有影响的重要交易和事项" w:id="493"/>
      <w:bookmarkEnd w:id="49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432"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5"/>
      <w:bookmarkEnd w:id="49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6"/>
      <w:bookmarkEnd w:id="49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4" w:right="0"/>
        <w:jc w:val="left"/>
        <w:rPr>
          <w:b w:val="0"/>
          <w:bCs w:val="0"/>
        </w:rPr>
      </w:pPr>
      <w:bookmarkStart w:name="（1）应收账款分类披露" w:id="497"/>
      <w:bookmarkEnd w:id="49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313,529,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088.01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18,447,4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04.94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295,081,6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268,597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,527.86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13,490,42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255,107,09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313,529,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088.01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18,447,4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04.94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295,081,6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268,597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,527.86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13,490,42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255,107,09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182,900,598.62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87,300,707.45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4,365,035.37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270,201,306.07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4,365,035.37</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24,294,542.19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2,429,454.22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8,077,308.37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1,615,461.67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1,836,955.41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918,477.71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9,118,975.97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9,118,975.97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313,529,088.01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18,447,404.94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相同账龄的应收款项具有类似信用风险特征</w:t>
      </w:r>
    </w:p>
    <w:p>
      <w:pPr>
        <w:spacing w:line="240" w:lineRule="auto" w:before="1"/>
        <w:rPr>
          <w:rFonts w:ascii="宋体" w:hAnsi="宋体" w:cs="宋体" w:eastAsia="宋体" w:hint="default"/>
          <w:sz w:val="26"/>
          <w:szCs w:val="26"/>
        </w:rPr>
      </w:pPr>
    </w:p>
    <w:p>
      <w:pPr>
        <w:pStyle w:val="BodyText"/>
        <w:spacing w:line="240" w:lineRule="auto"/>
        <w:ind w:right="0"/>
        <w:jc w:val="left"/>
      </w:pPr>
      <w:r>
        <w:rPr/>
        <w:t>组合中，采用余额百分比法计提坏账准备的应收账款：</w:t>
      </w:r>
    </w:p>
    <w:p>
      <w:pPr>
        <w:pStyle w:val="BodyText"/>
        <w:spacing w:line="338" w:lineRule="auto" w:before="117"/>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498"/>
      <w:bookmarkEnd w:id="4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left="153" w:right="-12"/>
        <w:jc w:val="left"/>
      </w:pPr>
      <w:r>
        <w:rPr/>
        <w:t>本期计提坏账准备金额</w:t>
      </w:r>
      <w:r>
        <w:rPr>
          <w:spacing w:val="-47"/>
        </w:rPr>
        <w:t> </w:t>
      </w:r>
      <w:r>
        <w:rPr>
          <w:rFonts w:ascii="Times New Roman" w:hAnsi="Times New Roman" w:cs="Times New Roman" w:eastAsia="Times New Roman" w:hint="default"/>
        </w:rPr>
        <w:t>5,033,956.40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499"/>
      <w:bookmarkEnd w:id="49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76,981.24</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按欠款方归集的期末余额前五吊的应收账款情况" w:id="500"/>
      <w:bookmarkEnd w:id="50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123" w:firstLine="480"/>
        <w:jc w:val="left"/>
      </w:pPr>
      <w:r>
        <w:rPr/>
        <w:t>本公司年末余额前五名应收账款金额为</w:t>
      </w:r>
      <w:r>
        <w:rPr>
          <w:rFonts w:ascii="Times New Roman" w:hAnsi="Times New Roman" w:cs="Times New Roman" w:eastAsia="Times New Roman" w:hint="default"/>
        </w:rPr>
        <w:t>86,908,756.48</w:t>
      </w:r>
      <w:r>
        <w:rPr/>
        <w:t>元，占应收账款年末余额合计数的比例为</w:t>
      </w:r>
      <w:r>
        <w:rPr>
          <w:rFonts w:ascii="Times New Roman" w:hAnsi="Times New Roman" w:cs="Times New Roman" w:eastAsia="Times New Roman" w:hint="default"/>
        </w:rPr>
        <w:t>27.72%</w:t>
      </w:r>
      <w:r>
        <w:rPr/>
        <w:t>，相应计提的坏 账准备年末余额汇总金额为</w:t>
      </w:r>
      <w:r>
        <w:rPr>
          <w:rFonts w:ascii="Times New Roman" w:hAnsi="Times New Roman" w:cs="Times New Roman" w:eastAsia="Times New Roman" w:hint="default"/>
        </w:rPr>
        <w:t>1,496,860.40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5）因金融资产转移而终止确认的应收账款" w:id="501"/>
      <w:bookmarkEnd w:id="50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8" w:right="0"/>
        <w:jc w:val="left"/>
      </w:pPr>
      <w:r>
        <w:rPr/>
        <w:t>无因金融资产转移而终止确认的应收账款。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502"/>
      <w:bookmarkEnd w:id="50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5988" w:firstLine="265"/>
        <w:jc w:val="left"/>
      </w:pPr>
      <w:r>
        <w:rPr/>
        <w:t>年末无转移应收账款且继续涉入形成的资产、负债金额。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其他应收款" w:id="503"/>
      <w:bookmarkEnd w:id="50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504"/>
      <w:bookmarkEnd w:id="50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40,905,0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385,722.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40,519,32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17,912,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243,332.8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17,669,105.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40,905,0</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49.65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385,722.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40,519,32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6.85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17,912,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438.57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243,332.8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17,669,105.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57" w:lineRule="auto" w:before="117"/>
        <w:ind w:right="6612"/>
        <w:jc w:val="left"/>
      </w:pPr>
      <w:r>
        <w:rPr/>
        <w:t>□ 适用 √ 不适用 组合中，按账龄分析法计提坏账准备的其他应收款：</w:t>
      </w:r>
    </w:p>
    <w:p>
      <w:pPr>
        <w:pStyle w:val="BodyText"/>
        <w:spacing w:line="240" w:lineRule="auto" w:before="29"/>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38,559,417.59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1,175,736.32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42,440.40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39,735,153.91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42,440.40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565,763.67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56,576.37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552,932.07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276,466.04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40,905,049.65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385,722.80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相同账龄的其他应收款具有类似信用风险特征 组合中，采用余额百分比法计提坏账准备的其他应收款：</w:t>
      </w:r>
    </w:p>
    <w:p>
      <w:pPr>
        <w:pStyle w:val="BodyText"/>
        <w:spacing w:line="338" w:lineRule="auto" w:before="29"/>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505"/>
      <w:bookmarkEnd w:id="5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3" w:right="-15"/>
        <w:jc w:val="left"/>
      </w:pPr>
      <w:r>
        <w:rPr/>
        <w:t>本期计提坏账准备金额</w:t>
      </w:r>
      <w:r>
        <w:rPr>
          <w:spacing w:val="-46"/>
        </w:rPr>
        <w:t> </w:t>
      </w:r>
      <w:r>
        <w:rPr>
          <w:rFonts w:ascii="Times New Roman" w:hAnsi="Times New Roman" w:cs="Times New Roman" w:eastAsia="Times New Roman" w:hint="default"/>
        </w:rPr>
        <w:t>142,389.95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506"/>
      <w:bookmarkEnd w:id="50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right="8232"/>
        <w:jc w:val="left"/>
      </w:pPr>
      <w:r>
        <w:rPr/>
        <w:t>其他应收款核销说明： 本年无实际核销的其他应收款；</w:t>
      </w:r>
    </w:p>
    <w:p>
      <w:pPr>
        <w:spacing w:line="240" w:lineRule="auto" w:before="2"/>
        <w:rPr>
          <w:rFonts w:ascii="宋体" w:hAnsi="宋体" w:cs="宋体" w:eastAsia="宋体" w:hint="default"/>
          <w:sz w:val="20"/>
          <w:szCs w:val="20"/>
        </w:rPr>
      </w:pPr>
    </w:p>
    <w:p>
      <w:pPr>
        <w:pStyle w:val="Heading4"/>
        <w:spacing w:line="240" w:lineRule="auto"/>
        <w:ind w:left="154" w:right="0"/>
        <w:jc w:val="left"/>
        <w:rPr>
          <w:b w:val="0"/>
          <w:bCs w:val="0"/>
        </w:rPr>
      </w:pPr>
      <w:bookmarkStart w:name="（4）其他应收款按款项性质分类情况" w:id="507"/>
      <w:bookmarkEnd w:id="50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31,365,467.73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663,908.05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639,910.44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1,733,700.68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3,999,085.16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存出押金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1,533,331.75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4,826,662.55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5,456,780.42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40,905,049.65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17,912,438.57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吊的其他应收款情况" w:id="508"/>
      <w:bookmarkEnd w:id="50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24,356,190.82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6,592,348.58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2,503,641.44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存出押金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37,452,180.84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509"/>
      <w:bookmarkEnd w:id="50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7）因金融资产转移而终止确认的其他应收款" w:id="510"/>
      <w:bookmarkEnd w:id="51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2" w:right="0"/>
        <w:jc w:val="left"/>
      </w:pPr>
      <w:r>
        <w:rPr/>
        <w:t>本报告期无因金融资产转移而终止确认的其他应收款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511"/>
      <w:bookmarkEnd w:id="51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5316" w:firstLine="217"/>
        <w:jc w:val="left"/>
      </w:pPr>
      <w:r>
        <w:rPr/>
        <w:t>本报告期无转移其他应收款且继续涉入形成的资产、负债的情况。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长期股权投资" w:id="512"/>
      <w:bookmarkEnd w:id="51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402,517,550.65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402,517,550.65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347,547,550.65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347,547,550.65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25,653,877.09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25,653,877.09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20,241,867.76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20,241,867.76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428,171,427.74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428,171,427.74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367,789,418.41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367,789,418.41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513"/>
      <w:bookmarkEnd w:id="51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8,140,550.65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8,140,550.65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30,637,000.00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30,637,000.00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茂硕钜泽</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茂硕希港</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河南茂鑫</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347,547,550.65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402,517,550.65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通新源物 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18,567,02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-179,012.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-778,844.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17,609,16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1,674,843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9,797.89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1,684,641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连硕自动 化</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20,789,50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4,157,900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43,916.89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4,543,916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-103,848.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1,816,151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20,241,86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27,209,50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-229,146.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3,379,055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20,241,86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27,209,50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24,947,40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3,379,055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3,379,055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25,653,87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说明" w:id="515"/>
      <w:bookmarkEnd w:id="51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营业收入和营业成本" w:id="516"/>
      <w:bookmarkEnd w:id="51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595,077,055.36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503,025,348.03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534,494,555.47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438,043,747.60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23,339,360.72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23,272,939.01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102,374.01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618,416,416.08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526,298,287.04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534,596,929.48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438,043,747.60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17"/>
      <w:bookmarkEnd w:id="51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-229,146.64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-2,771.40</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4,157,900.00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-172,369.74</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777,500.00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2,551,319.37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4,910,958.90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9,564,622.73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5,513,317.76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518"/>
      <w:bookmarkEnd w:id="51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9"/>
      <w:bookmarkEnd w:id="51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20"/>
      <w:bookmarkEnd w:id="52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35,923.89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3,631,398.44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751,564.28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770,451.42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110,814.86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3,537,620.33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净资产收益率及每股收益" w:id="521"/>
      <w:bookmarkEnd w:id="5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境内外会计准则下会计数据差异" w:id="522"/>
      <w:bookmarkEnd w:id="52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同时按照国际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同时按照境外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3）境内外会计准则下会计数据差异原因说明，对已经境外审计机构审计的数据进行差异" w:id="525"/>
      <w:bookmarkEnd w:id="52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会计政策变更相关补充资料" w:id="526"/>
      <w:bookmarkEnd w:id="526"/>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 适用 □ 不适用</w:t>
      </w:r>
    </w:p>
    <w:p>
      <w:pPr>
        <w:pStyle w:val="BodyText"/>
        <w:spacing w:line="240" w:lineRule="auto" w:before="116"/>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405,875,608.40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199,650,767.77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233,471,876.61</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1,484,421.88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3,654,795.71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38,447,711.08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42,268,159.43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35,867,242.89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242,840,828.98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278,938,190.49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296,930,702.88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13,073,317.61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1,505,700.00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6,470,813.06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5,639,988.09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8,889,481.99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432,197.97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9,849,689.45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23,043,756.11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13,698,042.72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82,751,631.12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94,526,897.17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82,213,650.81</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980,120.00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1,991,158.66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2,396,919.77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13,195,716.67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799,458,894.73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802,298,533.50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688,331,959.09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12,125,860.00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20,241,867.76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25,653,877.09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24,605,852.70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29,691,671.49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373,949,665.80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72,430,176.47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118,486,633.90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7,840,620.36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13,318,721.69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14,486,077.49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14,468,451.44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780,292.52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195,610.67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10,451,110.03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775,731.87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3,153,023.28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8,891,901.89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3,330,617.35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6,793,054.56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16,528,974.28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25,048,301.34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2,830,292.24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117,656,710.75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231,351,739.85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473,521,045.65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917,115,605.48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1,033,650,273.35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1,161,853,004.74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133,394,904.00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56,582,864.62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64,697,918.54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83,635,471.42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133,664,721.35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183,335,931.06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193,459,858.86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6,931,993.56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8,163,640.10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11,163,405.89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9,646,371.16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13,017,442.10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9,369,092.47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11,689,051.99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-672,037.17</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2,670,356.46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769,602.11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3,673,222.45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7,977,081.78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4,511,544.82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227,928,225.13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336,617,976.41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438,974,236.03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61,186.61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3,894,691.41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222,663.28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548,219.36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5,730,266.59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5,730,266.59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4,722,663.30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8,004,097.38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233,658,491.72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341,340,639.71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446,978,333.41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98,788,800.00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252,408,000.00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437,528,499.37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330,437,665.25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293,589,595.02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16,864,264.24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19,006,430.91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129,162,132.06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142,079,218.72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88,394,993.54</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682,343,695.67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685,683,314.88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653,399,019.47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1,113,418.09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6,626,318.76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61,475,651.86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683,457,113.76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692,309,633.64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714,874,671.33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917,115,605.48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1,033,650,273.35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1,161,853,004.74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其他" w:id="527"/>
      <w:bookmarkEnd w:id="527"/>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8"/>
      <w:bookmarkEnd w:id="528"/>
      <w:r>
        <w:rPr>
          <w:b w:val="0"/>
          <w:bCs w:val="0"/>
        </w:rPr>
      </w:r>
      <w:bookmarkStart w:name="_bookmark11" w:id="529"/>
      <w:bookmarkEnd w:id="529"/>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left="153" w:right="2473"/>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0" w:lineRule="exact"/>
        <w:ind w:left="6955" w:right="0" w:firstLine="0"/>
        <w:rPr>
          <w:rFonts w:ascii="宋体" w:hAnsi="宋体" w:cs="宋体" w:eastAsia="宋体" w:hint="default"/>
          <w:sz w:val="2"/>
          <w:szCs w:val="2"/>
        </w:rPr>
      </w:pPr>
      <w:r>
        <w:rPr>
          <w:rFonts w:ascii="宋体" w:hAnsi="宋体" w:cs="宋体" w:eastAsia="宋体" w:hint="default"/>
          <w:sz w:val="2"/>
          <w:szCs w:val="2"/>
        </w:rPr>
        <w:pict>
          <v:group style="width:142.15pt;height:.45pt;mso-position-horizontal-relative:char;mso-position-vertical-relative:line" coordorigin="0,0" coordsize="2843,9">
            <v:group style="position:absolute;left:4;top:4;width:2834;height:2" coordorigin="4,4" coordsize="2834,2">
              <v:shape style="position:absolute;left:4;top:4;width:2834;height:2" coordorigin="4,4" coordsize="2834,0" path="m4,4l2838,4e" filled="false" stroked="true" strokeweight=".42pt" strokecolor="#000000">
                <v:path arrowok="t"/>
              </v:shape>
            </v:group>
          </v:group>
        </w:pict>
      </w:r>
      <w:r>
        <w:rPr>
          <w:rFonts w:ascii="宋体" w:hAnsi="宋体" w:cs="宋体" w:eastAsia="宋体" w:hint="default"/>
          <w:sz w:val="2"/>
          <w:szCs w:val="2"/>
        </w:rPr>
      </w:r>
    </w:p>
    <w:p>
      <w:pPr>
        <w:pStyle w:val="Heading5"/>
        <w:spacing w:line="273" w:lineRule="auto" w:before="9"/>
        <w:ind w:left="7153" w:right="1114" w:hanging="175"/>
        <w:jc w:val="left"/>
      </w:pPr>
      <w:r>
        <w:rPr/>
        <w:t>法定代表人：</w:t>
      </w:r>
      <w:r>
        <w:rPr>
          <w:spacing w:val="-21"/>
        </w:rPr>
        <w:t> </w:t>
      </w:r>
      <w:r>
        <w:rPr/>
        <w:t>顾永德（签章）</w:t>
      </w:r>
      <w:r>
        <w:rPr/>
        <w:t> 茂硕电源科技股份有限公司</w:t>
      </w:r>
    </w:p>
    <w:p>
      <w:pPr>
        <w:pStyle w:val="Heading5"/>
        <w:spacing w:line="240" w:lineRule="auto"/>
        <w:ind w:right="1130"/>
        <w:jc w:val="right"/>
      </w:pPr>
      <w:r>
        <w:rPr/>
        <w:t>二〇一五年三月九日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504" type="#_x0000_t75" stroked="false">
          <v:imagedata r:id="rId1" o:title=""/>
        </v:shape>
      </w:pict>
    </w:r>
    <w:r>
      <w:rPr/>
      <w:pict>
        <v:shape style="position:absolute;margin-left:533.179993pt;margin-top:795.517944pt;width:6.5pt;height:11pt;mso-position-horizontal-relative:page;mso-position-vertical-relative:page;z-index:-1048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456" type="#_x0000_t75" stroked="false">
          <v:imagedata r:id="rId1" o:title=""/>
        </v:shape>
      </w:pict>
    </w:r>
    <w:r>
      <w:rPr/>
      <w:pict>
        <v:shape style="position:absolute;margin-left:527.679993pt;margin-top:781.957947pt;width:13pt;height:11pt;mso-position-horizontal-relative:page;mso-position-vertical-relative:page;z-index:-1048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408" type="#_x0000_t75" stroked="false">
          <v:imagedata r:id="rId1" o:title=""/>
        </v:shape>
      </w:pict>
    </w:r>
    <w:r>
      <w:rPr/>
      <w:pict>
        <v:shape style="position:absolute;margin-left:527.679993pt;margin-top:781.957947pt;width:13pt;height:11pt;mso-position-horizontal-relative:page;mso-position-vertical-relative:page;z-index:-1048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360" type="#_x0000_t75" stroked="false">
          <v:imagedata r:id="rId1" o:title=""/>
        </v:shape>
      </w:pict>
    </w:r>
    <w:r>
      <w:rPr/>
      <w:pict>
        <v:shape style="position:absolute;margin-left:524.179993pt;margin-top:781.957947pt;width:15.5pt;height:11pt;mso-position-horizontal-relative:page;mso-position-vertical-relative:page;z-index:-1048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312" type="#_x0000_t75" stroked="false">
          <v:imagedata r:id="rId1" o:title=""/>
        </v:shape>
      </w:pict>
    </w:r>
    <w:r>
      <w:rPr/>
      <w:pict>
        <v:shape style="position:absolute;margin-left:523.179993pt;margin-top:781.957947pt;width:17.5pt;height:11pt;mso-position-horizontal-relative:page;mso-position-vertical-relative:page;z-index:-1048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264" type="#_x0000_t75" stroked="false">
          <v:imagedata r:id="rId1" o:title=""/>
        </v:shape>
      </w:pict>
    </w:r>
    <w:r>
      <w:rPr/>
      <w:pict>
        <v:shape style="position:absolute;margin-left:523.539978pt;margin-top:781.957947pt;width:17.150pt;height:11pt;mso-position-horizontal-relative:page;mso-position-vertical-relative:page;z-index:-1048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8216" type="#_x0000_t75" stroked="false">
          <v:imagedata r:id="rId1" o:title=""/>
        </v:shape>
      </w:pict>
    </w:r>
    <w:r>
      <w:rPr/>
      <w:pict>
        <v:shape style="position:absolute;margin-left:523.179993pt;margin-top:781.957947pt;width:17.5pt;height:11pt;mso-position-horizontal-relative:page;mso-position-vertical-relative:page;z-index:-1048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48528" type="#_x0000_t202" filled="false" stroked="false">
          <v:textbox inset="0,0,0,0">
            <w:txbxContent>
              <w:p>
                <w:pPr>
                  <w:pStyle w:val="BodyText"/>
                  <w:spacing w:line="214" w:lineRule="exact"/>
                  <w:ind w:left="20" w:right="0"/>
                  <w:jc w:val="left"/>
                </w:pPr>
                <w:r>
                  <w:rPr/>
                  <w:t>茂硕电源科技股份有限公司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spacing w:before="7"/>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osopower.com/" TargetMode="External"/><Relationship Id="rId10" Type="http://schemas.openxmlformats.org/officeDocument/2006/relationships/hyperlink" Target="mailto:GYD@mosopower.com" TargetMode="External"/><Relationship Id="rId11" Type="http://schemas.openxmlformats.org/officeDocument/2006/relationships/hyperlink" Target="mailto:jibin.fang@mosopower.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hyperlink" Target="http://www.cninfo.com.cn/finalpage/2014-05-31/64086513.PDF" TargetMode="External"/><Relationship Id="rId19" Type="http://schemas.openxmlformats.org/officeDocument/2006/relationships/hyperlink" Target="http://www.cninfo.com.cn/finalpage/2014-11-18/1200399495.PDF" TargetMode="External"/><Relationship Id="rId20" Type="http://schemas.openxmlformats.org/officeDocument/2006/relationships/hyperlink" Target="http://www.cninfo.com.cn/finalpage/2014-01-28/63530145.PDF" TargetMode="External"/><Relationship Id="rId21" Type="http://schemas.openxmlformats.org/officeDocument/2006/relationships/hyperlink" Target="http://www.cninfo.com.cn/finalpage/2014-06-26/1200007408.PDF" TargetMode="External"/><Relationship Id="rId22" Type="http://schemas.openxmlformats.org/officeDocument/2006/relationships/hyperlink" Target="http://www.cninfo.com.cn/finalpage/2014-03-04/63632410.PDF" TargetMode="External"/><Relationship Id="rId23" Type="http://schemas.openxmlformats.org/officeDocument/2006/relationships/hyperlink" Target="http://www.cninfo.com.cn/finalpage/2014-03-04/63632408.PDF" TargetMode="External"/><Relationship Id="rId24" Type="http://schemas.openxmlformats.org/officeDocument/2006/relationships/hyperlink" Target="http://www.cninfo.com.cn/finalpage/2014-04-22/63886982.PDF" TargetMode="External"/><Relationship Id="rId25" Type="http://schemas.openxmlformats.org/officeDocument/2006/relationships/hyperlink" Target="http://www.cninfo.com.cn/finalpage/2014-12-27/1200499321.PDF" TargetMode="External"/><Relationship Id="rId26" Type="http://schemas.openxmlformats.org/officeDocument/2006/relationships/hyperlink" Target="http://www.cninfo.com.cn/finalpage/2014-05-17/64036042.PDF" TargetMode="External"/><Relationship Id="rId27" Type="http://schemas.openxmlformats.org/officeDocument/2006/relationships/hyperlink" Target="http://www.cninfo.com.cn/finalpage/2014-10-28/1200340182.PDF" TargetMode="External"/><Relationship Id="rId28" Type="http://schemas.openxmlformats.org/officeDocument/2006/relationships/image" Target="media/image7.jpe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hyperlink" Target="http://www.cninfo.com.cn&#30340;/" TargetMode="External"/><Relationship Id="rId36" Type="http://schemas.openxmlformats.org/officeDocument/2006/relationships/footer" Target="footer4.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2020-05-06T18:07:33Z</dcterms:created>
  <dcterms:modified xsi:type="dcterms:W3CDTF">2020-05-06T18:07:33Z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Microsoft® Office Word 2007</vt:lpwstr>
  </property>
  <property fmtid="{D5CDD505-2E9C-101B-9397-08002B2CF9AE}" pid="4" name="LastSaved">
    <vt:filetime>2020-05-06T00:00:00Z</vt:filetime>
  </property>
</Properties>
</file>