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1"/>
          <w:szCs w:val="11"/>
        </w:rPr>
      </w:pPr>
    </w:p>
    <w:p>
      <w:pPr>
        <w:spacing w:line="1778" w:lineRule="exact"/>
        <w:ind w:left="21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5"/>
          <w:sz w:val="20"/>
          <w:szCs w:val="20"/>
        </w:rPr>
        <w:drawing>
          <wp:inline distT="0" distB="0" distL="0" distR="0">
            <wp:extent cx="6047705" cy="1129379"/>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6047705" cy="1129379"/>
                    </a:xfrm>
                    <a:prstGeom prst="rect">
                      <a:avLst/>
                    </a:prstGeom>
                  </pic:spPr>
                </pic:pic>
              </a:graphicData>
            </a:graphic>
          </wp:inline>
        </w:drawing>
      </w:r>
      <w:r>
        <w:rPr>
          <w:rFonts w:ascii="Times New Roman" w:hAnsi="Times New Roman" w:cs="Times New Roman" w:eastAsia="Times New Roman" w:hint="default"/>
          <w:position w:val="-35"/>
          <w:sz w:val="20"/>
          <w:szCs w:val="20"/>
        </w:rPr>
      </w:r>
    </w:p>
    <w:p>
      <w:pPr>
        <w:spacing w:line="413" w:lineRule="exact" w:before="0"/>
        <w:ind w:left="615" w:right="1592" w:firstLine="0"/>
        <w:jc w:val="center"/>
        <w:rPr>
          <w:rFonts w:ascii="宋体" w:hAnsi="宋体" w:cs="宋体" w:eastAsia="宋体" w:hint="default"/>
          <w:sz w:val="36"/>
          <w:szCs w:val="36"/>
        </w:rPr>
      </w:pPr>
      <w:r>
        <w:rPr>
          <w:rFonts w:ascii="宋体" w:hAnsi="宋体" w:cs="宋体" w:eastAsia="宋体" w:hint="default"/>
          <w:b/>
          <w:bCs/>
          <w:sz w:val="36"/>
          <w:szCs w:val="36"/>
        </w:rPr>
        <w:t>茂硕电源科技股份有限公司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615" w:right="159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6"/>
        <w:rPr>
          <w:rFonts w:ascii="宋体" w:hAnsi="宋体" w:cs="宋体" w:eastAsia="宋体" w:hint="default"/>
          <w:b/>
          <w:bCs/>
          <w:sz w:val="48"/>
          <w:szCs w:val="48"/>
        </w:rPr>
      </w:pPr>
    </w:p>
    <w:p>
      <w:pPr>
        <w:spacing w:before="0"/>
        <w:ind w:left="615" w:right="159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2016</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第一节 重要提示、目录和释义" w:id="1"/>
      <w:bookmarkEnd w:id="1"/>
      <w:r>
        <w:rPr>
          <w:b w:val="0"/>
          <w:bCs w:val="0"/>
        </w:rPr>
      </w:r>
      <w:r>
        <w:rPr/>
        <w:t>第一节</w:t>
      </w:r>
      <w:r>
        <w:rPr>
          <w:spacing w:val="-10"/>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真实、准确、完整，不存在虚假记载、误导性陈述或重大遗漏，并承担个别和</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386" w:lineRule="auto" w:before="161"/>
        <w:ind w:left="153"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公司负责人顾永德、主管会计工作负责人罗宏健及会计机构负责人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邱华景声明：保证年度报告中财务报告的真实、准确、完整。</w:t>
      </w:r>
      <w:r>
        <w:rPr>
          <w:rFonts w:ascii="宋体" w:hAnsi="宋体" w:cs="宋体" w:eastAsia="宋体" w:hint="default"/>
          <w:sz w:val="28"/>
          <w:szCs w:val="28"/>
        </w:rPr>
      </w:r>
    </w:p>
    <w:p>
      <w:pPr>
        <w:spacing w:before="147"/>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sz w:val="28"/>
          <w:szCs w:val="28"/>
        </w:rPr>
      </w:r>
    </w:p>
    <w:p>
      <w:pPr>
        <w:spacing w:line="240" w:lineRule="auto" w:before="3"/>
        <w:rPr>
          <w:rFonts w:ascii="宋体" w:hAnsi="宋体" w:cs="宋体" w:eastAsia="宋体" w:hint="default"/>
          <w:b/>
          <w:bCs/>
          <w:sz w:val="27"/>
          <w:szCs w:val="27"/>
        </w:rPr>
      </w:pPr>
    </w:p>
    <w:p>
      <w:pPr>
        <w:spacing w:before="0"/>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详见第四节 管理层讨论与分析 九、公司未来发展的展望</w:t>
      </w:r>
      <w:r>
        <w:rPr>
          <w:rFonts w:ascii="宋体" w:hAnsi="宋体" w:cs="宋体" w:eastAsia="宋体" w:hint="default"/>
          <w:b/>
          <w:bCs/>
          <w:spacing w:val="-61"/>
          <w:sz w:val="28"/>
          <w:szCs w:val="28"/>
        </w:rPr>
        <w:t> </w:t>
      </w:r>
      <w:r>
        <w:rPr>
          <w:rFonts w:ascii="宋体" w:hAnsi="宋体" w:cs="宋体" w:eastAsia="宋体" w:hint="default"/>
          <w:b/>
          <w:bCs/>
          <w:spacing w:val="-3"/>
          <w:sz w:val="28"/>
          <w:szCs w:val="28"/>
        </w:rPr>
        <w:t>（五）面临的风</w:t>
      </w:r>
      <w:r>
        <w:rPr>
          <w:rFonts w:ascii="宋体" w:hAnsi="宋体" w:cs="宋体" w:eastAsia="宋体" w:hint="default"/>
          <w:spacing w:val="-3"/>
          <w:sz w:val="28"/>
          <w:szCs w:val="28"/>
        </w:rPr>
      </w:r>
    </w:p>
    <w:p>
      <w:pPr>
        <w:spacing w:line="240" w:lineRule="auto" w:before="10"/>
        <w:rPr>
          <w:rFonts w:ascii="宋体" w:hAnsi="宋体" w:cs="宋体" w:eastAsia="宋体" w:hint="default"/>
          <w:b/>
          <w:bCs/>
          <w:sz w:val="19"/>
          <w:szCs w:val="19"/>
        </w:rPr>
      </w:pPr>
    </w:p>
    <w:p>
      <w:pPr>
        <w:spacing w:before="0"/>
        <w:ind w:left="153" w:right="0" w:firstLine="0"/>
        <w:jc w:val="left"/>
        <w:rPr>
          <w:rFonts w:ascii="宋体" w:hAnsi="宋体" w:cs="宋体" w:eastAsia="宋体" w:hint="default"/>
          <w:sz w:val="28"/>
          <w:szCs w:val="28"/>
        </w:rPr>
      </w:pPr>
      <w:r>
        <w:rPr>
          <w:rFonts w:ascii="宋体" w:hAnsi="宋体" w:cs="宋体" w:eastAsia="宋体" w:hint="default"/>
          <w:b/>
          <w:bCs/>
          <w:w w:val="99"/>
          <w:sz w:val="28"/>
          <w:szCs w:val="28"/>
        </w:rPr>
        <w:t>险</w:t>
      </w:r>
      <w:r>
        <w:rPr>
          <w:rFonts w:ascii="宋体" w:hAnsi="宋体" w:cs="宋体" w:eastAsia="宋体" w:hint="default"/>
          <w:sz w:val="28"/>
          <w:szCs w:val="28"/>
        </w:rPr>
      </w:r>
    </w:p>
    <w:p>
      <w:pPr>
        <w:spacing w:line="240" w:lineRule="auto" w:before="4"/>
        <w:rPr>
          <w:rFonts w:ascii="宋体" w:hAnsi="宋体" w:cs="宋体" w:eastAsia="宋体" w:hint="default"/>
          <w:b/>
          <w:bCs/>
          <w:sz w:val="27"/>
          <w:szCs w:val="27"/>
        </w:rPr>
      </w:pPr>
    </w:p>
    <w:p>
      <w:pPr>
        <w:spacing w:before="0"/>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94"/>
          <w:sz w:val="28"/>
          <w:szCs w:val="28"/>
        </w:rPr>
        <w:t> </w:t>
      </w:r>
      <w:r>
        <w:rPr>
          <w:rFonts w:ascii="Times New Roman" w:hAnsi="Times New Roman" w:cs="Times New Roman" w:eastAsia="Times New Roman" w:hint="default"/>
          <w:b/>
          <w:bCs/>
          <w:sz w:val="28"/>
          <w:szCs w:val="28"/>
        </w:rPr>
        <w:t>277,341,300</w:t>
      </w:r>
      <w:r>
        <w:rPr>
          <w:rFonts w:ascii="Times New Roman" w:hAnsi="Times New Roman" w:cs="Times New Roman" w:eastAsia="Times New Roman" w:hint="default"/>
          <w:b/>
          <w:bCs/>
          <w:spacing w:val="-28"/>
          <w:sz w:val="28"/>
          <w:szCs w:val="28"/>
        </w:rPr>
        <w:t> </w:t>
      </w:r>
      <w:r>
        <w:rPr>
          <w:rFonts w:ascii="宋体" w:hAnsi="宋体" w:cs="宋体" w:eastAsia="宋体" w:hint="default"/>
          <w:b/>
          <w:bCs/>
          <w:spacing w:val="-5"/>
          <w:sz w:val="28"/>
          <w:szCs w:val="28"/>
        </w:rPr>
        <w:t>为基数，向</w:t>
      </w:r>
      <w:r>
        <w:rPr>
          <w:rFonts w:ascii="宋体" w:hAnsi="宋体" w:cs="宋体" w:eastAsia="宋体" w:hint="default"/>
          <w:spacing w:val="-5"/>
          <w:sz w:val="28"/>
          <w:szCs w:val="28"/>
        </w:rPr>
      </w:r>
    </w:p>
    <w:p>
      <w:pPr>
        <w:spacing w:line="386" w:lineRule="auto" w:before="236"/>
        <w:ind w:left="153" w:right="0" w:firstLine="0"/>
        <w:jc w:val="left"/>
        <w:rPr>
          <w:rFonts w:ascii="宋体" w:hAnsi="宋体" w:cs="宋体" w:eastAsia="宋体" w:hint="default"/>
          <w:sz w:val="28"/>
          <w:szCs w:val="28"/>
        </w:rPr>
      </w:pPr>
      <w:r>
        <w:rPr>
          <w:rFonts w:ascii="宋体" w:hAnsi="宋体" w:cs="宋体" w:eastAsia="宋体" w:hint="default"/>
          <w:b/>
          <w:bCs/>
          <w:w w:val="99"/>
          <w:sz w:val="28"/>
          <w:szCs w:val="28"/>
        </w:rPr>
        <w:t>全体股东每</w:t>
      </w:r>
      <w:r>
        <w:rPr>
          <w:rFonts w:ascii="宋体" w:hAnsi="宋体" w:cs="宋体" w:eastAsia="宋体" w:hint="default"/>
          <w:b/>
          <w:bCs/>
          <w:spacing w:val="-64"/>
          <w:w w:val="99"/>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4"/>
          <w:w w:val="99"/>
          <w:sz w:val="28"/>
          <w:szCs w:val="28"/>
        </w:rPr>
        <w:t> </w:t>
      </w:r>
      <w:r>
        <w:rPr>
          <w:rFonts w:ascii="宋体" w:hAnsi="宋体" w:cs="宋体" w:eastAsia="宋体" w:hint="default"/>
          <w:b/>
          <w:bCs/>
          <w:w w:val="99"/>
          <w:sz w:val="28"/>
          <w:szCs w:val="28"/>
        </w:rPr>
        <w:t>股派发现金红利</w:t>
      </w:r>
      <w:r>
        <w:rPr>
          <w:rFonts w:ascii="宋体" w:hAnsi="宋体" w:cs="宋体" w:eastAsia="宋体" w:hint="default"/>
          <w:b/>
          <w:bCs/>
          <w:spacing w:val="-64"/>
          <w:w w:val="99"/>
          <w:sz w:val="28"/>
          <w:szCs w:val="28"/>
        </w:rPr>
        <w:t> </w:t>
      </w:r>
      <w:r>
        <w:rPr>
          <w:rFonts w:ascii="Times New Roman" w:hAnsi="Times New Roman" w:cs="Times New Roman" w:eastAsia="Times New Roman" w:hint="default"/>
          <w:b/>
          <w:bCs/>
          <w:w w:val="99"/>
          <w:sz w:val="28"/>
          <w:szCs w:val="28"/>
        </w:rPr>
        <w:t>0.16</w:t>
      </w:r>
      <w:r>
        <w:rPr>
          <w:rFonts w:ascii="Times New Roman" w:hAnsi="Times New Roman" w:cs="Times New Roman" w:eastAsia="Times New Roman" w:hint="default"/>
          <w:b/>
          <w:bCs/>
          <w:spacing w:val="3"/>
          <w:w w:val="99"/>
          <w:sz w:val="28"/>
          <w:szCs w:val="28"/>
        </w:rPr>
        <w:t> </w:t>
      </w:r>
      <w:r>
        <w:rPr>
          <w:rFonts w:ascii="宋体" w:hAnsi="宋体" w:cs="宋体" w:eastAsia="宋体" w:hint="default"/>
          <w:b/>
          <w:bCs/>
          <w:spacing w:val="-23"/>
          <w:w w:val="99"/>
          <w:sz w:val="28"/>
          <w:szCs w:val="28"/>
        </w:rPr>
        <w:t>元（含税），送红股</w:t>
      </w:r>
      <w:r>
        <w:rPr>
          <w:rFonts w:ascii="宋体" w:hAnsi="宋体" w:cs="宋体" w:eastAsia="宋体" w:hint="default"/>
          <w:b/>
          <w:bCs/>
          <w:spacing w:val="-64"/>
          <w:w w:val="99"/>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4"/>
          <w:w w:val="99"/>
          <w:sz w:val="28"/>
          <w:szCs w:val="28"/>
        </w:rPr>
        <w:t> </w:t>
      </w:r>
      <w:r>
        <w:rPr>
          <w:rFonts w:ascii="宋体" w:hAnsi="宋体" w:cs="宋体" w:eastAsia="宋体" w:hint="default"/>
          <w:b/>
          <w:bCs/>
          <w:spacing w:val="-21"/>
          <w:w w:val="99"/>
          <w:sz w:val="28"/>
          <w:szCs w:val="28"/>
        </w:rPr>
        <w:t>股（含税），不以公积</w:t>
      </w:r>
      <w:r>
        <w:rPr>
          <w:rFonts w:ascii="宋体" w:hAnsi="宋体" w:cs="宋体" w:eastAsia="宋体" w:hint="default"/>
          <w:b/>
          <w:bCs/>
          <w:w w:val="99"/>
          <w:sz w:val="28"/>
          <w:szCs w:val="28"/>
        </w:rPr>
        <w:t> </w:t>
      </w:r>
      <w:r>
        <w:rPr>
          <w:rFonts w:ascii="宋体" w:hAnsi="宋体" w:cs="宋体" w:eastAsia="宋体" w:hint="default"/>
          <w:b/>
          <w:bCs/>
          <w:sz w:val="28"/>
          <w:szCs w:val="28"/>
        </w:rPr>
        <w:t>金转增股本。</w:t>
      </w:r>
      <w:r>
        <w:rPr>
          <w:rFonts w:ascii="宋体" w:hAnsi="宋体" w:cs="宋体" w:eastAsia="宋体" w:hint="default"/>
          <w:sz w:val="28"/>
          <w:szCs w:val="28"/>
        </w:rPr>
      </w:r>
    </w:p>
    <w:p>
      <w:pPr>
        <w:spacing w:after="0" w:line="386" w:lineRule="auto"/>
        <w:jc w:val="left"/>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615" w:right="1591"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19"/>
              </w:rPr>
              <w:t> </w:t>
            </w:r>
            <w:r>
              <w:rPr/>
              <w:t>重要提示、目录和释义</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9"/>
              </w:rPr>
              <w:t> </w:t>
            </w:r>
            <w:r>
              <w:rPr/>
              <w:t>公司简介和主要财务指标</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19"/>
              </w:rPr>
              <w:t> </w:t>
            </w:r>
            <w:r>
              <w:rPr/>
              <w:t>公司业务概要</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9"/>
              </w:rPr>
              <w:t> </w:t>
            </w:r>
            <w:r>
              <w:rPr/>
              <w:t>管理层讨论与分析</w:t>
            </w:r>
            <w:r>
              <w:rPr>
                <w:rFonts w:ascii="Times New Roman" w:hAnsi="Times New Roman" w:cs="Times New Roman" w:eastAsia="Times New Roman" w:hint="default"/>
              </w:rPr>
              <w:tab/>
              <w:t>31</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9"/>
              </w:rPr>
              <w:t> </w:t>
            </w:r>
            <w:r>
              <w:rPr/>
              <w:t>重要事项</w:t>
            </w:r>
            <w:r>
              <w:rPr>
                <w:rFonts w:ascii="Times New Roman" w:hAnsi="Times New Roman" w:cs="Times New Roman" w:eastAsia="Times New Roman" w:hint="default"/>
              </w:rPr>
              <w:tab/>
              <w:t>50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9"/>
              </w:rPr>
              <w:t> </w:t>
            </w:r>
            <w:r>
              <w:rPr/>
              <w:t>股份变动及股东情况</w:t>
            </w:r>
            <w:r>
              <w:rPr>
                <w:rFonts w:ascii="Times New Roman" w:hAnsi="Times New Roman" w:cs="Times New Roman" w:eastAsia="Times New Roman" w:hint="default"/>
              </w:rPr>
              <w:tab/>
              <w:t>56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第七节</w:t>
            </w:r>
            <w:r>
              <w:rPr>
                <w:spacing w:val="-19"/>
              </w:rPr>
              <w:t> </w:t>
            </w:r>
            <w:r>
              <w:rPr/>
              <w:t>优先股相关情况</w:t>
            </w:r>
            <w:r>
              <w:rPr>
                <w:rFonts w:ascii="Times New Roman" w:hAnsi="Times New Roman" w:cs="Times New Roman" w:eastAsia="Times New Roman" w:hint="default"/>
              </w:rPr>
              <w:tab/>
              <w:t>56</w:t>
            </w:r>
            <w:r>
              <w:rPr>
                <w:rFonts w:ascii="Times New Roman" w:hAnsi="Times New Roman" w:cs="Times New Roman" w:eastAsia="Times New Roman" w:hint="default"/>
                <w:b w:val="0"/>
                <w:bCs w:val="0"/>
              </w:rPr>
            </w:r>
          </w:hyperlink>
        </w:p>
        <w:p>
          <w:pPr>
            <w:pStyle w:val="TOC1"/>
            <w:tabs>
              <w:tab w:pos="9782"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6">
            <w:r>
              <w:rPr/>
              <w:t>第八节</w:t>
            </w:r>
            <w:r>
              <w:rPr>
                <w:spacing w:val="-19"/>
              </w:rPr>
              <w:t> </w:t>
            </w:r>
            <w:r>
              <w:rPr/>
              <w:t>董事、监事、高级管理人员和员工情况</w:t>
            </w:r>
            <w:r>
              <w:rPr>
                <w:rFonts w:ascii="Times New Roman" w:hAnsi="Times New Roman" w:cs="Times New Roman" w:eastAsia="Times New Roman" w:hint="default"/>
              </w:rPr>
              <w:tab/>
              <w:t>57</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第九节</w:t>
            </w:r>
            <w:r>
              <w:rPr>
                <w:spacing w:val="-19"/>
              </w:rPr>
              <w:t> </w:t>
            </w:r>
            <w:r>
              <w:rPr/>
              <w:t>公司治理</w:t>
            </w:r>
            <w:r>
              <w:rPr>
                <w:rFonts w:ascii="Times New Roman" w:hAnsi="Times New Roman" w:cs="Times New Roman" w:eastAsia="Times New Roman" w:hint="default"/>
              </w:rPr>
              <w:tab/>
              <w:t>65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第十节</w:t>
            </w:r>
            <w:r>
              <w:rPr>
                <w:spacing w:val="-19"/>
              </w:rPr>
              <w:t> </w:t>
            </w:r>
            <w:r>
              <w:rPr/>
              <w:t>财务报告</w:t>
            </w:r>
            <w:r>
              <w:rPr>
                <w:rFonts w:ascii="Times New Roman" w:hAnsi="Times New Roman" w:cs="Times New Roman" w:eastAsia="Times New Roman" w:hint="default"/>
              </w:rPr>
              <w:tab/>
              <w:t>72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第十一节</w:t>
            </w:r>
            <w:r>
              <w:rPr>
                <w:spacing w:val="-20"/>
              </w:rPr>
              <w:t> </w:t>
            </w:r>
            <w:r>
              <w:rPr/>
              <w:t>备查文件目录</w:t>
            </w:r>
            <w:r>
              <w:rPr>
                <w:rFonts w:ascii="Times New Roman" w:hAnsi="Times New Roman" w:cs="Times New Roman" w:eastAsia="Times New Roman" w:hint="default"/>
              </w:rPr>
              <w:tab/>
              <w:t>192</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7" w:footer="979" w:top="1060" w:bottom="1160" w:left="980" w:right="0"/>
        </w:sectPr>
      </w:pPr>
    </w:p>
    <w:p>
      <w:pPr>
        <w:spacing w:before="946"/>
        <w:ind w:left="615" w:right="1591"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母公司</w:t>
            </w:r>
            <w:r>
              <w:rPr>
                <w:rFonts w:ascii="Times New Roman" w:hAnsi="Times New Roman" w:cs="Times New Roman" w:eastAsia="Times New Roman" w:hint="default"/>
                <w:sz w:val="18"/>
                <w:szCs w:val="18"/>
              </w:rPr>
              <w:t>/</w:t>
            </w:r>
            <w:r>
              <w:rPr>
                <w:rFonts w:ascii="宋体" w:hAnsi="宋体" w:cs="宋体" w:eastAsia="宋体" w:hint="default"/>
                <w:sz w:val="18"/>
                <w:szCs w:val="18"/>
              </w:rPr>
              <w:t>茂硕电源</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茂硕电源科技股份有限公司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茂硕电子</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深圳茂硕电子科技有限公司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香港茂硕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茂硕能源科技（香港）国际有限公司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茂硕研究院</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深圳茂硕新能源技术研究院有限公司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惠州茂硕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惠州茂硕能源科技有限公司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海宁茂硕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海宁茂硕诺华能源有限公司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茂硕新能源</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深圳茂硕新能源科技有限公司，原</w:t>
            </w:r>
            <w:r>
              <w:rPr>
                <w:rFonts w:ascii="Times New Roman" w:hAnsi="Times New Roman" w:cs="Times New Roman" w:eastAsia="Times New Roman" w:hint="default"/>
                <w:sz w:val="18"/>
                <w:szCs w:val="18"/>
              </w:rPr>
              <w:t>"</w:t>
            </w:r>
            <w:r>
              <w:rPr>
                <w:rFonts w:ascii="宋体" w:hAnsi="宋体" w:cs="宋体" w:eastAsia="宋体" w:hint="default"/>
                <w:sz w:val="18"/>
                <w:szCs w:val="18"/>
              </w:rPr>
              <w:t>深圳市富凌控制技术有限公司</w:t>
            </w:r>
            <w:r>
              <w:rPr>
                <w:rFonts w:ascii="Times New Roman" w:hAnsi="Times New Roman" w:cs="Times New Roman" w:eastAsia="Times New Roman" w:hint="default"/>
                <w:sz w:val="18"/>
                <w:szCs w:val="18"/>
              </w:rPr>
              <w:t>"</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茂硕投资</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深圳茂硕投资发展有限公司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茂硕钜泽</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深圳茂硕钜泽科技有限公司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深圳曦港</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深圳曦港科技有限公司，原</w:t>
            </w:r>
            <w:r>
              <w:rPr>
                <w:rFonts w:ascii="Times New Roman" w:hAnsi="Times New Roman" w:cs="Times New Roman" w:eastAsia="Times New Roman" w:hint="default"/>
                <w:sz w:val="18"/>
                <w:szCs w:val="18"/>
              </w:rPr>
              <w:t>"</w:t>
            </w:r>
            <w:r>
              <w:rPr>
                <w:rFonts w:ascii="宋体" w:hAnsi="宋体" w:cs="宋体" w:eastAsia="宋体" w:hint="default"/>
                <w:sz w:val="18"/>
                <w:szCs w:val="18"/>
              </w:rPr>
              <w:t>深圳茂硕希港科技有限公司</w:t>
            </w:r>
            <w:r>
              <w:rPr>
                <w:rFonts w:ascii="Times New Roman" w:hAnsi="Times New Roman" w:cs="Times New Roman" w:eastAsia="Times New Roman" w:hint="default"/>
                <w:sz w:val="18"/>
                <w:szCs w:val="18"/>
              </w:rPr>
              <w:t>"</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新余茂硕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新余茂硕新能源科技有限公司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国利英核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浙江国利英核能源有限公司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华智测控</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深圳华智测控技术有限公司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通新源</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深圳市通新源物业管理有限公司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弘康茂硕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河南弘康茂硕电气有限公司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茂硕电气</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深圳茂硕电气有限公司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方正达</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湖南省方正达电子科技有限公司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台州南瑞</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台州南瑞新能源有限公司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萍乡茂硕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萍乡茂硕新能源科技有限公司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海宁茂硕新能源</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海宁茂硕新能源科技有限公司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聚电网络</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深圳市聚电网络科技有限公司</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300" w:lineRule="auto" w:before="51"/>
              <w:ind w:left="22" w:right="114"/>
              <w:jc w:val="left"/>
              <w:rPr>
                <w:rFonts w:ascii="宋体" w:hAnsi="宋体" w:cs="宋体" w:eastAsia="宋体" w:hint="default"/>
                <w:sz w:val="18"/>
                <w:szCs w:val="18"/>
              </w:rPr>
            </w:pPr>
            <w:r>
              <w:rPr>
                <w:rFonts w:ascii="Times New Roman" w:hAnsi="Times New Roman" w:cs="Times New Roman" w:eastAsia="Times New Roman" w:hint="default"/>
                <w:sz w:val="18"/>
                <w:szCs w:val="18"/>
              </w:rPr>
              <w:t>FPC</w:t>
            </w:r>
            <w:r>
              <w:rPr>
                <w:rFonts w:ascii="宋体" w:hAnsi="宋体" w:cs="宋体" w:eastAsia="宋体" w:hint="default"/>
                <w:sz w:val="18"/>
                <w:szCs w:val="18"/>
              </w:rPr>
              <w:t>、柔性印制电路板、柔性电路板或柔性 线路板</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51"/>
              <w:ind w:left="27" w:right="22"/>
              <w:jc w:val="left"/>
              <w:rPr>
                <w:rFonts w:ascii="宋体" w:hAnsi="宋体" w:cs="宋体" w:eastAsia="宋体" w:hint="default"/>
                <w:sz w:val="18"/>
                <w:szCs w:val="18"/>
              </w:rPr>
            </w:pPr>
            <w:r>
              <w:rPr>
                <w:rFonts w:ascii="宋体" w:hAnsi="宋体" w:cs="宋体" w:eastAsia="宋体" w:hint="default"/>
                <w:spacing w:val="-2"/>
                <w:sz w:val="18"/>
                <w:szCs w:val="18"/>
              </w:rPr>
              <w:t>组装电子零件用的基板，是在柔性基材上按预定设计形成点间连接及</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印制元件的印制板</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民生证券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民生证券股份有限公司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西南证券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西南证券股份有限公司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525"/>
        <w:gridCol w:w="621"/>
        <w:gridCol w:w="5424"/>
      </w:tblGrid>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茂硕电源科技股份有限公司公司章程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72.339996pt;margin-top:272.779968pt;width:361.5pt;height:19.6pt;mso-position-horizontal-relative:page;mso-position-vertical-relative:page;z-index:-1125904" coordorigin="3447,5456" coordsize="7230,392">
            <v:shape style="position:absolute;left:3447;top:5456;width:7230;height:392" coordorigin="3447,5456" coordsize="7230,392" path="m3447,5847l10676,5847,10676,5456,3447,5456,3447,5847xe" filled="true" fillcolor="#ffffff" stroked="false">
              <v:path arrowok="t"/>
              <v:fill type="solid"/>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2644" w:right="0"/>
        <w:jc w:val="left"/>
        <w:rPr>
          <w:b w:val="0"/>
          <w:bCs w:val="0"/>
        </w:rPr>
      </w:pPr>
      <w:bookmarkStart w:name="第二节 公司简介和主要财务指标" w:id="2"/>
      <w:bookmarkEnd w:id="2"/>
      <w:r>
        <w:rPr>
          <w:b w:val="0"/>
          <w:bCs w:val="0"/>
        </w:rPr>
      </w:r>
      <w:bookmarkStart w:name="_bookmark0" w:id="3"/>
      <w:bookmarkEnd w:id="3"/>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4"/>
      <w:bookmarkEnd w:id="4"/>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茂硕电源</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002660</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茂硕电源科技股份有限公司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茂硕电源</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Moso Power Supply Technology Co.,</w:t>
            </w:r>
            <w:r>
              <w:rPr>
                <w:rFonts w:ascii="Times New Roman"/>
                <w:spacing w:val="-25"/>
                <w:sz w:val="18"/>
              </w:rPr>
              <w:t> </w:t>
            </w:r>
            <w:r>
              <w:rPr>
                <w:rFonts w:ascii="Times New Roman"/>
                <w:sz w:val="18"/>
              </w:rPr>
              <w:t>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Moso</w:t>
            </w:r>
            <w:r>
              <w:rPr>
                <w:rFonts w:ascii="Times New Roman"/>
                <w:spacing w:val="-3"/>
                <w:sz w:val="18"/>
              </w:rPr>
              <w:t> </w:t>
            </w:r>
            <w:r>
              <w:rPr>
                <w:rFonts w:ascii="Times New Roman"/>
                <w:sz w:val="18"/>
              </w:rPr>
              <w:t>Power</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顾永德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广东省深圳市南山区松白路关外小白芒桑泰工业园</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518055</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深圳市南山区西丽松白路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号茂硕科技园</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518055</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www.mosopower.com</w:t>
              </w:r>
            </w:hyperlink>
          </w:p>
        </w:tc>
      </w:tr>
      <w:tr>
        <w:trPr>
          <w:trHeight w:val="40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GYD@mosopower.com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联系人和联系方式" w:id="5"/>
      <w:bookmarkEnd w:id="5"/>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方吉槟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洪叶</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20"/>
              <w:jc w:val="left"/>
              <w:rPr>
                <w:rFonts w:ascii="宋体" w:hAnsi="宋体" w:cs="宋体" w:eastAsia="宋体" w:hint="default"/>
                <w:sz w:val="18"/>
                <w:szCs w:val="18"/>
              </w:rPr>
            </w:pPr>
            <w:r>
              <w:rPr>
                <w:rFonts w:ascii="宋体" w:hAnsi="宋体" w:cs="宋体" w:eastAsia="宋体" w:hint="default"/>
                <w:sz w:val="18"/>
                <w:szCs w:val="18"/>
              </w:rPr>
              <w:t>深圳市南山区西丽松白路</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1061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号茂硕科 技园</w:t>
            </w:r>
          </w:p>
        </w:tc>
        <w:tc>
          <w:tcPr>
            <w:tcW w:w="3190" w:type="dxa"/>
            <w:vMerge w:val="restart"/>
            <w:tcBorders>
              <w:top w:val="single" w:sz="4" w:space="0" w:color="000000"/>
              <w:left w:val="single" w:sz="4" w:space="0" w:color="000000"/>
              <w:right w:val="single" w:sz="4" w:space="0" w:color="000000"/>
            </w:tcBorders>
          </w:tcPr>
          <w:p>
            <w:pPr>
              <w:pStyle w:val="TableParagraph"/>
              <w:spacing w:line="300"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深圳市南山区西丽松白路</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1061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号茂硕科 技园</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0755-27659888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0755-27659888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0755-27659888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0755-27659888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1">
              <w:r>
                <w:rPr>
                  <w:rFonts w:ascii="Times New Roman"/>
                  <w:sz w:val="18"/>
                </w:rPr>
                <w:t>jibin.fang@mosopower.com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ye.hong@mosopower.com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三、信息披露及备置地点" w:id="6"/>
      <w:bookmarkEnd w:id="6"/>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证券时报、中国证券报、上海证券报、证券日报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公司董事会秘书办公室</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四、注册变更情况" w:id="7"/>
      <w:bookmarkEnd w:id="7"/>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63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786559921</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1338"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日，公司原控股股东深圳德旺投资发展有限公司（以下简称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德旺 </w:t>
            </w:r>
            <w:r>
              <w:rPr>
                <w:rFonts w:ascii="宋体" w:hAnsi="宋体" w:cs="宋体" w:eastAsia="宋体" w:hint="default"/>
                <w:spacing w:val="-3"/>
                <w:sz w:val="18"/>
                <w:szCs w:val="18"/>
              </w:rPr>
              <w:t>投资</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）与顾永德先生签署了《股权转让合同》，徳旺投资为顾永德先生的全资控</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股公司，德旺投资将其持有的茂硕电源无限售流通股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49,200,347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股协议转让给公 司实际控制人顾永德先生，顾永德先生现为公司控股股东。</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五、其他有关资料" w:id="8"/>
      <w:bookmarkEnd w:id="8"/>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深圳市福田区益田路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号太平金融大厦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李梅、杨轶彬</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1650"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民生证券股份有限公司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北京市东城区建国门内大街</w:t>
            </w:r>
          </w:p>
          <w:p>
            <w:pPr>
              <w:pStyle w:val="TableParagraph"/>
              <w:spacing w:line="240" w:lineRule="auto" w:before="7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号民生金融中心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贺骞、汪兵</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月至</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pacing w:val="-30"/>
                <w:sz w:val="18"/>
                <w:szCs w:val="18"/>
              </w:rPr>
              <w:t>月（由</w:t>
            </w:r>
            <w:r>
              <w:rPr>
                <w:rFonts w:ascii="宋体" w:hAnsi="宋体" w:cs="宋体" w:eastAsia="宋体" w:hint="default"/>
                <w:sz w:val="18"/>
                <w:szCs w:val="18"/>
              </w:rPr>
              <w:t> 于首发前募集资金尚未使用 完毕，民生证券股份有限公司 仍需对公司募集资金的管理 和使用进行持续督导）</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公司聘请的报告期内履行持续督导职责的财务顾问</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1"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0"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西南证券股份有限公司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97"/>
              <w:jc w:val="left"/>
              <w:rPr>
                <w:rFonts w:ascii="宋体" w:hAnsi="宋体" w:cs="宋体" w:eastAsia="宋体" w:hint="default"/>
                <w:sz w:val="18"/>
                <w:szCs w:val="18"/>
              </w:rPr>
            </w:pPr>
            <w:r>
              <w:rPr>
                <w:rFonts w:ascii="宋体" w:hAnsi="宋体" w:cs="宋体" w:eastAsia="宋体" w:hint="default"/>
                <w:sz w:val="18"/>
                <w:szCs w:val="18"/>
              </w:rPr>
              <w:t>深圳市福田区深南大道创建 大厦四楼</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顾峻毅、陈清</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六、主要会计数据和财务指标" w:id="9"/>
      <w:bookmarkEnd w:id="9"/>
      <w:r>
        <w:rPr>
          <w:b w:val="0"/>
          <w:bCs w:val="0"/>
        </w:rPr>
      </w:r>
      <w:r>
        <w:rPr/>
        <w:t>六、主要会计数据和财务指标</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922,185,556.51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9" w:right="0"/>
              <w:jc w:val="left"/>
              <w:rPr>
                <w:rFonts w:ascii="Times New Roman" w:hAnsi="Times New Roman" w:cs="Times New Roman" w:eastAsia="Times New Roman" w:hint="default"/>
                <w:sz w:val="18"/>
                <w:szCs w:val="18"/>
              </w:rPr>
            </w:pPr>
            <w:r>
              <w:rPr>
                <w:rFonts w:ascii="Times New Roman"/>
                <w:sz w:val="18"/>
              </w:rPr>
              <w:t>628,224,567.94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46.79%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606,756,517.18</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16,053,060.51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9" w:right="0"/>
              <w:jc w:val="left"/>
              <w:rPr>
                <w:rFonts w:ascii="Times New Roman" w:hAnsi="Times New Roman" w:cs="Times New Roman" w:eastAsia="Times New Roman" w:hint="default"/>
                <w:sz w:val="18"/>
                <w:szCs w:val="18"/>
              </w:rPr>
            </w:pPr>
            <w:r>
              <w:rPr>
                <w:rFonts w:ascii="Times New Roman"/>
                <w:sz w:val="18"/>
              </w:rPr>
              <w:t>-47,859,425.18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133.54%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24,922,433.33</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-19,680,692.72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09" w:right="0"/>
              <w:jc w:val="left"/>
              <w:rPr>
                <w:rFonts w:ascii="Times New Roman" w:hAnsi="Times New Roman" w:cs="Times New Roman" w:eastAsia="Times New Roman" w:hint="default"/>
                <w:sz w:val="18"/>
                <w:szCs w:val="18"/>
              </w:rPr>
            </w:pPr>
            <w:r>
              <w:rPr>
                <w:rFonts w:ascii="Times New Roman"/>
                <w:sz w:val="18"/>
              </w:rPr>
              <w:t>-51,397,045.51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61.71%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16,096,605.32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36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常性损益的净利润（元）</w:t>
            </w:r>
          </w:p>
        </w:tc>
        <w:tc>
          <w:tcPr>
            <w:tcW w:w="1751" w:type="dxa"/>
            <w:tcBorders>
              <w:top w:val="single" w:sz="4" w:space="0" w:color="000000"/>
              <w:left w:val="single" w:sz="13" w:space="0" w:color="D2D2D2"/>
              <w:bottom w:val="single" w:sz="4" w:space="0" w:color="000000"/>
              <w:right w:val="single" w:sz="4" w:space="0" w:color="FFFFFF"/>
            </w:tcBorders>
          </w:tcPr>
          <w:p>
            <w:pPr/>
          </w:p>
        </w:tc>
        <w:tc>
          <w:tcPr>
            <w:tcW w:w="1736" w:type="dxa"/>
            <w:tcBorders>
              <w:top w:val="single" w:sz="4" w:space="0" w:color="000000"/>
              <w:left w:val="single" w:sz="4" w:space="0" w:color="FFFFFF"/>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37,898,409.10</w:t>
            </w:r>
          </w:p>
        </w:tc>
        <w:tc>
          <w:tcPr>
            <w:tcW w:w="173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-22,910,785.56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265.42%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5,877,545.89</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0.06</w:t>
            </w:r>
          </w:p>
        </w:tc>
        <w:tc>
          <w:tcPr>
            <w:tcW w:w="173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-0.19</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131.58%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0.06</w:t>
            </w:r>
          </w:p>
        </w:tc>
        <w:tc>
          <w:tcPr>
            <w:tcW w:w="173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-0.19</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131.58%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1.95%</w:t>
            </w:r>
          </w:p>
        </w:tc>
        <w:tc>
          <w:tcPr>
            <w:tcW w:w="173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2.34%</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FFFFFF"/>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1"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1,860,141,332.37</w:t>
            </w:r>
          </w:p>
        </w:tc>
        <w:tc>
          <w:tcPr>
            <w:tcW w:w="173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1,161,853,004.74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60.10%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1,033,650,273.35</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872,667,159.34</w:t>
            </w:r>
          </w:p>
        </w:tc>
        <w:tc>
          <w:tcPr>
            <w:tcW w:w="173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653,399,019.47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33.56%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685,683,314.88</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七、境内外会计准则下会计数据差异" w:id="10"/>
      <w:bookmarkEnd w:id="10"/>
      <w:r>
        <w:rPr>
          <w:b w:val="0"/>
          <w:bCs w:val="0"/>
        </w:rPr>
      </w: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同时按照国际会计准则与按照中国会计准则披露的财务报告中净利润和净资产差异情况" w:id="11"/>
      <w:bookmarkEnd w:id="11"/>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3" w:right="19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2、同时按照境外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26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八、分季度主要财务指标" w:id="13"/>
      <w:bookmarkEnd w:id="13"/>
      <w:r>
        <w:rPr>
          <w:b w:val="0"/>
          <w:bCs w:val="0"/>
        </w:rPr>
      </w:r>
      <w:r>
        <w:rPr/>
        <w:t>八、分季度主要财务指标</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98,443,694.04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226,998,488.66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249,900,190.85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346,843,182.96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-18,357,635.83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-9,671,238.92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32,130,781.26</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11,951,154.00</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-21,085,414.20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-9,942,165.53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5,513,796.65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5,833,090.36</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-2,119,874.71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-33,191,033.48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50,095,887.02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23,113,430.27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九、非经常性损益项目及金额" w:id="14"/>
      <w:bookmarkEnd w:id="14"/>
      <w:r>
        <w:rPr>
          <w:b w:val="0"/>
          <w:bCs w:val="0"/>
        </w:rPr>
      </w:r>
      <w:r>
        <w:rPr/>
        <w:t>九、非经常性损益项目及金额</w:t>
      </w:r>
      <w:r>
        <w:rPr>
          <w:b w:val="0"/>
          <w:bCs w:val="0"/>
        </w:rPr>
      </w:r>
    </w:p>
    <w:p>
      <w:pPr>
        <w:spacing w:line="240" w:lineRule="auto" w:before="3"/>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-314,221.05</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35,923.89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-28,652.41</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7,832,256.39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3,631,398.44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9,694,097.57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35,551,494.74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751,564.28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699,630.08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6,562,047.05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770,451.42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1,455,828.23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773,729.80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110,814.86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83,419.00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35,733,753.23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3,537,620.33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8,825,828.01</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3"/>
        <w:ind w:left="15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69"/>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02" w:lineRule="auto" w:before="101"/>
        <w:ind w:left="153" w:right="1116"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2"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0"/>
        <w:jc w:val="left"/>
        <w:rPr>
          <w:b w:val="0"/>
          <w:bCs w:val="0"/>
        </w:rPr>
      </w:pPr>
      <w:bookmarkStart w:name="第三节 公司业务概要" w:id="15"/>
      <w:bookmarkEnd w:id="15"/>
      <w:r>
        <w:rPr>
          <w:b w:val="0"/>
          <w:bCs w:val="0"/>
        </w:rPr>
      </w:r>
      <w:bookmarkStart w:name="_bookmark1" w:id="16"/>
      <w:bookmarkEnd w:id="16"/>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6"/>
        <w:rPr>
          <w:rFonts w:ascii="宋体" w:hAnsi="宋体" w:cs="宋体" w:eastAsia="宋体" w:hint="default"/>
          <w:b/>
          <w:bCs/>
          <w:sz w:val="26"/>
          <w:szCs w:val="26"/>
        </w:rPr>
      </w:pPr>
    </w:p>
    <w:p>
      <w:pPr>
        <w:spacing w:line="300" w:lineRule="auto" w:before="0"/>
        <w:ind w:left="153" w:right="0" w:firstLine="420"/>
        <w:jc w:val="left"/>
        <w:rPr>
          <w:rFonts w:ascii="宋体" w:hAnsi="宋体" w:cs="宋体" w:eastAsia="宋体" w:hint="default"/>
          <w:sz w:val="18"/>
          <w:szCs w:val="18"/>
        </w:rPr>
      </w:pPr>
      <w:r>
        <w:rPr>
          <w:rFonts w:ascii="宋体" w:hAnsi="宋体" w:cs="宋体" w:eastAsia="宋体" w:hint="default"/>
          <w:spacing w:val="-1"/>
          <w:sz w:val="18"/>
          <w:szCs w:val="18"/>
        </w:rPr>
        <w:t>公司是集产品研发、制造、销售及服务于一体的</w:t>
      </w:r>
      <w:r>
        <w:rPr>
          <w:rFonts w:ascii="Times New Roman" w:hAnsi="Times New Roman" w:cs="Times New Roman" w:eastAsia="Times New Roman" w:hint="default"/>
          <w:spacing w:val="-1"/>
          <w:sz w:val="18"/>
          <w:szCs w:val="18"/>
        </w:rPr>
        <w:t>SPS</w:t>
      </w:r>
      <w:r>
        <w:rPr>
          <w:rFonts w:ascii="宋体" w:hAnsi="宋体" w:cs="宋体" w:eastAsia="宋体" w:hint="default"/>
          <w:spacing w:val="-1"/>
          <w:sz w:val="18"/>
          <w:szCs w:val="18"/>
        </w:rPr>
        <w:t>开关电源、</w:t>
      </w:r>
      <w:r>
        <w:rPr>
          <w:rFonts w:ascii="Times New Roman" w:hAnsi="Times New Roman" w:cs="Times New Roman" w:eastAsia="Times New Roman" w:hint="default"/>
          <w:spacing w:val="-1"/>
          <w:sz w:val="18"/>
          <w:szCs w:val="18"/>
        </w:rPr>
        <w:t>LED</w:t>
      </w:r>
      <w:r>
        <w:rPr>
          <w:rFonts w:ascii="宋体" w:hAnsi="宋体" w:cs="宋体" w:eastAsia="宋体" w:hint="default"/>
          <w:spacing w:val="-1"/>
          <w:sz w:val="18"/>
          <w:szCs w:val="18"/>
        </w:rPr>
        <w:t>智能驱动电源、</w:t>
      </w:r>
      <w:r>
        <w:rPr>
          <w:rFonts w:ascii="Times New Roman" w:hAnsi="Times New Roman" w:cs="Times New Roman" w:eastAsia="Times New Roman" w:hint="default"/>
          <w:spacing w:val="-1"/>
          <w:sz w:val="18"/>
          <w:szCs w:val="18"/>
        </w:rPr>
        <w:t>FPC</w:t>
      </w:r>
      <w:r>
        <w:rPr>
          <w:rFonts w:ascii="宋体" w:hAnsi="宋体" w:cs="宋体" w:eastAsia="宋体" w:hint="default"/>
          <w:spacing w:val="-1"/>
          <w:sz w:val="18"/>
          <w:szCs w:val="18"/>
        </w:rPr>
        <w:t>、光伏电站应用投资的新能源</w:t>
      </w:r>
      <w:r>
        <w:rPr>
          <w:rFonts w:ascii="宋体" w:hAnsi="宋体" w:cs="宋体" w:eastAsia="宋体" w:hint="default"/>
          <w:sz w:val="18"/>
          <w:szCs w:val="18"/>
        </w:rPr>
        <w:t> 解决方案提供商。</w:t>
      </w:r>
    </w:p>
    <w:p>
      <w:pPr>
        <w:spacing w:line="300" w:lineRule="auto" w:before="31"/>
        <w:ind w:left="153" w:right="1131" w:firstLine="420"/>
        <w:jc w:val="both"/>
        <w:rPr>
          <w:rFonts w:ascii="宋体" w:hAnsi="宋体" w:cs="宋体" w:eastAsia="宋体" w:hint="default"/>
          <w:sz w:val="18"/>
          <w:szCs w:val="18"/>
        </w:rPr>
      </w:pPr>
      <w:r>
        <w:rPr>
          <w:rFonts w:ascii="宋体" w:hAnsi="宋体" w:cs="宋体" w:eastAsia="宋体" w:hint="default"/>
          <w:sz w:val="18"/>
          <w:szCs w:val="18"/>
        </w:rPr>
        <w:t>报告期内，为了应对宏观环境的变化和外部市场的激烈竞争态势，公司在现有业务的基础上，积极拓展</w:t>
      </w:r>
      <w:r>
        <w:rPr>
          <w:rFonts w:ascii="Times New Roman" w:hAnsi="Times New Roman" w:cs="Times New Roman" w:eastAsia="Times New Roman" w:hint="default"/>
          <w:sz w:val="18"/>
          <w:szCs w:val="18"/>
        </w:rPr>
        <w:t>FPC</w:t>
      </w:r>
      <w:r>
        <w:rPr>
          <w:rFonts w:ascii="宋体" w:hAnsi="宋体" w:cs="宋体" w:eastAsia="宋体" w:hint="default"/>
          <w:sz w:val="18"/>
          <w:szCs w:val="18"/>
        </w:rPr>
        <w:t>和光伏电 </w:t>
      </w:r>
      <w:r>
        <w:rPr>
          <w:rFonts w:ascii="宋体" w:hAnsi="宋体" w:cs="宋体" w:eastAsia="宋体" w:hint="default"/>
          <w:spacing w:val="-2"/>
          <w:sz w:val="18"/>
          <w:szCs w:val="18"/>
        </w:rPr>
        <w:t>站应用投资业务，增加公司主营业务种类，增强公司核心竞争力。</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年通过发行股份购买资产收购湖南省方正达电子科技</w:t>
      </w:r>
      <w:r>
        <w:rPr>
          <w:rFonts w:ascii="宋体" w:hAnsi="宋体" w:cs="宋体" w:eastAsia="宋体" w:hint="default"/>
          <w:spacing w:val="-61"/>
          <w:sz w:val="18"/>
          <w:szCs w:val="18"/>
        </w:rPr>
        <w:t> </w:t>
      </w:r>
      <w:r>
        <w:rPr>
          <w:rFonts w:ascii="宋体" w:hAnsi="宋体" w:cs="宋体" w:eastAsia="宋体" w:hint="default"/>
          <w:sz w:val="18"/>
          <w:szCs w:val="18"/>
        </w:rPr>
        <w:t>有限公司，并于</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月完成股权过户登记手续，本次交易完成后，公司主营业务为新增了柔性电路板的研发、生产和销</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售，产品增加了柔性电路板，公司的产品结构更加丰富，业务结构及持续盈利能力得到优化。</w:t>
      </w:r>
    </w:p>
    <w:p>
      <w:pPr>
        <w:spacing w:line="312" w:lineRule="auto" w:before="31"/>
        <w:ind w:left="153" w:right="0" w:firstLine="420"/>
        <w:jc w:val="left"/>
        <w:rPr>
          <w:rFonts w:ascii="宋体" w:hAnsi="宋体" w:cs="宋体" w:eastAsia="宋体" w:hint="default"/>
          <w:sz w:val="18"/>
          <w:szCs w:val="18"/>
        </w:rPr>
      </w:pPr>
      <w:r>
        <w:rPr>
          <w:rFonts w:ascii="宋体" w:hAnsi="宋体" w:cs="宋体" w:eastAsia="宋体" w:hint="default"/>
          <w:spacing w:val="-2"/>
          <w:sz w:val="18"/>
          <w:szCs w:val="18"/>
        </w:rPr>
        <w:t>未来公司将持续巩固主营业务，并积极探索新的业务领域，坚持品质创新，扩大市场占有率，持续提高公司盈利能力，</w:t>
      </w:r>
      <w:r>
        <w:rPr>
          <w:rFonts w:ascii="宋体" w:hAnsi="宋体" w:cs="宋体" w:eastAsia="宋体" w:hint="default"/>
          <w:sz w:val="18"/>
          <w:szCs w:val="18"/>
        </w:rPr>
        <w:t> </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月，公司启动非公开发行项目，拟募集资金</w:t>
      </w:r>
      <w:r>
        <w:rPr>
          <w:rFonts w:ascii="Times New Roman" w:hAnsi="Times New Roman" w:cs="Times New Roman" w:eastAsia="Times New Roman" w:hint="default"/>
          <w:sz w:val="18"/>
          <w:szCs w:val="18"/>
        </w:rPr>
        <w:t>63,223.68</w:t>
      </w:r>
      <w:r>
        <w:rPr>
          <w:rFonts w:ascii="宋体" w:hAnsi="宋体" w:cs="宋体" w:eastAsia="宋体" w:hint="default"/>
          <w:sz w:val="18"/>
          <w:szCs w:val="18"/>
        </w:rPr>
        <w:t>万元，投资用于光伏发电项目，进一步提高公司的抗风险能力</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和可持续发展能力。报告期内，公司利用资本平台积极拓展业务，不仅获得了稳定的投资收益回报，还带动主业产品的销售，</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实现了公司业绩增长。</w:t>
      </w:r>
    </w:p>
    <w:p>
      <w:pPr>
        <w:spacing w:before="22"/>
        <w:ind w:left="573" w:right="0" w:firstLine="0"/>
        <w:jc w:val="left"/>
        <w:rPr>
          <w:rFonts w:ascii="宋体" w:hAnsi="宋体" w:cs="宋体" w:eastAsia="宋体" w:hint="default"/>
          <w:sz w:val="18"/>
          <w:szCs w:val="18"/>
        </w:rPr>
      </w:pPr>
      <w:r>
        <w:rPr>
          <w:rFonts w:ascii="宋体" w:hAnsi="宋体" w:cs="宋体" w:eastAsia="宋体" w:hint="default"/>
          <w:sz w:val="18"/>
          <w:szCs w:val="18"/>
        </w:rPr>
        <w:t>茂硕经过十年快速发展，始终坚持</w:t>
      </w:r>
      <w:r>
        <w:rPr>
          <w:rFonts w:ascii="Times New Roman" w:hAnsi="Times New Roman" w:cs="Times New Roman" w:eastAsia="Times New Roman" w:hint="default"/>
          <w:sz w:val="18"/>
          <w:szCs w:val="18"/>
        </w:rPr>
        <w:t>“</w:t>
      </w:r>
      <w:r>
        <w:rPr>
          <w:rFonts w:ascii="宋体" w:hAnsi="宋体" w:cs="宋体" w:eastAsia="宋体" w:hint="default"/>
          <w:sz w:val="18"/>
          <w:szCs w:val="18"/>
        </w:rPr>
        <w:t>绿色创新，高效节能</w:t>
      </w:r>
      <w:r>
        <w:rPr>
          <w:rFonts w:ascii="Times New Roman" w:hAnsi="Times New Roman" w:cs="Times New Roman" w:eastAsia="Times New Roman" w:hint="default"/>
          <w:sz w:val="18"/>
          <w:szCs w:val="18"/>
        </w:rPr>
        <w:t>”</w:t>
      </w:r>
      <w:r>
        <w:rPr>
          <w:rFonts w:ascii="宋体" w:hAnsi="宋体" w:cs="宋体" w:eastAsia="宋体" w:hint="default"/>
          <w:sz w:val="18"/>
          <w:szCs w:val="18"/>
        </w:rPr>
        <w:t>的环保理念，在新能源领域已享有一定的声誉和市场占有率。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Heading2"/>
        <w:spacing w:line="240" w:lineRule="auto"/>
        <w:ind w:right="0"/>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041"/>
        <w:gridCol w:w="6517"/>
      </w:tblGrid>
      <w:tr>
        <w:trPr>
          <w:trHeight w:val="187"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本年发行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24,933,300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股，发行价人民币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8.64</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股，扣除发行费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4,380,000.00</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元，增</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加股本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24,933,300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元，增加资本公积</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186,110,412.00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公司本年度盈利，增加盈余</w:t>
            </w:r>
          </w:p>
          <w:p>
            <w:pPr>
              <w:pStyle w:val="TableParagraph"/>
              <w:spacing w:line="240" w:lineRule="auto" w:before="64"/>
              <w:ind w:left="16" w:right="0"/>
              <w:jc w:val="left"/>
              <w:rPr>
                <w:rFonts w:ascii="宋体" w:hAnsi="宋体" w:cs="宋体" w:eastAsia="宋体" w:hint="default"/>
                <w:sz w:val="18"/>
                <w:szCs w:val="18"/>
              </w:rPr>
            </w:pPr>
            <w:r>
              <w:rPr>
                <w:rFonts w:ascii="宋体" w:hAnsi="宋体" w:cs="宋体" w:eastAsia="宋体" w:hint="default"/>
                <w:sz w:val="18"/>
                <w:szCs w:val="18"/>
              </w:rPr>
              <w:t>公积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2,026,721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元和未分配利润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14,026,339.51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392"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vMerge/>
            <w:tcBorders>
              <w:left w:val="single" w:sz="9" w:space="0" w:color="D2D2D2"/>
              <w:right w:val="single" w:sz="4" w:space="0" w:color="000000"/>
            </w:tcBorders>
          </w:tcPr>
          <w:p>
            <w:pPr/>
          </w:p>
        </w:tc>
      </w:tr>
      <w:tr>
        <w:trPr>
          <w:trHeight w:val="317"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161"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本年并购方正达，合并方正达固定资产，导致固定资产相比去年同期增加</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6723.85</w:t>
            </w:r>
          </w:p>
          <w:p>
            <w:pPr>
              <w:pStyle w:val="TableParagraph"/>
              <w:spacing w:line="240" w:lineRule="auto" w:before="64"/>
              <w:ind w:left="16"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392"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vMerge/>
            <w:tcBorders>
              <w:left w:val="single" w:sz="9" w:space="0" w:color="D2D2D2"/>
              <w:right w:val="single" w:sz="4" w:space="0" w:color="000000"/>
            </w:tcBorders>
          </w:tcPr>
          <w:p>
            <w:pPr/>
          </w:p>
        </w:tc>
      </w:tr>
      <w:tr>
        <w:trPr>
          <w:trHeight w:val="161"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161"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本年度并购湖南方正达，合并方正达无形资产，导致无形资产相比去年同期增加</w:t>
            </w:r>
          </w:p>
          <w:p>
            <w:pPr>
              <w:pStyle w:val="TableParagraph"/>
              <w:spacing w:line="240" w:lineRule="auto" w:before="77"/>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352.58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392"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vMerge/>
            <w:tcBorders>
              <w:left w:val="single" w:sz="9" w:space="0" w:color="D2D2D2"/>
              <w:right w:val="single" w:sz="4" w:space="0" w:color="000000"/>
            </w:tcBorders>
          </w:tcPr>
          <w:p>
            <w:pPr/>
          </w:p>
        </w:tc>
      </w:tr>
      <w:tr>
        <w:trPr>
          <w:trHeight w:val="161"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161"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19" w:lineRule="auto" w:before="51"/>
              <w:ind w:left="16" w:right="21"/>
              <w:jc w:val="left"/>
              <w:rPr>
                <w:rFonts w:ascii="宋体" w:hAnsi="宋体" w:cs="宋体" w:eastAsia="宋体" w:hint="default"/>
                <w:sz w:val="18"/>
                <w:szCs w:val="18"/>
              </w:rPr>
            </w:pPr>
            <w:r>
              <w:rPr>
                <w:rFonts w:ascii="宋体" w:hAnsi="宋体" w:cs="宋体" w:eastAsia="宋体" w:hint="default"/>
                <w:spacing w:val="-1"/>
                <w:sz w:val="18"/>
                <w:szCs w:val="18"/>
              </w:rPr>
              <w:t>本年控股子公司茂硕新能源公司新增投资的光伏发电项目正在建设中，导致在建工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程增加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6751.75 </w:t>
            </w:r>
            <w:r>
              <w:rPr>
                <w:rFonts w:ascii="宋体" w:hAnsi="宋体" w:cs="宋体" w:eastAsia="宋体" w:hint="default"/>
                <w:sz w:val="18"/>
                <w:szCs w:val="18"/>
              </w:rPr>
              <w:t>万元。</w:t>
            </w:r>
          </w:p>
        </w:tc>
      </w:tr>
      <w:tr>
        <w:trPr>
          <w:trHeight w:val="392"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vMerge/>
            <w:tcBorders>
              <w:left w:val="single" w:sz="9" w:space="0" w:color="D2D2D2"/>
              <w:right w:val="single" w:sz="4" w:space="0" w:color="000000"/>
            </w:tcBorders>
          </w:tcPr>
          <w:p>
            <w:pPr/>
          </w:p>
        </w:tc>
      </w:tr>
      <w:tr>
        <w:trPr>
          <w:trHeight w:val="161"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本年并购湖南方正达，合并报表产生商誉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13103.8 </w:t>
            </w:r>
            <w:r>
              <w:rPr>
                <w:rFonts w:ascii="宋体" w:hAnsi="宋体" w:cs="宋体" w:eastAsia="宋体" w:hint="default"/>
                <w:sz w:val="18"/>
                <w:szCs w:val="18"/>
              </w:rPr>
              <w:t>万元。</w:t>
            </w:r>
          </w:p>
        </w:tc>
      </w:tr>
      <w:tr>
        <w:trPr>
          <w:trHeight w:val="635"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2" w:right="47"/>
              <w:jc w:val="left"/>
              <w:rPr>
                <w:rFonts w:ascii="宋体" w:hAnsi="宋体" w:cs="宋体" w:eastAsia="宋体" w:hint="default"/>
                <w:sz w:val="18"/>
                <w:szCs w:val="18"/>
              </w:rPr>
            </w:pPr>
            <w:r>
              <w:rPr>
                <w:rFonts w:ascii="宋体" w:hAnsi="宋体" w:cs="宋体" w:eastAsia="宋体" w:hint="default"/>
                <w:sz w:val="18"/>
                <w:szCs w:val="18"/>
              </w:rPr>
              <w:t>本年存货增加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8412.86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万元，主要是因为合并了方正达的报表，同时销售额增加， 备货增加。</w:t>
            </w:r>
          </w:p>
        </w:tc>
      </w:tr>
    </w:tbl>
    <w:p>
      <w:pPr>
        <w:spacing w:line="240" w:lineRule="auto" w:before="3"/>
        <w:rPr>
          <w:rFonts w:ascii="宋体" w:hAnsi="宋体" w:cs="宋体" w:eastAsia="宋体" w:hint="default"/>
          <w:b/>
          <w:bCs/>
          <w:sz w:val="19"/>
          <w:szCs w:val="19"/>
        </w:rPr>
      </w:pPr>
    </w:p>
    <w:p>
      <w:pPr>
        <w:pStyle w:val="Heading4"/>
        <w:spacing w:line="240" w:lineRule="auto" w:before="35"/>
        <w:ind w:left="154" w:right="0"/>
        <w:jc w:val="left"/>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报告期内，公司通过内生增长与外延整合双轨式发展，进一步优化在研发技术、产业链延伸及品牌等方面的核心竞争力。</w:t>
      </w:r>
    </w:p>
    <w:p>
      <w:pPr>
        <w:spacing w:line="300" w:lineRule="auto" w:before="76"/>
        <w:ind w:left="15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）业内领先的技术研发能力 公司始终坚持</w:t>
      </w:r>
      <w:r>
        <w:rPr>
          <w:rFonts w:ascii="Times New Roman" w:hAnsi="Times New Roman" w:cs="Times New Roman" w:eastAsia="Times New Roman" w:hint="default"/>
          <w:sz w:val="18"/>
          <w:szCs w:val="18"/>
        </w:rPr>
        <w:t>“</w:t>
      </w:r>
      <w:r>
        <w:rPr>
          <w:rFonts w:ascii="宋体" w:hAnsi="宋体" w:cs="宋体" w:eastAsia="宋体" w:hint="default"/>
          <w:sz w:val="18"/>
          <w:szCs w:val="18"/>
        </w:rPr>
        <w:t>卓越设计、稳定可靠；持续改进，客户满意</w:t>
      </w:r>
      <w:r>
        <w:rPr>
          <w:rFonts w:ascii="Times New Roman" w:hAnsi="Times New Roman" w:cs="Times New Roman" w:eastAsia="Times New Roman" w:hint="default"/>
          <w:sz w:val="18"/>
          <w:szCs w:val="18"/>
        </w:rPr>
        <w:t>”</w:t>
      </w:r>
      <w:r>
        <w:rPr>
          <w:rFonts w:ascii="宋体" w:hAnsi="宋体" w:cs="宋体" w:eastAsia="宋体" w:hint="default"/>
          <w:sz w:val="18"/>
          <w:szCs w:val="18"/>
        </w:rPr>
        <w:t>的质量方针，自成立以来一直重视知识产权和专利技术的发展， 报告期内，公司及其子公司主要持有发明专利</w:t>
      </w:r>
      <w:r>
        <w:rPr>
          <w:rFonts w:ascii="Times New Roman" w:hAnsi="Times New Roman" w:cs="Times New Roman" w:eastAsia="Times New Roman" w:hint="default"/>
          <w:sz w:val="18"/>
          <w:szCs w:val="18"/>
        </w:rPr>
        <w:t>16</w:t>
      </w:r>
      <w:r>
        <w:rPr>
          <w:rFonts w:ascii="宋体" w:hAnsi="宋体" w:cs="宋体" w:eastAsia="宋体" w:hint="default"/>
          <w:sz w:val="18"/>
          <w:szCs w:val="18"/>
        </w:rPr>
        <w:t>项，实用新型专利</w:t>
      </w:r>
      <w:r>
        <w:rPr>
          <w:rFonts w:ascii="Times New Roman" w:hAnsi="Times New Roman" w:cs="Times New Roman" w:eastAsia="Times New Roman" w:hint="default"/>
          <w:sz w:val="18"/>
          <w:szCs w:val="18"/>
        </w:rPr>
        <w:t>94</w:t>
      </w:r>
      <w:r>
        <w:rPr>
          <w:rFonts w:ascii="宋体" w:hAnsi="宋体" w:cs="宋体" w:eastAsia="宋体" w:hint="default"/>
          <w:sz w:val="18"/>
          <w:szCs w:val="18"/>
        </w:rPr>
        <w:t>项，外观设计专利</w:t>
      </w:r>
      <w:r>
        <w:rPr>
          <w:rFonts w:ascii="Times New Roman" w:hAnsi="Times New Roman" w:cs="Times New Roman" w:eastAsia="Times New Roman" w:hint="default"/>
          <w:sz w:val="18"/>
          <w:szCs w:val="18"/>
        </w:rPr>
        <w:t>16</w:t>
      </w:r>
      <w:r>
        <w:rPr>
          <w:rFonts w:ascii="宋体" w:hAnsi="宋体" w:cs="宋体" w:eastAsia="宋体" w:hint="default"/>
          <w:sz w:val="18"/>
          <w:szCs w:val="18"/>
        </w:rPr>
        <w:t>项，境内软件著作权</w:t>
      </w:r>
      <w:r>
        <w:rPr>
          <w:rFonts w:ascii="Times New Roman" w:hAnsi="Times New Roman" w:cs="Times New Roman" w:eastAsia="Times New Roman" w:hint="default"/>
          <w:sz w:val="18"/>
          <w:szCs w:val="18"/>
        </w:rPr>
        <w:t>8</w:t>
      </w:r>
      <w:r>
        <w:rPr>
          <w:rFonts w:ascii="宋体" w:hAnsi="宋体" w:cs="宋体" w:eastAsia="宋体" w:hint="default"/>
          <w:sz w:val="18"/>
          <w:szCs w:val="18"/>
        </w:rPr>
        <w:t>件，公司的 </w:t>
      </w:r>
      <w:r>
        <w:rPr>
          <w:rFonts w:ascii="宋体" w:hAnsi="宋体" w:cs="宋体" w:eastAsia="宋体" w:hint="default"/>
          <w:spacing w:val="-4"/>
          <w:sz w:val="18"/>
          <w:szCs w:val="18"/>
        </w:rPr>
        <w:t>专利及技术提升了公司研发实力，扩大技术领先优势。同时，公司正往性价比更具潜在优势的方向发展，继续引领技术潮流。</w:t>
      </w:r>
    </w:p>
    <w:p>
      <w:pPr>
        <w:spacing w:line="304" w:lineRule="auto" w:before="31"/>
        <w:ind w:left="153" w:right="1118"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）品牌优势 公司自创立以来，一直把建立和完善企业的品牌形象做为长期发展战略的重要组成部分，提出了创</w:t>
      </w:r>
      <w:r>
        <w:rPr>
          <w:rFonts w:ascii="Times New Roman" w:hAnsi="Times New Roman" w:cs="Times New Roman" w:eastAsia="Times New Roman" w:hint="default"/>
          <w:sz w:val="18"/>
          <w:szCs w:val="18"/>
        </w:rPr>
        <w:t>“</w:t>
      </w:r>
      <w:r>
        <w:rPr>
          <w:rFonts w:ascii="宋体" w:hAnsi="宋体" w:cs="宋体" w:eastAsia="宋体" w:hint="default"/>
          <w:sz w:val="18"/>
          <w:szCs w:val="18"/>
        </w:rPr>
        <w:t>茂硕电源</w:t>
      </w:r>
      <w:r>
        <w:rPr>
          <w:rFonts w:ascii="Times New Roman" w:hAnsi="Times New Roman" w:cs="Times New Roman" w:eastAsia="Times New Roman" w:hint="default"/>
          <w:sz w:val="18"/>
          <w:szCs w:val="18"/>
        </w:rPr>
        <w:t>—</w:t>
      </w:r>
      <w:r>
        <w:rPr>
          <w:rFonts w:ascii="宋体" w:hAnsi="宋体" w:cs="宋体" w:eastAsia="宋体" w:hint="default"/>
          <w:sz w:val="18"/>
          <w:szCs w:val="18"/>
        </w:rPr>
        <w:t>高效节能第 一品牌</w:t>
      </w:r>
      <w:r>
        <w:rPr>
          <w:rFonts w:ascii="Times New Roman" w:hAnsi="Times New Roman" w:cs="Times New Roman" w:eastAsia="Times New Roman" w:hint="default"/>
          <w:sz w:val="18"/>
          <w:szCs w:val="18"/>
        </w:rPr>
        <w:t>”</w:t>
      </w:r>
      <w:r>
        <w:rPr>
          <w:rFonts w:ascii="宋体" w:hAnsi="宋体" w:cs="宋体" w:eastAsia="宋体" w:hint="default"/>
          <w:sz w:val="18"/>
          <w:szCs w:val="18"/>
        </w:rPr>
        <w:t>的伟大愿景。公司以</w:t>
      </w:r>
      <w:r>
        <w:rPr>
          <w:rFonts w:ascii="Times New Roman" w:hAnsi="Times New Roman" w:cs="Times New Roman" w:eastAsia="Times New Roman" w:hint="default"/>
          <w:sz w:val="18"/>
          <w:szCs w:val="18"/>
        </w:rPr>
        <w:t>“</w:t>
      </w:r>
      <w:r>
        <w:rPr>
          <w:rFonts w:ascii="宋体" w:hAnsi="宋体" w:cs="宋体" w:eastAsia="宋体" w:hint="default"/>
          <w:sz w:val="18"/>
          <w:szCs w:val="18"/>
        </w:rPr>
        <w:t>品牌电源、诚信共赢</w:t>
      </w:r>
      <w:r>
        <w:rPr>
          <w:rFonts w:ascii="Times New Roman" w:hAnsi="Times New Roman" w:cs="Times New Roman" w:eastAsia="Times New Roman" w:hint="default"/>
          <w:sz w:val="18"/>
          <w:szCs w:val="18"/>
        </w:rPr>
        <w:t>”</w:t>
      </w:r>
      <w:r>
        <w:rPr>
          <w:rFonts w:ascii="宋体" w:hAnsi="宋体" w:cs="宋体" w:eastAsia="宋体" w:hint="default"/>
          <w:sz w:val="18"/>
          <w:szCs w:val="18"/>
        </w:rPr>
        <w:t>为基调，紧紧围绕品牌定位、品牌差异化、品牌可持续、品牌文化等四 </w:t>
      </w:r>
      <w:r>
        <w:rPr>
          <w:rFonts w:ascii="宋体" w:hAnsi="宋体" w:cs="宋体" w:eastAsia="宋体" w:hint="default"/>
          <w:spacing w:val="-2"/>
          <w:sz w:val="18"/>
          <w:szCs w:val="18"/>
        </w:rPr>
        <w:t>大方面，整合内外资源，结合国内外市场分析，加强对新材料、新方案、新工艺等技术研发的力度，加大对公司、产品、客</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户等多元化宣传的力度，形成了有效可区隔的品牌壁垒。在经过多年的经营发展后，</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茂硕电源</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品牌已经得到市场和客户的</w:t>
      </w:r>
      <w:r>
        <w:rPr>
          <w:rFonts w:ascii="宋体" w:hAnsi="宋体" w:cs="宋体" w:eastAsia="宋体" w:hint="default"/>
          <w:spacing w:val="-43"/>
          <w:sz w:val="18"/>
          <w:szCs w:val="18"/>
        </w:rPr>
        <w:t> </w:t>
      </w:r>
      <w:r>
        <w:rPr>
          <w:rFonts w:ascii="宋体" w:hAnsi="宋体" w:cs="宋体" w:eastAsia="宋体" w:hint="default"/>
          <w:sz w:val="18"/>
          <w:szCs w:val="18"/>
        </w:rPr>
        <w:t>广泛认可，</w:t>
      </w:r>
      <w:r>
        <w:rPr>
          <w:rFonts w:ascii="Times New Roman" w:hAnsi="Times New Roman" w:cs="Times New Roman" w:eastAsia="Times New Roman" w:hint="default"/>
          <w:sz w:val="18"/>
          <w:szCs w:val="18"/>
        </w:rPr>
        <w:t>“</w:t>
      </w:r>
      <w:r>
        <w:rPr>
          <w:rFonts w:ascii="宋体" w:hAnsi="宋体" w:cs="宋体" w:eastAsia="宋体" w:hint="default"/>
          <w:sz w:val="18"/>
          <w:szCs w:val="18"/>
        </w:rPr>
        <w:t>茂硕电源</w:t>
      </w:r>
      <w:r>
        <w:rPr>
          <w:rFonts w:ascii="Times New Roman" w:hAnsi="Times New Roman" w:cs="Times New Roman" w:eastAsia="Times New Roman" w:hint="default"/>
          <w:sz w:val="18"/>
          <w:szCs w:val="18"/>
        </w:rPr>
        <w:t>”</w:t>
      </w:r>
      <w:r>
        <w:rPr>
          <w:rFonts w:ascii="宋体" w:hAnsi="宋体" w:cs="宋体" w:eastAsia="宋体" w:hint="default"/>
          <w:sz w:val="18"/>
          <w:szCs w:val="18"/>
        </w:rPr>
        <w:t>在国内同行中已经享有较高的知名度和美誉度。</w:t>
      </w:r>
    </w:p>
    <w:p>
      <w:pPr>
        <w:spacing w:line="307" w:lineRule="auto" w:before="9"/>
        <w:ind w:left="15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）新能源行业多点布局 </w:t>
      </w:r>
      <w:r>
        <w:rPr>
          <w:rFonts w:ascii="宋体" w:hAnsi="宋体" w:cs="宋体" w:eastAsia="宋体" w:hint="default"/>
          <w:spacing w:val="-1"/>
          <w:sz w:val="18"/>
          <w:szCs w:val="18"/>
        </w:rPr>
        <w:t>报告期内，公司发行股份收购湖南方正达</w:t>
      </w:r>
      <w:r>
        <w:rPr>
          <w:rFonts w:ascii="Times New Roman" w:hAnsi="Times New Roman" w:cs="Times New Roman" w:eastAsia="Times New Roman" w:hint="default"/>
          <w:spacing w:val="-1"/>
          <w:sz w:val="18"/>
          <w:szCs w:val="18"/>
        </w:rPr>
        <w:t>55%</w:t>
      </w:r>
      <w:r>
        <w:rPr>
          <w:rFonts w:ascii="宋体" w:hAnsi="宋体" w:cs="宋体" w:eastAsia="宋体" w:hint="default"/>
          <w:spacing w:val="-1"/>
          <w:sz w:val="18"/>
          <w:szCs w:val="18"/>
        </w:rPr>
        <w:t>股权，快速切入</w:t>
      </w:r>
      <w:r>
        <w:rPr>
          <w:rFonts w:ascii="Times New Roman" w:hAnsi="Times New Roman" w:cs="Times New Roman" w:eastAsia="Times New Roman" w:hint="default"/>
          <w:spacing w:val="-1"/>
          <w:sz w:val="18"/>
          <w:szCs w:val="18"/>
        </w:rPr>
        <w:t>FPC</w:t>
      </w:r>
      <w:r>
        <w:rPr>
          <w:rFonts w:ascii="宋体" w:hAnsi="宋体" w:cs="宋体" w:eastAsia="宋体" w:hint="default"/>
          <w:spacing w:val="-1"/>
          <w:sz w:val="18"/>
          <w:szCs w:val="18"/>
        </w:rPr>
        <w:t>细分领域，进一步完善了产业链配套及延伸，在进一步稳</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2"/>
          <w:sz w:val="18"/>
          <w:szCs w:val="18"/>
        </w:rPr>
        <w:t>定发展既有产业的同时，积极规划并启动非公开发行股份募集资金投资光伏电站应用，有利于公司在稳步发展的同时，适应</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市场经济大环境，进一步增强公司的持续盈利能力。</w:t>
      </w:r>
    </w:p>
    <w:p>
      <w:pPr>
        <w:spacing w:after="0" w:line="307"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126" w:right="0"/>
        <w:jc w:val="left"/>
        <w:rPr>
          <w:b w:val="0"/>
          <w:bCs w:val="0"/>
        </w:rPr>
      </w:pPr>
      <w:bookmarkStart w:name="第四节 管理层讨论与分析" w:id="22"/>
      <w:bookmarkEnd w:id="22"/>
      <w:r>
        <w:rPr>
          <w:b w:val="0"/>
          <w:bCs w:val="0"/>
        </w:rPr>
      </w:r>
      <w:bookmarkStart w:name="_bookmark2" w:id="23"/>
      <w:bookmarkEnd w:id="23"/>
      <w:r>
        <w:rPr>
          <w:b w:val="0"/>
          <w:bCs w:val="0"/>
        </w:rPr>
      </w:r>
      <w:r>
        <w:rPr/>
        <w:t>第四节</w:t>
      </w:r>
      <w:r>
        <w:rPr>
          <w:spacing w:val="-9"/>
        </w:rPr>
        <w:t> </w:t>
      </w:r>
      <w:r>
        <w:rPr/>
        <w:t>管理层讨论与分析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概述" w:id="24"/>
      <w:bookmarkEnd w:id="24"/>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spacing w:line="309" w:lineRule="auto" w:before="0"/>
        <w:ind w:left="153" w:right="1132" w:firstLine="36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年，中国经济增速放缓，行业历经价格战和产品同质化等激烈竞争，行业内企业两极分化明显。近年来，公司通过</w:t>
      </w:r>
      <w:r>
        <w:rPr>
          <w:rFonts w:ascii="宋体" w:hAnsi="宋体" w:cs="宋体" w:eastAsia="宋体" w:hint="default"/>
          <w:sz w:val="18"/>
          <w:szCs w:val="18"/>
        </w:rPr>
        <w:t> </w:t>
      </w:r>
      <w:r>
        <w:rPr>
          <w:rFonts w:ascii="宋体" w:hAnsi="宋体" w:cs="宋体" w:eastAsia="宋体" w:hint="default"/>
          <w:spacing w:val="-2"/>
          <w:sz w:val="18"/>
          <w:szCs w:val="18"/>
        </w:rPr>
        <w:t>上一轮的产业升级战略，积极响应国家号召，紧跟市场形势，围绕政府鼓励政策，不断进行技术创新和产业升级，为公司可</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持续发展寻求新的发展方向，有利于分散经营风险，培育新的持续增长的利润来源，增强公司盈利能力和综合竞争实力。</w:t>
      </w:r>
    </w:p>
    <w:p>
      <w:pPr>
        <w:spacing w:line="300" w:lineRule="auto" w:before="24"/>
        <w:ind w:left="153" w:right="1130"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年通过资本市场优势，成功发行股份购买资产收购湖南方正达</w:t>
      </w:r>
      <w:r>
        <w:rPr>
          <w:rFonts w:ascii="Times New Roman" w:hAnsi="Times New Roman" w:cs="Times New Roman" w:eastAsia="Times New Roman" w:hint="default"/>
          <w:sz w:val="18"/>
          <w:szCs w:val="18"/>
        </w:rPr>
        <w:t>55%</w:t>
      </w:r>
      <w:r>
        <w:rPr>
          <w:rFonts w:ascii="宋体" w:hAnsi="宋体" w:cs="宋体" w:eastAsia="宋体" w:hint="default"/>
          <w:sz w:val="18"/>
          <w:szCs w:val="18"/>
        </w:rPr>
        <w:t>股权，正式进入</w:t>
      </w:r>
      <w:r>
        <w:rPr>
          <w:rFonts w:ascii="Times New Roman" w:hAnsi="Times New Roman" w:cs="Times New Roman" w:eastAsia="Times New Roman" w:hint="default"/>
          <w:sz w:val="18"/>
          <w:szCs w:val="18"/>
        </w:rPr>
        <w:t>FPC</w:t>
      </w:r>
      <w:r>
        <w:rPr>
          <w:rFonts w:ascii="宋体" w:hAnsi="宋体" w:cs="宋体" w:eastAsia="宋体" w:hint="default"/>
          <w:sz w:val="18"/>
          <w:szCs w:val="18"/>
        </w:rPr>
        <w:t>领域，并通过整合</w:t>
      </w:r>
      <w:r>
        <w:rPr>
          <w:rFonts w:ascii="Times New Roman" w:hAnsi="Times New Roman" w:cs="Times New Roman" w:eastAsia="Times New Roman" w:hint="default"/>
          <w:sz w:val="18"/>
          <w:szCs w:val="18"/>
        </w:rPr>
        <w:t>LED</w:t>
      </w:r>
      <w:r>
        <w:rPr>
          <w:rFonts w:ascii="宋体" w:hAnsi="宋体" w:cs="宋体" w:eastAsia="宋体" w:hint="default"/>
          <w:sz w:val="18"/>
          <w:szCs w:val="18"/>
        </w:rPr>
        <w:t>客户</w:t>
      </w:r>
      <w:r>
        <w:rPr>
          <w:rFonts w:ascii="宋体" w:hAnsi="宋体" w:cs="宋体" w:eastAsia="宋体" w:hint="default"/>
          <w:spacing w:val="1"/>
          <w:sz w:val="18"/>
          <w:szCs w:val="18"/>
        </w:rPr>
        <w:t> </w:t>
      </w:r>
      <w:r>
        <w:rPr>
          <w:rFonts w:ascii="宋体" w:hAnsi="宋体" w:cs="宋体" w:eastAsia="宋体" w:hint="default"/>
          <w:spacing w:val="-1"/>
          <w:sz w:val="18"/>
          <w:szCs w:val="18"/>
        </w:rPr>
        <w:t>资源，配套于</w:t>
      </w:r>
      <w:r>
        <w:rPr>
          <w:rFonts w:ascii="Times New Roman" w:hAnsi="Times New Roman" w:cs="Times New Roman" w:eastAsia="Times New Roman" w:hint="default"/>
          <w:spacing w:val="-1"/>
          <w:sz w:val="18"/>
          <w:szCs w:val="18"/>
        </w:rPr>
        <w:t>LED</w:t>
      </w:r>
      <w:r>
        <w:rPr>
          <w:rFonts w:ascii="宋体" w:hAnsi="宋体" w:cs="宋体" w:eastAsia="宋体" w:hint="default"/>
          <w:spacing w:val="-1"/>
          <w:sz w:val="18"/>
          <w:szCs w:val="18"/>
        </w:rPr>
        <w:t>照明领域，方正达在</w:t>
      </w:r>
      <w:r>
        <w:rPr>
          <w:rFonts w:ascii="Times New Roman" w:hAnsi="Times New Roman" w:cs="Times New Roman" w:eastAsia="Times New Roman" w:hint="default"/>
          <w:spacing w:val="-1"/>
          <w:sz w:val="18"/>
          <w:szCs w:val="18"/>
        </w:rPr>
        <w:t>LED</w:t>
      </w:r>
      <w:r>
        <w:rPr>
          <w:rFonts w:ascii="宋体" w:hAnsi="宋体" w:cs="宋体" w:eastAsia="宋体" w:hint="default"/>
          <w:spacing w:val="-1"/>
          <w:sz w:val="18"/>
          <w:szCs w:val="18"/>
        </w:rPr>
        <w:t>节能照明应用</w:t>
      </w:r>
      <w:r>
        <w:rPr>
          <w:rFonts w:ascii="Times New Roman" w:hAnsi="Times New Roman" w:cs="Times New Roman" w:eastAsia="Times New Roman" w:hint="default"/>
          <w:spacing w:val="-1"/>
          <w:sz w:val="18"/>
          <w:szCs w:val="18"/>
        </w:rPr>
        <w:t>FPC</w:t>
      </w:r>
      <w:r>
        <w:rPr>
          <w:rFonts w:ascii="宋体" w:hAnsi="宋体" w:cs="宋体" w:eastAsia="宋体" w:hint="default"/>
          <w:spacing w:val="-1"/>
          <w:sz w:val="18"/>
          <w:szCs w:val="18"/>
        </w:rPr>
        <w:t>细分行业领域份额领先，本次收购将对公司的资产质量、业务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规模及持续盈利能力实现较大幅度提升。</w:t>
      </w:r>
    </w:p>
    <w:p>
      <w:pPr>
        <w:spacing w:line="307" w:lineRule="auto" w:before="31"/>
        <w:ind w:left="153" w:right="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月，考虑到公司目前经营发展需要和各项工作开展情况，公司启动筹划非公开发行股票事宜，本次非公开发行 股票募集资金总额不超过</w:t>
      </w:r>
      <w:r>
        <w:rPr>
          <w:rFonts w:ascii="Times New Roman" w:hAnsi="Times New Roman" w:cs="Times New Roman" w:eastAsia="Times New Roman" w:hint="default"/>
          <w:sz w:val="18"/>
          <w:szCs w:val="18"/>
        </w:rPr>
        <w:t>63,223.68</w:t>
      </w:r>
      <w:r>
        <w:rPr>
          <w:rFonts w:ascii="宋体" w:hAnsi="宋体" w:cs="宋体" w:eastAsia="宋体" w:hint="default"/>
          <w:sz w:val="18"/>
          <w:szCs w:val="18"/>
        </w:rPr>
        <w:t>万元（含本数），扣除发行费用后全部投资于江西萍乡</w:t>
      </w:r>
      <w:r>
        <w:rPr>
          <w:rFonts w:ascii="Times New Roman" w:hAnsi="Times New Roman" w:cs="Times New Roman" w:eastAsia="Times New Roman" w:hint="default"/>
          <w:sz w:val="18"/>
          <w:szCs w:val="18"/>
        </w:rPr>
        <w:t>15MW</w:t>
      </w:r>
      <w:r>
        <w:rPr>
          <w:rFonts w:ascii="宋体" w:hAnsi="宋体" w:cs="宋体" w:eastAsia="宋体" w:hint="default"/>
          <w:sz w:val="18"/>
          <w:szCs w:val="18"/>
        </w:rPr>
        <w:t>光伏发电项目、江西新余湖 </w:t>
      </w:r>
      <w:r>
        <w:rPr>
          <w:rFonts w:ascii="宋体" w:hAnsi="宋体" w:cs="宋体" w:eastAsia="宋体" w:hint="default"/>
          <w:spacing w:val="-2"/>
          <w:sz w:val="18"/>
          <w:szCs w:val="18"/>
        </w:rPr>
        <w:t>陂村</w:t>
      </w:r>
      <w:r>
        <w:rPr>
          <w:rFonts w:ascii="Times New Roman" w:hAnsi="Times New Roman" w:cs="Times New Roman" w:eastAsia="Times New Roman" w:hint="default"/>
          <w:spacing w:val="-2"/>
          <w:sz w:val="18"/>
          <w:szCs w:val="18"/>
        </w:rPr>
        <w:t>15MW</w:t>
      </w:r>
      <w:r>
        <w:rPr>
          <w:rFonts w:ascii="宋体" w:hAnsi="宋体" w:cs="宋体" w:eastAsia="宋体" w:hint="default"/>
          <w:spacing w:val="-2"/>
          <w:sz w:val="18"/>
          <w:szCs w:val="18"/>
        </w:rPr>
        <w:t>光伏发电项目、江西新余何家边</w:t>
      </w:r>
      <w:r>
        <w:rPr>
          <w:rFonts w:ascii="Times New Roman" w:hAnsi="Times New Roman" w:cs="Times New Roman" w:eastAsia="Times New Roman" w:hint="default"/>
          <w:spacing w:val="-2"/>
          <w:sz w:val="18"/>
          <w:szCs w:val="18"/>
        </w:rPr>
        <w:t>20MW</w:t>
      </w:r>
      <w:r>
        <w:rPr>
          <w:rFonts w:ascii="宋体" w:hAnsi="宋体" w:cs="宋体" w:eastAsia="宋体" w:hint="default"/>
          <w:spacing w:val="-2"/>
          <w:sz w:val="18"/>
          <w:szCs w:val="18"/>
        </w:rPr>
        <w:t>光伏发电项目、江西新余罗家边</w:t>
      </w:r>
      <w:r>
        <w:rPr>
          <w:rFonts w:ascii="Times New Roman" w:hAnsi="Times New Roman" w:cs="Times New Roman" w:eastAsia="Times New Roman" w:hint="default"/>
          <w:spacing w:val="-2"/>
          <w:sz w:val="18"/>
          <w:szCs w:val="18"/>
        </w:rPr>
        <w:t>20MW</w:t>
      </w:r>
      <w:r>
        <w:rPr>
          <w:rFonts w:ascii="宋体" w:hAnsi="宋体" w:cs="宋体" w:eastAsia="宋体" w:hint="default"/>
          <w:spacing w:val="-2"/>
          <w:sz w:val="18"/>
          <w:szCs w:val="18"/>
        </w:rPr>
        <w:t>光伏发电项目及补充流动资金项目，</w:t>
      </w:r>
      <w:r>
        <w:rPr>
          <w:rFonts w:ascii="宋体" w:hAnsi="宋体" w:cs="宋体" w:eastAsia="宋体" w:hint="default"/>
          <w:spacing w:val="-56"/>
          <w:sz w:val="18"/>
          <w:szCs w:val="18"/>
        </w:rPr>
        <w:t> </w:t>
      </w:r>
      <w:r>
        <w:rPr>
          <w:rFonts w:ascii="宋体" w:hAnsi="宋体" w:cs="宋体" w:eastAsia="宋体" w:hint="default"/>
          <w:spacing w:val="-2"/>
          <w:sz w:val="18"/>
          <w:szCs w:val="18"/>
        </w:rPr>
        <w:t>可有效支持公司实施公司太阳能光伏电站应用投资战略，促进公司新能源产业的长远发展。如本次非公开发行完成，公司将</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大力发展光伏发电站项目，进一步发挥光伏电站和光伏逆变器产品生产、销售的协同作用，有利于公司提升核心竞争力和盈</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利能力，加快推进公司战略目标的实现。公司本次非公开发行股票尚待中国证监会核准，能否获得核准尚存在不确定性。</w:t>
      </w:r>
    </w:p>
    <w:p>
      <w:pPr>
        <w:spacing w:line="312" w:lineRule="auto" w:before="26"/>
        <w:ind w:left="153" w:right="1130" w:firstLine="36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年公司进行了业务梳理，将现有的业务模式和对接窗口进行调整，将</w:t>
      </w:r>
      <w:r>
        <w:rPr>
          <w:rFonts w:ascii="Times New Roman" w:hAnsi="Times New Roman" w:cs="Times New Roman" w:eastAsia="Times New Roman" w:hint="default"/>
          <w:spacing w:val="-2"/>
          <w:sz w:val="18"/>
          <w:szCs w:val="18"/>
        </w:rPr>
        <w:t>LED</w:t>
      </w:r>
      <w:r>
        <w:rPr>
          <w:rFonts w:ascii="宋体" w:hAnsi="宋体" w:cs="宋体" w:eastAsia="宋体" w:hint="default"/>
          <w:spacing w:val="-2"/>
          <w:sz w:val="18"/>
          <w:szCs w:val="18"/>
        </w:rPr>
        <w:t>室内</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户外照明产品驱动电源、</w:t>
      </w:r>
      <w:r>
        <w:rPr>
          <w:rFonts w:ascii="Times New Roman" w:hAnsi="Times New Roman" w:cs="Times New Roman" w:eastAsia="Times New Roman" w:hint="default"/>
          <w:spacing w:val="-2"/>
          <w:sz w:val="18"/>
          <w:szCs w:val="18"/>
        </w:rPr>
        <w:t>SPS</w:t>
      </w:r>
      <w:r>
        <w:rPr>
          <w:rFonts w:ascii="宋体" w:hAnsi="宋体" w:cs="宋体" w:eastAsia="宋体" w:hint="default"/>
          <w:spacing w:val="-2"/>
          <w:sz w:val="18"/>
          <w:szCs w:val="18"/>
        </w:rPr>
        <w:t>开关电</w:t>
      </w:r>
      <w:r>
        <w:rPr>
          <w:rFonts w:ascii="宋体" w:hAnsi="宋体" w:cs="宋体" w:eastAsia="宋体" w:hint="default"/>
          <w:sz w:val="18"/>
          <w:szCs w:val="18"/>
        </w:rPr>
        <w:t> </w:t>
      </w:r>
      <w:r>
        <w:rPr>
          <w:rFonts w:ascii="宋体" w:hAnsi="宋体" w:cs="宋体" w:eastAsia="宋体" w:hint="default"/>
          <w:spacing w:val="-2"/>
          <w:sz w:val="18"/>
          <w:szCs w:val="18"/>
        </w:rPr>
        <w:t>源类产品业务分配给不同的控股子公司负责，相应的公司也进行了相关的资产、设备、人员调整。本次业务梳理有利于进一</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步提高公司的抗风险能力和可持续发展能力，未来公司将持续巩固主营业务，并积极探索新的业务领域，坚持技术创新，扩</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大市场占有率，持续提高公司盈利能力。</w:t>
      </w:r>
    </w:p>
    <w:p>
      <w:pPr>
        <w:spacing w:before="23"/>
        <w:ind w:left="513" w:right="0" w:firstLine="0"/>
        <w:jc w:val="left"/>
        <w:rPr>
          <w:rFonts w:ascii="宋体" w:hAnsi="宋体" w:cs="宋体" w:eastAsia="宋体" w:hint="default"/>
          <w:sz w:val="18"/>
          <w:szCs w:val="18"/>
        </w:rPr>
      </w:pPr>
      <w:r>
        <w:rPr>
          <w:rFonts w:ascii="宋体" w:hAnsi="宋体" w:cs="宋体" w:eastAsia="宋体" w:hint="default"/>
          <w:sz w:val="18"/>
          <w:szCs w:val="18"/>
        </w:rPr>
        <w:t>本报告期实现营业总收入</w:t>
      </w:r>
      <w:r>
        <w:rPr>
          <w:rFonts w:ascii="Times New Roman" w:hAnsi="Times New Roman" w:cs="Times New Roman" w:eastAsia="Times New Roman" w:hint="default"/>
          <w:sz w:val="18"/>
          <w:szCs w:val="18"/>
        </w:rPr>
        <w:t>922,185,556.51</w:t>
      </w:r>
      <w:r>
        <w:rPr>
          <w:rFonts w:ascii="宋体" w:hAnsi="宋体" w:cs="宋体" w:eastAsia="宋体" w:hint="default"/>
          <w:sz w:val="18"/>
          <w:szCs w:val="18"/>
        </w:rPr>
        <w:t>元，同比增长</w:t>
      </w:r>
      <w:r>
        <w:rPr>
          <w:rFonts w:ascii="Times New Roman" w:hAnsi="Times New Roman" w:cs="Times New Roman" w:eastAsia="Times New Roman" w:hint="default"/>
          <w:sz w:val="18"/>
          <w:szCs w:val="18"/>
        </w:rPr>
        <w:t>46.79%</w:t>
      </w:r>
      <w:r>
        <w:rPr>
          <w:rFonts w:ascii="宋体" w:hAnsi="宋体" w:cs="宋体" w:eastAsia="宋体" w:hint="default"/>
          <w:sz w:val="18"/>
          <w:szCs w:val="18"/>
        </w:rPr>
        <w:t>；营业利润</w:t>
      </w:r>
      <w:r>
        <w:rPr>
          <w:rFonts w:ascii="Times New Roman" w:hAnsi="Times New Roman" w:cs="Times New Roman" w:eastAsia="Times New Roman" w:hint="default"/>
          <w:sz w:val="18"/>
          <w:szCs w:val="18"/>
        </w:rPr>
        <w:t>-11,419,742.83</w:t>
      </w:r>
      <w:r>
        <w:rPr>
          <w:rFonts w:ascii="宋体" w:hAnsi="宋体" w:cs="宋体" w:eastAsia="宋体" w:hint="default"/>
          <w:sz w:val="18"/>
          <w:szCs w:val="18"/>
        </w:rPr>
        <w:t>元，同比增长</w:t>
      </w:r>
      <w:r>
        <w:rPr>
          <w:rFonts w:ascii="Times New Roman" w:hAnsi="Times New Roman" w:cs="Times New Roman" w:eastAsia="Times New Roman" w:hint="default"/>
          <w:sz w:val="18"/>
          <w:szCs w:val="18"/>
        </w:rPr>
        <w:t>81.90%</w:t>
      </w:r>
      <w:r>
        <w:rPr>
          <w:rFonts w:ascii="宋体" w:hAnsi="宋体" w:cs="宋体" w:eastAsia="宋体" w:hint="default"/>
          <w:sz w:val="18"/>
          <w:szCs w:val="18"/>
        </w:rPr>
        <w:t>；利润总额</w:t>
      </w:r>
    </w:p>
    <w:p>
      <w:pPr>
        <w:spacing w:before="6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31,649,787.25</w:t>
      </w:r>
      <w:r>
        <w:rPr>
          <w:rFonts w:ascii="宋体" w:hAnsi="宋体" w:cs="宋体" w:eastAsia="宋体" w:hint="default"/>
          <w:sz w:val="18"/>
          <w:szCs w:val="18"/>
        </w:rPr>
        <w:t>元，同比增长</w:t>
      </w:r>
      <w:r>
        <w:rPr>
          <w:rFonts w:ascii="Times New Roman" w:hAnsi="Times New Roman" w:cs="Times New Roman" w:eastAsia="Times New Roman" w:hint="default"/>
          <w:sz w:val="18"/>
          <w:szCs w:val="18"/>
        </w:rPr>
        <w:t>153.94%</w:t>
      </w:r>
      <w:r>
        <w:rPr>
          <w:rFonts w:ascii="宋体" w:hAnsi="宋体" w:cs="宋体" w:eastAsia="宋体" w:hint="default"/>
          <w:sz w:val="18"/>
          <w:szCs w:val="18"/>
        </w:rPr>
        <w:t>；归属于上市公司股东的净利润为</w:t>
      </w:r>
      <w:r>
        <w:rPr>
          <w:rFonts w:ascii="Times New Roman" w:hAnsi="Times New Roman" w:cs="Times New Roman" w:eastAsia="Times New Roman" w:hint="default"/>
          <w:sz w:val="18"/>
          <w:szCs w:val="18"/>
        </w:rPr>
        <w:t>16,053,060.51</w:t>
      </w:r>
      <w:r>
        <w:rPr>
          <w:rFonts w:ascii="宋体" w:hAnsi="宋体" w:cs="宋体" w:eastAsia="宋体" w:hint="default"/>
          <w:sz w:val="18"/>
          <w:szCs w:val="18"/>
        </w:rPr>
        <w:t>元，同比增长</w:t>
      </w:r>
      <w:r>
        <w:rPr>
          <w:rFonts w:ascii="Times New Roman" w:hAnsi="Times New Roman" w:cs="Times New Roman" w:eastAsia="Times New Roman" w:hint="default"/>
          <w:sz w:val="18"/>
          <w:szCs w:val="18"/>
        </w:rPr>
        <w:t>133.54%</w:t>
      </w:r>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3"/>
          <w:szCs w:val="23"/>
        </w:rPr>
      </w:pPr>
    </w:p>
    <w:p>
      <w:pPr>
        <w:pStyle w:val="Heading2"/>
        <w:spacing w:line="240" w:lineRule="auto"/>
        <w:ind w:right="0"/>
        <w:jc w:val="left"/>
        <w:rPr>
          <w:b w:val="0"/>
          <w:bCs w:val="0"/>
        </w:rPr>
      </w:pPr>
      <w:bookmarkStart w:name="二、主营业务分析" w:id="25"/>
      <w:bookmarkEnd w:id="25"/>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概述" w:id="26"/>
      <w:bookmarkEnd w:id="26"/>
      <w:r>
        <w:rPr>
          <w:b w:val="0"/>
          <w:bCs w:val="0"/>
        </w:rPr>
      </w:r>
      <w:r>
        <w:rPr>
          <w:rFonts w:ascii="Times New Roman" w:hAnsi="Times New Roman" w:cs="Times New Roman" w:eastAsia="Times New Roman" w:hint="default"/>
        </w:rPr>
        <w:t>1</w:t>
      </w:r>
      <w:r>
        <w:rPr/>
        <w:t>、概述</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参见“管理层讨论与分析”中的“一、概述”相关内容。</w:t>
      </w:r>
    </w:p>
    <w:p>
      <w:pPr>
        <w:spacing w:line="240" w:lineRule="auto" w:before="10"/>
        <w:rPr>
          <w:rFonts w:ascii="宋体" w:hAnsi="宋体" w:cs="宋体" w:eastAsia="宋体" w:hint="default"/>
          <w:sz w:val="26"/>
          <w:szCs w:val="26"/>
        </w:rPr>
      </w:pPr>
    </w:p>
    <w:p>
      <w:pPr>
        <w:pStyle w:val="Heading4"/>
        <w:spacing w:line="240" w:lineRule="auto"/>
        <w:ind w:left="154" w:right="0"/>
        <w:jc w:val="left"/>
        <w:rPr>
          <w:b w:val="0"/>
          <w:bCs w:val="0"/>
        </w:rPr>
      </w:pPr>
      <w:bookmarkStart w:name="2、收入与成本" w:id="27"/>
      <w:bookmarkEnd w:id="27"/>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0"/>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85"/>
        <w:gridCol w:w="1606"/>
        <w:gridCol w:w="1583"/>
        <w:gridCol w:w="1606"/>
        <w:gridCol w:w="1571"/>
        <w:gridCol w:w="1606"/>
      </w:tblGrid>
      <w:tr>
        <w:trPr>
          <w:trHeight w:val="206" w:hRule="exact"/>
        </w:trPr>
        <w:tc>
          <w:tcPr>
            <w:tcW w:w="1585"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7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7" w:hRule="exact"/>
        </w:trPr>
        <w:tc>
          <w:tcPr>
            <w:tcW w:w="1585" w:type="dxa"/>
            <w:vMerge w:val="restart"/>
            <w:tcBorders>
              <w:top w:val="nil" w:sz="6" w:space="0" w:color="auto"/>
              <w:left w:val="single" w:sz="4" w:space="0" w:color="000000"/>
              <w:right w:val="single" w:sz="4" w:space="0" w:color="000000"/>
            </w:tcBorders>
            <w:shd w:val="clear" w:color="auto" w:fill="D2D2D2"/>
          </w:tcPr>
          <w:p>
            <w:pPr/>
          </w:p>
        </w:tc>
        <w:tc>
          <w:tcPr>
            <w:tcW w:w="3188" w:type="dxa"/>
            <w:gridSpan w:val="2"/>
            <w:vMerge/>
            <w:tcBorders>
              <w:left w:val="single" w:sz="4" w:space="0" w:color="000000"/>
              <w:bottom w:val="single" w:sz="4" w:space="0" w:color="000000"/>
              <w:right w:val="single" w:sz="4" w:space="0" w:color="000000"/>
            </w:tcBorders>
            <w:shd w:val="clear" w:color="auto" w:fill="D2D2D2"/>
          </w:tcPr>
          <w:p>
            <w:pPr/>
          </w:p>
        </w:tc>
        <w:tc>
          <w:tcPr>
            <w:tcW w:w="3177" w:type="dxa"/>
            <w:gridSpan w:val="2"/>
            <w:vMerge/>
            <w:tcBorders>
              <w:left w:val="single" w:sz="4" w:space="0" w:color="000000"/>
              <w:bottom w:val="single" w:sz="4" w:space="0" w:color="000000"/>
              <w:right w:val="single" w:sz="4" w:space="0" w:color="000000"/>
            </w:tcBorders>
            <w:shd w:val="clear" w:color="auto" w:fill="D2D2D2"/>
          </w:tcPr>
          <w:p>
            <w:pPr/>
          </w:p>
        </w:tc>
        <w:tc>
          <w:tcPr>
            <w:tcW w:w="160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6" w:hRule="exact"/>
        </w:trPr>
        <w:tc>
          <w:tcPr>
            <w:tcW w:w="1585" w:type="dxa"/>
            <w:vMerge/>
            <w:tcBorders>
              <w:left w:val="single" w:sz="4" w:space="0" w:color="000000"/>
              <w:bottom w:val="nil" w:sz="6" w:space="0" w:color="auto"/>
              <w:right w:val="single" w:sz="4" w:space="0" w:color="000000"/>
            </w:tcBorders>
            <w:shd w:val="clear" w:color="auto" w:fill="D2D2D2"/>
          </w:tcPr>
          <w:p>
            <w:pPr/>
          </w:p>
        </w:tc>
        <w:tc>
          <w:tcPr>
            <w:tcW w:w="16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1"/>
              <w:jc w:val="center"/>
              <w:rPr>
                <w:rFonts w:ascii="宋体" w:hAnsi="宋体" w:cs="宋体" w:eastAsia="宋体" w:hint="default"/>
                <w:sz w:val="18"/>
                <w:szCs w:val="18"/>
              </w:rPr>
            </w:pPr>
            <w:r>
              <w:rPr>
                <w:rFonts w:ascii="宋体" w:hAnsi="宋体" w:cs="宋体" w:eastAsia="宋体" w:hint="default"/>
                <w:sz w:val="18"/>
                <w:szCs w:val="18"/>
              </w:rPr>
              <w:t>金额</w:t>
            </w:r>
          </w:p>
        </w:tc>
        <w:tc>
          <w:tcPr>
            <w:tcW w:w="1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5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8"/>
              <w:jc w:val="center"/>
              <w:rPr>
                <w:rFonts w:ascii="宋体" w:hAnsi="宋体" w:cs="宋体" w:eastAsia="宋体" w:hint="default"/>
                <w:sz w:val="18"/>
                <w:szCs w:val="18"/>
              </w:rPr>
            </w:pPr>
            <w:r>
              <w:rPr>
                <w:rFonts w:ascii="宋体" w:hAnsi="宋体" w:cs="宋体" w:eastAsia="宋体" w:hint="default"/>
                <w:sz w:val="18"/>
                <w:szCs w:val="18"/>
              </w:rPr>
              <w:t>金额</w:t>
            </w:r>
          </w:p>
        </w:tc>
        <w:tc>
          <w:tcPr>
            <w:tcW w:w="15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5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6"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5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6" w:type="dxa"/>
            <w:vMerge/>
            <w:tcBorders>
              <w:left w:val="single" w:sz="4" w:space="0" w:color="000000"/>
              <w:bottom w:val="single" w:sz="4" w:space="0" w:color="000000"/>
              <w:right w:val="single" w:sz="4" w:space="0" w:color="000000"/>
            </w:tcBorders>
            <w:shd w:val="clear" w:color="auto" w:fill="D2D2D2"/>
          </w:tcPr>
          <w:p>
            <w:pPr/>
          </w:p>
        </w:tc>
        <w:tc>
          <w:tcPr>
            <w:tcW w:w="1583" w:type="dxa"/>
            <w:vMerge/>
            <w:tcBorders>
              <w:left w:val="single" w:sz="4" w:space="0" w:color="000000"/>
              <w:bottom w:val="single" w:sz="4" w:space="0" w:color="000000"/>
              <w:right w:val="single" w:sz="4" w:space="0" w:color="000000"/>
            </w:tcBorders>
            <w:shd w:val="clear" w:color="auto" w:fill="D2D2D2"/>
          </w:tcPr>
          <w:p>
            <w:pPr/>
          </w:p>
        </w:tc>
        <w:tc>
          <w:tcPr>
            <w:tcW w:w="1606" w:type="dxa"/>
            <w:vMerge/>
            <w:tcBorders>
              <w:left w:val="single" w:sz="4" w:space="0" w:color="000000"/>
              <w:bottom w:val="single" w:sz="4" w:space="0" w:color="000000"/>
              <w:right w:val="single" w:sz="4" w:space="0" w:color="000000"/>
            </w:tcBorders>
            <w:shd w:val="clear" w:color="auto" w:fill="D2D2D2"/>
          </w:tcPr>
          <w:p>
            <w:pPr/>
          </w:p>
        </w:tc>
        <w:tc>
          <w:tcPr>
            <w:tcW w:w="1571" w:type="dxa"/>
            <w:vMerge/>
            <w:tcBorders>
              <w:left w:val="single" w:sz="4" w:space="0" w:color="000000"/>
              <w:bottom w:val="single" w:sz="4" w:space="0" w:color="000000"/>
              <w:right w:val="single" w:sz="4" w:space="0" w:color="000000"/>
            </w:tcBorders>
            <w:shd w:val="clear" w:color="auto" w:fill="D2D2D2"/>
          </w:tcPr>
          <w:p>
            <w:pPr/>
          </w:p>
        </w:tc>
        <w:tc>
          <w:tcPr>
            <w:tcW w:w="160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60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left="425" w:right="0"/>
              <w:jc w:val="left"/>
              <w:rPr>
                <w:rFonts w:ascii="Times New Roman" w:hAnsi="Times New Roman" w:cs="Times New Roman" w:eastAsia="Times New Roman" w:hint="default"/>
                <w:sz w:val="18"/>
                <w:szCs w:val="18"/>
              </w:rPr>
            </w:pPr>
            <w:r>
              <w:rPr>
                <w:rFonts w:ascii="Times New Roman"/>
                <w:sz w:val="18"/>
              </w:rPr>
              <w:t>922,185,556.51</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0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left="425" w:right="0"/>
              <w:jc w:val="left"/>
              <w:rPr>
                <w:rFonts w:ascii="Times New Roman" w:hAnsi="Times New Roman" w:cs="Times New Roman" w:eastAsia="Times New Roman" w:hint="default"/>
                <w:sz w:val="18"/>
                <w:szCs w:val="18"/>
              </w:rPr>
            </w:pPr>
            <w:r>
              <w:rPr>
                <w:rFonts w:ascii="Times New Roman"/>
                <w:sz w:val="18"/>
              </w:rPr>
              <w:t>628,224,567.94</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07" w:right="0"/>
              <w:jc w:val="left"/>
              <w:rPr>
                <w:rFonts w:ascii="Times New Roman" w:hAnsi="Times New Roman" w:cs="Times New Roman" w:eastAsia="Times New Roman" w:hint="default"/>
                <w:sz w:val="18"/>
                <w:szCs w:val="18"/>
              </w:rPr>
            </w:pPr>
            <w:r>
              <w:rPr>
                <w:rFonts w:ascii="Times New Roman"/>
                <w:sz w:val="18"/>
              </w:rPr>
              <w:t>46.79%</w:t>
            </w:r>
          </w:p>
        </w:tc>
      </w:tr>
      <w:tr>
        <w:trPr>
          <w:trHeight w:val="397" w:hRule="exact"/>
        </w:trPr>
        <w:tc>
          <w:tcPr>
            <w:tcW w:w="955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分行业</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9"/>
                <w:sz w:val="18"/>
                <w:szCs w:val="18"/>
              </w:rPr>
              <w:t>计算机、通信和其他</w:t>
            </w:r>
            <w:r>
              <w:rPr>
                <w:rFonts w:ascii="宋体" w:hAnsi="宋体" w:cs="宋体" w:eastAsia="宋体" w:hint="default"/>
                <w:sz w:val="18"/>
                <w:szCs w:val="18"/>
              </w:rPr>
              <w:t> 电子设备制造业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874,622,907.48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603,232,492.20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96.02%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44.99%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47,562,649.03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24,992,075.74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90.31%</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SPS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开关电源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448,075,472.32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410,092,835.17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65.28%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驱动电源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159,214,155.14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184,681,018.35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变压器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5,755,884.93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7,182,811.88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-19.87%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通信电源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1,256,821.20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93,227.35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1,248.12%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电路板</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249,632,905.75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27.07%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10,687,668.14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1,182,599.45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803.74%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光伏逆变器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29,265,664.42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24,527,941.74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19.32%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EPC</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640,506.37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464,134.00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光伏电站运营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17,656,478.24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629,168,896.24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325,583,633.64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51.83%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93.24%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293,016,660.27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302,640,934.30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48.17%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-3.18%</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60"/>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计算机、通信和 其他电子设备制 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874,622,907.48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699,352,659.25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35.77%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5.43%</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SPS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开关电源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448,075,472.32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379,644,970.13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驱动电源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159,214,155.14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132,109,144.18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电路板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249,632,905.75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178,781,731.20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28.38%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年按报告期末口径调整后的主营业务数据</w:t>
      </w:r>
    </w:p>
    <w:p>
      <w:pPr>
        <w:spacing w:before="104"/>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光伏逆变器</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10,283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229.37%</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10,211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3,177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221.40%</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-10.59%</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SPS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开关电源</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26,735,755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23,096,973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13.61%</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27,529,553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23,157,427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15.88%</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1,639,208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845,410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48.43%</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驱动电源</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2,131,939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1,884,614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13.12%</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2,258,963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1,880,840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20.10%</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307,705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180,681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70.30%</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电路板</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平米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2,481,157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平米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2,462,447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平米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140,533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before="102"/>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6"/>
        <w:ind w:left="15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）因逆变器业务量的增长导致生产量与销售量同比均有较大增长；</w:t>
      </w:r>
    </w:p>
    <w:p>
      <w:pPr>
        <w:spacing w:before="63"/>
        <w:ind w:left="15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）因惠州工厂</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年度的正常投产运营，</w:t>
      </w:r>
      <w:r>
        <w:rPr>
          <w:rFonts w:ascii="Times New Roman" w:hAnsi="Times New Roman" w:cs="Times New Roman" w:eastAsia="Times New Roman" w:hint="default"/>
          <w:sz w:val="18"/>
          <w:szCs w:val="18"/>
        </w:rPr>
        <w:t>SPS</w:t>
      </w:r>
      <w:r>
        <w:rPr>
          <w:rFonts w:ascii="宋体" w:hAnsi="宋体" w:cs="宋体" w:eastAsia="宋体" w:hint="default"/>
          <w:sz w:val="18"/>
          <w:szCs w:val="18"/>
        </w:rPr>
        <w:t>销售量与生产量均有很大提升，期末备库有所加大导致期末库存增加；</w:t>
      </w:r>
    </w:p>
    <w:p>
      <w:pPr>
        <w:spacing w:before="63"/>
        <w:ind w:left="15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）因</w:t>
      </w:r>
      <w:r>
        <w:rPr>
          <w:rFonts w:ascii="Times New Roman" w:hAnsi="Times New Roman" w:cs="Times New Roman" w:eastAsia="Times New Roman" w:hint="default"/>
          <w:sz w:val="18"/>
          <w:szCs w:val="18"/>
        </w:rPr>
        <w:t>LED</w:t>
      </w:r>
      <w:r>
        <w:rPr>
          <w:rFonts w:ascii="宋体" w:hAnsi="宋体" w:cs="宋体" w:eastAsia="宋体" w:hint="default"/>
          <w:sz w:val="18"/>
          <w:szCs w:val="18"/>
        </w:rPr>
        <w:t>产品在产量与销量增长的同时，也增加了备库导致期末库存增加；</w:t>
      </w:r>
    </w:p>
    <w:p>
      <w:pPr>
        <w:spacing w:before="63"/>
        <w:ind w:left="15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）电路板业务属于并购方正达后新增业务；</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line="357" w:lineRule="auto" w:before="44"/>
        <w:ind w:left="154" w:right="-20" w:firstLine="0"/>
        <w:jc w:val="left"/>
        <w:rPr>
          <w:rFonts w:ascii="宋体" w:hAnsi="宋体" w:cs="宋体" w:eastAsia="宋体" w:hint="default"/>
          <w:sz w:val="18"/>
          <w:szCs w:val="18"/>
        </w:rPr>
      </w:pPr>
      <w:r>
        <w:rPr>
          <w:rFonts w:ascii="宋体" w:hAnsi="宋体" w:cs="宋体" w:eastAsia="宋体" w:hint="default"/>
          <w:sz w:val="18"/>
          <w:szCs w:val="18"/>
        </w:rPr>
        <w:t>产品分类 产品分类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875" w:space="8045"/>
            <w:col w:w="201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SPS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开关电源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269,547,928.79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37.11%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260,268,161.14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驱动电源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91,155,309.48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101,966,718.21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变压器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2,987,436.57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3,168,180.87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电路板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117,531,110.09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16.18%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逆变器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15,484,823.93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1" w:right="0"/>
              <w:jc w:val="left"/>
              <w:rPr>
                <w:rFonts w:ascii="Times New Roman" w:hAnsi="Times New Roman" w:cs="Times New Roman" w:eastAsia="Times New Roman" w:hint="default"/>
                <w:sz w:val="18"/>
                <w:szCs w:val="18"/>
              </w:rPr>
            </w:pPr>
            <w:r>
              <w:rPr>
                <w:rFonts w:ascii="Times New Roman"/>
                <w:sz w:val="18"/>
              </w:rPr>
              <w:t>15,506,423.13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0" w:right="0"/>
              <w:jc w:val="left"/>
              <w:rPr>
                <w:rFonts w:ascii="Times New Roman" w:hAnsi="Times New Roman" w:cs="Times New Roman" w:eastAsia="Times New Roman" w:hint="default"/>
                <w:sz w:val="18"/>
                <w:szCs w:val="18"/>
              </w:rPr>
            </w:pPr>
            <w:r>
              <w:rPr>
                <w:rFonts w:ascii="Times New Roman"/>
                <w:sz w:val="18"/>
              </w:rPr>
              <w:t>2.89%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0" w:right="0"/>
              <w:jc w:val="left"/>
              <w:rPr>
                <w:rFonts w:ascii="Times New Roman" w:hAnsi="Times New Roman" w:cs="Times New Roman" w:eastAsia="Times New Roman" w:hint="default"/>
                <w:sz w:val="18"/>
                <w:szCs w:val="18"/>
              </w:rPr>
            </w:pPr>
            <w:r>
              <w:rPr>
                <w:rFonts w:ascii="Times New Roman"/>
                <w:sz w:val="18"/>
              </w:rPr>
              <w:t>-0.14%</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电站运营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设备折旧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4,904,125.12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11"/>
        <w:rPr>
          <w:rFonts w:ascii="宋体" w:hAnsi="宋体" w:cs="宋体" w:eastAsia="宋体" w:hint="default"/>
          <w:sz w:val="26"/>
          <w:szCs w:val="26"/>
        </w:rPr>
      </w:pPr>
    </w:p>
    <w:p>
      <w:pPr>
        <w:pStyle w:val="Heading4"/>
        <w:spacing w:line="240" w:lineRule="auto"/>
        <w:ind w:left="154" w:right="0"/>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pStyle w:val="BodyText"/>
        <w:spacing w:line="240" w:lineRule="auto" w:before="75"/>
        <w:ind w:left="633" w:right="0"/>
        <w:jc w:val="left"/>
      </w:pPr>
      <w:r>
        <w:rPr>
          <w:rFonts w:ascii="Times New Roman" w:hAnsi="Times New Roman" w:cs="Times New Roman" w:eastAsia="Times New Roman" w:hint="default"/>
        </w:rPr>
        <w:t>2015</w:t>
      </w:r>
      <w:r>
        <w:rPr/>
        <w:t>年度，公司新设以下子公司，均纳入合并范围：</w:t>
      </w:r>
    </w:p>
    <w:p>
      <w:pPr>
        <w:spacing w:line="240" w:lineRule="auto" w:before="10"/>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4112"/>
        <w:gridCol w:w="2765"/>
        <w:gridCol w:w="2766"/>
      </w:tblGrid>
      <w:tr>
        <w:trPr>
          <w:trHeight w:val="355" w:hRule="exact"/>
        </w:trPr>
        <w:tc>
          <w:tcPr>
            <w:tcW w:w="4112"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2765"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953"/>
              <w:jc w:val="right"/>
              <w:rPr>
                <w:rFonts w:ascii="宋体" w:hAnsi="宋体" w:cs="宋体" w:eastAsia="宋体" w:hint="default"/>
                <w:sz w:val="21"/>
                <w:szCs w:val="21"/>
              </w:rPr>
            </w:pPr>
            <w:r>
              <w:rPr>
                <w:rFonts w:ascii="宋体" w:hAnsi="宋体" w:cs="宋体" w:eastAsia="宋体" w:hint="default"/>
                <w:sz w:val="21"/>
                <w:szCs w:val="21"/>
              </w:rPr>
              <w:t>成立日期</w:t>
            </w:r>
          </w:p>
        </w:tc>
        <w:tc>
          <w:tcPr>
            <w:tcW w:w="2766" w:type="dxa"/>
            <w:tcBorders>
              <w:top w:val="single" w:sz="6" w:space="0" w:color="000000"/>
              <w:left w:val="single" w:sz="6" w:space="0" w:color="000000"/>
              <w:bottom w:val="single" w:sz="12" w:space="0" w:color="000000"/>
              <w:right w:val="nil" w:sz="6" w:space="0" w:color="auto"/>
            </w:tcBorders>
          </w:tcPr>
          <w:p>
            <w:pPr>
              <w:pStyle w:val="TableParagraph"/>
              <w:spacing w:line="271" w:lineRule="exact"/>
              <w:ind w:right="7"/>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353" w:hRule="exact"/>
        </w:trPr>
        <w:tc>
          <w:tcPr>
            <w:tcW w:w="411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萍乡茂硕新能源科技有限公司</w:t>
            </w:r>
          </w:p>
        </w:tc>
        <w:tc>
          <w:tcPr>
            <w:tcW w:w="27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987"/>
              <w:jc w:val="right"/>
              <w:rPr>
                <w:rFonts w:ascii="Times New Roman" w:hAnsi="Times New Roman" w:cs="Times New Roman" w:eastAsia="Times New Roman" w:hint="default"/>
                <w:sz w:val="21"/>
                <w:szCs w:val="21"/>
              </w:rPr>
            </w:pPr>
            <w:r>
              <w:rPr>
                <w:rFonts w:ascii="Times New Roman"/>
                <w:spacing w:val="-1"/>
                <w:sz w:val="21"/>
              </w:rPr>
              <w:t>2015-2-4</w:t>
            </w:r>
          </w:p>
        </w:tc>
        <w:tc>
          <w:tcPr>
            <w:tcW w:w="276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52" w:hRule="exact"/>
        </w:trPr>
        <w:tc>
          <w:tcPr>
            <w:tcW w:w="411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海宁茂硕新能源科技有限公司</w:t>
            </w:r>
          </w:p>
        </w:tc>
        <w:tc>
          <w:tcPr>
            <w:tcW w:w="27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936"/>
              <w:jc w:val="right"/>
              <w:rPr>
                <w:rFonts w:ascii="Times New Roman" w:hAnsi="Times New Roman" w:cs="Times New Roman" w:eastAsia="Times New Roman" w:hint="default"/>
                <w:sz w:val="21"/>
                <w:szCs w:val="21"/>
              </w:rPr>
            </w:pPr>
            <w:r>
              <w:rPr>
                <w:rFonts w:ascii="Times New Roman"/>
                <w:spacing w:val="-1"/>
                <w:sz w:val="21"/>
              </w:rPr>
              <w:t>2015-2-13</w:t>
            </w:r>
            <w:r>
              <w:rPr>
                <w:rFonts w:ascii="Times New Roman"/>
                <w:sz w:val="21"/>
              </w:rPr>
            </w:r>
          </w:p>
        </w:tc>
        <w:tc>
          <w:tcPr>
            <w:tcW w:w="2766"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7"/>
              <w:jc w:val="center"/>
              <w:rPr>
                <w:rFonts w:ascii="宋体" w:hAnsi="宋体" w:cs="宋体" w:eastAsia="宋体" w:hint="default"/>
                <w:sz w:val="21"/>
                <w:szCs w:val="21"/>
              </w:rPr>
            </w:pPr>
            <w:r>
              <w:rPr>
                <w:rFonts w:ascii="宋体" w:hAnsi="宋体" w:cs="宋体" w:eastAsia="宋体" w:hint="default"/>
                <w:sz w:val="21"/>
                <w:szCs w:val="21"/>
              </w:rPr>
              <w:t>未开展业务</w:t>
            </w:r>
          </w:p>
        </w:tc>
      </w:tr>
      <w:tr>
        <w:trPr>
          <w:trHeight w:val="352" w:hRule="exact"/>
        </w:trPr>
        <w:tc>
          <w:tcPr>
            <w:tcW w:w="411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滕州茂硕新能源科技有限公司</w:t>
            </w:r>
          </w:p>
        </w:tc>
        <w:tc>
          <w:tcPr>
            <w:tcW w:w="27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936"/>
              <w:jc w:val="right"/>
              <w:rPr>
                <w:rFonts w:ascii="Times New Roman" w:hAnsi="Times New Roman" w:cs="Times New Roman" w:eastAsia="Times New Roman" w:hint="default"/>
                <w:sz w:val="21"/>
                <w:szCs w:val="21"/>
              </w:rPr>
            </w:pPr>
            <w:r>
              <w:rPr>
                <w:rFonts w:ascii="Times New Roman"/>
                <w:spacing w:val="-1"/>
                <w:sz w:val="21"/>
              </w:rPr>
              <w:t>2015-3-27</w:t>
            </w:r>
            <w:r>
              <w:rPr>
                <w:rFonts w:ascii="Times New Roman"/>
                <w:sz w:val="21"/>
              </w:rPr>
            </w:r>
          </w:p>
        </w:tc>
        <w:tc>
          <w:tcPr>
            <w:tcW w:w="276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53" w:hRule="exact"/>
        </w:trPr>
        <w:tc>
          <w:tcPr>
            <w:tcW w:w="411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浙江茂硕新能源科技有限公司</w:t>
            </w:r>
          </w:p>
        </w:tc>
        <w:tc>
          <w:tcPr>
            <w:tcW w:w="27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987"/>
              <w:jc w:val="right"/>
              <w:rPr>
                <w:rFonts w:ascii="Times New Roman" w:hAnsi="Times New Roman" w:cs="Times New Roman" w:eastAsia="Times New Roman" w:hint="default"/>
                <w:sz w:val="21"/>
                <w:szCs w:val="21"/>
              </w:rPr>
            </w:pPr>
            <w:r>
              <w:rPr>
                <w:rFonts w:ascii="Times New Roman"/>
                <w:spacing w:val="-1"/>
                <w:sz w:val="21"/>
              </w:rPr>
              <w:t>2015-5-4</w:t>
            </w:r>
          </w:p>
        </w:tc>
        <w:tc>
          <w:tcPr>
            <w:tcW w:w="276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52" w:hRule="exact"/>
        </w:trPr>
        <w:tc>
          <w:tcPr>
            <w:tcW w:w="411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同心县茂硕新能源科技有限公司</w:t>
            </w:r>
          </w:p>
        </w:tc>
        <w:tc>
          <w:tcPr>
            <w:tcW w:w="27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936"/>
              <w:jc w:val="right"/>
              <w:rPr>
                <w:rFonts w:ascii="Times New Roman" w:hAnsi="Times New Roman" w:cs="Times New Roman" w:eastAsia="Times New Roman" w:hint="default"/>
                <w:sz w:val="21"/>
                <w:szCs w:val="21"/>
              </w:rPr>
            </w:pPr>
            <w:r>
              <w:rPr>
                <w:rFonts w:ascii="Times New Roman"/>
                <w:spacing w:val="-1"/>
                <w:sz w:val="21"/>
              </w:rPr>
              <w:t>2015-5-15</w:t>
            </w:r>
            <w:r>
              <w:rPr>
                <w:rFonts w:ascii="Times New Roman"/>
                <w:sz w:val="21"/>
              </w:rPr>
            </w:r>
          </w:p>
        </w:tc>
        <w:tc>
          <w:tcPr>
            <w:tcW w:w="2766"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7"/>
              <w:jc w:val="center"/>
              <w:rPr>
                <w:rFonts w:ascii="宋体" w:hAnsi="宋体" w:cs="宋体" w:eastAsia="宋体" w:hint="default"/>
                <w:sz w:val="21"/>
                <w:szCs w:val="21"/>
              </w:rPr>
            </w:pPr>
            <w:r>
              <w:rPr>
                <w:rFonts w:ascii="宋体" w:hAnsi="宋体" w:cs="宋体" w:eastAsia="宋体" w:hint="default"/>
                <w:sz w:val="21"/>
                <w:szCs w:val="21"/>
              </w:rPr>
              <w:t>未开展业务</w:t>
            </w:r>
          </w:p>
        </w:tc>
      </w:tr>
      <w:tr>
        <w:trPr>
          <w:trHeight w:val="352" w:hRule="exact"/>
        </w:trPr>
        <w:tc>
          <w:tcPr>
            <w:tcW w:w="411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禹州茂硕新能源有限公司</w:t>
            </w:r>
          </w:p>
        </w:tc>
        <w:tc>
          <w:tcPr>
            <w:tcW w:w="27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882"/>
              <w:jc w:val="right"/>
              <w:rPr>
                <w:rFonts w:ascii="Times New Roman" w:hAnsi="Times New Roman" w:cs="Times New Roman" w:eastAsia="Times New Roman" w:hint="default"/>
                <w:sz w:val="21"/>
                <w:szCs w:val="21"/>
              </w:rPr>
            </w:pPr>
            <w:r>
              <w:rPr>
                <w:rFonts w:ascii="Times New Roman"/>
                <w:spacing w:val="-1"/>
                <w:sz w:val="21"/>
              </w:rPr>
              <w:t>2015-10-30</w:t>
            </w:r>
          </w:p>
        </w:tc>
        <w:tc>
          <w:tcPr>
            <w:tcW w:w="2766"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7"/>
              <w:jc w:val="center"/>
              <w:rPr>
                <w:rFonts w:ascii="宋体" w:hAnsi="宋体" w:cs="宋体" w:eastAsia="宋体" w:hint="default"/>
                <w:sz w:val="21"/>
                <w:szCs w:val="21"/>
              </w:rPr>
            </w:pPr>
            <w:r>
              <w:rPr>
                <w:rFonts w:ascii="宋体" w:hAnsi="宋体" w:cs="宋体" w:eastAsia="宋体" w:hint="default"/>
                <w:sz w:val="21"/>
                <w:szCs w:val="21"/>
              </w:rPr>
              <w:t>未开展业务</w:t>
            </w:r>
          </w:p>
        </w:tc>
      </w:tr>
      <w:tr>
        <w:trPr>
          <w:trHeight w:val="353" w:hRule="exact"/>
        </w:trPr>
        <w:tc>
          <w:tcPr>
            <w:tcW w:w="411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深圳前海茂硕新能源科技有限公司</w:t>
            </w:r>
          </w:p>
        </w:tc>
        <w:tc>
          <w:tcPr>
            <w:tcW w:w="27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935"/>
              <w:jc w:val="right"/>
              <w:rPr>
                <w:rFonts w:ascii="Times New Roman" w:hAnsi="Times New Roman" w:cs="Times New Roman" w:eastAsia="Times New Roman" w:hint="default"/>
                <w:sz w:val="21"/>
                <w:szCs w:val="21"/>
              </w:rPr>
            </w:pPr>
            <w:r>
              <w:rPr>
                <w:rFonts w:ascii="Times New Roman"/>
                <w:spacing w:val="-1"/>
                <w:sz w:val="21"/>
              </w:rPr>
              <w:t>2015-11-3</w:t>
            </w:r>
          </w:p>
        </w:tc>
        <w:tc>
          <w:tcPr>
            <w:tcW w:w="2766"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7"/>
              <w:jc w:val="center"/>
              <w:rPr>
                <w:rFonts w:ascii="宋体" w:hAnsi="宋体" w:cs="宋体" w:eastAsia="宋体" w:hint="default"/>
                <w:sz w:val="21"/>
                <w:szCs w:val="21"/>
              </w:rPr>
            </w:pPr>
            <w:r>
              <w:rPr>
                <w:rFonts w:ascii="宋体" w:hAnsi="宋体" w:cs="宋体" w:eastAsia="宋体" w:hint="default"/>
                <w:sz w:val="21"/>
                <w:szCs w:val="21"/>
              </w:rPr>
              <w:t>未开展业务</w:t>
            </w:r>
          </w:p>
        </w:tc>
      </w:tr>
      <w:tr>
        <w:trPr>
          <w:trHeight w:val="352" w:hRule="exact"/>
        </w:trPr>
        <w:tc>
          <w:tcPr>
            <w:tcW w:w="411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湖南茂硕新能源科技有限公司</w:t>
            </w:r>
          </w:p>
        </w:tc>
        <w:tc>
          <w:tcPr>
            <w:tcW w:w="27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935"/>
              <w:jc w:val="right"/>
              <w:rPr>
                <w:rFonts w:ascii="Times New Roman" w:hAnsi="Times New Roman" w:cs="Times New Roman" w:eastAsia="Times New Roman" w:hint="default"/>
                <w:sz w:val="21"/>
                <w:szCs w:val="21"/>
              </w:rPr>
            </w:pPr>
            <w:r>
              <w:rPr>
                <w:rFonts w:ascii="Times New Roman"/>
                <w:spacing w:val="-1"/>
                <w:sz w:val="21"/>
              </w:rPr>
              <w:t>2015-11-5</w:t>
            </w:r>
          </w:p>
        </w:tc>
        <w:tc>
          <w:tcPr>
            <w:tcW w:w="2766"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7"/>
              <w:jc w:val="center"/>
              <w:rPr>
                <w:rFonts w:ascii="宋体" w:hAnsi="宋体" w:cs="宋体" w:eastAsia="宋体" w:hint="default"/>
                <w:sz w:val="21"/>
                <w:szCs w:val="21"/>
              </w:rPr>
            </w:pPr>
            <w:r>
              <w:rPr>
                <w:rFonts w:ascii="宋体" w:hAnsi="宋体" w:cs="宋体" w:eastAsia="宋体" w:hint="default"/>
                <w:sz w:val="21"/>
                <w:szCs w:val="21"/>
              </w:rPr>
              <w:t>未开展业务</w:t>
            </w:r>
          </w:p>
        </w:tc>
      </w:tr>
      <w:tr>
        <w:trPr>
          <w:trHeight w:val="352" w:hRule="exact"/>
        </w:trPr>
        <w:tc>
          <w:tcPr>
            <w:tcW w:w="411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日照茂硕新能源科技有限公司</w:t>
            </w:r>
          </w:p>
        </w:tc>
        <w:tc>
          <w:tcPr>
            <w:tcW w:w="27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935"/>
              <w:jc w:val="right"/>
              <w:rPr>
                <w:rFonts w:ascii="Times New Roman" w:hAnsi="Times New Roman" w:cs="Times New Roman" w:eastAsia="Times New Roman" w:hint="default"/>
                <w:sz w:val="21"/>
                <w:szCs w:val="21"/>
              </w:rPr>
            </w:pPr>
            <w:r>
              <w:rPr>
                <w:rFonts w:ascii="Times New Roman"/>
                <w:spacing w:val="-1"/>
                <w:sz w:val="21"/>
              </w:rPr>
              <w:t>2015-12-2</w:t>
            </w:r>
          </w:p>
        </w:tc>
        <w:tc>
          <w:tcPr>
            <w:tcW w:w="2766"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7"/>
              <w:jc w:val="center"/>
              <w:rPr>
                <w:rFonts w:ascii="宋体" w:hAnsi="宋体" w:cs="宋体" w:eastAsia="宋体" w:hint="default"/>
                <w:sz w:val="21"/>
                <w:szCs w:val="21"/>
              </w:rPr>
            </w:pPr>
            <w:r>
              <w:rPr>
                <w:rFonts w:ascii="宋体" w:hAnsi="宋体" w:cs="宋体" w:eastAsia="宋体" w:hint="default"/>
                <w:sz w:val="21"/>
                <w:szCs w:val="21"/>
              </w:rPr>
              <w:t>未开展业务</w:t>
            </w:r>
          </w:p>
        </w:tc>
      </w:tr>
      <w:tr>
        <w:trPr>
          <w:trHeight w:val="353" w:hRule="exact"/>
        </w:trPr>
        <w:tc>
          <w:tcPr>
            <w:tcW w:w="411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灵武市茂硕新能源科技有限公司</w:t>
            </w:r>
          </w:p>
        </w:tc>
        <w:tc>
          <w:tcPr>
            <w:tcW w:w="27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882"/>
              <w:jc w:val="right"/>
              <w:rPr>
                <w:rFonts w:ascii="Times New Roman" w:hAnsi="Times New Roman" w:cs="Times New Roman" w:eastAsia="Times New Roman" w:hint="default"/>
                <w:sz w:val="21"/>
                <w:szCs w:val="21"/>
              </w:rPr>
            </w:pPr>
            <w:r>
              <w:rPr>
                <w:rFonts w:ascii="Times New Roman"/>
                <w:spacing w:val="-1"/>
                <w:sz w:val="21"/>
              </w:rPr>
              <w:t>2015-12-24</w:t>
            </w:r>
          </w:p>
        </w:tc>
        <w:tc>
          <w:tcPr>
            <w:tcW w:w="2766"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7"/>
              <w:jc w:val="center"/>
              <w:rPr>
                <w:rFonts w:ascii="宋体" w:hAnsi="宋体" w:cs="宋体" w:eastAsia="宋体" w:hint="default"/>
                <w:sz w:val="21"/>
                <w:szCs w:val="21"/>
              </w:rPr>
            </w:pPr>
            <w:r>
              <w:rPr>
                <w:rFonts w:ascii="宋体" w:hAnsi="宋体" w:cs="宋体" w:eastAsia="宋体" w:hint="default"/>
                <w:sz w:val="21"/>
                <w:szCs w:val="21"/>
              </w:rPr>
              <w:t>未开展业务</w:t>
            </w:r>
          </w:p>
        </w:tc>
      </w:tr>
      <w:tr>
        <w:trPr>
          <w:trHeight w:val="352" w:hRule="exact"/>
        </w:trPr>
        <w:tc>
          <w:tcPr>
            <w:tcW w:w="411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江苏茂硕新能源科技发展有限公司</w:t>
            </w:r>
          </w:p>
        </w:tc>
        <w:tc>
          <w:tcPr>
            <w:tcW w:w="27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882"/>
              <w:jc w:val="right"/>
              <w:rPr>
                <w:rFonts w:ascii="Times New Roman" w:hAnsi="Times New Roman" w:cs="Times New Roman" w:eastAsia="Times New Roman" w:hint="default"/>
                <w:sz w:val="21"/>
                <w:szCs w:val="21"/>
              </w:rPr>
            </w:pPr>
            <w:r>
              <w:rPr>
                <w:rFonts w:ascii="Times New Roman"/>
                <w:spacing w:val="-1"/>
                <w:sz w:val="21"/>
              </w:rPr>
              <w:t>2015-12-25</w:t>
            </w:r>
          </w:p>
        </w:tc>
        <w:tc>
          <w:tcPr>
            <w:tcW w:w="2766"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7"/>
              <w:jc w:val="center"/>
              <w:rPr>
                <w:rFonts w:ascii="宋体" w:hAnsi="宋体" w:cs="宋体" w:eastAsia="宋体" w:hint="default"/>
                <w:sz w:val="21"/>
                <w:szCs w:val="21"/>
              </w:rPr>
            </w:pPr>
            <w:r>
              <w:rPr>
                <w:rFonts w:ascii="宋体" w:hAnsi="宋体" w:cs="宋体" w:eastAsia="宋体" w:hint="default"/>
                <w:sz w:val="21"/>
                <w:szCs w:val="21"/>
              </w:rPr>
              <w:t>未开展业务</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4"/>
        <w:spacing w:line="240" w:lineRule="auto" w:before="35"/>
        <w:ind w:left="154" w:right="0"/>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pStyle w:val="Heading4"/>
        <w:spacing w:line="240" w:lineRule="auto"/>
        <w:ind w:left="154" w:right="0"/>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225,306,817.83</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24.43%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1"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78,115,271.50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8.47%</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72,743,834.79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7.89%</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27,651,583.09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24,363,264.38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2.64%</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22,432,864.07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2.43%</w:t>
            </w:r>
          </w:p>
        </w:tc>
      </w:tr>
      <w:tr>
        <w:trPr>
          <w:trHeight w:val="403"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225,306,817.83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24.43%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60" w:lineRule="auto" w:before="116"/>
        <w:ind w:left="154" w:right="9132" w:firstLine="0"/>
        <w:jc w:val="left"/>
        <w:rPr>
          <w:rFonts w:ascii="宋体" w:hAnsi="宋体" w:cs="宋体" w:eastAsia="宋体" w:hint="default"/>
          <w:sz w:val="18"/>
          <w:szCs w:val="18"/>
        </w:rPr>
      </w:pPr>
      <w:r>
        <w:rPr>
          <w:rFonts w:ascii="宋体" w:hAnsi="宋体" w:cs="宋体" w:eastAsia="宋体" w:hint="default"/>
          <w:sz w:val="18"/>
          <w:szCs w:val="18"/>
        </w:rPr>
        <w:t>□ 适用 √ 不适用 公司主要供应商情况</w:t>
      </w: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188,643,353.46</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22.73%</w:t>
            </w:r>
          </w:p>
        </w:tc>
      </w:tr>
    </w:tbl>
    <w:p>
      <w:pPr>
        <w:spacing w:before="65"/>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79,954,961.91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39,204,897.14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32,759,544.70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3.95%</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19,214,786.50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17,509,163.21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2.11%</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188,643,353.46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22.73%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7"/>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pStyle w:val="Heading4"/>
        <w:spacing w:line="240" w:lineRule="auto"/>
        <w:ind w:left="154" w:right="0"/>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4"/>
        <w:gridCol w:w="1637"/>
        <w:gridCol w:w="1637"/>
        <w:gridCol w:w="1462"/>
        <w:gridCol w:w="2918"/>
      </w:tblGrid>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18"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62" w:right="0"/>
              <w:jc w:val="left"/>
              <w:rPr>
                <w:rFonts w:ascii="Times New Roman" w:hAnsi="Times New Roman" w:cs="Times New Roman" w:eastAsia="Times New Roman" w:hint="default"/>
                <w:sz w:val="18"/>
                <w:szCs w:val="18"/>
              </w:rPr>
            </w:pPr>
            <w:r>
              <w:rPr>
                <w:rFonts w:ascii="Times New Roman"/>
                <w:sz w:val="18"/>
              </w:rPr>
              <w:t>45,867,832.92</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54,213,396.61</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13" w:right="0"/>
              <w:jc w:val="left"/>
              <w:rPr>
                <w:rFonts w:ascii="Times New Roman" w:hAnsi="Times New Roman" w:cs="Times New Roman" w:eastAsia="Times New Roman" w:hint="default"/>
                <w:sz w:val="18"/>
                <w:szCs w:val="18"/>
              </w:rPr>
            </w:pPr>
            <w:r>
              <w:rPr>
                <w:rFonts w:ascii="Times New Roman"/>
                <w:sz w:val="18"/>
              </w:rPr>
              <w:t>-15.39%</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主要原因是相比去年同期系列产品 </w:t>
            </w:r>
            <w:r>
              <w:rPr>
                <w:rFonts w:ascii="宋体" w:hAnsi="宋体" w:cs="宋体" w:eastAsia="宋体" w:hint="default"/>
                <w:spacing w:val="-2"/>
                <w:sz w:val="18"/>
                <w:szCs w:val="18"/>
              </w:rPr>
              <w:t>的售后服务费用、销售人员费用以及</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物料消耗等减少所致。</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318"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72" w:right="0"/>
              <w:jc w:val="left"/>
              <w:rPr>
                <w:rFonts w:ascii="Times New Roman" w:hAnsi="Times New Roman" w:cs="Times New Roman" w:eastAsia="Times New Roman" w:hint="default"/>
                <w:sz w:val="18"/>
                <w:szCs w:val="18"/>
              </w:rPr>
            </w:pPr>
            <w:r>
              <w:rPr>
                <w:rFonts w:ascii="Times New Roman"/>
                <w:sz w:val="18"/>
              </w:rPr>
              <w:t>120,870,829.00</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92,920,595.04</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30.08%</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0"/>
              <w:jc w:val="both"/>
              <w:rPr>
                <w:rFonts w:ascii="宋体" w:hAnsi="宋体" w:cs="宋体" w:eastAsia="宋体" w:hint="default"/>
                <w:sz w:val="18"/>
                <w:szCs w:val="18"/>
              </w:rPr>
            </w:pPr>
            <w:r>
              <w:rPr>
                <w:rFonts w:ascii="宋体" w:hAnsi="宋体" w:cs="宋体" w:eastAsia="宋体" w:hint="default"/>
                <w:spacing w:val="-2"/>
                <w:sz w:val="18"/>
                <w:szCs w:val="18"/>
              </w:rPr>
              <w:t>主要原因系合并方正达之后，管理人</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员的工资费用、固定资产折旧、中介</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机构服务费有较大增加等等导致。</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17" w:right="0"/>
              <w:jc w:val="left"/>
              <w:rPr>
                <w:rFonts w:ascii="Times New Roman" w:hAnsi="Times New Roman" w:cs="Times New Roman" w:eastAsia="Times New Roman" w:hint="default"/>
                <w:sz w:val="18"/>
                <w:szCs w:val="18"/>
              </w:rPr>
            </w:pPr>
            <w:r>
              <w:rPr>
                <w:rFonts w:ascii="Times New Roman"/>
                <w:sz w:val="18"/>
              </w:rPr>
              <w:t>-67,616.58</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60" w:right="0"/>
              <w:jc w:val="left"/>
              <w:rPr>
                <w:rFonts w:ascii="Times New Roman" w:hAnsi="Times New Roman" w:cs="Times New Roman" w:eastAsia="Times New Roman" w:hint="default"/>
                <w:sz w:val="18"/>
                <w:szCs w:val="18"/>
              </w:rPr>
            </w:pPr>
            <w:r>
              <w:rPr>
                <w:rFonts w:ascii="Times New Roman"/>
                <w:sz w:val="18"/>
              </w:rPr>
              <w:t>1,382,966.70</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23" w:right="0"/>
              <w:jc w:val="left"/>
              <w:rPr>
                <w:rFonts w:ascii="Times New Roman" w:hAnsi="Times New Roman" w:cs="Times New Roman" w:eastAsia="Times New Roman" w:hint="default"/>
                <w:sz w:val="18"/>
                <w:szCs w:val="18"/>
              </w:rPr>
            </w:pPr>
            <w:r>
              <w:rPr>
                <w:rFonts w:ascii="Times New Roman"/>
                <w:sz w:val="18"/>
              </w:rPr>
              <w:t>-104.89%</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pacing w:val="-2"/>
                <w:sz w:val="18"/>
                <w:szCs w:val="18"/>
              </w:rPr>
              <w:t>主要原因系报告期内人民币贬值，导</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致外汇的汇兑收益增加。</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2"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spacing w:line="338" w:lineRule="auto"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 </w:t>
      </w:r>
      <w:r>
        <w:rPr>
          <w:rFonts w:ascii="宋体" w:hAnsi="宋体" w:cs="宋体" w:eastAsia="宋体" w:hint="default"/>
          <w:spacing w:val="-2"/>
          <w:sz w:val="18"/>
          <w:szCs w:val="18"/>
        </w:rPr>
        <w:t>公司一直以完善核心技术体系建设为发展动力，高度重视新产品和新技术的开发研究工作。不断加大研发投入力度，以确保</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技术研究和成果推广应用工作顺利进行。公司依托现有的研发资源和平台，深入整合公司内外部资源，充分利用科研人才和</w:t>
      </w:r>
    </w:p>
    <w:p>
      <w:pPr>
        <w:spacing w:line="319" w:lineRule="auto" w:before="2"/>
        <w:ind w:left="154" w:right="0" w:firstLine="0"/>
        <w:jc w:val="left"/>
        <w:rPr>
          <w:rFonts w:ascii="宋体" w:hAnsi="宋体" w:cs="宋体" w:eastAsia="宋体" w:hint="default"/>
          <w:sz w:val="18"/>
          <w:szCs w:val="18"/>
        </w:rPr>
      </w:pPr>
      <w:r>
        <w:rPr>
          <w:rFonts w:ascii="宋体" w:hAnsi="宋体" w:cs="宋体" w:eastAsia="宋体" w:hint="default"/>
          <w:spacing w:val="-2"/>
          <w:sz w:val="18"/>
          <w:szCs w:val="18"/>
        </w:rPr>
        <w:t>硬件设备进行新产品新工艺研发及前瞻性研究，开展了一系列科研项目，以进一步完善技术和专利布局，优化产品体系，提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升创新实力，延续在行业中长期保持的技术优势。</w:t>
      </w:r>
    </w:p>
    <w:p>
      <w:pPr>
        <w:spacing w:before="58"/>
        <w:ind w:left="154" w:right="0" w:firstLine="0"/>
        <w:jc w:val="left"/>
        <w:rPr>
          <w:rFonts w:ascii="宋体" w:hAnsi="宋体" w:cs="宋体" w:eastAsia="宋体" w:hint="default"/>
          <w:sz w:val="18"/>
          <w:szCs w:val="18"/>
        </w:rPr>
      </w:pPr>
      <w:r>
        <w:rPr>
          <w:rFonts w:ascii="宋体" w:hAnsi="宋体" w:cs="宋体" w:eastAsia="宋体" w:hint="default"/>
          <w:sz w:val="18"/>
          <w:szCs w:val="18"/>
        </w:rPr>
        <w:t>公司研发投入情况</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1"/>
        <w:gridCol w:w="2393"/>
        <w:gridCol w:w="2392"/>
        <w:gridCol w:w="2392"/>
      </w:tblGrid>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-25.96%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0.11%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44,670,890.56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45,220,511.27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734,530.09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1,329,913.23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-44.77%</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48" w:lineRule="auto" w:before="117"/>
        <w:ind w:left="153" w:right="19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因研发费用发生额与上年基本持平，但由于营业收入的大幅增长导致研发投入总额占营业收入比重较上年有下降 研发投入资本化率大幅变动的原因及其合理性说明</w:t>
      </w:r>
    </w:p>
    <w:p>
      <w:pPr>
        <w:spacing w:before="36"/>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pStyle w:val="Heading4"/>
        <w:spacing w:line="240" w:lineRule="auto"/>
        <w:ind w:left="154" w:right="0"/>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867,777,079.05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682,658,952.20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27.12%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829,878,669.95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705,569,737.76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17.62%</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37,898,409.10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-22,910,785.56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265.42%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146,679,927.57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628,479,126.02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-76.66%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242,758,848.58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790,002,810.42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-69.27%</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-96,078,921.01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-161,523,684.40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-40.52%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408,800,699.07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277,954,076.82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47.07%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271,121,218.62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133,634,029.90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102.88%</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137,679,480.45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144,320,046.92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-4.60%</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88,085,769.76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-36,263,090.02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-342.91%</w:t>
            </w:r>
            <w:r>
              <w:rPr>
                <w:rFonts w:ascii="Times New Roman"/>
                <w:sz w:val="18"/>
              </w:rPr>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before="116"/>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316" w:lineRule="auto" w:before="116"/>
        <w:ind w:left="153" w:right="1117"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、报告期内经营活动产生的现金流量净额较去年增加了</w:t>
      </w:r>
      <w:r>
        <w:rPr>
          <w:rFonts w:ascii="宋体" w:hAnsi="宋体" w:cs="宋体" w:eastAsia="宋体" w:hint="default"/>
          <w:spacing w:val="-49"/>
          <w:sz w:val="18"/>
          <w:szCs w:val="18"/>
        </w:rPr>
        <w:t> </w:t>
      </w:r>
      <w:r>
        <w:rPr>
          <w:rFonts w:ascii="宋体" w:hAnsi="宋体" w:cs="宋体" w:eastAsia="宋体" w:hint="default"/>
          <w:sz w:val="18"/>
          <w:szCs w:val="18"/>
        </w:rPr>
        <w:t>6,080.92</w:t>
      </w:r>
      <w:r>
        <w:rPr>
          <w:rFonts w:ascii="宋体" w:hAnsi="宋体" w:cs="宋体" w:eastAsia="宋体" w:hint="default"/>
          <w:spacing w:val="-50"/>
          <w:sz w:val="18"/>
          <w:szCs w:val="18"/>
        </w:rPr>
        <w:t> </w:t>
      </w:r>
      <w:r>
        <w:rPr>
          <w:rFonts w:ascii="宋体" w:hAnsi="宋体" w:cs="宋体" w:eastAsia="宋体" w:hint="default"/>
          <w:spacing w:val="-3"/>
          <w:sz w:val="18"/>
          <w:szCs w:val="18"/>
        </w:rPr>
        <w:t>万元，主要原因是销售增加回款增加，同时收到重组补偿</w:t>
      </w:r>
      <w:r>
        <w:rPr>
          <w:rFonts w:ascii="宋体" w:hAnsi="宋体" w:cs="宋体" w:eastAsia="宋体" w:hint="default"/>
          <w:sz w:val="18"/>
          <w:szCs w:val="18"/>
        </w:rPr>
        <w:t> 款等导致。</w:t>
      </w:r>
    </w:p>
    <w:p>
      <w:pPr>
        <w:spacing w:line="319" w:lineRule="auto" w:before="19"/>
        <w:ind w:left="153" w:right="1116"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、报告期内投资活动产生的现金流量净额较去年同期增加了</w:t>
      </w:r>
      <w:r>
        <w:rPr>
          <w:rFonts w:ascii="宋体" w:hAnsi="宋体" w:cs="宋体" w:eastAsia="宋体" w:hint="default"/>
          <w:spacing w:val="-52"/>
          <w:sz w:val="18"/>
          <w:szCs w:val="18"/>
        </w:rPr>
        <w:t> </w:t>
      </w:r>
      <w:r>
        <w:rPr>
          <w:rFonts w:ascii="宋体" w:hAnsi="宋体" w:cs="宋体" w:eastAsia="宋体" w:hint="default"/>
          <w:sz w:val="18"/>
          <w:szCs w:val="18"/>
        </w:rPr>
        <w:t>6,544.47</w:t>
      </w:r>
      <w:r>
        <w:rPr>
          <w:rFonts w:ascii="宋体" w:hAnsi="宋体" w:cs="宋体" w:eastAsia="宋体" w:hint="default"/>
          <w:spacing w:val="-52"/>
          <w:sz w:val="18"/>
          <w:szCs w:val="18"/>
        </w:rPr>
        <w:t> </w:t>
      </w:r>
      <w:r>
        <w:rPr>
          <w:rFonts w:ascii="宋体" w:hAnsi="宋体" w:cs="宋体" w:eastAsia="宋体" w:hint="default"/>
          <w:spacing w:val="-3"/>
          <w:sz w:val="18"/>
          <w:szCs w:val="18"/>
        </w:rPr>
        <w:t>万元，主要原因是报告期内对外投资减少、固定资产</w:t>
      </w:r>
      <w:r>
        <w:rPr>
          <w:rFonts w:ascii="宋体" w:hAnsi="宋体" w:cs="宋体" w:eastAsia="宋体" w:hint="default"/>
          <w:sz w:val="18"/>
          <w:szCs w:val="18"/>
        </w:rPr>
        <w:t> 投资减少所致。</w:t>
      </w:r>
    </w:p>
    <w:p>
      <w:pPr>
        <w:spacing w:line="319" w:lineRule="auto" w:before="17"/>
        <w:ind w:left="154" w:right="1123"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、报告期内筹资活动产生的现金流量净额较去年减少</w:t>
      </w:r>
      <w:r>
        <w:rPr>
          <w:rFonts w:ascii="宋体" w:hAnsi="宋体" w:cs="宋体" w:eastAsia="宋体" w:hint="default"/>
          <w:spacing w:val="-45"/>
          <w:sz w:val="18"/>
          <w:szCs w:val="18"/>
        </w:rPr>
        <w:t> </w:t>
      </w:r>
      <w:r>
        <w:rPr>
          <w:rFonts w:ascii="宋体" w:hAnsi="宋体" w:cs="宋体" w:eastAsia="宋体" w:hint="default"/>
          <w:sz w:val="18"/>
          <w:szCs w:val="18"/>
        </w:rPr>
        <w:t>664</w:t>
      </w:r>
      <w:r>
        <w:rPr>
          <w:rFonts w:ascii="宋体" w:hAnsi="宋体" w:cs="宋体" w:eastAsia="宋体" w:hint="default"/>
          <w:spacing w:val="-46"/>
          <w:sz w:val="18"/>
          <w:szCs w:val="18"/>
        </w:rPr>
        <w:t> </w:t>
      </w:r>
      <w:r>
        <w:rPr>
          <w:rFonts w:ascii="宋体" w:hAnsi="宋体" w:cs="宋体" w:eastAsia="宋体" w:hint="default"/>
          <w:sz w:val="18"/>
          <w:szCs w:val="18"/>
        </w:rPr>
        <w:t>万元，主要原因系公司银行承兑汇票年末总额上升，支付银行承 兑汇票的保证金增加。 </w:t>
      </w:r>
      <w:r>
        <w:rPr>
          <w:rFonts w:ascii="宋体" w:hAnsi="宋体" w:cs="宋体" w:eastAsia="宋体" w:hint="default"/>
          <w:sz w:val="18"/>
          <w:szCs w:val="18"/>
        </w:rPr>
        <w:t>4</w:t>
      </w:r>
      <w:r>
        <w:rPr>
          <w:rFonts w:ascii="宋体" w:hAnsi="宋体" w:cs="宋体" w:eastAsia="宋体" w:hint="default"/>
          <w:sz w:val="18"/>
          <w:szCs w:val="18"/>
        </w:rPr>
        <w:t>、报告期内汇率变动对现金及现金等价物的影响较大，主要原因系人民币报告期内贬值导致的汇兑收益增加。</w:t>
      </w:r>
    </w:p>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报告期内公司经营活动产生的现金净流量与本年度净利润存在重大差异的原因说明</w:t>
      </w:r>
    </w:p>
    <w:p>
      <w:pPr>
        <w:spacing w:line="319" w:lineRule="auto" w:before="117"/>
        <w:ind w:left="153"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本报告期内公司经营活动的现金流量净额为</w:t>
      </w:r>
      <w:r>
        <w:rPr>
          <w:rFonts w:ascii="Times New Roman" w:hAnsi="Times New Roman" w:cs="Times New Roman" w:eastAsia="Times New Roman" w:hint="default"/>
          <w:sz w:val="18"/>
          <w:szCs w:val="18"/>
        </w:rPr>
        <w:t>3,789.84</w:t>
      </w:r>
      <w:r>
        <w:rPr>
          <w:rFonts w:ascii="宋体" w:hAnsi="宋体" w:cs="宋体" w:eastAsia="宋体" w:hint="default"/>
          <w:sz w:val="18"/>
          <w:szCs w:val="18"/>
        </w:rPr>
        <w:t>万元，本年度净利润为</w:t>
      </w:r>
      <w:r>
        <w:rPr>
          <w:rFonts w:ascii="Times New Roman" w:hAnsi="Times New Roman" w:cs="Times New Roman" w:eastAsia="Times New Roman" w:hint="default"/>
          <w:sz w:val="18"/>
          <w:szCs w:val="18"/>
        </w:rPr>
        <w:t>1,605.31</w:t>
      </w:r>
      <w:r>
        <w:rPr>
          <w:rFonts w:ascii="宋体" w:hAnsi="宋体" w:cs="宋体" w:eastAsia="宋体" w:hint="default"/>
          <w:sz w:val="18"/>
          <w:szCs w:val="18"/>
        </w:rPr>
        <w:t>万元，差异为</w:t>
      </w:r>
      <w:r>
        <w:rPr>
          <w:rFonts w:ascii="Times New Roman" w:hAnsi="Times New Roman" w:cs="Times New Roman" w:eastAsia="Times New Roman" w:hint="default"/>
          <w:sz w:val="18"/>
          <w:szCs w:val="18"/>
        </w:rPr>
        <w:t>2,184.53</w:t>
      </w:r>
      <w:r>
        <w:rPr>
          <w:rFonts w:ascii="宋体" w:hAnsi="宋体" w:cs="宋体" w:eastAsia="宋体" w:hint="default"/>
          <w:sz w:val="18"/>
          <w:szCs w:val="18"/>
        </w:rPr>
        <w:t>万元，其主要原因 系本期计提资产减值准备</w:t>
      </w:r>
      <w:r>
        <w:rPr>
          <w:rFonts w:ascii="Times New Roman" w:hAnsi="Times New Roman" w:cs="Times New Roman" w:eastAsia="Times New Roman" w:hint="default"/>
          <w:sz w:val="18"/>
          <w:szCs w:val="18"/>
        </w:rPr>
        <w:t>3306.8</w:t>
      </w:r>
      <w:r>
        <w:rPr>
          <w:rFonts w:ascii="宋体" w:hAnsi="宋体" w:cs="宋体" w:eastAsia="宋体" w:hint="default"/>
          <w:sz w:val="18"/>
          <w:szCs w:val="18"/>
        </w:rPr>
        <w:t>万元。</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4"/>
          <w:szCs w:val="24"/>
        </w:rPr>
      </w:pPr>
    </w:p>
    <w:p>
      <w:pPr>
        <w:pStyle w:val="Heading2"/>
        <w:spacing w:line="240" w:lineRule="auto"/>
        <w:ind w:right="0"/>
        <w:jc w:val="left"/>
        <w:rPr>
          <w:b w:val="0"/>
          <w:bCs w:val="0"/>
        </w:rPr>
      </w:pPr>
      <w:bookmarkStart w:name="三、非主营业务分析" w:id="39"/>
      <w:bookmarkEnd w:id="39"/>
      <w:r>
        <w:rPr>
          <w:b w:val="0"/>
          <w:bCs w:val="0"/>
        </w:rPr>
      </w:r>
      <w:r>
        <w:rPr/>
        <w:t>三、非主营业务分析</w:t>
      </w:r>
      <w:r>
        <w:rPr>
          <w:b w:val="0"/>
          <w:bCs w:val="0"/>
        </w:rPr>
      </w:r>
    </w:p>
    <w:p>
      <w:pPr>
        <w:spacing w:line="240" w:lineRule="auto" w:before="2"/>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12"/>
        <w:gridCol w:w="1916"/>
        <w:gridCol w:w="1623"/>
        <w:gridCol w:w="2254"/>
        <w:gridCol w:w="2254"/>
      </w:tblGrid>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2"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61"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2,548,502.06</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8.05%</w:t>
            </w:r>
          </w:p>
        </w:tc>
        <w:tc>
          <w:tcPr>
            <w:tcW w:w="2254"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58"/>
              <w:jc w:val="left"/>
              <w:rPr>
                <w:rFonts w:ascii="宋体" w:hAnsi="宋体" w:cs="宋体" w:eastAsia="宋体" w:hint="default"/>
                <w:sz w:val="18"/>
                <w:szCs w:val="18"/>
              </w:rPr>
            </w:pPr>
            <w:r>
              <w:rPr>
                <w:rFonts w:ascii="宋体" w:hAnsi="宋体" w:cs="宋体" w:eastAsia="宋体" w:hint="default"/>
                <w:sz w:val="18"/>
                <w:szCs w:val="18"/>
              </w:rPr>
              <w:t>主要系外币结汇收益及理财 产品收益减少导致</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2"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161"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1" w:right="0"/>
              <w:jc w:val="left"/>
              <w:rPr>
                <w:rFonts w:ascii="Times New Roman" w:hAnsi="Times New Roman" w:cs="Times New Roman" w:eastAsia="Times New Roman" w:hint="default"/>
                <w:sz w:val="18"/>
                <w:szCs w:val="18"/>
              </w:rPr>
            </w:pPr>
            <w:r>
              <w:rPr>
                <w:rFonts w:ascii="Times New Roman"/>
                <w:sz w:val="18"/>
              </w:rPr>
              <w:t>-5,341,503.43</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76" w:right="0"/>
              <w:jc w:val="left"/>
              <w:rPr>
                <w:rFonts w:ascii="Times New Roman" w:hAnsi="Times New Roman" w:cs="Times New Roman" w:eastAsia="Times New Roman" w:hint="default"/>
                <w:sz w:val="18"/>
                <w:szCs w:val="18"/>
              </w:rPr>
            </w:pPr>
            <w:r>
              <w:rPr>
                <w:rFonts w:ascii="Times New Roman"/>
                <w:sz w:val="18"/>
              </w:rPr>
              <w:t>-16.88%</w:t>
            </w:r>
          </w:p>
        </w:tc>
        <w:tc>
          <w:tcPr>
            <w:tcW w:w="2254"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58"/>
              <w:jc w:val="left"/>
              <w:rPr>
                <w:rFonts w:ascii="宋体" w:hAnsi="宋体" w:cs="宋体" w:eastAsia="宋体" w:hint="default"/>
                <w:sz w:val="18"/>
                <w:szCs w:val="18"/>
              </w:rPr>
            </w:pPr>
            <w:r>
              <w:rPr>
                <w:rFonts w:ascii="宋体" w:hAnsi="宋体" w:cs="宋体" w:eastAsia="宋体" w:hint="default"/>
                <w:sz w:val="18"/>
                <w:szCs w:val="18"/>
              </w:rPr>
              <w:t>主要系锁汇资产公允价值变 动导致</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2"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161"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1" w:right="0"/>
              <w:jc w:val="left"/>
              <w:rPr>
                <w:rFonts w:ascii="Times New Roman" w:hAnsi="Times New Roman" w:cs="Times New Roman" w:eastAsia="Times New Roman" w:hint="default"/>
                <w:sz w:val="18"/>
                <w:szCs w:val="18"/>
              </w:rPr>
            </w:pPr>
            <w:r>
              <w:rPr>
                <w:rFonts w:ascii="Times New Roman"/>
                <w:sz w:val="18"/>
              </w:rPr>
              <w:t>33,068,805.35</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46" w:right="0"/>
              <w:jc w:val="left"/>
              <w:rPr>
                <w:rFonts w:ascii="Times New Roman" w:hAnsi="Times New Roman" w:cs="Times New Roman" w:eastAsia="Times New Roman" w:hint="default"/>
                <w:sz w:val="18"/>
                <w:szCs w:val="18"/>
              </w:rPr>
            </w:pPr>
            <w:r>
              <w:rPr>
                <w:rFonts w:ascii="Times New Roman"/>
                <w:sz w:val="18"/>
              </w:rPr>
              <w:t>104.48%</w:t>
            </w:r>
          </w:p>
        </w:tc>
        <w:tc>
          <w:tcPr>
            <w:tcW w:w="2254"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58"/>
              <w:jc w:val="left"/>
              <w:rPr>
                <w:rFonts w:ascii="宋体" w:hAnsi="宋体" w:cs="宋体" w:eastAsia="宋体" w:hint="default"/>
                <w:sz w:val="18"/>
                <w:szCs w:val="18"/>
              </w:rPr>
            </w:pPr>
            <w:r>
              <w:rPr>
                <w:rFonts w:ascii="宋体" w:hAnsi="宋体" w:cs="宋体" w:eastAsia="宋体" w:hint="default"/>
                <w:sz w:val="18"/>
                <w:szCs w:val="18"/>
              </w:rPr>
              <w:t>主要系应收账款坏账准备及 存货跌价准备计提金额增加</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2"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43,787,634.05</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138.35%</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主要系收到终止重组补偿款</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718,103.97</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2.27%</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主要系处置固定资产损失</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四、资产及负债状况分析" w:id="40"/>
      <w:bookmarkEnd w:id="40"/>
      <w:r>
        <w:rPr>
          <w:b w:val="0"/>
          <w:bCs w:val="0"/>
        </w:rPr>
      </w:r>
      <w:r>
        <w:rPr/>
        <w:t>四、资产及负债状况分析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175"/>
        <w:gridCol w:w="1063"/>
        <w:gridCol w:w="1196"/>
        <w:gridCol w:w="1063"/>
        <w:gridCol w:w="798"/>
        <w:gridCol w:w="2918"/>
      </w:tblGrid>
      <w:tr>
        <w:trPr>
          <w:trHeight w:val="379" w:hRule="exact"/>
        </w:trPr>
        <w:tc>
          <w:tcPr>
            <w:tcW w:w="1346"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3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46" w:type="dxa"/>
            <w:vMerge w:val="restart"/>
            <w:tcBorders>
              <w:top w:val="single" w:sz="14" w:space="0" w:color="FFFFFF"/>
              <w:left w:val="single" w:sz="4" w:space="0" w:color="000000"/>
              <w:right w:val="single" w:sz="4" w:space="0" w:color="000000"/>
            </w:tcBorders>
            <w:shd w:val="clear" w:color="auto" w:fill="D2D2D2"/>
          </w:tcPr>
          <w:p>
            <w:pPr/>
          </w:p>
        </w:tc>
        <w:tc>
          <w:tcPr>
            <w:tcW w:w="1175"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5"/>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5"/>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1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175"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46" w:type="dxa"/>
            <w:vMerge/>
            <w:tcBorders>
              <w:left w:val="single" w:sz="4" w:space="0" w:color="000000"/>
              <w:bottom w:val="single" w:sz="4" w:space="0" w:color="000000"/>
              <w:right w:val="single" w:sz="4" w:space="0" w:color="000000"/>
            </w:tcBorders>
            <w:shd w:val="clear" w:color="auto" w:fill="D2D2D2"/>
          </w:tcPr>
          <w:p>
            <w:pPr/>
          </w:p>
        </w:tc>
        <w:tc>
          <w:tcPr>
            <w:tcW w:w="11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296,203,922.4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15.92%</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233,471,876.61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20.09%</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-4.17%</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489,612,748.6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26.32%</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296,930,702.88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25.56%</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0.76%</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166,342,326.2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8.94%</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82,213,650.81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7.08%</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1.86%</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23,687,040.68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25,653,877.09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-0.94%</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441,188,179.9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23.72%</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373,949,665.80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32.19%</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-8.47%</w:t>
            </w:r>
          </w:p>
        </w:tc>
        <w:tc>
          <w:tcPr>
            <w:tcW w:w="2918" w:type="dxa"/>
            <w:vMerge w:val="restart"/>
            <w:tcBorders>
              <w:top w:val="single" w:sz="4" w:space="0" w:color="000000"/>
              <w:left w:val="single" w:sz="4" w:space="0" w:color="000000"/>
              <w:right w:val="single" w:sz="4" w:space="0" w:color="000000"/>
            </w:tcBorders>
          </w:tcPr>
          <w:p>
            <w:pPr/>
          </w:p>
        </w:tc>
      </w:tr>
      <w:tr>
        <w:trPr>
          <w:trHeight w:val="391"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75,358,106.95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7,840,620.36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0.67%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3.38%</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371"/>
        <w:gridCol w:w="1164"/>
        <w:gridCol w:w="1063"/>
        <w:gridCol w:w="1196"/>
        <w:gridCol w:w="1063"/>
        <w:gridCol w:w="798"/>
        <w:gridCol w:w="2918"/>
      </w:tblGrid>
      <w:tr>
        <w:trPr>
          <w:trHeight w:val="714" w:hRule="exact"/>
        </w:trPr>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299,400,000.0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16.10%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133,394,904.00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1" w:right="0"/>
              <w:jc w:val="left"/>
              <w:rPr>
                <w:rFonts w:ascii="Times New Roman" w:hAnsi="Times New Roman" w:cs="Times New Roman" w:eastAsia="Times New Roman" w:hint="default"/>
                <w:sz w:val="18"/>
                <w:szCs w:val="18"/>
              </w:rPr>
            </w:pPr>
            <w:r>
              <w:rPr>
                <w:rFonts w:ascii="Times New Roman"/>
                <w:sz w:val="18"/>
              </w:rPr>
              <w:t>11.48%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4.62%</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208"/>
        <w:gridCol w:w="1219"/>
        <w:gridCol w:w="1207"/>
        <w:gridCol w:w="1213"/>
        <w:gridCol w:w="1207"/>
        <w:gridCol w:w="1219"/>
        <w:gridCol w:w="1213"/>
        <w:gridCol w:w="1073"/>
      </w:tblGrid>
      <w:tr>
        <w:trPr>
          <w:trHeight w:val="161" w:hRule="exact"/>
        </w:trPr>
        <w:tc>
          <w:tcPr>
            <w:tcW w:w="1208" w:type="dxa"/>
            <w:vMerge w:val="restart"/>
            <w:tcBorders>
              <w:top w:val="single" w:sz="4" w:space="0" w:color="000000"/>
              <w:left w:val="single" w:sz="4" w:space="0" w:color="000000"/>
              <w:right w:val="single" w:sz="4" w:space="0" w:color="000000"/>
            </w:tcBorders>
            <w:shd w:val="clear" w:color="auto" w:fill="D2D2D2"/>
          </w:tcPr>
          <w:p>
            <w:pPr/>
          </w:p>
        </w:tc>
        <w:tc>
          <w:tcPr>
            <w:tcW w:w="1219" w:type="dxa"/>
            <w:vMerge w:val="restart"/>
            <w:tcBorders>
              <w:top w:val="single" w:sz="4" w:space="0" w:color="000000"/>
              <w:left w:val="single" w:sz="4" w:space="0" w:color="000000"/>
              <w:right w:val="single" w:sz="4" w:space="0" w:color="000000"/>
            </w:tcBorders>
            <w:shd w:val="clear" w:color="auto" w:fill="D2D2D2"/>
          </w:tcPr>
          <w:p>
            <w:pP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61" w:right="59"/>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9" w:type="dxa"/>
            <w:vMerge w:val="restart"/>
            <w:tcBorders>
              <w:top w:val="single" w:sz="4" w:space="0" w:color="000000"/>
              <w:left w:val="single" w:sz="4" w:space="0" w:color="000000"/>
              <w:right w:val="single" w:sz="4" w:space="0" w:color="000000"/>
            </w:tcBorders>
            <w:shd w:val="clear" w:color="auto" w:fill="D2D2D2"/>
          </w:tcPr>
          <w:p>
            <w:pPr/>
          </w:p>
        </w:tc>
        <w:tc>
          <w:tcPr>
            <w:tcW w:w="1213" w:type="dxa"/>
            <w:vMerge w:val="restart"/>
            <w:tcBorders>
              <w:top w:val="single" w:sz="4" w:space="0" w:color="000000"/>
              <w:left w:val="single" w:sz="4" w:space="0" w:color="000000"/>
              <w:right w:val="single" w:sz="4" w:space="0" w:color="000000"/>
            </w:tcBorders>
            <w:shd w:val="clear" w:color="auto" w:fill="D2D2D2"/>
          </w:tcPr>
          <w:p>
            <w:pPr/>
          </w:p>
        </w:tc>
        <w:tc>
          <w:tcPr>
            <w:tcW w:w="1073"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208" w:type="dxa"/>
            <w:vMerge/>
            <w:tcBorders>
              <w:left w:val="single" w:sz="4" w:space="0" w:color="000000"/>
              <w:bottom w:val="nil" w:sz="6" w:space="0" w:color="auto"/>
              <w:right w:val="single" w:sz="4" w:space="0" w:color="000000"/>
            </w:tcBorders>
            <w:shd w:val="clear" w:color="auto" w:fill="D2D2D2"/>
          </w:tcPr>
          <w:p>
            <w:pPr/>
          </w:p>
        </w:tc>
        <w:tc>
          <w:tcPr>
            <w:tcW w:w="1219" w:type="dxa"/>
            <w:vMerge/>
            <w:tcBorders>
              <w:left w:val="single" w:sz="4" w:space="0" w:color="000000"/>
              <w:bottom w:val="nil" w:sz="6" w:space="0" w:color="auto"/>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5" w:right="60"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213"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12" w:right="53" w:hanging="450"/>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219" w:type="dxa"/>
            <w:vMerge/>
            <w:tcBorders>
              <w:left w:val="single" w:sz="4" w:space="0" w:color="000000"/>
              <w:bottom w:val="nil" w:sz="6" w:space="0" w:color="auto"/>
              <w:right w:val="single" w:sz="4" w:space="0" w:color="000000"/>
            </w:tcBorders>
            <w:shd w:val="clear" w:color="auto" w:fill="D2D2D2"/>
          </w:tcPr>
          <w:p>
            <w:pPr/>
          </w:p>
        </w:tc>
        <w:tc>
          <w:tcPr>
            <w:tcW w:w="1213" w:type="dxa"/>
            <w:vMerge/>
            <w:tcBorders>
              <w:left w:val="single" w:sz="4" w:space="0" w:color="000000"/>
              <w:bottom w:val="nil" w:sz="6" w:space="0" w:color="auto"/>
              <w:right w:val="single" w:sz="4" w:space="0" w:color="000000"/>
            </w:tcBorders>
            <w:shd w:val="clear" w:color="auto" w:fill="D2D2D2"/>
          </w:tcPr>
          <w:p>
            <w:pPr/>
          </w:p>
        </w:tc>
        <w:tc>
          <w:tcPr>
            <w:tcW w:w="1073" w:type="dxa"/>
            <w:vMerge/>
            <w:tcBorders>
              <w:left w:val="single" w:sz="4" w:space="0" w:color="000000"/>
              <w:bottom w:val="nil" w:sz="6" w:space="0" w:color="auto"/>
              <w:right w:val="single" w:sz="4" w:space="0" w:color="000000"/>
            </w:tcBorders>
            <w:shd w:val="clear" w:color="auto" w:fill="D2D2D2"/>
          </w:tcPr>
          <w:p>
            <w:pPr/>
          </w:p>
        </w:tc>
      </w:tr>
      <w:tr>
        <w:trPr>
          <w:trHeight w:val="392" w:hRule="exact"/>
        </w:trPr>
        <w:tc>
          <w:tcPr>
            <w:tcW w:w="12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12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3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07" w:type="dxa"/>
            <w:vMerge/>
            <w:tcBorders>
              <w:left w:val="single" w:sz="4" w:space="0" w:color="000000"/>
              <w:right w:val="single" w:sz="4" w:space="0" w:color="000000"/>
            </w:tcBorders>
            <w:shd w:val="clear" w:color="auto" w:fill="D2D2D2"/>
          </w:tcPr>
          <w:p>
            <w:pPr/>
          </w:p>
        </w:tc>
        <w:tc>
          <w:tcPr>
            <w:tcW w:w="1213"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2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60"/>
              <w:jc w:val="right"/>
              <w:rPr>
                <w:rFonts w:ascii="宋体" w:hAnsi="宋体" w:cs="宋体" w:eastAsia="宋体" w:hint="default"/>
                <w:sz w:val="18"/>
                <w:szCs w:val="18"/>
              </w:rPr>
            </w:pPr>
            <w:r>
              <w:rPr>
                <w:rFonts w:ascii="宋体" w:hAnsi="宋体" w:cs="宋体" w:eastAsia="宋体" w:hint="default"/>
                <w:sz w:val="18"/>
                <w:szCs w:val="18"/>
              </w:rPr>
              <w:t>本期购买金额</w:t>
            </w:r>
          </w:p>
        </w:tc>
        <w:tc>
          <w:tcPr>
            <w:tcW w:w="12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61"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10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1208" w:type="dxa"/>
            <w:vMerge w:val="restart"/>
            <w:tcBorders>
              <w:top w:val="nil" w:sz="6" w:space="0" w:color="auto"/>
              <w:left w:val="single" w:sz="4" w:space="0" w:color="000000"/>
              <w:right w:val="single" w:sz="4" w:space="0" w:color="000000"/>
            </w:tcBorders>
            <w:shd w:val="clear" w:color="auto" w:fill="D2D2D2"/>
          </w:tcPr>
          <w:p>
            <w:pPr/>
          </w:p>
        </w:tc>
        <w:tc>
          <w:tcPr>
            <w:tcW w:w="1219" w:type="dxa"/>
            <w:vMerge w:val="restart"/>
            <w:tcBorders>
              <w:top w:val="nil" w:sz="6" w:space="0" w:color="auto"/>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213"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219" w:type="dxa"/>
            <w:vMerge w:val="restart"/>
            <w:tcBorders>
              <w:top w:val="nil" w:sz="6" w:space="0" w:color="auto"/>
              <w:left w:val="single" w:sz="4" w:space="0" w:color="000000"/>
              <w:right w:val="single" w:sz="4" w:space="0" w:color="000000"/>
            </w:tcBorders>
            <w:shd w:val="clear" w:color="auto" w:fill="D2D2D2"/>
          </w:tcPr>
          <w:p>
            <w:pPr/>
          </w:p>
        </w:tc>
        <w:tc>
          <w:tcPr>
            <w:tcW w:w="1213" w:type="dxa"/>
            <w:vMerge w:val="restart"/>
            <w:tcBorders>
              <w:top w:val="nil" w:sz="6" w:space="0" w:color="auto"/>
              <w:left w:val="single" w:sz="4" w:space="0" w:color="000000"/>
              <w:right w:val="single" w:sz="4" w:space="0" w:color="000000"/>
            </w:tcBorders>
            <w:shd w:val="clear" w:color="auto" w:fill="D2D2D2"/>
          </w:tcPr>
          <w:p>
            <w:pPr/>
          </w:p>
        </w:tc>
        <w:tc>
          <w:tcPr>
            <w:tcW w:w="1073"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208" w:type="dxa"/>
            <w:vMerge/>
            <w:tcBorders>
              <w:left w:val="single" w:sz="4" w:space="0" w:color="000000"/>
              <w:bottom w:val="single" w:sz="4" w:space="0" w:color="000000"/>
              <w:right w:val="single" w:sz="4" w:space="0" w:color="000000"/>
            </w:tcBorders>
            <w:shd w:val="clear" w:color="auto" w:fill="D2D2D2"/>
          </w:tcPr>
          <w:p>
            <w:pPr/>
          </w:p>
        </w:tc>
        <w:tc>
          <w:tcPr>
            <w:tcW w:w="1219"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3"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9" w:type="dxa"/>
            <w:vMerge/>
            <w:tcBorders>
              <w:left w:val="single" w:sz="4" w:space="0" w:color="000000"/>
              <w:bottom w:val="single" w:sz="4" w:space="0" w:color="000000"/>
              <w:right w:val="single" w:sz="4" w:space="0" w:color="000000"/>
            </w:tcBorders>
            <w:shd w:val="clear" w:color="auto" w:fill="D2D2D2"/>
          </w:tcPr>
          <w:p>
            <w:pPr/>
          </w:p>
        </w:tc>
        <w:tc>
          <w:tcPr>
            <w:tcW w:w="1213" w:type="dxa"/>
            <w:vMerge/>
            <w:tcBorders>
              <w:left w:val="single" w:sz="4" w:space="0" w:color="000000"/>
              <w:bottom w:val="single" w:sz="4" w:space="0" w:color="000000"/>
              <w:right w:val="single" w:sz="4" w:space="0" w:color="000000"/>
            </w:tcBorders>
            <w:shd w:val="clear" w:color="auto" w:fill="D2D2D2"/>
          </w:tcPr>
          <w:p>
            <w:pPr/>
          </w:p>
        </w:tc>
        <w:tc>
          <w:tcPr>
            <w:tcW w:w="1073"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8352"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 融资产</w:t>
            </w:r>
          </w:p>
        </w:tc>
        <w:tc>
          <w:tcPr>
            <w:tcW w:w="12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12,125,860.00</w:t>
            </w:r>
          </w:p>
        </w:tc>
        <w:tc>
          <w:tcPr>
            <w:tcW w:w="1207"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1,139,500.00</w:t>
            </w:r>
          </w:p>
        </w:tc>
        <w:tc>
          <w:tcPr>
            <w:tcW w:w="121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23,520,860.0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r>
      <w:tr>
        <w:trPr>
          <w:trHeight w:val="161" w:hRule="exact"/>
        </w:trPr>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9"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8" w:right="0"/>
              <w:jc w:val="left"/>
              <w:rPr>
                <w:rFonts w:ascii="Times New Roman" w:hAnsi="Times New Roman" w:cs="Times New Roman" w:eastAsia="Times New Roman" w:hint="default"/>
                <w:sz w:val="18"/>
                <w:szCs w:val="18"/>
              </w:rPr>
            </w:pPr>
            <w:r>
              <w:rPr>
                <w:rFonts w:ascii="Times New Roman"/>
                <w:sz w:val="18"/>
              </w:rPr>
              <w:t>12,125,860.00</w:t>
            </w:r>
          </w:p>
        </w:tc>
        <w:tc>
          <w:tcPr>
            <w:tcW w:w="1207" w:type="dxa"/>
            <w:vMerge w:val="restart"/>
            <w:tcBorders>
              <w:top w:val="single" w:sz="4" w:space="0" w:color="000000"/>
              <w:left w:val="single" w:sz="4" w:space="0" w:color="000000"/>
              <w:right w:val="single" w:sz="4" w:space="0" w:color="000000"/>
            </w:tcBorders>
          </w:tcPr>
          <w:p>
            <w:pPr/>
          </w:p>
        </w:tc>
        <w:tc>
          <w:tcPr>
            <w:tcW w:w="1213" w:type="dxa"/>
            <w:vMerge w:val="restart"/>
            <w:tcBorders>
              <w:top w:val="single" w:sz="4" w:space="0" w:color="000000"/>
              <w:left w:val="single" w:sz="4" w:space="0" w:color="000000"/>
              <w:right w:val="single" w:sz="4" w:space="0" w:color="000000"/>
            </w:tcBorders>
          </w:tcPr>
          <w:p>
            <w:pPr/>
          </w:p>
        </w:tc>
        <w:tc>
          <w:tcPr>
            <w:tcW w:w="1207" w:type="dxa"/>
            <w:vMerge w:val="restart"/>
            <w:tcBorders>
              <w:top w:val="single" w:sz="4" w:space="0" w:color="000000"/>
              <w:left w:val="single" w:sz="4" w:space="0" w:color="000000"/>
              <w:right w:val="single" w:sz="4" w:space="0" w:color="000000"/>
            </w:tcBorders>
          </w:tcPr>
          <w:p>
            <w:pPr/>
          </w:p>
        </w:tc>
        <w:tc>
          <w:tcPr>
            <w:tcW w:w="121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1,139,500.00</w:t>
            </w:r>
          </w:p>
        </w:tc>
        <w:tc>
          <w:tcPr>
            <w:tcW w:w="1213" w:type="dxa"/>
            <w:vMerge w:val="restart"/>
            <w:tcBorders>
              <w:top w:val="single" w:sz="4" w:space="0" w:color="000000"/>
              <w:left w:val="single" w:sz="4" w:space="0" w:color="000000"/>
              <w:right w:val="single" w:sz="4" w:space="0" w:color="000000"/>
            </w:tcBorders>
          </w:tcPr>
          <w:p>
            <w:pPr/>
          </w:p>
        </w:tc>
        <w:tc>
          <w:tcPr>
            <w:tcW w:w="107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23,520,860.0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12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219" w:type="dxa"/>
            <w:vMerge/>
            <w:tcBorders>
              <w:left w:val="single" w:sz="10" w:space="0" w:color="D2D2D2"/>
              <w:right w:val="single" w:sz="4" w:space="0" w:color="000000"/>
            </w:tcBorders>
          </w:tcPr>
          <w:p>
            <w:pPr/>
          </w:p>
        </w:tc>
        <w:tc>
          <w:tcPr>
            <w:tcW w:w="1207" w:type="dxa"/>
            <w:vMerge/>
            <w:tcBorders>
              <w:left w:val="single" w:sz="4" w:space="0" w:color="000000"/>
              <w:right w:val="single" w:sz="4" w:space="0" w:color="000000"/>
            </w:tcBorders>
          </w:tcPr>
          <w:p>
            <w:pPr/>
          </w:p>
        </w:tc>
        <w:tc>
          <w:tcPr>
            <w:tcW w:w="1213" w:type="dxa"/>
            <w:vMerge/>
            <w:tcBorders>
              <w:left w:val="single" w:sz="4" w:space="0" w:color="000000"/>
              <w:right w:val="single" w:sz="4" w:space="0" w:color="000000"/>
            </w:tcBorders>
          </w:tcPr>
          <w:p>
            <w:pPr/>
          </w:p>
        </w:tc>
        <w:tc>
          <w:tcPr>
            <w:tcW w:w="1207" w:type="dxa"/>
            <w:vMerge/>
            <w:tcBorders>
              <w:left w:val="single" w:sz="4" w:space="0" w:color="000000"/>
              <w:right w:val="single" w:sz="4" w:space="0" w:color="000000"/>
            </w:tcBorders>
          </w:tcPr>
          <w:p>
            <w:pPr/>
          </w:p>
        </w:tc>
        <w:tc>
          <w:tcPr>
            <w:tcW w:w="1219" w:type="dxa"/>
            <w:vMerge/>
            <w:tcBorders>
              <w:left w:val="single" w:sz="4" w:space="0" w:color="000000"/>
              <w:right w:val="single" w:sz="4" w:space="0" w:color="000000"/>
            </w:tcBorders>
          </w:tcPr>
          <w:p>
            <w:pPr/>
          </w:p>
        </w:tc>
        <w:tc>
          <w:tcPr>
            <w:tcW w:w="1213" w:type="dxa"/>
            <w:vMerge/>
            <w:tcBorders>
              <w:left w:val="single" w:sz="4" w:space="0" w:color="000000"/>
              <w:right w:val="single" w:sz="4" w:space="0" w:color="000000"/>
            </w:tcBorders>
          </w:tcPr>
          <w:p>
            <w:pPr/>
          </w:p>
        </w:tc>
        <w:tc>
          <w:tcPr>
            <w:tcW w:w="1073" w:type="dxa"/>
            <w:vMerge/>
            <w:tcBorders>
              <w:left w:val="single" w:sz="4" w:space="0" w:color="000000"/>
              <w:right w:val="single" w:sz="4" w:space="0" w:color="000000"/>
            </w:tcBorders>
          </w:tcPr>
          <w:p>
            <w:pPr/>
          </w:p>
        </w:tc>
      </w:tr>
      <w:tr>
        <w:trPr>
          <w:trHeight w:val="161" w:hRule="exact"/>
        </w:trPr>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9" w:type="dxa"/>
            <w:vMerge/>
            <w:tcBorders>
              <w:left w:val="single" w:sz="10" w:space="0" w:color="D2D2D2"/>
              <w:bottom w:val="single" w:sz="4" w:space="0" w:color="000000"/>
              <w:right w:val="single" w:sz="4" w:space="0" w:color="000000"/>
            </w:tcBorders>
          </w:tcPr>
          <w:p>
            <w:pPr/>
          </w:p>
        </w:tc>
        <w:tc>
          <w:tcPr>
            <w:tcW w:w="1207" w:type="dxa"/>
            <w:vMerge/>
            <w:tcBorders>
              <w:left w:val="single" w:sz="4" w:space="0" w:color="000000"/>
              <w:bottom w:val="single" w:sz="4" w:space="0" w:color="000000"/>
              <w:right w:val="single" w:sz="4" w:space="0" w:color="000000"/>
            </w:tcBorders>
          </w:tcPr>
          <w:p>
            <w:pPr/>
          </w:p>
        </w:tc>
        <w:tc>
          <w:tcPr>
            <w:tcW w:w="1213" w:type="dxa"/>
            <w:vMerge/>
            <w:tcBorders>
              <w:left w:val="single" w:sz="4" w:space="0" w:color="000000"/>
              <w:bottom w:val="single" w:sz="4" w:space="0" w:color="000000"/>
              <w:right w:val="single" w:sz="4" w:space="0" w:color="000000"/>
            </w:tcBorders>
          </w:tcPr>
          <w:p>
            <w:pPr/>
          </w:p>
        </w:tc>
        <w:tc>
          <w:tcPr>
            <w:tcW w:w="1207" w:type="dxa"/>
            <w:vMerge/>
            <w:tcBorders>
              <w:left w:val="single" w:sz="4" w:space="0" w:color="000000"/>
              <w:bottom w:val="single" w:sz="4" w:space="0" w:color="000000"/>
              <w:right w:val="single" w:sz="4" w:space="0" w:color="000000"/>
            </w:tcBorders>
          </w:tcPr>
          <w:p>
            <w:pPr/>
          </w:p>
        </w:tc>
        <w:tc>
          <w:tcPr>
            <w:tcW w:w="1219" w:type="dxa"/>
            <w:vMerge/>
            <w:tcBorders>
              <w:left w:val="single" w:sz="4" w:space="0" w:color="000000"/>
              <w:bottom w:val="single" w:sz="4" w:space="0" w:color="000000"/>
              <w:right w:val="single" w:sz="4" w:space="0" w:color="000000"/>
            </w:tcBorders>
          </w:tcPr>
          <w:p>
            <w:pPr/>
          </w:p>
        </w:tc>
        <w:tc>
          <w:tcPr>
            <w:tcW w:w="1213" w:type="dxa"/>
            <w:vMerge/>
            <w:tcBorders>
              <w:left w:val="single" w:sz="4" w:space="0" w:color="000000"/>
              <w:bottom w:val="single" w:sz="4" w:space="0" w:color="000000"/>
              <w:right w:val="single" w:sz="4" w:space="0" w:color="000000"/>
            </w:tcBorders>
          </w:tcPr>
          <w:p>
            <w:pPr/>
          </w:p>
        </w:tc>
        <w:tc>
          <w:tcPr>
            <w:tcW w:w="1073" w:type="dxa"/>
            <w:vMerge/>
            <w:tcBorders>
              <w:left w:val="single" w:sz="4" w:space="0" w:color="000000"/>
              <w:bottom w:val="single" w:sz="4" w:space="0" w:color="000000"/>
              <w:right w:val="single" w:sz="4" w:space="0" w:color="000000"/>
            </w:tcBorders>
          </w:tcPr>
          <w:p>
            <w:pPr/>
          </w:p>
        </w:tc>
      </w:tr>
      <w:tr>
        <w:trPr>
          <w:trHeight w:val="161" w:hRule="exact"/>
        </w:trPr>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9"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8" w:right="0"/>
              <w:jc w:val="left"/>
              <w:rPr>
                <w:rFonts w:ascii="Times New Roman" w:hAnsi="Times New Roman" w:cs="Times New Roman" w:eastAsia="Times New Roman" w:hint="default"/>
                <w:sz w:val="18"/>
                <w:szCs w:val="18"/>
              </w:rPr>
            </w:pPr>
            <w:r>
              <w:rPr>
                <w:rFonts w:ascii="Times New Roman"/>
                <w:sz w:val="18"/>
              </w:rPr>
              <w:t>12,125,860.00</w:t>
            </w:r>
          </w:p>
        </w:tc>
        <w:tc>
          <w:tcPr>
            <w:tcW w:w="1207" w:type="dxa"/>
            <w:vMerge w:val="restart"/>
            <w:tcBorders>
              <w:top w:val="single" w:sz="4" w:space="0" w:color="000000"/>
              <w:left w:val="single" w:sz="4" w:space="0" w:color="000000"/>
              <w:right w:val="single" w:sz="4" w:space="0" w:color="000000"/>
            </w:tcBorders>
          </w:tcPr>
          <w:p>
            <w:pPr/>
          </w:p>
        </w:tc>
        <w:tc>
          <w:tcPr>
            <w:tcW w:w="1213" w:type="dxa"/>
            <w:vMerge w:val="restart"/>
            <w:tcBorders>
              <w:top w:val="single" w:sz="4" w:space="0" w:color="000000"/>
              <w:left w:val="single" w:sz="4" w:space="0" w:color="000000"/>
              <w:right w:val="single" w:sz="4" w:space="0" w:color="000000"/>
            </w:tcBorders>
          </w:tcPr>
          <w:p>
            <w:pPr/>
          </w:p>
        </w:tc>
        <w:tc>
          <w:tcPr>
            <w:tcW w:w="1207" w:type="dxa"/>
            <w:vMerge w:val="restart"/>
            <w:tcBorders>
              <w:top w:val="single" w:sz="4" w:space="0" w:color="000000"/>
              <w:left w:val="single" w:sz="4" w:space="0" w:color="000000"/>
              <w:right w:val="single" w:sz="4" w:space="0" w:color="000000"/>
            </w:tcBorders>
          </w:tcPr>
          <w:p>
            <w:pPr/>
          </w:p>
        </w:tc>
        <w:tc>
          <w:tcPr>
            <w:tcW w:w="121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1,139,500.00</w:t>
            </w:r>
          </w:p>
        </w:tc>
        <w:tc>
          <w:tcPr>
            <w:tcW w:w="1213" w:type="dxa"/>
            <w:vMerge w:val="restart"/>
            <w:tcBorders>
              <w:top w:val="single" w:sz="4" w:space="0" w:color="000000"/>
              <w:left w:val="single" w:sz="4" w:space="0" w:color="000000"/>
              <w:right w:val="single" w:sz="4" w:space="0" w:color="000000"/>
            </w:tcBorders>
          </w:tcPr>
          <w:p>
            <w:pPr/>
          </w:p>
        </w:tc>
        <w:tc>
          <w:tcPr>
            <w:tcW w:w="107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23,520,860.0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12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219" w:type="dxa"/>
            <w:vMerge/>
            <w:tcBorders>
              <w:left w:val="single" w:sz="10" w:space="0" w:color="D2D2D2"/>
              <w:right w:val="single" w:sz="4" w:space="0" w:color="000000"/>
            </w:tcBorders>
          </w:tcPr>
          <w:p>
            <w:pPr/>
          </w:p>
        </w:tc>
        <w:tc>
          <w:tcPr>
            <w:tcW w:w="1207" w:type="dxa"/>
            <w:vMerge/>
            <w:tcBorders>
              <w:left w:val="single" w:sz="4" w:space="0" w:color="000000"/>
              <w:right w:val="single" w:sz="4" w:space="0" w:color="000000"/>
            </w:tcBorders>
          </w:tcPr>
          <w:p>
            <w:pPr/>
          </w:p>
        </w:tc>
        <w:tc>
          <w:tcPr>
            <w:tcW w:w="1213" w:type="dxa"/>
            <w:vMerge/>
            <w:tcBorders>
              <w:left w:val="single" w:sz="4" w:space="0" w:color="000000"/>
              <w:right w:val="single" w:sz="4" w:space="0" w:color="000000"/>
            </w:tcBorders>
          </w:tcPr>
          <w:p>
            <w:pPr/>
          </w:p>
        </w:tc>
        <w:tc>
          <w:tcPr>
            <w:tcW w:w="1207" w:type="dxa"/>
            <w:vMerge/>
            <w:tcBorders>
              <w:left w:val="single" w:sz="4" w:space="0" w:color="000000"/>
              <w:right w:val="single" w:sz="4" w:space="0" w:color="000000"/>
            </w:tcBorders>
          </w:tcPr>
          <w:p>
            <w:pPr/>
          </w:p>
        </w:tc>
        <w:tc>
          <w:tcPr>
            <w:tcW w:w="1219" w:type="dxa"/>
            <w:vMerge/>
            <w:tcBorders>
              <w:left w:val="single" w:sz="4" w:space="0" w:color="000000"/>
              <w:right w:val="single" w:sz="4" w:space="0" w:color="000000"/>
            </w:tcBorders>
          </w:tcPr>
          <w:p>
            <w:pPr/>
          </w:p>
        </w:tc>
        <w:tc>
          <w:tcPr>
            <w:tcW w:w="1213" w:type="dxa"/>
            <w:vMerge/>
            <w:tcBorders>
              <w:left w:val="single" w:sz="4" w:space="0" w:color="000000"/>
              <w:right w:val="single" w:sz="4" w:space="0" w:color="000000"/>
            </w:tcBorders>
          </w:tcPr>
          <w:p>
            <w:pPr/>
          </w:p>
        </w:tc>
        <w:tc>
          <w:tcPr>
            <w:tcW w:w="1073" w:type="dxa"/>
            <w:vMerge/>
            <w:tcBorders>
              <w:left w:val="single" w:sz="4" w:space="0" w:color="000000"/>
              <w:right w:val="single" w:sz="4" w:space="0" w:color="000000"/>
            </w:tcBorders>
          </w:tcPr>
          <w:p>
            <w:pPr/>
          </w:p>
        </w:tc>
      </w:tr>
      <w:tr>
        <w:trPr>
          <w:trHeight w:val="161" w:hRule="exact"/>
        </w:trPr>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9" w:type="dxa"/>
            <w:vMerge/>
            <w:tcBorders>
              <w:left w:val="single" w:sz="10" w:space="0" w:color="D2D2D2"/>
              <w:bottom w:val="single" w:sz="4" w:space="0" w:color="000000"/>
              <w:right w:val="single" w:sz="4" w:space="0" w:color="000000"/>
            </w:tcBorders>
          </w:tcPr>
          <w:p>
            <w:pPr/>
          </w:p>
        </w:tc>
        <w:tc>
          <w:tcPr>
            <w:tcW w:w="1207" w:type="dxa"/>
            <w:vMerge/>
            <w:tcBorders>
              <w:left w:val="single" w:sz="4" w:space="0" w:color="000000"/>
              <w:bottom w:val="single" w:sz="4" w:space="0" w:color="000000"/>
              <w:right w:val="single" w:sz="4" w:space="0" w:color="000000"/>
            </w:tcBorders>
          </w:tcPr>
          <w:p>
            <w:pPr/>
          </w:p>
        </w:tc>
        <w:tc>
          <w:tcPr>
            <w:tcW w:w="1213" w:type="dxa"/>
            <w:vMerge/>
            <w:tcBorders>
              <w:left w:val="single" w:sz="4" w:space="0" w:color="000000"/>
              <w:bottom w:val="single" w:sz="4" w:space="0" w:color="000000"/>
              <w:right w:val="single" w:sz="4" w:space="0" w:color="000000"/>
            </w:tcBorders>
          </w:tcPr>
          <w:p>
            <w:pPr/>
          </w:p>
        </w:tc>
        <w:tc>
          <w:tcPr>
            <w:tcW w:w="1207" w:type="dxa"/>
            <w:vMerge/>
            <w:tcBorders>
              <w:left w:val="single" w:sz="4" w:space="0" w:color="000000"/>
              <w:bottom w:val="single" w:sz="4" w:space="0" w:color="000000"/>
              <w:right w:val="single" w:sz="4" w:space="0" w:color="000000"/>
            </w:tcBorders>
          </w:tcPr>
          <w:p>
            <w:pPr/>
          </w:p>
        </w:tc>
        <w:tc>
          <w:tcPr>
            <w:tcW w:w="1219" w:type="dxa"/>
            <w:vMerge/>
            <w:tcBorders>
              <w:left w:val="single" w:sz="4" w:space="0" w:color="000000"/>
              <w:bottom w:val="single" w:sz="4" w:space="0" w:color="000000"/>
              <w:right w:val="single" w:sz="4" w:space="0" w:color="000000"/>
            </w:tcBorders>
          </w:tcPr>
          <w:p>
            <w:pPr/>
          </w:p>
        </w:tc>
        <w:tc>
          <w:tcPr>
            <w:tcW w:w="1213" w:type="dxa"/>
            <w:vMerge/>
            <w:tcBorders>
              <w:left w:val="single" w:sz="4" w:space="0" w:color="000000"/>
              <w:bottom w:val="single" w:sz="4" w:space="0" w:color="000000"/>
              <w:right w:val="single" w:sz="4" w:space="0" w:color="000000"/>
            </w:tcBorders>
          </w:tcPr>
          <w:p>
            <w:pPr/>
          </w:p>
        </w:tc>
        <w:tc>
          <w:tcPr>
            <w:tcW w:w="1073" w:type="dxa"/>
            <w:vMerge/>
            <w:tcBorders>
              <w:left w:val="single" w:sz="4" w:space="0" w:color="000000"/>
              <w:bottom w:val="single" w:sz="4" w:space="0" w:color="000000"/>
              <w:right w:val="single" w:sz="4" w:space="0" w:color="000000"/>
            </w:tcBorders>
          </w:tcPr>
          <w:p>
            <w:pPr/>
          </w:p>
        </w:tc>
      </w:tr>
      <w:tr>
        <w:trPr>
          <w:trHeight w:val="402"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2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1,686,707.72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报告期内公司主要资产计量属性是否发生重大变化</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五、投资状况分析" w:id="43"/>
      <w:bookmarkEnd w:id="43"/>
      <w:r>
        <w:rPr>
          <w:b w:val="0"/>
          <w:bCs w:val="0"/>
        </w:rPr>
      </w:r>
      <w:r>
        <w:rPr/>
        <w:t>五、投资状况分析</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总体情况" w:id="44"/>
      <w:bookmarkEnd w:id="44"/>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266,643,936.00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97,979,500.00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172.14%</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报告期内获取的重大的股权投资情况" w:id="45"/>
      <w:bookmarkEnd w:id="45"/>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54"/>
        <w:gridCol w:w="652"/>
        <w:gridCol w:w="623"/>
        <w:gridCol w:w="622"/>
        <w:gridCol w:w="622"/>
        <w:gridCol w:w="623"/>
        <w:gridCol w:w="618"/>
        <w:gridCol w:w="616"/>
        <w:gridCol w:w="618"/>
        <w:gridCol w:w="592"/>
        <w:gridCol w:w="593"/>
        <w:gridCol w:w="693"/>
        <w:gridCol w:w="690"/>
        <w:gridCol w:w="690"/>
        <w:gridCol w:w="668"/>
      </w:tblGrid>
      <w:tr>
        <w:trPr>
          <w:trHeight w:val="2274" w:hRule="exact"/>
        </w:trPr>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51" w:right="51"/>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30" w:right="49"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17" w:right="3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16" w:right="35"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16" w:right="3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17" w:right="34"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12" w:right="31"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13" w:right="32"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 w:right="109"/>
              <w:jc w:val="both"/>
              <w:rPr>
                <w:rFonts w:ascii="宋体" w:hAnsi="宋体" w:cs="宋体" w:eastAsia="宋体" w:hint="default"/>
                <w:sz w:val="18"/>
                <w:szCs w:val="18"/>
              </w:rPr>
            </w:pPr>
            <w:r>
              <w:rPr>
                <w:rFonts w:ascii="宋体" w:hAnsi="宋体" w:cs="宋体" w:eastAsia="宋体" w:hint="default"/>
                <w:sz w:val="18"/>
                <w:szCs w:val="18"/>
              </w:rPr>
              <w:t>截至 资产 负债 表日 的进 展情 况</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111" w:right="109"/>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70" w:right="70"/>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49" w:right="68"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58" w:right="59"/>
              <w:jc w:val="both"/>
              <w:rPr>
                <w:rFonts w:ascii="宋体" w:hAnsi="宋体" w:cs="宋体" w:eastAsia="宋体" w:hint="default"/>
                <w:sz w:val="18"/>
                <w:szCs w:val="18"/>
              </w:rPr>
            </w:pPr>
            <w:r>
              <w:rPr>
                <w:rFonts w:ascii="宋体" w:hAnsi="宋体" w:cs="宋体" w:eastAsia="宋体" w:hint="default"/>
                <w:sz w:val="18"/>
                <w:szCs w:val="18"/>
              </w:rPr>
              <w:t>披露索 引（如 有）</w:t>
            </w:r>
          </w:p>
        </w:tc>
      </w:tr>
    </w:tbl>
    <w:p>
      <w:pPr>
        <w:spacing w:after="0" w:line="319"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54"/>
        <w:gridCol w:w="652"/>
        <w:gridCol w:w="623"/>
        <w:gridCol w:w="622"/>
        <w:gridCol w:w="622"/>
        <w:gridCol w:w="623"/>
        <w:gridCol w:w="618"/>
        <w:gridCol w:w="616"/>
        <w:gridCol w:w="618"/>
        <w:gridCol w:w="592"/>
        <w:gridCol w:w="593"/>
        <w:gridCol w:w="693"/>
        <w:gridCol w:w="690"/>
        <w:gridCol w:w="690"/>
        <w:gridCol w:w="668"/>
      </w:tblGrid>
      <w:tr>
        <w:trPr>
          <w:trHeight w:val="2586"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22" w:right="81"/>
              <w:jc w:val="left"/>
              <w:rPr>
                <w:rFonts w:ascii="宋体" w:hAnsi="宋体" w:cs="宋体" w:eastAsia="宋体" w:hint="default"/>
                <w:sz w:val="18"/>
                <w:szCs w:val="18"/>
              </w:rPr>
            </w:pPr>
            <w:r>
              <w:rPr>
                <w:rFonts w:ascii="宋体" w:hAnsi="宋体" w:cs="宋体" w:eastAsia="宋体" w:hint="default"/>
                <w:sz w:val="18"/>
                <w:szCs w:val="18"/>
              </w:rPr>
              <w:t>湖南方 正达</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FPC</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生</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产销售</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收购</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201,55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9,504.0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56.24%</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3" w:right="47"/>
              <w:jc w:val="both"/>
              <w:rPr>
                <w:rFonts w:ascii="宋体" w:hAnsi="宋体" w:cs="宋体" w:eastAsia="宋体" w:hint="default"/>
                <w:sz w:val="18"/>
                <w:szCs w:val="18"/>
              </w:rPr>
            </w:pPr>
            <w:r>
              <w:rPr>
                <w:rFonts w:ascii="宋体" w:hAnsi="宋体" w:cs="宋体" w:eastAsia="宋体" w:hint="default"/>
                <w:sz w:val="18"/>
                <w:szCs w:val="18"/>
              </w:rPr>
              <w:t>发行股 份并配 套募集 资金</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2" w:right="43"/>
              <w:jc w:val="left"/>
              <w:rPr>
                <w:rFonts w:ascii="宋体" w:hAnsi="宋体" w:cs="宋体" w:eastAsia="宋体" w:hint="default"/>
                <w:sz w:val="18"/>
                <w:szCs w:val="18"/>
              </w:rPr>
            </w:pPr>
            <w:r>
              <w:rPr>
                <w:rFonts w:ascii="宋体" w:hAnsi="宋体" w:cs="宋体" w:eastAsia="宋体" w:hint="default"/>
                <w:sz w:val="18"/>
                <w:szCs w:val="18"/>
              </w:rPr>
              <w:t>方笑 求、蓝 顺明</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21"/>
              <w:jc w:val="right"/>
              <w:rPr>
                <w:rFonts w:ascii="宋体" w:hAnsi="宋体" w:cs="宋体" w:eastAsia="宋体" w:hint="default"/>
                <w:sz w:val="18"/>
                <w:szCs w:val="18"/>
              </w:rPr>
            </w:pPr>
            <w:r>
              <w:rPr>
                <w:rFonts w:ascii="宋体" w:hAnsi="宋体" w:cs="宋体" w:eastAsia="宋体" w:hint="default"/>
                <w:sz w:val="18"/>
                <w:szCs w:val="18"/>
              </w:rPr>
              <w:t>长期</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64"/>
              <w:jc w:val="right"/>
              <w:rPr>
                <w:rFonts w:ascii="Times New Roman" w:hAnsi="Times New Roman" w:cs="Times New Roman" w:eastAsia="Times New Roman" w:hint="default"/>
                <w:sz w:val="18"/>
                <w:szCs w:val="18"/>
              </w:rPr>
            </w:pPr>
            <w:r>
              <w:rPr>
                <w:rFonts w:ascii="Times New Roman"/>
                <w:spacing w:val="-1"/>
                <w:w w:val="95"/>
                <w:sz w:val="18"/>
              </w:rPr>
              <w:t>FPC</w:t>
            </w:r>
            <w:r>
              <w:rPr>
                <w:rFonts w:ascii="Times New Roman"/>
                <w:sz w:val="18"/>
              </w:rPr>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97"/>
              <w:jc w:val="both"/>
              <w:rPr>
                <w:rFonts w:ascii="宋体" w:hAnsi="宋体" w:cs="宋体" w:eastAsia="宋体" w:hint="default"/>
                <w:sz w:val="18"/>
                <w:szCs w:val="18"/>
              </w:rPr>
            </w:pPr>
            <w:r>
              <w:rPr>
                <w:rFonts w:ascii="宋体" w:hAnsi="宋体" w:cs="宋体" w:eastAsia="宋体" w:hint="default"/>
                <w:sz w:val="18"/>
                <w:szCs w:val="18"/>
              </w:rPr>
              <w:t>所涉 及的 资产 产权 已全 部过 户</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24,498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,144.0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22,955,7</w:t>
            </w:r>
          </w:p>
          <w:p>
            <w:pPr>
              <w:pStyle w:val="TableParagraph"/>
              <w:spacing w:line="240" w:lineRule="auto" w:before="106"/>
              <w:ind w:left="256" w:right="0"/>
              <w:jc w:val="left"/>
              <w:rPr>
                <w:rFonts w:ascii="Times New Roman" w:hAnsi="Times New Roman" w:cs="Times New Roman" w:eastAsia="Times New Roman" w:hint="default"/>
                <w:sz w:val="18"/>
                <w:szCs w:val="18"/>
              </w:rPr>
            </w:pPr>
            <w:r>
              <w:rPr>
                <w:rFonts w:ascii="Times New Roman"/>
                <w:sz w:val="18"/>
              </w:rPr>
              <w:t>79.38</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巨潮资 讯网</w:t>
            </w:r>
            <w:r>
              <w:rPr>
                <w:rFonts w:ascii="Times New Roman" w:hAnsi="Times New Roman" w:cs="Times New Roman" w:eastAsia="Times New Roman" w:hint="default"/>
                <w:sz w:val="18"/>
                <w:szCs w:val="18"/>
              </w:rPr>
              <w:t>-</w:t>
            </w:r>
            <w:r>
              <w:rPr>
                <w:rFonts w:ascii="宋体" w:hAnsi="宋体" w:cs="宋体" w:eastAsia="宋体" w:hint="default"/>
                <w:sz w:val="18"/>
                <w:szCs w:val="18"/>
              </w:rPr>
              <w:t>关 于方正 达完成 增资工 商变更 登记的 公告</w:t>
            </w:r>
          </w:p>
        </w:tc>
      </w:tr>
      <w:tr>
        <w:trPr>
          <w:trHeight w:val="1026" w:hRule="exact"/>
        </w:trPr>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5"/>
              <w:jc w:val="right"/>
              <w:rPr>
                <w:rFonts w:ascii="Times New Roman" w:hAnsi="Times New Roman" w:cs="Times New Roman" w:eastAsia="Times New Roman" w:hint="default"/>
                <w:sz w:val="18"/>
                <w:szCs w:val="18"/>
              </w:rPr>
            </w:pPr>
            <w:r>
              <w:rPr>
                <w:rFonts w:ascii="Times New Roman"/>
                <w:sz w:val="18"/>
              </w:rPr>
              <w:t>--</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201,55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9,504.0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1"/>
              <w:jc w:val="right"/>
              <w:rPr>
                <w:rFonts w:ascii="Times New Roman" w:hAnsi="Times New Roman" w:cs="Times New Roman" w:eastAsia="Times New Roman" w:hint="default"/>
                <w:sz w:val="18"/>
                <w:szCs w:val="18"/>
              </w:rPr>
            </w:pPr>
            <w:r>
              <w:rPr>
                <w:rFonts w:ascii="Times New Roman"/>
                <w:sz w:val="18"/>
              </w:rPr>
              <w:t>--</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2"/>
              <w:jc w:val="right"/>
              <w:rPr>
                <w:rFonts w:ascii="Times New Roman" w:hAnsi="Times New Roman" w:cs="Times New Roman" w:eastAsia="Times New Roman" w:hint="default"/>
                <w:sz w:val="18"/>
                <w:szCs w:val="18"/>
              </w:rPr>
            </w:pPr>
            <w:r>
              <w:rPr>
                <w:rFonts w:ascii="Times New Roman"/>
                <w:sz w:val="18"/>
              </w:rPr>
              <w:t>--</w:t>
            </w:r>
          </w:p>
        </w:tc>
        <w:tc>
          <w:tcPr>
            <w:tcW w:w="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24,498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,144.0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22,955,7</w:t>
            </w:r>
          </w:p>
          <w:p>
            <w:pPr>
              <w:pStyle w:val="TableParagraph"/>
              <w:spacing w:line="240" w:lineRule="auto" w:before="106"/>
              <w:ind w:left="256" w:right="0"/>
              <w:jc w:val="left"/>
              <w:rPr>
                <w:rFonts w:ascii="Times New Roman" w:hAnsi="Times New Roman" w:cs="Times New Roman" w:eastAsia="Times New Roman" w:hint="default"/>
                <w:sz w:val="18"/>
                <w:szCs w:val="18"/>
              </w:rPr>
            </w:pPr>
            <w:r>
              <w:rPr>
                <w:rFonts w:ascii="Times New Roman"/>
                <w:sz w:val="18"/>
              </w:rPr>
              <w:t>79.38</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3、报告期内正在进行的重大的非股权投资情况" w:id="46"/>
      <w:bookmarkEnd w:id="46"/>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4、以公允价值计量的金融资产" w:id="47"/>
      <w:bookmarkEnd w:id="47"/>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5、募集资金使用情况" w:id="48"/>
      <w:bookmarkEnd w:id="48"/>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1）募集资金总体使用情况" w:id="49"/>
      <w:bookmarkEnd w:id="49"/>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337"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0"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026"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85"/>
              <w:jc w:val="center"/>
              <w:rPr>
                <w:rFonts w:ascii="宋体" w:hAnsi="宋体" w:cs="宋体" w:eastAsia="宋体" w:hint="default"/>
                <w:sz w:val="18"/>
                <w:szCs w:val="18"/>
              </w:rPr>
            </w:pPr>
            <w:r>
              <w:rPr>
                <w:rFonts w:ascii="宋体" w:hAnsi="宋体" w:cs="宋体" w:eastAsia="宋体" w:hint="default"/>
                <w:sz w:val="18"/>
                <w:szCs w:val="18"/>
              </w:rPr>
              <w:t>发行新股</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41,418.55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2,959.06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25,961.35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3,285.27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5"/>
              <w:jc w:val="both"/>
              <w:rPr>
                <w:rFonts w:ascii="宋体" w:hAnsi="宋体" w:cs="宋体" w:eastAsia="宋体" w:hint="default"/>
                <w:sz w:val="18"/>
                <w:szCs w:val="18"/>
              </w:rPr>
            </w:pPr>
            <w:r>
              <w:rPr>
                <w:rFonts w:ascii="宋体" w:hAnsi="宋体" w:cs="宋体" w:eastAsia="宋体" w:hint="default"/>
                <w:sz w:val="18"/>
                <w:szCs w:val="18"/>
              </w:rPr>
              <w:t>存放于募 集资金专 户中</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left"/>
              <w:rPr>
                <w:rFonts w:ascii="宋体" w:hAnsi="宋体" w:cs="宋体" w:eastAsia="宋体" w:hint="default"/>
                <w:sz w:val="18"/>
                <w:szCs w:val="18"/>
              </w:rPr>
            </w:pPr>
            <w:r>
              <w:rPr>
                <w:rFonts w:ascii="宋体" w:hAnsi="宋体" w:cs="宋体" w:eastAsia="宋体" w:hint="default"/>
                <w:sz w:val="18"/>
                <w:szCs w:val="18"/>
              </w:rPr>
              <w:t>非公开发 行</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4,947.57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4,947.57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2" w:right="0"/>
              <w:jc w:val="center"/>
              <w:rPr>
                <w:rFonts w:ascii="Times New Roman" w:hAnsi="Times New Roman" w:cs="Times New Roman" w:eastAsia="Times New Roman" w:hint="default"/>
                <w:sz w:val="18"/>
                <w:szCs w:val="18"/>
              </w:rPr>
            </w:pPr>
            <w:r>
              <w:rPr>
                <w:rFonts w:ascii="Times New Roman"/>
                <w:sz w:val="18"/>
              </w:rPr>
              <w:t>4,947.57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88" w:right="0"/>
              <w:jc w:val="center"/>
              <w:rPr>
                <w:rFonts w:ascii="Times New Roman" w:hAnsi="Times New Roman" w:cs="Times New Roman" w:eastAsia="Times New Roman" w:hint="default"/>
                <w:sz w:val="18"/>
                <w:szCs w:val="18"/>
              </w:rPr>
            </w:pPr>
            <w:r>
              <w:rPr>
                <w:rFonts w:ascii="Times New Roman"/>
                <w:sz w:val="18"/>
              </w:rPr>
              <w:t>46,366.12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7,906.63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2" w:right="0"/>
              <w:jc w:val="center"/>
              <w:rPr>
                <w:rFonts w:ascii="Times New Roman" w:hAnsi="Times New Roman" w:cs="Times New Roman" w:eastAsia="Times New Roman" w:hint="default"/>
                <w:sz w:val="18"/>
                <w:szCs w:val="18"/>
              </w:rPr>
            </w:pPr>
            <w:r>
              <w:rPr>
                <w:rFonts w:ascii="Times New Roman"/>
                <w:sz w:val="18"/>
              </w:rPr>
              <w:t>30,908.92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z w:val="18"/>
              </w:rPr>
              <w:t>3,285.27</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986"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8"/>
              <w:jc w:val="left"/>
              <w:rPr>
                <w:rFonts w:ascii="宋体" w:hAnsi="宋体" w:cs="宋体" w:eastAsia="宋体" w:hint="default"/>
                <w:sz w:val="18"/>
                <w:szCs w:val="18"/>
              </w:rPr>
            </w:pPr>
            <w:r>
              <w:rPr>
                <w:rFonts w:ascii="宋体" w:hAnsi="宋体" w:cs="宋体" w:eastAsia="宋体" w:hint="default"/>
                <w:sz w:val="18"/>
                <w:szCs w:val="18"/>
              </w:rPr>
              <w:t>（一）首次公开发行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股茂硕电源科技股份有限公司经中国证券监督管理委员会（证监许可</w:t>
            </w:r>
            <w:r>
              <w:rPr>
                <w:rFonts w:ascii="Times New Roman" w:hAnsi="Times New Roman" w:cs="Times New Roman" w:eastAsia="Times New Roman" w:hint="default"/>
                <w:sz w:val="18"/>
                <w:szCs w:val="18"/>
              </w:rPr>
              <w:t>[2012]186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号文）核准，由主 承销商民生证券有限责任公司采用网下询价配售与网上资金申购定价发行相结合的方式发行人民币普通股（</w:t>
            </w:r>
            <w:r>
              <w:rPr>
                <w:rFonts w:ascii="Times New Roman" w:hAnsi="Times New Roman" w:cs="Times New Roman" w:eastAsia="Times New Roman" w:hint="default"/>
                <w:sz w:val="18"/>
                <w:szCs w:val="18"/>
              </w:rPr>
              <w:t>A </w:t>
            </w:r>
            <w:r>
              <w:rPr>
                <w:rFonts w:ascii="宋体" w:hAnsi="宋体" w:cs="宋体" w:eastAsia="宋体" w:hint="default"/>
                <w:sz w:val="18"/>
                <w:szCs w:val="18"/>
              </w:rPr>
              <w:t>股） </w:t>
            </w:r>
            <w:r>
              <w:rPr>
                <w:rFonts w:ascii="Times New Roman" w:hAnsi="Times New Roman" w:cs="Times New Roman" w:eastAsia="Times New Roman" w:hint="default"/>
                <w:sz w:val="18"/>
                <w:szCs w:val="18"/>
              </w:rPr>
              <w:t>24,280,000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股，发行价格为每股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元。本次发行募集资金总额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44,918.00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万元，减除发行费用人民币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3,499.45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万元后，</w:t>
            </w:r>
          </w:p>
        </w:tc>
      </w:tr>
    </w:tbl>
    <w:p>
      <w:pPr>
        <w:spacing w:after="0" w:line="30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1"/>
        <w:rPr>
          <w:rFonts w:ascii="宋体" w:hAnsi="宋体" w:cs="宋体" w:eastAsia="宋体" w:hint="default"/>
          <w:sz w:val="28"/>
          <w:szCs w:val="28"/>
        </w:rPr>
      </w:pPr>
    </w:p>
    <w:p>
      <w:pPr>
        <w:spacing w:line="3794" w:lineRule="exact"/>
        <w:ind w:left="154" w:right="0" w:firstLine="0"/>
        <w:rPr>
          <w:rFonts w:ascii="宋体" w:hAnsi="宋体" w:cs="宋体" w:eastAsia="宋体" w:hint="default"/>
          <w:sz w:val="20"/>
          <w:szCs w:val="20"/>
        </w:rPr>
      </w:pPr>
      <w:r>
        <w:rPr>
          <w:rFonts w:ascii="宋体" w:hAnsi="宋体" w:cs="宋体" w:eastAsia="宋体" w:hint="default"/>
          <w:position w:val="-75"/>
          <w:sz w:val="20"/>
          <w:szCs w:val="20"/>
        </w:rPr>
        <w:pict>
          <v:shape style="width:478.3pt;height:189.75pt;mso-position-horizontal-relative:char;mso-position-vertical-relative:line" type="#_x0000_t202" filled="false" stroked="true" strokeweight=".48pt" strokecolor="#000000">
            <w10:anchorlock/>
            <v:textbox inset="0,0,0,0">
              <w:txbxContent>
                <w:p>
                  <w:pPr>
                    <w:spacing w:line="300" w:lineRule="auto" w:before="10"/>
                    <w:ind w:left="22" w:right="22" w:firstLine="0"/>
                    <w:jc w:val="both"/>
                    <w:rPr>
                      <w:rFonts w:ascii="宋体" w:hAnsi="宋体" w:cs="宋体" w:eastAsia="宋体" w:hint="default"/>
                      <w:sz w:val="18"/>
                      <w:szCs w:val="18"/>
                    </w:rPr>
                  </w:pPr>
                  <w:r>
                    <w:rPr>
                      <w:rFonts w:ascii="宋体" w:hAnsi="宋体" w:cs="宋体" w:eastAsia="宋体" w:hint="default"/>
                      <w:sz w:val="18"/>
                      <w:szCs w:val="18"/>
                    </w:rPr>
                    <w:t>公司募集资金净额为人民币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41,418.55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万元。上述资金到位情况经深圳市鹏城会计师事务所有限公司于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出 具的深鹏所验字</w:t>
                  </w:r>
                  <w:r>
                    <w:rPr>
                      <w:rFonts w:ascii="Times New Roman" w:hAnsi="Times New Roman" w:cs="Times New Roman" w:eastAsia="Times New Roman" w:hint="default"/>
                      <w:sz w:val="18"/>
                      <w:szCs w:val="18"/>
                    </w:rPr>
                    <w:t>[2012]0051 </w:t>
                  </w:r>
                  <w:r>
                    <w:rPr>
                      <w:rFonts w:ascii="宋体" w:hAnsi="宋体" w:cs="宋体" w:eastAsia="宋体" w:hint="default"/>
                      <w:sz w:val="18"/>
                      <w:szCs w:val="18"/>
                    </w:rPr>
                    <w:t>号验资报告验证确认。</w:t>
                  </w:r>
                  <w:r>
                    <w:rPr>
                      <w:rFonts w:ascii="宋体" w:hAnsi="宋体" w:cs="宋体" w:eastAsia="宋体" w:hint="default"/>
                      <w:spacing w:val="-10"/>
                      <w:sz w:val="18"/>
                      <w:szCs w:val="18"/>
                    </w:rPr>
                    <w:t> </w:t>
                  </w:r>
                  <w:r>
                    <w:rPr>
                      <w:rFonts w:ascii="宋体" w:hAnsi="宋体" w:cs="宋体" w:eastAsia="宋体" w:hint="default"/>
                      <w:sz w:val="18"/>
                      <w:szCs w:val="18"/>
                    </w:rPr>
                    <w:t>根据公司的招股说明书，公司将运用本次募集资金投资</w:t>
                  </w:r>
                  <w:r>
                    <w:rPr>
                      <w:rFonts w:ascii="Times New Roman" w:hAnsi="Times New Roman" w:cs="Times New Roman" w:eastAsia="Times New Roman" w:hint="default"/>
                      <w:sz w:val="18"/>
                      <w:szCs w:val="18"/>
                    </w:rPr>
                    <w:t>“</w:t>
                  </w:r>
                  <w:r>
                    <w:rPr>
                      <w:rFonts w:ascii="宋体" w:hAnsi="宋体" w:cs="宋体" w:eastAsia="宋体" w:hint="default"/>
                      <w:sz w:val="18"/>
                      <w:szCs w:val="18"/>
                    </w:rPr>
                    <w:t>惠州茂硕能源 科技有限公司电源驱动生产项目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惠州茂硕能源科技有限公司研发中心建设项目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惠州茂硕能源科技有限公司信息化 系统建设项目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三个项目，计划使用募集资金</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27,317.00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万元；扣除上述募投项目资金需求总额外，公司此次超额募集资金</w:t>
                  </w:r>
                </w:p>
                <w:p>
                  <w:pPr>
                    <w:spacing w:line="309" w:lineRule="auto" w:before="13"/>
                    <w:ind w:left="22" w:right="23" w:firstLine="0"/>
                    <w:jc w:val="left"/>
                    <w:rPr>
                      <w:rFonts w:ascii="宋体" w:hAnsi="宋体" w:cs="宋体" w:eastAsia="宋体" w:hint="default"/>
                      <w:sz w:val="18"/>
                      <w:szCs w:val="18"/>
                    </w:rPr>
                  </w:pPr>
                  <w:r>
                    <w:rPr>
                      <w:rFonts w:ascii="宋体" w:hAnsi="宋体" w:cs="宋体" w:eastAsia="宋体" w:hint="default"/>
                      <w:sz w:val="18"/>
                      <w:szCs w:val="18"/>
                    </w:rPr>
                    <w:t>净额部分为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14,101.55</w:t>
                  </w:r>
                  <w:r>
                    <w:rPr>
                      <w:rFonts w:ascii="Times New Roman" w:hAnsi="Times New Roman" w:cs="Times New Roman" w:eastAsia="Times New Roman" w:hint="default"/>
                      <w:spacing w:val="-1"/>
                      <w:sz w:val="18"/>
                      <w:szCs w:val="18"/>
                    </w:rPr>
                    <w:t> </w:t>
                  </w:r>
                  <w:r>
                    <w:rPr>
                      <w:rFonts w:ascii="宋体" w:hAnsi="宋体" w:cs="宋体" w:eastAsia="宋体" w:hint="default"/>
                      <w:spacing w:val="-2"/>
                      <w:sz w:val="18"/>
                      <w:szCs w:val="18"/>
                    </w:rPr>
                    <w:t>万元。（二）发行股票购买资产（湖南方正达）项目经中国证券监督管理委员会证监许可</w:t>
                  </w:r>
                  <w:r>
                    <w:rPr>
                      <w:rFonts w:ascii="Times New Roman" w:hAnsi="Times New Roman" w:cs="Times New Roman" w:eastAsia="Times New Roman" w:hint="default"/>
                      <w:spacing w:val="-2"/>
                      <w:sz w:val="18"/>
                      <w:szCs w:val="18"/>
                    </w:rPr>
                    <w:t>[2015]233</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pacing w:val="-1"/>
                      <w:sz w:val="18"/>
                      <w:szCs w:val="18"/>
                    </w:rPr>
                    <w:t>号文件《关于核准茂硕电源科技股份有限公司向方笑求等发行股份购买资产并募集配套资金的批复》核准：公司向方笑求</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发行</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935</w:t>
                  </w:r>
                  <w:r>
                    <w:rPr>
                      <w:rFonts w:ascii="Times New Roman" w:hAnsi="Times New Roman" w:cs="Times New Roman" w:eastAsia="Times New Roman" w:hint="default"/>
                      <w:spacing w:val="-7"/>
                      <w:sz w:val="18"/>
                      <w:szCs w:val="18"/>
                    </w:rPr>
                    <w:t> </w:t>
                  </w:r>
                  <w:r>
                    <w:rPr>
                      <w:rFonts w:ascii="宋体" w:hAnsi="宋体" w:cs="宋体" w:eastAsia="宋体" w:hint="default"/>
                      <w:spacing w:val="-4"/>
                      <w:sz w:val="18"/>
                      <w:szCs w:val="18"/>
                    </w:rPr>
                    <w:t>万股股份、向蓝顺明发行</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935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万股份购买相关资产；公司非公开发行不超过</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623.33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万股新股募集本次发行股份购</w:t>
                  </w:r>
                </w:p>
                <w:p>
                  <w:pPr>
                    <w:spacing w:before="5"/>
                    <w:ind w:left="22" w:right="0" w:firstLine="0"/>
                    <w:jc w:val="both"/>
                    <w:rPr>
                      <w:rFonts w:ascii="宋体" w:hAnsi="宋体" w:cs="宋体" w:eastAsia="宋体" w:hint="default"/>
                      <w:sz w:val="18"/>
                      <w:szCs w:val="18"/>
                    </w:rPr>
                  </w:pPr>
                  <w:r>
                    <w:rPr>
                      <w:rFonts w:ascii="宋体" w:hAnsi="宋体" w:cs="宋体" w:eastAsia="宋体" w:hint="default"/>
                      <w:sz w:val="18"/>
                      <w:szCs w:val="18"/>
                    </w:rPr>
                    <w:t>买资产的配套资金。本公司非公开发行股份</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623.33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万股，由自然人宗佩民、曹国熊各认购</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311.665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万股，每股面值人民币</w:t>
                  </w:r>
                </w:p>
                <w:p>
                  <w:pPr>
                    <w:spacing w:before="63"/>
                    <w:ind w:left="2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元，每股价格人民币</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8.64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元，总价值人民币</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5,385.5712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万元，扣除发生的券商承销佣金</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438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万元，实际净筹得募集资金</w:t>
                  </w:r>
                </w:p>
                <w:p>
                  <w:pPr>
                    <w:spacing w:before="63"/>
                    <w:ind w:left="22" w:right="0" w:firstLine="0"/>
                    <w:jc w:val="both"/>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4,947.5712</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万元。经瑞华会计师事务所（特殊普通合伙）于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日出具的瑞华验字</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48060005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号验</w:t>
                  </w:r>
                </w:p>
                <w:p>
                  <w:pPr>
                    <w:spacing w:before="63"/>
                    <w:ind w:left="22" w:right="0" w:firstLine="0"/>
                    <w:jc w:val="both"/>
                    <w:rPr>
                      <w:rFonts w:ascii="Times New Roman" w:hAnsi="Times New Roman" w:cs="Times New Roman" w:eastAsia="Times New Roman" w:hint="default"/>
                      <w:sz w:val="18"/>
                      <w:szCs w:val="18"/>
                    </w:rPr>
                  </w:pPr>
                  <w:r>
                    <w:rPr>
                      <w:rFonts w:ascii="宋体" w:hAnsi="宋体" w:cs="宋体" w:eastAsia="宋体" w:hint="default"/>
                      <w:spacing w:val="-3"/>
                      <w:sz w:val="18"/>
                      <w:szCs w:val="18"/>
                    </w:rPr>
                    <w:t>资报告验证，上述募集资金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44,975,712.00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元（扣除支付西南证券股份有限公司财务顾问费</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4,500,000.00</w:t>
                  </w:r>
                  <w:r>
                    <w:rPr>
                      <w:rFonts w:ascii="Times New Roman" w:hAnsi="Times New Roman" w:cs="Times New Roman" w:eastAsia="Times New Roman" w:hint="default"/>
                      <w:spacing w:val="-4"/>
                      <w:sz w:val="18"/>
                      <w:szCs w:val="18"/>
                    </w:rPr>
                    <w:t> </w:t>
                  </w:r>
                  <w:r>
                    <w:rPr>
                      <w:rFonts w:ascii="宋体" w:hAnsi="宋体" w:cs="宋体" w:eastAsia="宋体" w:hint="default"/>
                      <w:spacing w:val="-7"/>
                      <w:sz w:val="18"/>
                      <w:szCs w:val="18"/>
                    </w:rPr>
                    <w:t>元）已于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p>
                <w:p>
                  <w:pPr>
                    <w:spacing w:before="64"/>
                    <w:ind w:left="22" w:right="0" w:firstLine="0"/>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日汇入本公司华夏银行深圳高新支行的账户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10860000000309257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内。</w:t>
                  </w:r>
                </w:p>
              </w:txbxContent>
            </v:textbox>
          </v:shape>
        </w:pict>
      </w:r>
      <w:r>
        <w:rPr>
          <w:rFonts w:ascii="宋体" w:hAnsi="宋体" w:cs="宋体" w:eastAsia="宋体" w:hint="default"/>
          <w:position w:val="-75"/>
          <w:sz w:val="20"/>
          <w:szCs w:val="20"/>
        </w:rPr>
      </w:r>
    </w:p>
    <w:p>
      <w:pPr>
        <w:spacing w:line="240" w:lineRule="auto" w:before="8"/>
        <w:rPr>
          <w:rFonts w:ascii="宋体" w:hAnsi="宋体" w:cs="宋体" w:eastAsia="宋体" w:hint="default"/>
          <w:sz w:val="19"/>
          <w:szCs w:val="19"/>
        </w:rPr>
      </w:pPr>
    </w:p>
    <w:p>
      <w:pPr>
        <w:pStyle w:val="Heading4"/>
        <w:spacing w:line="240" w:lineRule="auto" w:before="35"/>
        <w:ind w:left="154" w:right="0"/>
        <w:jc w:val="left"/>
        <w:rPr>
          <w:b w:val="0"/>
          <w:bCs w:val="0"/>
        </w:rPr>
      </w:pPr>
      <w:bookmarkStart w:name="（2）募集资金承诺项目情况" w:id="50"/>
      <w:bookmarkEnd w:id="50"/>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70"/>
        <w:gridCol w:w="775"/>
        <w:gridCol w:w="784"/>
        <w:gridCol w:w="780"/>
        <w:gridCol w:w="779"/>
        <w:gridCol w:w="780"/>
        <w:gridCol w:w="784"/>
        <w:gridCol w:w="773"/>
        <w:gridCol w:w="788"/>
        <w:gridCol w:w="776"/>
        <w:gridCol w:w="780"/>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20" w:right="69"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4" w:right="19"/>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7"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1"/>
              <w:ind w:left="25" w:right="27"/>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1" w:right="19"/>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8" w:right="27"/>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1"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惠州茂硕能源科技有 限公司电源驱动生产 项目</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24,079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24,079</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2,791.54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25,005.46</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103.85%</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5"/>
                <w:sz w:val="18"/>
              </w:rPr>
              <w:t>-1,470.75</w:t>
            </w:r>
            <w:r>
              <w:rPr>
                <w:rFonts w:ascii="Times New Roman"/>
                <w:sz w:val="18"/>
              </w:rPr>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惠州茂硕能源科技有 限公司研发中心建设 项目</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1,658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1,658</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64.89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353.01</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7" w:right="0"/>
              <w:jc w:val="center"/>
              <w:rPr>
                <w:rFonts w:ascii="Times New Roman" w:hAnsi="Times New Roman" w:cs="Times New Roman" w:eastAsia="Times New Roman" w:hint="default"/>
                <w:sz w:val="18"/>
                <w:szCs w:val="18"/>
              </w:rPr>
            </w:pPr>
            <w:r>
              <w:rPr>
                <w:rFonts w:ascii="Times New Roman"/>
                <w:sz w:val="18"/>
              </w:rPr>
              <w:t>21.29%</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惠州茂硕能源科技有 限公司信息化系统建 设项目</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1,580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1,580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102.63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602.88</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7" w:right="0"/>
              <w:jc w:val="center"/>
              <w:rPr>
                <w:rFonts w:ascii="Times New Roman" w:hAnsi="Times New Roman" w:cs="Times New Roman" w:eastAsia="Times New Roman" w:hint="default"/>
                <w:sz w:val="18"/>
                <w:szCs w:val="18"/>
              </w:rPr>
            </w:pPr>
            <w:r>
              <w:rPr>
                <w:rFonts w:ascii="Times New Roman"/>
                <w:sz w:val="18"/>
              </w:rPr>
              <w:t>38.16%</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pacing w:val="-9"/>
                <w:sz w:val="18"/>
                <w:szCs w:val="18"/>
              </w:rPr>
              <w:t>重大资产重组（湖南方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正达）项目</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4,947.57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4,947.57</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4,947.57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4,947.57</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100.00%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2,295.58</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19"/>
              <w:jc w:val="right"/>
              <w:rPr>
                <w:rFonts w:ascii="Times New Roman" w:hAnsi="Times New Roman" w:cs="Times New Roman" w:eastAsia="Times New Roman" w:hint="default"/>
                <w:sz w:val="18"/>
                <w:szCs w:val="18"/>
              </w:rPr>
            </w:pPr>
            <w:r>
              <w:rPr>
                <w:rFonts w:ascii="Times New Roman"/>
                <w:sz w:val="18"/>
              </w:rPr>
              <w:t>--</w:t>
            </w:r>
          </w:p>
        </w:tc>
        <w:tc>
          <w:tcPr>
            <w:tcW w:w="78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32,264.57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32,264.57</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7,906.63</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30,908.92</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824.83</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归还银行贷款（如有</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323" w:val="left" w:leader="none"/>
              </w:tabs>
              <w:spacing w:line="240" w:lineRule="auto" w:before="56"/>
              <w:ind w:left="-128" w:right="31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w:t>
            </w:r>
          </w:p>
        </w:tc>
        <w:tc>
          <w:tcPr>
            <w:tcW w:w="78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5,000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5,000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5,000</w:t>
            </w:r>
          </w:p>
        </w:tc>
        <w:tc>
          <w:tcPr>
            <w:tcW w:w="78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6"/>
              <w:ind w:left="89" w:right="0"/>
              <w:jc w:val="center"/>
              <w:rPr>
                <w:rFonts w:ascii="Times New Roman" w:hAnsi="Times New Roman" w:cs="Times New Roman" w:eastAsia="Times New Roman" w:hint="default"/>
                <w:sz w:val="18"/>
                <w:szCs w:val="18"/>
              </w:rPr>
            </w:pPr>
            <w:r>
              <w:rPr>
                <w:rFonts w:ascii="Times New Roman"/>
                <w:sz w:val="18"/>
              </w:rPr>
              <w:t>100.00%</w:t>
            </w:r>
          </w:p>
        </w:tc>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323" w:val="left" w:leader="none"/>
              </w:tabs>
              <w:spacing w:line="240" w:lineRule="auto" w:before="51"/>
              <w:ind w:left="-128" w:right="31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w:t>
            </w:r>
          </w:p>
        </w:tc>
        <w:tc>
          <w:tcPr>
            <w:tcW w:w="78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9,695.91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9,695.91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1,582.65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9,695.91</w:t>
            </w:r>
          </w:p>
        </w:tc>
        <w:tc>
          <w:tcPr>
            <w:tcW w:w="78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100.00%</w:t>
            </w:r>
          </w:p>
        </w:tc>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19"/>
              <w:jc w:val="right"/>
              <w:rPr>
                <w:rFonts w:ascii="Times New Roman" w:hAnsi="Times New Roman" w:cs="Times New Roman" w:eastAsia="Times New Roman" w:hint="default"/>
                <w:sz w:val="18"/>
                <w:szCs w:val="18"/>
              </w:rPr>
            </w:pPr>
            <w:r>
              <w:rPr>
                <w:rFonts w:ascii="Times New Roman"/>
                <w:sz w:val="18"/>
              </w:rPr>
              <w:t>--</w:t>
            </w:r>
          </w:p>
        </w:tc>
        <w:tc>
          <w:tcPr>
            <w:tcW w:w="78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14,695.91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14,695.91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1,582.65</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14,695.91</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19"/>
              <w:jc w:val="right"/>
              <w:rPr>
                <w:rFonts w:ascii="Times New Roman" w:hAnsi="Times New Roman" w:cs="Times New Roman" w:eastAsia="Times New Roman" w:hint="default"/>
                <w:sz w:val="18"/>
                <w:szCs w:val="18"/>
              </w:rPr>
            </w:pPr>
            <w:r>
              <w:rPr>
                <w:rFonts w:ascii="Times New Roman"/>
                <w:sz w:val="18"/>
              </w:rPr>
              <w:t>--</w:t>
            </w:r>
          </w:p>
        </w:tc>
        <w:tc>
          <w:tcPr>
            <w:tcW w:w="78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46,960.48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46,960.48</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9,489.28</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45,604.83</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824.83</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spacing w:before="0"/>
        <w:ind w:left="0" w:right="1142" w:firstLine="0"/>
        <w:jc w:val="right"/>
        <w:rPr>
          <w:rFonts w:ascii="宋体" w:hAnsi="宋体" w:cs="宋体" w:eastAsia="宋体" w:hint="default"/>
          <w:sz w:val="18"/>
          <w:szCs w:val="18"/>
        </w:rPr>
      </w:pPr>
      <w:r>
        <w:rPr/>
        <w:pict>
          <v:shape style="position:absolute;margin-left:56.459999pt;margin-top:-18.648272pt;width:479.2pt;height:643.1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8"/>
                  </w:tblGrid>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、惠州茂硕能源科技有限公司电源驱动生产项目：产能尚未充分使用；</w:t>
                        </w:r>
                        <w:r>
                          <w:rPr>
                            <w:rFonts w:ascii="Times New Roman" w:hAnsi="Times New Roman" w:cs="Times New Roman" w:eastAsia="Times New Roman" w:hint="default"/>
                            <w:sz w:val="18"/>
                            <w:szCs w:val="18"/>
                          </w:rPr>
                          <w:t>2</w:t>
                        </w:r>
                        <w:r>
                          <w:rPr>
                            <w:rFonts w:ascii="宋体" w:hAnsi="宋体" w:cs="宋体" w:eastAsia="宋体" w:hint="default"/>
                            <w:sz w:val="18"/>
                            <w:szCs w:val="18"/>
                          </w:rPr>
                          <w:t>、惠州茂硕能源科技有限 公司研发中心建设项目：工厂刚落成投产，研发中心正在建设；</w:t>
                        </w:r>
                        <w:r>
                          <w:rPr>
                            <w:rFonts w:ascii="Times New Roman" w:hAnsi="Times New Roman" w:cs="Times New Roman" w:eastAsia="Times New Roman" w:hint="default"/>
                            <w:sz w:val="18"/>
                            <w:szCs w:val="18"/>
                          </w:rPr>
                          <w:t>3</w:t>
                        </w:r>
                        <w:r>
                          <w:rPr>
                            <w:rFonts w:ascii="宋体" w:hAnsi="宋体" w:cs="宋体" w:eastAsia="宋体" w:hint="default"/>
                            <w:sz w:val="18"/>
                            <w:szCs w:val="18"/>
                          </w:rPr>
                          <w:t>、生产逐步搬迁中，项目未开展 预计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2016-12-31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完成</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26"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超额募集资金部分为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14,101.55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年度永久性补充流动资金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宋体" w:hAnsi="宋体" w:cs="宋体" w:eastAsia="宋体" w:hint="default"/>
                            <w:spacing w:val="-1"/>
                            <w:sz w:val="18"/>
                            <w:szCs w:val="18"/>
                          </w:rPr>
                          <w:t> </w:t>
                        </w:r>
                        <w:r>
                          <w:rPr>
                            <w:rFonts w:ascii="宋体" w:hAnsi="宋体" w:cs="宋体" w:eastAsia="宋体" w:hint="default"/>
                            <w:sz w:val="18"/>
                            <w:szCs w:val="18"/>
                          </w:rPr>
                          <w:t>和归还银行贷款</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万元；</w:t>
                        </w:r>
                        <w:r>
                          <w:rPr>
                            <w:rFonts w:ascii="Times New Roman" w:hAnsi="Times New Roman" w:cs="Times New Roman" w:eastAsia="Times New Roman" w:hint="default"/>
                            <w:spacing w:val="-3"/>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年度永久性补充流动资金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宋体" w:hAnsi="宋体" w:cs="宋体" w:eastAsia="宋体" w:hint="default"/>
                            <w:spacing w:val="-19"/>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年度永久性补充流动资金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4,112.96 </w:t>
                        </w:r>
                        <w:r>
                          <w:rPr>
                            <w:rFonts w:ascii="宋体" w:hAnsi="宋体" w:cs="宋体" w:eastAsia="宋体" w:hint="default"/>
                            <w:sz w:val="18"/>
                            <w:szCs w:val="18"/>
                          </w:rPr>
                          <w:t>万</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年度永久性补充流动资金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1582.65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日，超募资金余额为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9"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9"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522"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、惠州茂硕能源科技有限公司电源驱动生产项目：截至</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日，公司以自筹资金预先投</w:t>
                        </w:r>
                      </w:p>
                      <w:p>
                        <w:pPr>
                          <w:pStyle w:val="TableParagraph"/>
                          <w:spacing w:line="300" w:lineRule="auto" w:before="63"/>
                          <w:ind w:left="22" w:right="21"/>
                          <w:jc w:val="both"/>
                          <w:rPr>
                            <w:rFonts w:ascii="宋体" w:hAnsi="宋体" w:cs="宋体" w:eastAsia="宋体" w:hint="default"/>
                            <w:sz w:val="18"/>
                            <w:szCs w:val="18"/>
                          </w:rPr>
                        </w:pPr>
                        <w:r>
                          <w:rPr>
                            <w:rFonts w:ascii="宋体" w:hAnsi="宋体" w:cs="宋体" w:eastAsia="宋体" w:hint="default"/>
                            <w:sz w:val="18"/>
                            <w:szCs w:val="18"/>
                          </w:rPr>
                          <w:t>入募集资金投资项目的实际投资额为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205.33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万元，经深圳市鹏城会计师事务所有限公司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深鹏所股 专字</w:t>
                        </w:r>
                        <w:r>
                          <w:rPr>
                            <w:rFonts w:ascii="Times New Roman" w:hAnsi="Times New Roman" w:cs="Times New Roman" w:eastAsia="Times New Roman" w:hint="default"/>
                            <w:sz w:val="18"/>
                            <w:szCs w:val="18"/>
                          </w:rPr>
                          <w:t>[20120478 </w:t>
                        </w:r>
                        <w:r>
                          <w:rPr>
                            <w:rFonts w:ascii="宋体" w:hAnsi="宋体" w:cs="宋体" w:eastAsia="宋体" w:hint="default"/>
                            <w:spacing w:val="-2"/>
                            <w:sz w:val="18"/>
                            <w:szCs w:val="18"/>
                          </w:rPr>
                          <w:t>号</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专项鉴证报告确认。经公司董事会审议通过，保荐机构发表明确同意意见后，公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司以募集资金置换预先已投入募集资金投资项目的自筹资金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205.33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w:t>
                        </w:r>
                        <w:r>
                          <w:rPr>
                            <w:rFonts w:ascii="宋体" w:hAnsi="宋体" w:cs="宋体" w:eastAsia="宋体" w:hint="default"/>
                            <w:sz w:val="18"/>
                            <w:szCs w:val="18"/>
                          </w:rPr>
                          <w:t>、惠州茂硕能源科技有</w:t>
                        </w:r>
                      </w:p>
                      <w:p>
                        <w:pPr>
                          <w:pStyle w:val="TableParagraph"/>
                          <w:spacing w:line="307" w:lineRule="auto" w:before="13"/>
                          <w:ind w:left="22" w:right="23"/>
                          <w:jc w:val="both"/>
                          <w:rPr>
                            <w:rFonts w:ascii="宋体" w:hAnsi="宋体" w:cs="宋体" w:eastAsia="宋体" w:hint="default"/>
                            <w:sz w:val="18"/>
                            <w:szCs w:val="18"/>
                          </w:rPr>
                        </w:pPr>
                        <w:r>
                          <w:rPr>
                            <w:rFonts w:ascii="宋体" w:hAnsi="宋体" w:cs="宋体" w:eastAsia="宋体" w:hint="default"/>
                            <w:sz w:val="18"/>
                            <w:szCs w:val="18"/>
                          </w:rPr>
                          <w:t>限公司研发中心建设项目：截至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日，公司以自筹资金预先投入募集资金投资项目的 实际投资额为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210.17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万元，经深圳市鹏城会计师事务所有限公司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深鹏所股专字</w:t>
                        </w:r>
                        <w:r>
                          <w:rPr>
                            <w:rFonts w:ascii="Times New Roman" w:hAnsi="Times New Roman" w:cs="Times New Roman" w:eastAsia="Times New Roman" w:hint="default"/>
                            <w:sz w:val="18"/>
                            <w:szCs w:val="18"/>
                          </w:rPr>
                          <w:t>[20120478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专项 鉴证报告确认。经公司董事会审议通过，保荐机构发表明确同意意见后，公司以募集资金置换预先 已投入募集资金投资项目的自筹资金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3</w:t>
                        </w: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日，公司以自筹资金预</w:t>
                        </w:r>
                      </w:p>
                      <w:p>
                        <w:pPr>
                          <w:pStyle w:val="TableParagraph"/>
                          <w:spacing w:line="300" w:lineRule="auto" w:before="7"/>
                          <w:ind w:left="22" w:right="21"/>
                          <w:jc w:val="both"/>
                          <w:rPr>
                            <w:rFonts w:ascii="宋体" w:hAnsi="宋体" w:cs="宋体" w:eastAsia="宋体" w:hint="default"/>
                            <w:sz w:val="18"/>
                            <w:szCs w:val="18"/>
                          </w:rPr>
                        </w:pPr>
                        <w:r>
                          <w:rPr>
                            <w:rFonts w:ascii="宋体" w:hAnsi="宋体" w:cs="宋体" w:eastAsia="宋体" w:hint="default"/>
                            <w:sz w:val="18"/>
                            <w:szCs w:val="18"/>
                          </w:rPr>
                          <w:t>先投入募集资金投资项目的实际投资额为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498.42</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万元，经瑞华会计师事务所</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特殊普通合伙</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瑞华专</w:t>
                        </w:r>
                        <w:r>
                          <w:rPr>
                            <w:rFonts w:ascii="宋体" w:hAnsi="宋体" w:cs="宋体" w:eastAsia="宋体" w:hint="default"/>
                            <w:sz w:val="18"/>
                            <w:szCs w:val="18"/>
                          </w:rPr>
                          <w:t> 审字【</w:t>
                        </w:r>
                        <w:r>
                          <w:rPr>
                            <w:rFonts w:ascii="Times New Roman" w:hAnsi="Times New Roman" w:cs="Times New Roman" w:eastAsia="Times New Roman" w:hint="default"/>
                            <w:sz w:val="18"/>
                            <w:szCs w:val="18"/>
                          </w:rPr>
                          <w:t>2015</w:t>
                        </w:r>
                        <w:r>
                          <w:rPr>
                            <w:rFonts w:ascii="宋体" w:hAnsi="宋体" w:cs="宋体" w:eastAsia="宋体" w:hint="default"/>
                            <w:sz w:val="18"/>
                            <w:szCs w:val="18"/>
                          </w:rPr>
                          <w:t>】</w:t>
                        </w:r>
                        <w:r>
                          <w:rPr>
                            <w:rFonts w:ascii="Times New Roman" w:hAnsi="Times New Roman" w:cs="Times New Roman" w:eastAsia="Times New Roman" w:hint="default"/>
                            <w:sz w:val="18"/>
                            <w:szCs w:val="18"/>
                          </w:rPr>
                          <w:t>48060007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确认。</w:t>
                        </w:r>
                        <w:r>
                          <w:rPr>
                            <w:rFonts w:ascii="宋体" w:hAnsi="宋体" w:cs="宋体" w:eastAsia="宋体" w:hint="default"/>
                            <w:spacing w:val="-34"/>
                            <w:sz w:val="18"/>
                            <w:szCs w:val="18"/>
                          </w:rPr>
                          <w:t> </w:t>
                        </w:r>
                        <w:r>
                          <w:rPr>
                            <w:rFonts w:ascii="宋体" w:hAnsi="宋体" w:cs="宋体" w:eastAsia="宋体" w:hint="default"/>
                            <w:sz w:val="18"/>
                            <w:szCs w:val="18"/>
                          </w:rPr>
                          <w:t>经公司董事会审议通过，保荐机构发表明确同意意见后，公司以</w:t>
                        </w:r>
                        <w:r>
                          <w:rPr>
                            <w:rFonts w:ascii="宋体" w:hAnsi="宋体" w:cs="宋体" w:eastAsia="宋体" w:hint="default"/>
                            <w:sz w:val="18"/>
                            <w:szCs w:val="18"/>
                          </w:rPr>
                          <w:t> 募集资金置换预先已投入募集资金投资项目的自筹资金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498.42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FFFFFF"/>
                          <w:right w:val="single" w:sz="4" w:space="0" w:color="000000"/>
                        </w:tcBorders>
                      </w:tcPr>
                      <w:p>
                        <w:pP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项目尚未完结。</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存放于募集资金专户中</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3）募集资金变更项目情况" w:id="51"/>
      <w:bookmarkEnd w:id="51"/>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3" w:right="73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公司报告期不存在募集资金变更项目情况。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六、重大资产和股权出售" w:id="52"/>
      <w:bookmarkEnd w:id="52"/>
      <w:r>
        <w:rPr>
          <w:b w:val="0"/>
          <w:bCs w:val="0"/>
        </w:rPr>
      </w: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出售重大资产情况" w:id="53"/>
      <w:bookmarkEnd w:id="53"/>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公司报告期未出售重大资产。</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bookmarkStart w:name="2、出售重大股权情况" w:id="54"/>
      <w:bookmarkEnd w:id="54"/>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七、主要控股参股公司分析" w:id="55"/>
      <w:bookmarkEnd w:id="55"/>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before="44"/>
        <w:ind w:left="15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53" w:right="-19"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pict>
          <v:shape style="position:absolute;margin-left:197.537003pt;margin-top:37.591728pt;width:75.95pt;height:117pt;mso-position-horizontal-relative:page;mso-position-vertical-relative:paragraph;z-index:-1125832"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销售：</w:t>
                  </w:r>
                </w:p>
              </w:txbxContent>
            </v:textbox>
            <w10:wrap type="none"/>
          </v:shape>
        </w:pict>
      </w:r>
      <w:r>
        <w:rPr/>
        <w:pict>
          <v:group style="position:absolute;margin-left:221.720001pt;margin-top:37.591728pt;width:51.75pt;height:152.8pt;mso-position-horizontal-relative:page;mso-position-vertical-relative:paragraph;z-index:-1125808" coordorigin="4434,752" coordsize="1035,3056">
            <v:group style="position:absolute;left:4434;top:752;width:1035;height:2340" coordorigin="4434,752" coordsize="1035,2340">
              <v:shape style="position:absolute;left:4434;top:752;width:1035;height:2340" coordorigin="4434,752" coordsize="1035,2340" path="m4434,3092l5469,3092,5469,752,4434,752,4434,3092xe" filled="true" fillcolor="#ffffff" stroked="false">
                <v:path arrowok="t"/>
                <v:fill type="solid"/>
              </v:shape>
            </v:group>
            <v:group style="position:absolute;left:4446;top:3092;width:2;height:705" coordorigin="4446,3092" coordsize="2,705">
              <v:shape style="position:absolute;left:4446;top:3092;width:2;height:705" coordorigin="4446,3092" coordsize="0,705" path="m4446,3092l4446,3796e" filled="false" stroked="true" strokeweight="1.140pt" strokecolor="#ffffff">
                <v:path arrowok="t"/>
              </v:shape>
            </v:group>
            <v:group style="position:absolute;left:4457;top:3092;width:990;height:353" coordorigin="4457,3092" coordsize="990,353">
              <v:shape style="position:absolute;left:4457;top:3092;width:990;height:353" coordorigin="4457,3092" coordsize="990,353" path="m4457,3445l5446,3445,5446,3092,4457,3092,4457,3445xe" filled="true" fillcolor="#ffffff" stroked="false">
                <v:path arrowok="t"/>
                <v:fill type="solid"/>
              </v:shape>
            </v:group>
            <v:group style="position:absolute;left:4457;top:3445;width:990;height:352" coordorigin="4457,3445" coordsize="990,352">
              <v:shape style="position:absolute;left:4457;top:3445;width:990;height:352" coordorigin="4457,3445" coordsize="990,352" path="m4457,3796l5446,3796,5446,3445,4457,3445,4457,3796xe" filled="true" fillcolor="#ffffff" stroked="false">
                <v:path arrowok="t"/>
                <v:fill type="solid"/>
              </v:shape>
            </v:group>
            <w10:wrap type="none"/>
          </v:group>
        </w:pict>
      </w: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849" w:space="4070"/>
            <w:col w:w="201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398"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5399"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0"/>
              <w:ind w:left="22" w:right="119"/>
              <w:jc w:val="both"/>
              <w:rPr>
                <w:rFonts w:ascii="宋体" w:hAnsi="宋体" w:cs="宋体" w:eastAsia="宋体" w:hint="default"/>
                <w:sz w:val="18"/>
                <w:szCs w:val="18"/>
              </w:rPr>
            </w:pPr>
            <w:r>
              <w:rPr>
                <w:rFonts w:ascii="宋体" w:hAnsi="宋体" w:cs="宋体" w:eastAsia="宋体" w:hint="default"/>
                <w:sz w:val="18"/>
                <w:szCs w:val="18"/>
              </w:rPr>
              <w:t>惠州茂硕能 源科技有限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6"/>
              <w:ind w:left="22" w:right="75"/>
              <w:jc w:val="left"/>
              <w:rPr>
                <w:rFonts w:ascii="宋体" w:hAnsi="宋体" w:cs="宋体" w:eastAsia="宋体" w:hint="default"/>
                <w:sz w:val="18"/>
                <w:szCs w:val="18"/>
              </w:rPr>
            </w:pPr>
            <w:r>
              <w:rPr>
                <w:rFonts w:ascii="宋体" w:hAnsi="宋体" w:cs="宋体" w:eastAsia="宋体" w:hint="default"/>
                <w:sz w:val="18"/>
                <w:szCs w:val="18"/>
              </w:rPr>
              <w:t>生产、 大功率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 </w:t>
            </w:r>
            <w:r>
              <w:rPr>
                <w:rFonts w:ascii="宋体" w:hAnsi="宋体" w:cs="宋体" w:eastAsia="宋体" w:hint="default"/>
                <w:sz w:val="18"/>
                <w:szCs w:val="18"/>
              </w:rPr>
              <w:t>路灯电源、 隧道灯电 源、汽车充 电器、光伏 并网逆变 器、开关电 源、变压器 电子元器 件、五金塑 胶配件；物 货进出口</w:t>
            </w:r>
          </w:p>
          <w:p>
            <w:pPr>
              <w:pStyle w:val="TableParagraph"/>
              <w:spacing w:line="319" w:lineRule="auto" w:before="19"/>
              <w:ind w:left="22" w:right="20"/>
              <w:jc w:val="both"/>
              <w:rPr>
                <w:rFonts w:ascii="宋体" w:hAnsi="宋体" w:cs="宋体" w:eastAsia="宋体" w:hint="default"/>
                <w:sz w:val="18"/>
                <w:szCs w:val="18"/>
              </w:rPr>
            </w:pPr>
            <w:r>
              <w:rPr>
                <w:rFonts w:ascii="宋体" w:hAnsi="宋体" w:cs="宋体" w:eastAsia="宋体" w:hint="default"/>
                <w:sz w:val="18"/>
                <w:szCs w:val="18"/>
              </w:rPr>
              <w:t>（法律、行 政法规禁止 的、限制的 </w:t>
            </w:r>
            <w:r>
              <w:rPr>
                <w:rFonts w:ascii="宋体" w:hAnsi="宋体" w:cs="宋体" w:eastAsia="宋体" w:hint="default"/>
                <w:spacing w:val="-15"/>
                <w:sz w:val="18"/>
                <w:szCs w:val="18"/>
              </w:rPr>
              <w:t>项目除外）。</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162" w:lineRule="exact"/>
              <w:ind w:left="22" w:right="0"/>
              <w:jc w:val="left"/>
              <w:rPr>
                <w:rFonts w:ascii="Times New Roman" w:hAnsi="Times New Roman" w:cs="Times New Roman" w:eastAsia="Times New Roman" w:hint="default"/>
                <w:sz w:val="18"/>
                <w:szCs w:val="18"/>
              </w:rPr>
            </w:pPr>
            <w:r>
              <w:rPr>
                <w:rFonts w:ascii="Times New Roman"/>
                <w:spacing w:val="-4"/>
                <w:sz w:val="18"/>
              </w:rPr>
              <w:t>111,111,111.1</w:t>
            </w:r>
          </w:p>
          <w:p>
            <w:pPr>
              <w:pStyle w:val="TableParagraph"/>
              <w:spacing w:line="171"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8" w:lineRule="exact"/>
              <w:ind w:left="22" w:right="0"/>
              <w:jc w:val="left"/>
              <w:rPr>
                <w:rFonts w:ascii="Times New Roman" w:hAnsi="Times New Roman" w:cs="Times New Roman" w:eastAsia="Times New Roman" w:hint="default"/>
                <w:sz w:val="18"/>
                <w:szCs w:val="18"/>
              </w:rPr>
            </w:pPr>
            <w:r>
              <w:rPr>
                <w:rFonts w:ascii="Times New Roman"/>
                <w:sz w:val="18"/>
              </w:rPr>
              <w:t>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620,699,362.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337,324,636.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387,162,901.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-12,368,350.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-8,895,515.0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1299"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深圳茂硕新 能源科技有 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一般经营项 目：工业控 制设备、工 业自动化软</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22" w:right="0"/>
              <w:jc w:val="left"/>
              <w:rPr>
                <w:rFonts w:ascii="Times New Roman" w:hAnsi="Times New Roman" w:cs="Times New Roman" w:eastAsia="Times New Roman" w:hint="default"/>
                <w:sz w:val="18"/>
                <w:szCs w:val="18"/>
              </w:rPr>
            </w:pPr>
            <w:r>
              <w:rPr>
                <w:rFonts w:ascii="Times New Roman"/>
                <w:sz w:val="18"/>
              </w:rPr>
              <w:t>22,825,000.0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20"/>
              <w:jc w:val="right"/>
              <w:rPr>
                <w:rFonts w:ascii="Times New Roman" w:hAnsi="Times New Roman" w:cs="Times New Roman" w:eastAsia="Times New Roman" w:hint="default"/>
                <w:sz w:val="18"/>
                <w:szCs w:val="18"/>
              </w:rPr>
            </w:pPr>
            <w:r>
              <w:rPr>
                <w:rFonts w:ascii="Times New Roman"/>
                <w:spacing w:val="-1"/>
                <w:sz w:val="18"/>
              </w:rPr>
              <w:t>133,386,950.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20"/>
              <w:jc w:val="right"/>
              <w:rPr>
                <w:rFonts w:ascii="Times New Roman" w:hAnsi="Times New Roman" w:cs="Times New Roman" w:eastAsia="Times New Roman" w:hint="default"/>
                <w:sz w:val="18"/>
                <w:szCs w:val="18"/>
              </w:rPr>
            </w:pPr>
            <w:r>
              <w:rPr>
                <w:rFonts w:ascii="Times New Roman"/>
                <w:spacing w:val="-1"/>
                <w:sz w:val="18"/>
              </w:rPr>
              <w:t>29,167,913.3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21"/>
              <w:jc w:val="right"/>
              <w:rPr>
                <w:rFonts w:ascii="Times New Roman" w:hAnsi="Times New Roman" w:cs="Times New Roman" w:eastAsia="Times New Roman" w:hint="default"/>
                <w:sz w:val="18"/>
                <w:szCs w:val="18"/>
              </w:rPr>
            </w:pPr>
            <w:r>
              <w:rPr>
                <w:rFonts w:ascii="Times New Roman"/>
                <w:spacing w:val="-1"/>
                <w:sz w:val="18"/>
              </w:rPr>
              <w:t>27,535,584.9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5,161,669.56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2,608,138.19</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97.537003pt;margin-top:72.47998pt;width:75.95pt;height:563.7pt;mso-position-horizontal-relative:page;mso-position-vertical-relative:page;z-index:-112576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施工、</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317" w:hRule="exact"/>
        </w:trPr>
        <w:tc>
          <w:tcPr>
            <w:tcW w:w="1054"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件、太阳能</w:t>
            </w:r>
          </w:p>
        </w:tc>
        <w:tc>
          <w:tcPr>
            <w:tcW w:w="1046" w:type="dxa"/>
            <w:vMerge w:val="restart"/>
            <w:tcBorders>
              <w:top w:val="single" w:sz="4" w:space="0" w:color="000000"/>
              <w:left w:val="single" w:sz="4" w:space="0" w:color="000000"/>
              <w:right w:val="single" w:sz="4" w:space="0" w:color="000000"/>
            </w:tcBorders>
          </w:tcPr>
          <w:p>
            <w:pPr>
              <w:pStyle w:val="TableParagraph"/>
              <w:spacing w:line="11273" w:lineRule="exact"/>
              <w:ind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24"/>
                <w:sz w:val="20"/>
                <w:szCs w:val="20"/>
              </w:rPr>
              <w:pict>
                <v:group style="width:51.75pt;height:563.7pt;mso-position-horizontal-relative:char;mso-position-vertical-relative:line" coordorigin="0,0" coordsize="1035,11274">
                  <v:group style="position:absolute;left:0;top:0;width:1035;height:11274" coordorigin="0,0" coordsize="1035,11274">
                    <v:shape style="position:absolute;left:0;top:0;width:1035;height:11274" coordorigin="0,0" coordsize="1035,11274" path="m0,11274l1035,11274,1035,0,0,0,0,11274xe" filled="true" fillcolor="#ffffff" stroked="false">
                      <v:path arrowok="t"/>
                      <v:fill type="solid"/>
                    </v:shape>
                  </v:group>
                </v:group>
              </w:pict>
            </w:r>
            <w:r>
              <w:rPr>
                <w:rFonts w:ascii="Times New Roman" w:hAnsi="Times New Roman" w:cs="Times New Roman" w:eastAsia="Times New Roman" w:hint="default"/>
                <w:position w:val="-224"/>
                <w:sz w:val="20"/>
                <w:szCs w:val="20"/>
              </w:rPr>
            </w:r>
          </w:p>
        </w:tc>
        <w:tc>
          <w:tcPr>
            <w:tcW w:w="1045" w:type="dxa"/>
            <w:vMerge w:val="restart"/>
            <w:tcBorders>
              <w:top w:val="single" w:sz="4" w:space="0" w:color="000000"/>
              <w:left w:val="single" w:sz="4" w:space="0" w:color="000000"/>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6" w:type="dxa"/>
            <w:vMerge w:val="restart"/>
            <w:tcBorders>
              <w:top w:val="single" w:sz="4" w:space="0" w:color="000000"/>
              <w:left w:val="single" w:sz="4" w:space="0" w:color="000000"/>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6" w:type="dxa"/>
            <w:vMerge w:val="restart"/>
            <w:tcBorders>
              <w:top w:val="single" w:sz="4" w:space="0" w:color="000000"/>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光伏逆变器</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的技术开发</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与销售、电</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子电力器材</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的销售，其</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他国内贸</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易，经营进</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出口业务</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（法律、行</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政法规、国</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务院决定禁</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止的项目除</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外，限制的</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项目须取得</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许可后方可</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w:t>
            </w:r>
            <w:r>
              <w:rPr>
                <w:rFonts w:ascii="宋体" w:hAnsi="宋体" w:cs="宋体" w:eastAsia="宋体" w:hint="default"/>
                <w:spacing w:val="-90"/>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太阳</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能发电和电</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动汽车充电</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桩等新能源</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系统的设</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计、开发、</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采购、</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监理以及工</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程项目总承</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包。许可经</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营项目：生</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产并网光伏</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逆变器、离</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并网一体光</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伏逆变器、</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光伏水泵逆</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变器、优化</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器（凭有效</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3"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许可证经</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57" w:hRule="exact"/>
        </w:trPr>
        <w:tc>
          <w:tcPr>
            <w:tcW w:w="1054"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营</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046"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6"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6" w:type="dxa"/>
            <w:vMerge/>
            <w:tcBorders>
              <w:left w:val="single" w:sz="4" w:space="0" w:color="000000"/>
              <w:bottom w:val="single" w:sz="4" w:space="0" w:color="000000"/>
              <w:right w:val="single" w:sz="4" w:space="0" w:color="000000"/>
            </w:tcBorders>
          </w:tcPr>
          <w:p>
            <w:pP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海宁茂硕诺 华能源有限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太阳能电站 信息咨询、 工程施工及 实业投资</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120,250,968.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51,400,226.1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16,241,383.9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7" w:right="0"/>
              <w:jc w:val="left"/>
              <w:rPr>
                <w:rFonts w:ascii="Times New Roman" w:hAnsi="Times New Roman" w:cs="Times New Roman" w:eastAsia="Times New Roman" w:hint="default"/>
                <w:sz w:val="18"/>
                <w:szCs w:val="18"/>
              </w:rPr>
            </w:pPr>
            <w:r>
              <w:rPr>
                <w:rFonts w:ascii="Times New Roman"/>
                <w:sz w:val="18"/>
              </w:rPr>
              <w:t>1,645,395.30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8" w:right="0"/>
              <w:jc w:val="left"/>
              <w:rPr>
                <w:rFonts w:ascii="Times New Roman" w:hAnsi="Times New Roman" w:cs="Times New Roman" w:eastAsia="Times New Roman" w:hint="default"/>
                <w:sz w:val="18"/>
                <w:szCs w:val="18"/>
              </w:rPr>
            </w:pPr>
            <w:r>
              <w:rPr>
                <w:rFonts w:ascii="Times New Roman"/>
                <w:sz w:val="18"/>
              </w:rPr>
              <w:t>1,665,992.86</w:t>
            </w:r>
          </w:p>
        </w:tc>
      </w:tr>
      <w:tr>
        <w:trPr>
          <w:trHeight w:val="348"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新能源汽车</w:t>
            </w:r>
          </w:p>
        </w:tc>
        <w:tc>
          <w:tcPr>
            <w:tcW w:w="104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633"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319" w:lineRule="auto"/>
              <w:ind w:left="22" w:right="119"/>
              <w:jc w:val="left"/>
              <w:rPr>
                <w:rFonts w:ascii="宋体" w:hAnsi="宋体" w:cs="宋体" w:eastAsia="宋体" w:hint="default"/>
                <w:sz w:val="18"/>
                <w:szCs w:val="18"/>
              </w:rPr>
            </w:pPr>
            <w:r>
              <w:rPr>
                <w:rFonts w:ascii="宋体" w:hAnsi="宋体" w:cs="宋体" w:eastAsia="宋体" w:hint="default"/>
                <w:sz w:val="18"/>
                <w:szCs w:val="18"/>
              </w:rPr>
              <w:t>深圳茂硕电 气有限公司</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316" w:lineRule="auto" w:before="19"/>
              <w:ind w:left="22" w:right="110"/>
              <w:jc w:val="left"/>
              <w:rPr>
                <w:rFonts w:ascii="宋体" w:hAnsi="宋体" w:cs="宋体" w:eastAsia="宋体" w:hint="default"/>
                <w:sz w:val="18"/>
                <w:szCs w:val="18"/>
              </w:rPr>
            </w:pPr>
            <w:r>
              <w:rPr>
                <w:rFonts w:ascii="宋体" w:hAnsi="宋体" w:cs="宋体" w:eastAsia="宋体" w:hint="default"/>
                <w:sz w:val="18"/>
                <w:szCs w:val="18"/>
              </w:rPr>
              <w:t>智能充电桩 及充电柜、</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22"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18"/>
                <w:szCs w:val="18"/>
              </w:rPr>
            </w:pPr>
            <w:r>
              <w:rPr>
                <w:rFonts w:ascii="Times New Roman"/>
                <w:spacing w:val="-1"/>
                <w:sz w:val="18"/>
              </w:rPr>
              <w:t>45,455,815.3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8" w:right="0"/>
              <w:jc w:val="left"/>
              <w:rPr>
                <w:rFonts w:ascii="Times New Roman" w:hAnsi="Times New Roman" w:cs="Times New Roman" w:eastAsia="Times New Roman" w:hint="default"/>
                <w:sz w:val="18"/>
                <w:szCs w:val="18"/>
              </w:rPr>
            </w:pPr>
            <w:r>
              <w:rPr>
                <w:rFonts w:ascii="Times New Roman"/>
                <w:sz w:val="18"/>
              </w:rPr>
              <w:t>2,881,001.26</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18"/>
                <w:szCs w:val="18"/>
              </w:rPr>
            </w:pPr>
            <w:r>
              <w:rPr>
                <w:rFonts w:ascii="Times New Roman"/>
                <w:spacing w:val="-1"/>
                <w:sz w:val="18"/>
              </w:rPr>
              <w:t>26,582,357.9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18"/>
                <w:szCs w:val="18"/>
              </w:rPr>
            </w:pPr>
            <w:r>
              <w:rPr>
                <w:rFonts w:ascii="Times New Roman"/>
                <w:spacing w:val="-1"/>
                <w:sz w:val="18"/>
              </w:rPr>
              <w:t>-9,551,090.1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18"/>
                <w:szCs w:val="18"/>
              </w:rPr>
            </w:pPr>
            <w:r>
              <w:rPr>
                <w:rFonts w:ascii="Times New Roman"/>
                <w:spacing w:val="-1"/>
                <w:sz w:val="18"/>
              </w:rPr>
              <w:t>-6,928,524.8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r>
      <w:tr>
        <w:trPr>
          <w:trHeight w:val="318"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有线及无线</w:t>
            </w: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15.540009pt;margin-top:527.440002pt;width:57.95pt;height:100.4pt;mso-position-horizontal-relative:page;mso-position-vertical-relative:page;z-index:-112571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61"/>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9099"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10"/>
              <w:jc w:val="left"/>
              <w:rPr>
                <w:rFonts w:ascii="宋体" w:hAnsi="宋体" w:cs="宋体" w:eastAsia="宋体" w:hint="default"/>
                <w:sz w:val="18"/>
                <w:szCs w:val="18"/>
              </w:rPr>
            </w:pPr>
            <w:r>
              <w:rPr>
                <w:rFonts w:ascii="宋体" w:hAnsi="宋体" w:cs="宋体" w:eastAsia="宋体" w:hint="default"/>
                <w:sz w:val="18"/>
                <w:szCs w:val="18"/>
              </w:rPr>
              <w:t>充电机、智 能电力电子 变换装置、 智能监控与 网络管理及 装置、电气 控制设备的 研发和销 售；计算机 及其周边设 备、软件产 品的研发、 销售及相关 配套业务； 经营进出口 业务。许可 经营项目： 新能源汽车 智能充电桩 及充电柜、 有线及无线 充电机、智 能电力电子 变换装置、 智能监控与 网络管理及 装置、电气 控制设备的 生产。</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4731"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湖南省方正 达电子科技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普通货运</w:t>
            </w:r>
          </w:p>
          <w:p>
            <w:pPr>
              <w:pStyle w:val="TableParagraph"/>
              <w:spacing w:line="316" w:lineRule="auto" w:before="75"/>
              <w:ind w:left="22" w:right="20"/>
              <w:jc w:val="left"/>
              <w:rPr>
                <w:rFonts w:ascii="Times New Roman" w:hAnsi="Times New Roman" w:cs="Times New Roman" w:eastAsia="Times New Roman" w:hint="default"/>
                <w:sz w:val="18"/>
                <w:szCs w:val="18"/>
              </w:rPr>
            </w:pPr>
            <w:r>
              <w:rPr>
                <w:rFonts w:ascii="宋体" w:hAnsi="宋体" w:cs="宋体" w:eastAsia="宋体" w:hint="default"/>
                <w:spacing w:val="-18"/>
                <w:sz w:val="18"/>
                <w:szCs w:val="18"/>
              </w:rPr>
              <w:t>（《道路运</w:t>
            </w:r>
            <w:r>
              <w:rPr>
                <w:rFonts w:ascii="宋体" w:hAnsi="宋体" w:cs="宋体" w:eastAsia="宋体" w:hint="default"/>
                <w:sz w:val="18"/>
                <w:szCs w:val="18"/>
              </w:rPr>
              <w:t> 输经营许可 证》有效期 至</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 电子产品及 线路板的技 术开发、生 产、销售； 国内商业、 物资供销 业、货物及 技术进出口</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（不含法</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007" w:lineRule="exact"/>
              <w:ind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9"/>
                <w:sz w:val="20"/>
                <w:szCs w:val="20"/>
              </w:rPr>
              <w:pict>
                <v:group style="width:51.75pt;height:100.4pt;mso-position-horizontal-relative:char;mso-position-vertical-relative:line" coordorigin="0,0" coordsize="1035,2008">
                  <v:group style="position:absolute;left:0;top:0;width:1035;height:2008" coordorigin="0,0" coordsize="1035,2008">
                    <v:shape style="position:absolute;left:0;top:0;width:1035;height:2008" coordorigin="0,0" coordsize="1035,2008" path="m0,2008l1035,2008,1035,0,0,0,0,2008xe" filled="true" fillcolor="#ffffff" stroked="false">
                      <v:path arrowok="t"/>
                      <v:fill type="solid"/>
                    </v:shape>
                  </v:group>
                </v:group>
              </w:pict>
            </w:r>
            <w:r>
              <w:rPr>
                <w:rFonts w:ascii="Times New Roman" w:hAnsi="Times New Roman" w:cs="Times New Roman" w:eastAsia="Times New Roman" w:hint="default"/>
                <w:position w:val="-39"/>
                <w:sz w:val="20"/>
                <w:szCs w:val="20"/>
              </w:rPr>
            </w:r>
          </w:p>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30,851,885.0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307,677,148.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158,534,655.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257,988,452.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53,039,107.6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40,817,530.9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1923"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10"/>
              <w:jc w:val="left"/>
              <w:rPr>
                <w:rFonts w:ascii="宋体" w:hAnsi="宋体" w:cs="宋体" w:eastAsia="宋体" w:hint="default"/>
                <w:sz w:val="18"/>
                <w:szCs w:val="18"/>
              </w:rPr>
            </w:pPr>
            <w:r>
              <w:rPr>
                <w:rFonts w:ascii="宋体" w:hAnsi="宋体" w:cs="宋体" w:eastAsia="宋体" w:hint="default"/>
                <w:sz w:val="18"/>
                <w:szCs w:val="18"/>
              </w:rPr>
              <w:t>律、行政法 规，国务院 规定禁止及 决定需前置 审批的项 </w:t>
            </w:r>
            <w:r>
              <w:rPr>
                <w:rFonts w:ascii="宋体" w:hAnsi="宋体" w:cs="宋体" w:eastAsia="宋体" w:hint="default"/>
                <w:spacing w:val="-30"/>
                <w:sz w:val="18"/>
                <w:szCs w:val="18"/>
              </w:rPr>
              <w:t>目）。</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477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深圳茂硕电 子科技有限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开关电源、 变压器、电 感的设计、 技术开发、 生产和销 售；经营进 出口业务</w:t>
            </w:r>
          </w:p>
          <w:p>
            <w:pPr>
              <w:pStyle w:val="TableParagraph"/>
              <w:spacing w:line="319" w:lineRule="auto" w:before="19"/>
              <w:ind w:left="22" w:right="110"/>
              <w:jc w:val="both"/>
              <w:rPr>
                <w:rFonts w:ascii="宋体" w:hAnsi="宋体" w:cs="宋体" w:eastAsia="宋体" w:hint="default"/>
                <w:sz w:val="18"/>
                <w:szCs w:val="18"/>
              </w:rPr>
            </w:pPr>
            <w:r>
              <w:rPr>
                <w:rFonts w:ascii="宋体" w:hAnsi="宋体" w:cs="宋体" w:eastAsia="宋体" w:hint="default"/>
                <w:sz w:val="18"/>
                <w:szCs w:val="18"/>
              </w:rPr>
              <w:t>（法律、行 政法规、国 务院决定禁 止的项目除 外，限制的 项目须取得 许可后方可 </w:t>
            </w:r>
            <w:r>
              <w:rPr>
                <w:rFonts w:ascii="宋体" w:hAnsi="宋体" w:cs="宋体" w:eastAsia="宋体" w:hint="default"/>
                <w:spacing w:val="-23"/>
                <w:sz w:val="18"/>
                <w:szCs w:val="18"/>
              </w:rPr>
              <w:t>经营）。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30,000,000.0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137,847,439.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24,894,078.4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116,948,906.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-29,043,986.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-8,146,508.1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1026"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湖南省方正达电子科技有限公司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以非公开发行股份取得股权</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收购方正达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56.24%</w:t>
            </w:r>
            <w:r>
              <w:rPr>
                <w:rFonts w:ascii="宋体" w:hAnsi="宋体" w:cs="宋体" w:eastAsia="宋体" w:hint="default"/>
                <w:sz w:val="18"/>
                <w:szCs w:val="18"/>
              </w:rPr>
              <w:t>股权后，使公司增加 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FPC </w:t>
            </w:r>
            <w:r>
              <w:rPr>
                <w:rFonts w:ascii="宋体" w:hAnsi="宋体" w:cs="宋体" w:eastAsia="宋体" w:hint="default"/>
                <w:spacing w:val="-11"/>
                <w:sz w:val="18"/>
                <w:szCs w:val="18"/>
              </w:rPr>
              <w:t>主营业务，在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年方正达为合 并报表贡献了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2295.58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万元净利润</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主要控股参股公司情况说明</w:t>
      </w:r>
    </w:p>
    <w:p>
      <w:pPr>
        <w:spacing w:line="304" w:lineRule="auto" w:before="116"/>
        <w:ind w:left="153" w:right="1121"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、惠州茂硕能源科技有限公司：主要从事</w:t>
      </w:r>
      <w:r>
        <w:rPr>
          <w:rFonts w:ascii="Times New Roman" w:hAnsi="Times New Roman" w:cs="Times New Roman" w:eastAsia="Times New Roman" w:hint="default"/>
          <w:spacing w:val="-1"/>
          <w:sz w:val="18"/>
          <w:szCs w:val="18"/>
        </w:rPr>
        <w:t>SPS</w:t>
      </w:r>
      <w:r>
        <w:rPr>
          <w:rFonts w:ascii="宋体" w:hAnsi="宋体" w:cs="宋体" w:eastAsia="宋体" w:hint="default"/>
          <w:spacing w:val="-1"/>
          <w:sz w:val="18"/>
          <w:szCs w:val="18"/>
        </w:rPr>
        <w:t>开关电源的生产和制造，</w:t>
      </w:r>
      <w:r>
        <w:rPr>
          <w:rFonts w:ascii="Times New Roman" w:hAnsi="Times New Roman" w:cs="Times New Roman" w:eastAsia="Times New Roman" w:hint="default"/>
          <w:spacing w:val="-1"/>
          <w:sz w:val="18"/>
          <w:szCs w:val="18"/>
        </w:rPr>
        <w:t>2015</w:t>
      </w:r>
      <w:r>
        <w:rPr>
          <w:rFonts w:ascii="宋体" w:hAnsi="宋体" w:cs="宋体" w:eastAsia="宋体" w:hint="default"/>
          <w:spacing w:val="-1"/>
          <w:sz w:val="18"/>
          <w:szCs w:val="18"/>
        </w:rPr>
        <w:t>年第一季度，公司</w:t>
      </w:r>
      <w:r>
        <w:rPr>
          <w:rFonts w:ascii="Times New Roman" w:hAnsi="Times New Roman" w:cs="Times New Roman" w:eastAsia="Times New Roman" w:hint="default"/>
          <w:spacing w:val="-1"/>
          <w:sz w:val="18"/>
          <w:szCs w:val="18"/>
        </w:rPr>
        <w:t>SPS</w:t>
      </w:r>
      <w:r>
        <w:rPr>
          <w:rFonts w:ascii="宋体" w:hAnsi="宋体" w:cs="宋体" w:eastAsia="宋体" w:hint="default"/>
          <w:spacing w:val="-1"/>
          <w:sz w:val="18"/>
          <w:szCs w:val="18"/>
        </w:rPr>
        <w:t>开关电源生产制造业务逐</w:t>
      </w:r>
      <w:r>
        <w:rPr>
          <w:rFonts w:ascii="宋体" w:hAnsi="宋体" w:cs="宋体" w:eastAsia="宋体" w:hint="default"/>
          <w:sz w:val="18"/>
          <w:szCs w:val="18"/>
        </w:rPr>
        <w:t> </w:t>
      </w:r>
      <w:r>
        <w:rPr>
          <w:rFonts w:ascii="宋体" w:hAnsi="宋体" w:cs="宋体" w:eastAsia="宋体" w:hint="default"/>
          <w:spacing w:val="-1"/>
          <w:sz w:val="18"/>
          <w:szCs w:val="18"/>
        </w:rPr>
        <w:t>步从深圳搬迁到惠州，惠州茂硕产能逐步释放，</w:t>
      </w:r>
      <w:r>
        <w:rPr>
          <w:rFonts w:ascii="Times New Roman" w:hAnsi="Times New Roman" w:cs="Times New Roman" w:eastAsia="Times New Roman" w:hint="default"/>
          <w:spacing w:val="-1"/>
          <w:sz w:val="18"/>
          <w:szCs w:val="18"/>
        </w:rPr>
        <w:t>2015</w:t>
      </w:r>
      <w:r>
        <w:rPr>
          <w:rFonts w:ascii="宋体" w:hAnsi="宋体" w:cs="宋体" w:eastAsia="宋体" w:hint="default"/>
          <w:spacing w:val="-1"/>
          <w:sz w:val="18"/>
          <w:szCs w:val="18"/>
        </w:rPr>
        <w:t>年公司实现营业收入</w:t>
      </w:r>
      <w:r>
        <w:rPr>
          <w:rFonts w:ascii="Times New Roman" w:hAnsi="Times New Roman" w:cs="Times New Roman" w:eastAsia="Times New Roman" w:hint="default"/>
          <w:spacing w:val="-1"/>
          <w:sz w:val="18"/>
          <w:szCs w:val="18"/>
        </w:rPr>
        <w:t>38716.29</w:t>
      </w:r>
      <w:r>
        <w:rPr>
          <w:rFonts w:ascii="宋体" w:hAnsi="宋体" w:cs="宋体" w:eastAsia="宋体" w:hint="default"/>
          <w:spacing w:val="-1"/>
          <w:sz w:val="18"/>
          <w:szCs w:val="18"/>
        </w:rPr>
        <w:t>万元，相比</w:t>
      </w:r>
      <w:r>
        <w:rPr>
          <w:rFonts w:ascii="Times New Roman" w:hAnsi="Times New Roman" w:cs="Times New Roman" w:eastAsia="Times New Roman" w:hint="default"/>
          <w:spacing w:val="-1"/>
          <w:sz w:val="18"/>
          <w:szCs w:val="18"/>
        </w:rPr>
        <w:t>2014</w:t>
      </w:r>
      <w:r>
        <w:rPr>
          <w:rFonts w:ascii="宋体" w:hAnsi="宋体" w:cs="宋体" w:eastAsia="宋体" w:hint="default"/>
          <w:spacing w:val="-1"/>
          <w:sz w:val="18"/>
          <w:szCs w:val="18"/>
        </w:rPr>
        <w:t>年大幅增长，同时，公司</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4"/>
          <w:sz w:val="18"/>
          <w:szCs w:val="18"/>
        </w:rPr>
        <w:t>存货、应收账款等也大幅增加，导致资产规模和主要财务指标发生明显变化，</w:t>
      </w:r>
      <w:r>
        <w:rPr>
          <w:rFonts w:ascii="Times New Roman" w:hAnsi="Times New Roman" w:cs="Times New Roman" w:eastAsia="Times New Roman" w:hint="default"/>
          <w:spacing w:val="-4"/>
          <w:sz w:val="18"/>
          <w:szCs w:val="18"/>
        </w:rPr>
        <w:t>2015</w:t>
      </w:r>
      <w:r>
        <w:rPr>
          <w:rFonts w:ascii="宋体" w:hAnsi="宋体" w:cs="宋体" w:eastAsia="宋体" w:hint="default"/>
          <w:spacing w:val="-4"/>
          <w:sz w:val="18"/>
          <w:szCs w:val="18"/>
        </w:rPr>
        <w:t>年年末公司总资产</w:t>
      </w:r>
      <w:r>
        <w:rPr>
          <w:rFonts w:ascii="Times New Roman" w:hAnsi="Times New Roman" w:cs="Times New Roman" w:eastAsia="Times New Roman" w:hint="default"/>
          <w:spacing w:val="-4"/>
          <w:sz w:val="18"/>
          <w:szCs w:val="18"/>
        </w:rPr>
        <w:t>62069.93</w:t>
      </w:r>
      <w:r>
        <w:rPr>
          <w:rFonts w:ascii="宋体" w:hAnsi="宋体" w:cs="宋体" w:eastAsia="宋体" w:hint="default"/>
          <w:spacing w:val="-4"/>
          <w:sz w:val="18"/>
          <w:szCs w:val="18"/>
        </w:rPr>
        <w:t>万元，相比</w:t>
      </w:r>
      <w:r>
        <w:rPr>
          <w:rFonts w:ascii="Times New Roman" w:hAnsi="Times New Roman" w:cs="Times New Roman" w:eastAsia="Times New Roman" w:hint="default"/>
          <w:spacing w:val="-4"/>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pacing w:val="-1"/>
          <w:sz w:val="18"/>
          <w:szCs w:val="18"/>
        </w:rPr>
        <w:t>年的</w:t>
      </w:r>
      <w:r>
        <w:rPr>
          <w:rFonts w:ascii="Times New Roman" w:hAnsi="Times New Roman" w:cs="Times New Roman" w:eastAsia="Times New Roman" w:hint="default"/>
          <w:spacing w:val="-1"/>
          <w:sz w:val="18"/>
          <w:szCs w:val="18"/>
        </w:rPr>
        <w:t>38932.30</w:t>
      </w:r>
      <w:r>
        <w:rPr>
          <w:rFonts w:ascii="宋体" w:hAnsi="宋体" w:cs="宋体" w:eastAsia="宋体" w:hint="default"/>
          <w:spacing w:val="-1"/>
          <w:sz w:val="18"/>
          <w:szCs w:val="18"/>
        </w:rPr>
        <w:t>万元有较大变化。随着惠州茂硕的产能逐步稳定和增长，将会给</w:t>
      </w:r>
      <w:r>
        <w:rPr>
          <w:rFonts w:ascii="Times New Roman" w:hAnsi="Times New Roman" w:cs="Times New Roman" w:eastAsia="Times New Roman" w:hint="default"/>
          <w:spacing w:val="-1"/>
          <w:sz w:val="18"/>
          <w:szCs w:val="18"/>
        </w:rPr>
        <w:t>2016</w:t>
      </w:r>
      <w:r>
        <w:rPr>
          <w:rFonts w:ascii="宋体" w:hAnsi="宋体" w:cs="宋体" w:eastAsia="宋体" w:hint="default"/>
          <w:spacing w:val="-1"/>
          <w:sz w:val="18"/>
          <w:szCs w:val="18"/>
        </w:rPr>
        <w:t>年以及以后年度产生更多的收益和利润贡</w:t>
      </w:r>
      <w:r>
        <w:rPr>
          <w:rFonts w:ascii="宋体" w:hAnsi="宋体" w:cs="宋体" w:eastAsia="宋体" w:hint="default"/>
          <w:spacing w:val="-68"/>
          <w:sz w:val="18"/>
          <w:szCs w:val="18"/>
        </w:rPr>
        <w:t> </w:t>
      </w:r>
      <w:r>
        <w:rPr>
          <w:rFonts w:ascii="宋体" w:hAnsi="宋体" w:cs="宋体" w:eastAsia="宋体" w:hint="default"/>
          <w:sz w:val="18"/>
          <w:szCs w:val="18"/>
        </w:rPr>
        <w:t>献。 </w:t>
      </w:r>
      <w:r>
        <w:rPr>
          <w:rFonts w:ascii="Times New Roman" w:hAnsi="Times New Roman" w:cs="Times New Roman" w:eastAsia="Times New Roman" w:hint="default"/>
          <w:sz w:val="18"/>
          <w:szCs w:val="18"/>
        </w:rPr>
        <w:t>2</w:t>
      </w:r>
      <w:r>
        <w:rPr>
          <w:rFonts w:ascii="宋体" w:hAnsi="宋体" w:cs="宋体" w:eastAsia="宋体" w:hint="default"/>
          <w:sz w:val="18"/>
          <w:szCs w:val="18"/>
        </w:rPr>
        <w:t>、深圳茂硕新能源科技有限公司：主要从事光伏电站的建设和运营，本年度公司加大对太阳能光伏发电项目业务的投入， </w:t>
      </w:r>
      <w:r>
        <w:rPr>
          <w:rFonts w:ascii="宋体" w:hAnsi="宋体" w:cs="宋体" w:eastAsia="宋体" w:hint="default"/>
          <w:spacing w:val="-2"/>
          <w:sz w:val="18"/>
          <w:szCs w:val="18"/>
        </w:rPr>
        <w:t>向茂硕电源借款项目资金，用于光伏电站的建设和运营，截止到本年度，已经有两个项目正式开工在建，所以本年度公司在</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建工程大增，导致公司整体资产和负债出现明显变化，</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年年末公司总资产为</w:t>
      </w:r>
      <w:r>
        <w:rPr>
          <w:rFonts w:ascii="Times New Roman" w:hAnsi="Times New Roman" w:cs="Times New Roman" w:eastAsia="Times New Roman" w:hint="default"/>
          <w:sz w:val="18"/>
          <w:szCs w:val="18"/>
        </w:rPr>
        <w:t>13338.69</w:t>
      </w:r>
      <w:r>
        <w:rPr>
          <w:rFonts w:ascii="宋体" w:hAnsi="宋体" w:cs="宋体" w:eastAsia="宋体" w:hint="default"/>
          <w:sz w:val="18"/>
          <w:szCs w:val="18"/>
        </w:rPr>
        <w:t>万元，相比去年同期的</w:t>
      </w:r>
      <w:r>
        <w:rPr>
          <w:rFonts w:ascii="Times New Roman" w:hAnsi="Times New Roman" w:cs="Times New Roman" w:eastAsia="Times New Roman" w:hint="default"/>
          <w:sz w:val="18"/>
          <w:szCs w:val="18"/>
        </w:rPr>
        <w:t>4164.9</w:t>
      </w:r>
      <w:r>
        <w:rPr>
          <w:rFonts w:ascii="宋体" w:hAnsi="宋体" w:cs="宋体" w:eastAsia="宋体" w:hint="default"/>
          <w:sz w:val="18"/>
          <w:szCs w:val="18"/>
        </w:rPr>
        <w:t>万元 有较大的变动。随着项目的建设和完工，将于</w:t>
      </w:r>
      <w:r>
        <w:rPr>
          <w:rFonts w:ascii="Times New Roman" w:hAnsi="Times New Roman" w:cs="Times New Roman" w:eastAsia="Times New Roman" w:hint="default"/>
          <w:sz w:val="18"/>
          <w:szCs w:val="18"/>
        </w:rPr>
        <w:t>2016</w:t>
      </w:r>
      <w:r>
        <w:rPr>
          <w:rFonts w:ascii="宋体" w:hAnsi="宋体" w:cs="宋体" w:eastAsia="宋体" w:hint="default"/>
          <w:sz w:val="18"/>
          <w:szCs w:val="18"/>
        </w:rPr>
        <w:t>年正式并网发电，会给</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年及以后年度产生稳定的收益和利润贡献。 </w:t>
      </w:r>
      <w:r>
        <w:rPr>
          <w:rFonts w:ascii="Times New Roman" w:hAnsi="Times New Roman" w:cs="Times New Roman" w:eastAsia="Times New Roman" w:hint="default"/>
          <w:sz w:val="18"/>
          <w:szCs w:val="18"/>
        </w:rPr>
        <w:t>3</w:t>
      </w:r>
      <w:r>
        <w:rPr>
          <w:rFonts w:ascii="宋体" w:hAnsi="宋体" w:cs="宋体" w:eastAsia="宋体" w:hint="default"/>
          <w:sz w:val="18"/>
          <w:szCs w:val="18"/>
        </w:rPr>
        <w:t>、湖南省方正达电子科技有限公司：主要从事柔性电路板业务，</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月份，公司通过发行股份购买资产，收购方正达</w:t>
      </w:r>
    </w:p>
    <w:p>
      <w:pPr>
        <w:spacing w:line="300" w:lineRule="auto" w:before="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56.24%</w:t>
      </w:r>
      <w:r>
        <w:rPr>
          <w:rFonts w:ascii="宋体" w:hAnsi="宋体" w:cs="宋体" w:eastAsia="宋体" w:hint="default"/>
          <w:spacing w:val="-1"/>
          <w:sz w:val="18"/>
          <w:szCs w:val="18"/>
        </w:rPr>
        <w:t>的股份，</w:t>
      </w:r>
      <w:r>
        <w:rPr>
          <w:rFonts w:ascii="Times New Roman" w:hAnsi="Times New Roman" w:cs="Times New Roman" w:eastAsia="Times New Roman" w:hint="default"/>
          <w:spacing w:val="-1"/>
          <w:sz w:val="18"/>
          <w:szCs w:val="18"/>
        </w:rPr>
        <w:t>2015</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月份纳入合并报表范围，</w:t>
      </w:r>
      <w:r>
        <w:rPr>
          <w:rFonts w:ascii="Times New Roman" w:hAnsi="Times New Roman" w:cs="Times New Roman" w:eastAsia="Times New Roman" w:hint="default"/>
          <w:spacing w:val="-1"/>
          <w:sz w:val="18"/>
          <w:szCs w:val="18"/>
        </w:rPr>
        <w:t>2015</w:t>
      </w:r>
      <w:r>
        <w:rPr>
          <w:rFonts w:ascii="宋体" w:hAnsi="宋体" w:cs="宋体" w:eastAsia="宋体" w:hint="default"/>
          <w:spacing w:val="-1"/>
          <w:sz w:val="18"/>
          <w:szCs w:val="18"/>
        </w:rPr>
        <w:t>年方正达实现营业收入</w:t>
      </w:r>
      <w:r>
        <w:rPr>
          <w:rFonts w:ascii="Times New Roman" w:hAnsi="Times New Roman" w:cs="Times New Roman" w:eastAsia="Times New Roman" w:hint="default"/>
          <w:spacing w:val="-1"/>
          <w:sz w:val="18"/>
          <w:szCs w:val="18"/>
        </w:rPr>
        <w:t>28349.36</w:t>
      </w:r>
      <w:r>
        <w:rPr>
          <w:rFonts w:ascii="宋体" w:hAnsi="宋体" w:cs="宋体" w:eastAsia="宋体" w:hint="default"/>
          <w:spacing w:val="-1"/>
          <w:sz w:val="18"/>
          <w:szCs w:val="18"/>
        </w:rPr>
        <w:t>万元，实现净利润</w:t>
      </w:r>
      <w:r>
        <w:rPr>
          <w:rFonts w:ascii="Times New Roman" w:hAnsi="Times New Roman" w:cs="Times New Roman" w:eastAsia="Times New Roman" w:hint="default"/>
          <w:spacing w:val="-1"/>
          <w:sz w:val="18"/>
          <w:szCs w:val="18"/>
        </w:rPr>
        <w:t>4425.82</w:t>
      </w:r>
      <w:r>
        <w:rPr>
          <w:rFonts w:ascii="宋体" w:hAnsi="宋体" w:cs="宋体" w:eastAsia="宋体" w:hint="default"/>
          <w:spacing w:val="-1"/>
          <w:sz w:val="18"/>
          <w:szCs w:val="18"/>
        </w:rPr>
        <w:t>万元，年末</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总资产</w:t>
      </w:r>
      <w:r>
        <w:rPr>
          <w:rFonts w:ascii="Times New Roman" w:hAnsi="Times New Roman" w:cs="Times New Roman" w:eastAsia="Times New Roman" w:hint="default"/>
          <w:sz w:val="18"/>
          <w:szCs w:val="18"/>
        </w:rPr>
        <w:t>30767.71</w:t>
      </w:r>
      <w:r>
        <w:rPr>
          <w:rFonts w:ascii="宋体" w:hAnsi="宋体" w:cs="宋体" w:eastAsia="宋体" w:hint="default"/>
          <w:sz w:val="18"/>
          <w:szCs w:val="18"/>
        </w:rPr>
        <w:t>万元，负债总额</w:t>
      </w:r>
      <w:r>
        <w:rPr>
          <w:rFonts w:ascii="Times New Roman" w:hAnsi="Times New Roman" w:cs="Times New Roman" w:eastAsia="Times New Roman" w:hint="default"/>
          <w:sz w:val="18"/>
          <w:szCs w:val="18"/>
        </w:rPr>
        <w:t>14914.25</w:t>
      </w:r>
      <w:r>
        <w:rPr>
          <w:rFonts w:ascii="宋体" w:hAnsi="宋体" w:cs="宋体" w:eastAsia="宋体" w:hint="default"/>
          <w:sz w:val="18"/>
          <w:szCs w:val="18"/>
        </w:rPr>
        <w:t>万元，净资产</w:t>
      </w:r>
      <w:r>
        <w:rPr>
          <w:rFonts w:ascii="Times New Roman" w:hAnsi="Times New Roman" w:cs="Times New Roman" w:eastAsia="Times New Roman" w:hint="default"/>
          <w:sz w:val="18"/>
          <w:szCs w:val="18"/>
        </w:rPr>
        <w:t>15853.46</w:t>
      </w:r>
      <w:r>
        <w:rPr>
          <w:rFonts w:ascii="宋体" w:hAnsi="宋体" w:cs="宋体" w:eastAsia="宋体" w:hint="default"/>
          <w:sz w:val="18"/>
          <w:szCs w:val="18"/>
        </w:rPr>
        <w:t>万元。</w:t>
      </w:r>
    </w:p>
    <w:p>
      <w:pPr>
        <w:spacing w:after="0" w:line="30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both"/>
        <w:rPr>
          <w:b w:val="0"/>
          <w:bCs w:val="0"/>
        </w:rPr>
      </w:pPr>
      <w:bookmarkStart w:name="八、公司控制的结构化主体情况" w:id="56"/>
      <w:bookmarkEnd w:id="56"/>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0"/>
        <w:jc w:val="both"/>
        <w:rPr>
          <w:b w:val="0"/>
          <w:bCs w:val="0"/>
        </w:rPr>
      </w:pPr>
      <w:bookmarkStart w:name="九、公司未来发展的展望" w:id="57"/>
      <w:bookmarkEnd w:id="57"/>
      <w:r>
        <w:rPr>
          <w:b w:val="0"/>
          <w:bCs w:val="0"/>
        </w:rPr>
      </w:r>
      <w:r>
        <w:rPr/>
        <w:t>九、公司未来发展的展望</w:t>
      </w:r>
      <w:r>
        <w:rPr>
          <w:b w:val="0"/>
          <w:bCs w:val="0"/>
        </w:rPr>
      </w:r>
    </w:p>
    <w:p>
      <w:pPr>
        <w:spacing w:line="240" w:lineRule="auto" w:before="9"/>
        <w:rPr>
          <w:rFonts w:ascii="宋体" w:hAnsi="宋体" w:cs="宋体" w:eastAsia="宋体" w:hint="default"/>
          <w:b/>
          <w:bCs/>
          <w:sz w:val="26"/>
          <w:szCs w:val="26"/>
        </w:rPr>
      </w:pPr>
    </w:p>
    <w:p>
      <w:pPr>
        <w:spacing w:before="0"/>
        <w:ind w:left="513" w:right="0" w:firstLine="0"/>
        <w:jc w:val="left"/>
        <w:rPr>
          <w:rFonts w:ascii="宋体" w:hAnsi="宋体" w:cs="宋体" w:eastAsia="宋体" w:hint="default"/>
          <w:sz w:val="18"/>
          <w:szCs w:val="18"/>
        </w:rPr>
      </w:pPr>
      <w:r>
        <w:rPr>
          <w:rFonts w:ascii="宋体" w:hAnsi="宋体" w:cs="宋体" w:eastAsia="宋体" w:hint="default"/>
          <w:sz w:val="18"/>
          <w:szCs w:val="18"/>
        </w:rPr>
        <w:t>（一）行业竞争格局</w:t>
      </w:r>
    </w:p>
    <w:p>
      <w:pPr>
        <w:spacing w:line="338" w:lineRule="auto" w:before="116"/>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）、消费电子类电源市场现状 </w:t>
      </w:r>
      <w:r>
        <w:rPr>
          <w:rFonts w:ascii="宋体" w:hAnsi="宋体" w:cs="宋体" w:eastAsia="宋体" w:hint="default"/>
          <w:spacing w:val="-2"/>
          <w:sz w:val="18"/>
          <w:szCs w:val="18"/>
        </w:rPr>
        <w:t>消费电子类产品是指围绕着消费者应用而设计的与生活、工作、娱乐息息相关的电子类产品，是电子产品中技术发展最</w:t>
      </w:r>
    </w:p>
    <w:p>
      <w:pPr>
        <w:spacing w:line="319" w:lineRule="auto" w:before="2"/>
        <w:ind w:left="153" w:right="1129" w:firstLine="0"/>
        <w:jc w:val="both"/>
        <w:rPr>
          <w:rFonts w:ascii="宋体" w:hAnsi="宋体" w:cs="宋体" w:eastAsia="宋体" w:hint="default"/>
          <w:sz w:val="18"/>
          <w:szCs w:val="18"/>
        </w:rPr>
      </w:pPr>
      <w:r>
        <w:rPr>
          <w:rFonts w:ascii="宋体" w:hAnsi="宋体" w:cs="宋体" w:eastAsia="宋体" w:hint="default"/>
          <w:spacing w:val="-2"/>
          <w:sz w:val="18"/>
          <w:szCs w:val="18"/>
        </w:rPr>
        <w:t>快、技术应用最广的领域。消费电子产业发展获得了政府、社会的广泛支持，一直保持较快增长。在新技术的推动下，消费</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电子产品的深度与广度持续扩展，不断满足人们娱乐、休闲、办公等方面的需求，随着人们生活水平的提高，各种消费电子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产品进入千家万户，成为居民生活必需品，与人们生活密切相关。</w:t>
      </w:r>
    </w:p>
    <w:p>
      <w:pPr>
        <w:spacing w:line="338" w:lineRule="auto" w:before="56"/>
        <w:ind w:left="51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）、大功率</w:t>
      </w:r>
      <w:r>
        <w:rPr>
          <w:rFonts w:ascii="Times New Roman" w:hAnsi="Times New Roman" w:cs="Times New Roman" w:eastAsia="Times New Roman" w:hint="default"/>
          <w:sz w:val="18"/>
          <w:szCs w:val="18"/>
        </w:rPr>
        <w:t>LED</w:t>
      </w:r>
      <w:r>
        <w:rPr>
          <w:rFonts w:ascii="宋体" w:hAnsi="宋体" w:cs="宋体" w:eastAsia="宋体" w:hint="default"/>
          <w:sz w:val="18"/>
          <w:szCs w:val="18"/>
        </w:rPr>
        <w:t>驱动电源行业市场现状 </w:t>
      </w:r>
      <w:r>
        <w:rPr>
          <w:rFonts w:ascii="宋体" w:hAnsi="宋体" w:cs="宋体" w:eastAsia="宋体" w:hint="default"/>
          <w:spacing w:val="-2"/>
          <w:sz w:val="18"/>
          <w:szCs w:val="18"/>
        </w:rPr>
        <w:t>随着全球经济的发展，资源短缺和环境污染问题越来越显突出，全球节约能源与环保压力越来越大。</w:t>
      </w:r>
      <w:r>
        <w:rPr>
          <w:rFonts w:ascii="Times New Roman" w:hAnsi="Times New Roman" w:cs="Times New Roman" w:eastAsia="Times New Roman" w:hint="default"/>
          <w:spacing w:val="-2"/>
          <w:sz w:val="18"/>
          <w:szCs w:val="18"/>
        </w:rPr>
        <w:t>LED</w:t>
      </w:r>
      <w:r>
        <w:rPr>
          <w:rFonts w:ascii="宋体" w:hAnsi="宋体" w:cs="宋体" w:eastAsia="宋体" w:hint="default"/>
          <w:spacing w:val="-2"/>
          <w:sz w:val="18"/>
          <w:szCs w:val="18"/>
        </w:rPr>
        <w:t>产业具备显著</w:t>
      </w:r>
    </w:p>
    <w:p>
      <w:pPr>
        <w:spacing w:line="230" w:lineRule="exact"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的节能效果与提升</w:t>
      </w:r>
      <w:r>
        <w:rPr>
          <w:rFonts w:ascii="Times New Roman" w:hAnsi="Times New Roman" w:cs="Times New Roman" w:eastAsia="Times New Roman" w:hint="default"/>
          <w:sz w:val="18"/>
          <w:szCs w:val="18"/>
        </w:rPr>
        <w:t>GDP</w:t>
      </w:r>
      <w:r>
        <w:rPr>
          <w:rFonts w:ascii="宋体" w:hAnsi="宋体" w:cs="宋体" w:eastAsia="宋体" w:hint="default"/>
          <w:sz w:val="18"/>
          <w:szCs w:val="18"/>
        </w:rPr>
        <w:t>的潜力，各国政府十分重视，均将</w:t>
      </w:r>
      <w:r>
        <w:rPr>
          <w:rFonts w:ascii="Times New Roman" w:hAnsi="Times New Roman" w:cs="Times New Roman" w:eastAsia="Times New Roman" w:hint="default"/>
          <w:sz w:val="18"/>
          <w:szCs w:val="18"/>
        </w:rPr>
        <w:t>LED</w:t>
      </w:r>
      <w:r>
        <w:rPr>
          <w:rFonts w:ascii="宋体" w:hAnsi="宋体" w:cs="宋体" w:eastAsia="宋体" w:hint="default"/>
          <w:sz w:val="18"/>
          <w:szCs w:val="18"/>
        </w:rPr>
        <w:t>产业作为本国的战略性新兴产业加以扶持，推动整体产业的强</w:t>
      </w:r>
    </w:p>
    <w:p>
      <w:pPr>
        <w:spacing w:before="64"/>
        <w:ind w:left="153" w:right="0" w:firstLine="0"/>
        <w:jc w:val="both"/>
        <w:rPr>
          <w:rFonts w:ascii="宋体" w:hAnsi="宋体" w:cs="宋体" w:eastAsia="宋体" w:hint="default"/>
          <w:sz w:val="18"/>
          <w:szCs w:val="18"/>
        </w:rPr>
      </w:pPr>
      <w:r>
        <w:rPr>
          <w:rFonts w:ascii="宋体" w:hAnsi="宋体" w:cs="宋体" w:eastAsia="宋体" w:hint="default"/>
          <w:sz w:val="18"/>
          <w:szCs w:val="18"/>
        </w:rPr>
        <w:t>劲增长。</w:t>
      </w:r>
    </w:p>
    <w:p>
      <w:pPr>
        <w:spacing w:line="300" w:lineRule="auto" w:before="116"/>
        <w:ind w:left="153" w:right="1053" w:firstLine="360"/>
        <w:jc w:val="left"/>
        <w:rPr>
          <w:rFonts w:ascii="宋体" w:hAnsi="宋体" w:cs="宋体" w:eastAsia="宋体" w:hint="default"/>
          <w:sz w:val="18"/>
          <w:szCs w:val="18"/>
        </w:rPr>
      </w:pPr>
      <w:r>
        <w:rPr>
          <w:rFonts w:ascii="宋体" w:hAnsi="宋体" w:cs="宋体" w:eastAsia="宋体" w:hint="default"/>
          <w:sz w:val="18"/>
          <w:szCs w:val="18"/>
        </w:rPr>
        <w:t>大功率</w:t>
      </w:r>
      <w:r>
        <w:rPr>
          <w:rFonts w:ascii="Times New Roman" w:hAnsi="Times New Roman" w:cs="Times New Roman" w:eastAsia="Times New Roman" w:hint="default"/>
          <w:sz w:val="18"/>
          <w:szCs w:val="18"/>
        </w:rPr>
        <w:t>LED</w:t>
      </w:r>
      <w:r>
        <w:rPr>
          <w:rFonts w:ascii="宋体" w:hAnsi="宋体" w:cs="宋体" w:eastAsia="宋体" w:hint="default"/>
          <w:sz w:val="18"/>
          <w:szCs w:val="18"/>
        </w:rPr>
        <w:t>驱动电源市场与下游行业，特别是大功率</w:t>
      </w:r>
      <w:r>
        <w:rPr>
          <w:rFonts w:ascii="Times New Roman" w:hAnsi="Times New Roman" w:cs="Times New Roman" w:eastAsia="Times New Roman" w:hint="default"/>
          <w:sz w:val="18"/>
          <w:szCs w:val="18"/>
        </w:rPr>
        <w:t>LED</w:t>
      </w:r>
      <w:r>
        <w:rPr>
          <w:rFonts w:ascii="宋体" w:hAnsi="宋体" w:cs="宋体" w:eastAsia="宋体" w:hint="default"/>
          <w:sz w:val="18"/>
          <w:szCs w:val="18"/>
        </w:rPr>
        <w:t>路灯的发展密切相关。随着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各项性能参数的不断提升， </w:t>
      </w:r>
      <w:r>
        <w:rPr>
          <w:rFonts w:ascii="Times New Roman" w:hAnsi="Times New Roman" w:cs="Times New Roman" w:eastAsia="Times New Roman" w:hint="default"/>
          <w:spacing w:val="-1"/>
          <w:sz w:val="18"/>
          <w:szCs w:val="18"/>
        </w:rPr>
        <w:t>LED</w:t>
      </w:r>
      <w:r>
        <w:rPr>
          <w:rFonts w:ascii="宋体" w:hAnsi="宋体" w:cs="宋体" w:eastAsia="宋体" w:hint="default"/>
          <w:spacing w:val="-1"/>
          <w:sz w:val="18"/>
          <w:szCs w:val="18"/>
        </w:rPr>
        <w:t>照明市场逐步兴起，应用领域更加广泛，</w:t>
      </w:r>
      <w:r>
        <w:rPr>
          <w:rFonts w:ascii="Times New Roman" w:hAnsi="Times New Roman" w:cs="Times New Roman" w:eastAsia="Times New Roman" w:hint="default"/>
          <w:spacing w:val="-1"/>
          <w:sz w:val="18"/>
          <w:szCs w:val="18"/>
        </w:rPr>
        <w:t>LED</w:t>
      </w:r>
      <w:r>
        <w:rPr>
          <w:rFonts w:ascii="宋体" w:hAnsi="宋体" w:cs="宋体" w:eastAsia="宋体" w:hint="default"/>
          <w:spacing w:val="-1"/>
          <w:sz w:val="18"/>
          <w:szCs w:val="18"/>
        </w:rPr>
        <w:t>照明市场逐步兴起。</w:t>
      </w:r>
      <w:r>
        <w:rPr>
          <w:rFonts w:ascii="Times New Roman" w:hAnsi="Times New Roman" w:cs="Times New Roman" w:eastAsia="Times New Roman" w:hint="default"/>
          <w:spacing w:val="-1"/>
          <w:sz w:val="18"/>
          <w:szCs w:val="18"/>
        </w:rPr>
        <w:t>LED</w:t>
      </w:r>
      <w:r>
        <w:rPr>
          <w:rFonts w:ascii="宋体" w:hAnsi="宋体" w:cs="宋体" w:eastAsia="宋体" w:hint="default"/>
          <w:spacing w:val="-1"/>
          <w:sz w:val="18"/>
          <w:szCs w:val="18"/>
        </w:rPr>
        <w:t>产品能够在很大程度上降低能源消耗，非常符合</w:t>
      </w:r>
      <w:r>
        <w:rPr>
          <w:rFonts w:ascii="宋体" w:hAnsi="宋体" w:cs="宋体" w:eastAsia="宋体" w:hint="default"/>
          <w:sz w:val="18"/>
          <w:szCs w:val="18"/>
        </w:rPr>
        <w:t> </w:t>
      </w:r>
      <w:r>
        <w:rPr>
          <w:rFonts w:ascii="宋体" w:hAnsi="宋体" w:cs="宋体" w:eastAsia="宋体" w:hint="default"/>
          <w:spacing w:val="-2"/>
          <w:sz w:val="18"/>
          <w:szCs w:val="18"/>
        </w:rPr>
        <w:t>现阶段国家节能减排的发展方向。我国大力支持</w:t>
      </w:r>
      <w:r>
        <w:rPr>
          <w:rFonts w:ascii="Times New Roman" w:hAnsi="Times New Roman" w:cs="Times New Roman" w:eastAsia="Times New Roman" w:hint="default"/>
          <w:spacing w:val="-2"/>
          <w:sz w:val="18"/>
          <w:szCs w:val="18"/>
        </w:rPr>
        <w:t>LED</w:t>
      </w:r>
      <w:r>
        <w:rPr>
          <w:rFonts w:ascii="宋体" w:hAnsi="宋体" w:cs="宋体" w:eastAsia="宋体" w:hint="default"/>
          <w:spacing w:val="-2"/>
          <w:sz w:val="18"/>
          <w:szCs w:val="18"/>
        </w:rPr>
        <w:t>行业发展，近些年接连推出相关法规及发展规划，</w:t>
      </w:r>
      <w:r>
        <w:rPr>
          <w:rFonts w:ascii="Times New Roman" w:hAnsi="Times New Roman" w:cs="Times New Roman" w:eastAsia="Times New Roman" w:hint="default"/>
          <w:spacing w:val="-2"/>
          <w:sz w:val="18"/>
          <w:szCs w:val="18"/>
        </w:rPr>
        <w:t>LED</w:t>
      </w:r>
      <w:r>
        <w:rPr>
          <w:rFonts w:ascii="宋体" w:hAnsi="宋体" w:cs="宋体" w:eastAsia="宋体" w:hint="default"/>
          <w:spacing w:val="-2"/>
          <w:sz w:val="18"/>
          <w:szCs w:val="18"/>
        </w:rPr>
        <w:t>市场前景十分广</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阔。</w:t>
      </w:r>
      <w:r>
        <w:rPr>
          <w:rFonts w:ascii="Times New Roman" w:hAnsi="Times New Roman" w:cs="Times New Roman" w:eastAsia="Times New Roman" w:hint="default"/>
          <w:sz w:val="18"/>
          <w:szCs w:val="18"/>
        </w:rPr>
        <w:t>2015</w:t>
      </w:r>
      <w:r>
        <w:rPr>
          <w:rFonts w:ascii="宋体" w:hAnsi="宋体" w:cs="宋体" w:eastAsia="宋体" w:hint="default"/>
          <w:sz w:val="18"/>
          <w:szCs w:val="18"/>
        </w:rPr>
        <w:t>年以来，</w:t>
      </w:r>
      <w:r>
        <w:rPr>
          <w:rFonts w:ascii="Times New Roman" w:hAnsi="Times New Roman" w:cs="Times New Roman" w:eastAsia="Times New Roman" w:hint="default"/>
          <w:sz w:val="18"/>
          <w:szCs w:val="18"/>
        </w:rPr>
        <w:t>LED</w:t>
      </w:r>
      <w:r>
        <w:rPr>
          <w:rFonts w:ascii="宋体" w:hAnsi="宋体" w:cs="宋体" w:eastAsia="宋体" w:hint="default"/>
          <w:sz w:val="18"/>
          <w:szCs w:val="18"/>
        </w:rPr>
        <w:t>及驱动电源技术进一步提升，困扰</w:t>
      </w:r>
      <w:r>
        <w:rPr>
          <w:rFonts w:ascii="Times New Roman" w:hAnsi="Times New Roman" w:cs="Times New Roman" w:eastAsia="Times New Roman" w:hint="default"/>
          <w:sz w:val="18"/>
          <w:szCs w:val="18"/>
        </w:rPr>
        <w:t>LED</w:t>
      </w:r>
      <w:r>
        <w:rPr>
          <w:rFonts w:ascii="宋体" w:hAnsi="宋体" w:cs="宋体" w:eastAsia="宋体" w:hint="default"/>
          <w:sz w:val="18"/>
          <w:szCs w:val="18"/>
        </w:rPr>
        <w:t>户外功能性照明的散热、光衰、电源等问题得到进一步解决。 </w:t>
      </w:r>
      <w:r>
        <w:rPr>
          <w:rFonts w:ascii="宋体" w:hAnsi="宋体" w:cs="宋体" w:eastAsia="宋体" w:hint="default"/>
          <w:spacing w:val="-2"/>
          <w:sz w:val="18"/>
          <w:szCs w:val="18"/>
        </w:rPr>
        <w:t>同时价格的快速下降，也提升了</w:t>
      </w:r>
      <w:r>
        <w:rPr>
          <w:rFonts w:ascii="Times New Roman" w:hAnsi="Times New Roman" w:cs="Times New Roman" w:eastAsia="Times New Roman" w:hint="default"/>
          <w:spacing w:val="-2"/>
          <w:sz w:val="18"/>
          <w:szCs w:val="18"/>
        </w:rPr>
        <w:t>LED</w:t>
      </w:r>
      <w:r>
        <w:rPr>
          <w:rFonts w:ascii="宋体" w:hAnsi="宋体" w:cs="宋体" w:eastAsia="宋体" w:hint="default"/>
          <w:spacing w:val="-2"/>
          <w:sz w:val="18"/>
          <w:szCs w:val="18"/>
        </w:rPr>
        <w:t>户外功能性照明产品的性价比。</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LED</w:t>
      </w:r>
      <w:r>
        <w:rPr>
          <w:rFonts w:ascii="宋体" w:hAnsi="宋体" w:cs="宋体" w:eastAsia="宋体" w:hint="default"/>
          <w:spacing w:val="-2"/>
          <w:sz w:val="18"/>
          <w:szCs w:val="18"/>
        </w:rPr>
        <w:t>路灯应用更趋成熟，城市、乡村的需求都出</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2"/>
          <w:sz w:val="18"/>
          <w:szCs w:val="18"/>
        </w:rPr>
        <w:t>现快速增长。此外，隧道灯、地铁照明、加油站及地下停车场照明等也逐步使用</w:t>
      </w:r>
      <w:r>
        <w:rPr>
          <w:rFonts w:ascii="Times New Roman" w:hAnsi="Times New Roman" w:cs="Times New Roman" w:eastAsia="Times New Roman" w:hint="default"/>
          <w:spacing w:val="-2"/>
          <w:sz w:val="18"/>
          <w:szCs w:val="18"/>
        </w:rPr>
        <w:t>LED</w:t>
      </w:r>
      <w:r>
        <w:rPr>
          <w:rFonts w:ascii="宋体" w:hAnsi="宋体" w:cs="宋体" w:eastAsia="宋体" w:hint="default"/>
          <w:spacing w:val="-2"/>
          <w:sz w:val="18"/>
          <w:szCs w:val="18"/>
        </w:rPr>
        <w:t>照明进行替代。综合而言，户外大功率</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Times New Roman" w:hAnsi="Times New Roman" w:cs="Times New Roman" w:eastAsia="Times New Roman" w:hint="default"/>
          <w:sz w:val="18"/>
          <w:szCs w:val="18"/>
        </w:rPr>
        <w:t>LED</w:t>
      </w:r>
      <w:r>
        <w:rPr>
          <w:rFonts w:ascii="宋体" w:hAnsi="宋体" w:cs="宋体" w:eastAsia="宋体" w:hint="default"/>
          <w:sz w:val="18"/>
          <w:szCs w:val="18"/>
        </w:rPr>
        <w:t>照明市场容量巨大，</w:t>
      </w:r>
      <w:r>
        <w:rPr>
          <w:rFonts w:ascii="Times New Roman" w:hAnsi="Times New Roman" w:cs="Times New Roman" w:eastAsia="Times New Roman" w:hint="default"/>
          <w:sz w:val="18"/>
          <w:szCs w:val="18"/>
        </w:rPr>
        <w:t>LED</w:t>
      </w:r>
      <w:r>
        <w:rPr>
          <w:rFonts w:ascii="宋体" w:hAnsi="宋体" w:cs="宋体" w:eastAsia="宋体" w:hint="default"/>
          <w:sz w:val="18"/>
          <w:szCs w:val="18"/>
        </w:rPr>
        <w:t>驱动电源的潜在市场发展空间亦十分广阔。</w:t>
      </w:r>
    </w:p>
    <w:p>
      <w:pPr>
        <w:spacing w:before="52"/>
        <w:ind w:left="513" w:right="0" w:firstLine="0"/>
        <w:jc w:val="left"/>
        <w:rPr>
          <w:rFonts w:ascii="宋体" w:hAnsi="宋体" w:cs="宋体" w:eastAsia="宋体" w:hint="default"/>
          <w:sz w:val="18"/>
          <w:szCs w:val="18"/>
        </w:rPr>
      </w:pPr>
      <w:r>
        <w:rPr>
          <w:rFonts w:ascii="宋体" w:hAnsi="宋体" w:cs="宋体" w:eastAsia="宋体" w:hint="default"/>
          <w:sz w:val="18"/>
          <w:szCs w:val="18"/>
        </w:rPr>
        <w:t>（３）、</w:t>
      </w:r>
      <w:r>
        <w:rPr>
          <w:rFonts w:ascii="Times New Roman" w:hAnsi="Times New Roman" w:cs="Times New Roman" w:eastAsia="Times New Roman" w:hint="default"/>
          <w:sz w:val="18"/>
          <w:szCs w:val="18"/>
        </w:rPr>
        <w:t>FPC</w:t>
      </w:r>
      <w:r>
        <w:rPr>
          <w:rFonts w:ascii="宋体" w:hAnsi="宋体" w:cs="宋体" w:eastAsia="宋体" w:hint="default"/>
          <w:sz w:val="18"/>
          <w:szCs w:val="18"/>
        </w:rPr>
        <w:t>行业市场现状</w:t>
      </w:r>
    </w:p>
    <w:p>
      <w:pPr>
        <w:spacing w:line="300" w:lineRule="auto" w:before="101"/>
        <w:ind w:left="153" w:right="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FPC</w:t>
      </w:r>
      <w:r>
        <w:rPr>
          <w:rFonts w:ascii="宋体" w:hAnsi="宋体" w:cs="宋体" w:eastAsia="宋体" w:hint="default"/>
          <w:sz w:val="18"/>
          <w:szCs w:val="18"/>
        </w:rPr>
        <w:t>产品广泛应用于各类电子产品，近年来其全球市场规模保持稳定增长。根据</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Prismark</w:t>
      </w:r>
      <w:r>
        <w:rPr>
          <w:rFonts w:ascii="宋体" w:hAnsi="宋体" w:cs="宋体" w:eastAsia="宋体" w:hint="default"/>
          <w:sz w:val="18"/>
          <w:szCs w:val="18"/>
        </w:rPr>
        <w:t>对全球柔性印制电路板产值的</w:t>
      </w:r>
      <w:r>
        <w:rPr>
          <w:rFonts w:ascii="宋体" w:hAnsi="宋体" w:cs="宋体" w:eastAsia="宋体" w:hint="default"/>
          <w:w w:val="99"/>
          <w:sz w:val="18"/>
          <w:szCs w:val="18"/>
        </w:rPr>
        <w:t> </w:t>
      </w:r>
      <w:r>
        <w:rPr>
          <w:rFonts w:ascii="宋体" w:hAnsi="宋体" w:cs="宋体" w:eastAsia="宋体" w:hint="default"/>
          <w:spacing w:val="-7"/>
          <w:w w:val="99"/>
          <w:sz w:val="18"/>
          <w:szCs w:val="18"/>
        </w:rPr>
        <w:t>统计，受到下游新型电子消费产品兴起的影响，预计到</w:t>
      </w:r>
      <w:r>
        <w:rPr>
          <w:rFonts w:ascii="Times New Roman" w:hAnsi="Times New Roman" w:cs="Times New Roman" w:eastAsia="Times New Roman" w:hint="default"/>
          <w:spacing w:val="-7"/>
          <w:w w:val="99"/>
          <w:sz w:val="18"/>
          <w:szCs w:val="18"/>
        </w:rPr>
        <w:t>2017</w:t>
      </w:r>
      <w:r>
        <w:rPr>
          <w:rFonts w:ascii="宋体" w:hAnsi="宋体" w:cs="宋体" w:eastAsia="宋体" w:hint="default"/>
          <w:spacing w:val="-7"/>
          <w:w w:val="99"/>
          <w:sz w:val="18"/>
          <w:szCs w:val="18"/>
        </w:rPr>
        <w:t>年，全球</w:t>
      </w:r>
      <w:r>
        <w:rPr>
          <w:rFonts w:ascii="Times New Roman" w:hAnsi="Times New Roman" w:cs="Times New Roman" w:eastAsia="Times New Roman" w:hint="default"/>
          <w:spacing w:val="-7"/>
          <w:w w:val="99"/>
          <w:sz w:val="18"/>
          <w:szCs w:val="18"/>
        </w:rPr>
        <w:t>FPC</w:t>
      </w:r>
      <w:r>
        <w:rPr>
          <w:rFonts w:ascii="宋体" w:hAnsi="宋体" w:cs="宋体" w:eastAsia="宋体" w:hint="default"/>
          <w:spacing w:val="-7"/>
          <w:w w:val="99"/>
          <w:sz w:val="18"/>
          <w:szCs w:val="18"/>
        </w:rPr>
        <w:t>的产值将达到</w:t>
      </w:r>
      <w:r>
        <w:rPr>
          <w:rFonts w:ascii="Times New Roman" w:hAnsi="Times New Roman" w:cs="Times New Roman" w:eastAsia="Times New Roman" w:hint="default"/>
          <w:spacing w:val="-7"/>
          <w:w w:val="99"/>
          <w:sz w:val="18"/>
          <w:szCs w:val="18"/>
        </w:rPr>
        <w:t>156.63</w:t>
      </w:r>
      <w:r>
        <w:rPr>
          <w:rFonts w:ascii="宋体" w:hAnsi="宋体" w:cs="宋体" w:eastAsia="宋体" w:hint="default"/>
          <w:spacing w:val="-7"/>
          <w:w w:val="99"/>
          <w:sz w:val="18"/>
          <w:szCs w:val="18"/>
        </w:rPr>
        <w:t>亿美元，占全球印制电路板（</w:t>
      </w:r>
      <w:r>
        <w:rPr>
          <w:rFonts w:ascii="Times New Roman" w:hAnsi="Times New Roman" w:cs="Times New Roman" w:eastAsia="Times New Roman" w:hint="default"/>
          <w:spacing w:val="-7"/>
          <w:w w:val="99"/>
          <w:sz w:val="18"/>
          <w:szCs w:val="18"/>
        </w:rPr>
        <w:t>PCB</w:t>
      </w:r>
      <w:r>
        <w:rPr>
          <w:rFonts w:ascii="宋体" w:hAnsi="宋体" w:cs="宋体" w:eastAsia="宋体" w:hint="default"/>
          <w:spacing w:val="-7"/>
          <w:w w:val="99"/>
          <w:sz w:val="18"/>
          <w:szCs w:val="18"/>
        </w:rPr>
        <w:t>）</w:t>
      </w:r>
      <w:r>
        <w:rPr>
          <w:rFonts w:ascii="宋体" w:hAnsi="宋体" w:cs="宋体" w:eastAsia="宋体" w:hint="default"/>
          <w:spacing w:val="-77"/>
          <w:w w:val="99"/>
          <w:sz w:val="18"/>
          <w:szCs w:val="18"/>
        </w:rPr>
        <w:t> </w:t>
      </w:r>
      <w:r>
        <w:rPr>
          <w:rFonts w:ascii="宋体" w:hAnsi="宋体" w:cs="宋体" w:eastAsia="宋体" w:hint="default"/>
          <w:sz w:val="18"/>
          <w:szCs w:val="18"/>
        </w:rPr>
        <w:t>产值的</w:t>
      </w:r>
      <w:r>
        <w:rPr>
          <w:rFonts w:ascii="Times New Roman" w:hAnsi="Times New Roman" w:cs="Times New Roman" w:eastAsia="Times New Roman" w:hint="default"/>
          <w:sz w:val="18"/>
          <w:szCs w:val="18"/>
        </w:rPr>
        <w:t>23.86%</w:t>
      </w:r>
      <w:r>
        <w:rPr>
          <w:rFonts w:ascii="宋体" w:hAnsi="宋体" w:cs="宋体" w:eastAsia="宋体" w:hint="default"/>
          <w:sz w:val="18"/>
          <w:szCs w:val="18"/>
        </w:rPr>
        <w:t>，成为未来市场需求增长速度最快的</w:t>
      </w:r>
      <w:r>
        <w:rPr>
          <w:rFonts w:ascii="Times New Roman" w:hAnsi="Times New Roman" w:cs="Times New Roman" w:eastAsia="Times New Roman" w:hint="default"/>
          <w:sz w:val="18"/>
          <w:szCs w:val="18"/>
        </w:rPr>
        <w:t>PCB</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品种之一。</w:t>
      </w:r>
    </w:p>
    <w:p>
      <w:pPr>
        <w:spacing w:line="300" w:lineRule="auto" w:before="52"/>
        <w:ind w:left="153" w:right="1132" w:firstLine="360"/>
        <w:jc w:val="both"/>
        <w:rPr>
          <w:rFonts w:ascii="宋体" w:hAnsi="宋体" w:cs="宋体" w:eastAsia="宋体" w:hint="default"/>
          <w:sz w:val="18"/>
          <w:szCs w:val="18"/>
        </w:rPr>
      </w:pPr>
      <w:r>
        <w:rPr>
          <w:rFonts w:ascii="宋体" w:hAnsi="宋体" w:cs="宋体" w:eastAsia="宋体" w:hint="default"/>
          <w:spacing w:val="-1"/>
          <w:sz w:val="18"/>
          <w:szCs w:val="18"/>
        </w:rPr>
        <w:t>中国</w:t>
      </w:r>
      <w:r>
        <w:rPr>
          <w:rFonts w:ascii="Times New Roman" w:hAnsi="Times New Roman" w:cs="Times New Roman" w:eastAsia="Times New Roman" w:hint="default"/>
          <w:spacing w:val="-1"/>
          <w:sz w:val="18"/>
          <w:szCs w:val="18"/>
        </w:rPr>
        <w:t>FPC</w:t>
      </w:r>
      <w:r>
        <w:rPr>
          <w:rFonts w:ascii="宋体" w:hAnsi="宋体" w:cs="宋体" w:eastAsia="宋体" w:hint="default"/>
          <w:spacing w:val="-1"/>
          <w:sz w:val="18"/>
          <w:szCs w:val="18"/>
        </w:rPr>
        <w:t>行业发展迅速，主要有两方面原因：一方面是伴随着全球</w:t>
      </w:r>
      <w:r>
        <w:rPr>
          <w:rFonts w:ascii="Times New Roman" w:hAnsi="Times New Roman" w:cs="Times New Roman" w:eastAsia="Times New Roman" w:hint="default"/>
          <w:spacing w:val="-1"/>
          <w:sz w:val="18"/>
          <w:szCs w:val="18"/>
        </w:rPr>
        <w:t>FPC</w:t>
      </w:r>
      <w:r>
        <w:rPr>
          <w:rFonts w:ascii="宋体" w:hAnsi="宋体" w:cs="宋体" w:eastAsia="宋体" w:hint="default"/>
          <w:spacing w:val="-1"/>
          <w:sz w:val="18"/>
          <w:szCs w:val="18"/>
        </w:rPr>
        <w:t>行业向亚洲转移，人力资源丰富的中国成为全球</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FPC</w:t>
      </w:r>
      <w:r>
        <w:rPr>
          <w:rFonts w:ascii="宋体" w:hAnsi="宋体" w:cs="宋体" w:eastAsia="宋体" w:hint="default"/>
          <w:spacing w:val="-1"/>
          <w:sz w:val="18"/>
          <w:szCs w:val="18"/>
        </w:rPr>
        <w:t>的主要生产基地，九十年代中开始，由于市场需求的迅速扩大，外资企业在中国进行大规模的投资，台湾、日本和美国</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的</w:t>
      </w:r>
      <w:r>
        <w:rPr>
          <w:rFonts w:ascii="Times New Roman" w:hAnsi="Times New Roman" w:cs="Times New Roman" w:eastAsia="Times New Roman" w:hint="default"/>
          <w:sz w:val="18"/>
          <w:szCs w:val="18"/>
        </w:rPr>
        <w:t>FPC</w:t>
      </w:r>
      <w:r>
        <w:rPr>
          <w:rFonts w:ascii="宋体" w:hAnsi="宋体" w:cs="宋体" w:eastAsia="宋体" w:hint="default"/>
          <w:sz w:val="18"/>
          <w:szCs w:val="18"/>
        </w:rPr>
        <w:t>生产企业均在中国投资建设生产基地，带动了国内</w:t>
      </w:r>
      <w:r>
        <w:rPr>
          <w:rFonts w:ascii="Times New Roman" w:hAnsi="Times New Roman" w:cs="Times New Roman" w:eastAsia="Times New Roman" w:hint="default"/>
          <w:sz w:val="18"/>
          <w:szCs w:val="18"/>
        </w:rPr>
        <w:t>FPC</w:t>
      </w:r>
      <w:r>
        <w:rPr>
          <w:rFonts w:ascii="宋体" w:hAnsi="宋体" w:cs="宋体" w:eastAsia="宋体" w:hint="default"/>
          <w:sz w:val="18"/>
          <w:szCs w:val="18"/>
        </w:rPr>
        <w:t>产业的快速发展；另一方面，全球电子消费产品产能逐步转移 至中国及中国消费电子市场的快速扩张，也促进了中国的产业资本向</w:t>
      </w:r>
      <w:r>
        <w:rPr>
          <w:rFonts w:ascii="Times New Roman" w:hAnsi="Times New Roman" w:cs="Times New Roman" w:eastAsia="Times New Roman" w:hint="default"/>
          <w:sz w:val="18"/>
          <w:szCs w:val="18"/>
        </w:rPr>
        <w:t>FPC</w:t>
      </w:r>
      <w:r>
        <w:rPr>
          <w:rFonts w:ascii="宋体" w:hAnsi="宋体" w:cs="宋体" w:eastAsia="宋体" w:hint="default"/>
          <w:sz w:val="18"/>
          <w:szCs w:val="18"/>
        </w:rPr>
        <w:t>行业进行大规模的投资。</w:t>
      </w:r>
    </w:p>
    <w:p>
      <w:pPr>
        <w:spacing w:line="338" w:lineRule="auto" w:before="52"/>
        <w:ind w:left="513" w:right="112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）太阳能光伏发电行业市场现状 </w:t>
      </w:r>
      <w:r>
        <w:rPr>
          <w:rFonts w:ascii="宋体" w:hAnsi="宋体" w:cs="宋体" w:eastAsia="宋体" w:hint="default"/>
          <w:spacing w:val="-3"/>
          <w:sz w:val="18"/>
          <w:szCs w:val="18"/>
        </w:rPr>
        <w:t>我国政府一直非常重视新能源和可再生能源的开发利用。</w:t>
      </w:r>
      <w:r>
        <w:rPr>
          <w:rFonts w:ascii="Times New Roman" w:hAnsi="Times New Roman" w:cs="Times New Roman" w:eastAsia="Times New Roman" w:hint="default"/>
          <w:spacing w:val="-3"/>
          <w:sz w:val="18"/>
          <w:szCs w:val="18"/>
        </w:rPr>
        <w:t>2005</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28</w:t>
      </w:r>
      <w:r>
        <w:rPr>
          <w:rFonts w:ascii="宋体" w:hAnsi="宋体" w:cs="宋体" w:eastAsia="宋体" w:hint="default"/>
          <w:spacing w:val="-3"/>
          <w:sz w:val="18"/>
          <w:szCs w:val="18"/>
        </w:rPr>
        <w:t>日中国人大通过的自</w:t>
      </w:r>
      <w:r>
        <w:rPr>
          <w:rFonts w:ascii="Times New Roman" w:hAnsi="Times New Roman" w:cs="Times New Roman" w:eastAsia="Times New Roman" w:hint="default"/>
          <w:spacing w:val="-3"/>
          <w:sz w:val="18"/>
          <w:szCs w:val="18"/>
        </w:rPr>
        <w:t>2006</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日开始实施的《可</w:t>
      </w:r>
    </w:p>
    <w:p>
      <w:pPr>
        <w:spacing w:line="230" w:lineRule="exact" w:before="0"/>
        <w:ind w:left="153" w:right="0" w:firstLine="0"/>
        <w:jc w:val="both"/>
        <w:rPr>
          <w:rFonts w:ascii="Times New Roman" w:hAnsi="Times New Roman" w:cs="Times New Roman" w:eastAsia="Times New Roman" w:hint="default"/>
          <w:sz w:val="18"/>
          <w:szCs w:val="18"/>
        </w:rPr>
      </w:pPr>
      <w:r>
        <w:rPr>
          <w:rFonts w:ascii="宋体" w:hAnsi="宋体" w:cs="宋体" w:eastAsia="宋体" w:hint="default"/>
          <w:sz w:val="18"/>
          <w:szCs w:val="18"/>
        </w:rPr>
        <w:t>再生能源法》要求中国的发电企业必须用可再生能源（主要是太阳能和风能）生产一定比例的电力。在国家发改委</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p>
    <w:p>
      <w:pPr>
        <w:spacing w:line="302" w:lineRule="auto" w:before="63"/>
        <w:ind w:left="154" w:right="1052" w:firstLine="0"/>
        <w:jc w:val="left"/>
        <w:rPr>
          <w:rFonts w:ascii="宋体" w:hAnsi="宋体" w:cs="宋体" w:eastAsia="宋体" w:hint="default"/>
          <w:sz w:val="18"/>
          <w:szCs w:val="18"/>
        </w:rPr>
      </w:pPr>
      <w:r>
        <w:rPr>
          <w:rFonts w:ascii="宋体" w:hAnsi="宋体" w:cs="宋体" w:eastAsia="宋体" w:hint="default"/>
          <w:sz w:val="18"/>
          <w:szCs w:val="18"/>
        </w:rPr>
        <w:t>月所作的《可再生能源发展</w:t>
      </w:r>
      <w:r>
        <w:rPr>
          <w:rFonts w:ascii="Times New Roman" w:hAnsi="Times New Roman" w:cs="Times New Roman" w:eastAsia="Times New Roman" w:hint="default"/>
          <w:sz w:val="18"/>
          <w:szCs w:val="18"/>
        </w:rPr>
        <w:t>“</w:t>
      </w:r>
      <w:r>
        <w:rPr>
          <w:rFonts w:ascii="宋体" w:hAnsi="宋体" w:cs="宋体" w:eastAsia="宋体" w:hint="default"/>
          <w:sz w:val="18"/>
          <w:szCs w:val="18"/>
        </w:rPr>
        <w:t>十二五</w:t>
      </w:r>
      <w:r>
        <w:rPr>
          <w:rFonts w:ascii="Times New Roman" w:hAnsi="Times New Roman" w:cs="Times New Roman" w:eastAsia="Times New Roman" w:hint="default"/>
          <w:sz w:val="18"/>
          <w:szCs w:val="18"/>
        </w:rPr>
        <w:t>”</w:t>
      </w:r>
      <w:r>
        <w:rPr>
          <w:rFonts w:ascii="宋体" w:hAnsi="宋体" w:cs="宋体" w:eastAsia="宋体" w:hint="default"/>
          <w:sz w:val="18"/>
          <w:szCs w:val="18"/>
        </w:rPr>
        <w:t>规划中》再次强调了发展可再生能源技术，规模化开发新能源，对优化我国能源结构， 促进能源可持续发展具有重要意义，光伏市场前景非常看好。</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4"/>
          <w:szCs w:val="14"/>
        </w:rPr>
      </w:pPr>
    </w:p>
    <w:p>
      <w:pPr>
        <w:spacing w:before="0"/>
        <w:ind w:left="514" w:right="0" w:firstLine="0"/>
        <w:jc w:val="left"/>
        <w:rPr>
          <w:rFonts w:ascii="宋体" w:hAnsi="宋体" w:cs="宋体" w:eastAsia="宋体" w:hint="default"/>
          <w:sz w:val="18"/>
          <w:szCs w:val="18"/>
        </w:rPr>
      </w:pPr>
      <w:r>
        <w:rPr>
          <w:rFonts w:ascii="宋体" w:hAnsi="宋体" w:cs="宋体" w:eastAsia="宋体" w:hint="default"/>
          <w:sz w:val="18"/>
          <w:szCs w:val="18"/>
        </w:rPr>
        <w:t>（二）行业发展趋势</w:t>
      </w:r>
    </w:p>
    <w:p>
      <w:pPr>
        <w:spacing w:before="116"/>
        <w:ind w:left="51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）、消费电子类电源行业发展趋势</w:t>
      </w:r>
    </w:p>
    <w:p>
      <w:pPr>
        <w:spacing w:line="357" w:lineRule="auto" w:before="104"/>
        <w:ind w:left="513" w:right="1033" w:firstLine="0"/>
        <w:jc w:val="left"/>
        <w:rPr>
          <w:rFonts w:ascii="宋体" w:hAnsi="宋体" w:cs="宋体" w:eastAsia="宋体" w:hint="default"/>
          <w:sz w:val="18"/>
          <w:szCs w:val="18"/>
        </w:rPr>
      </w:pPr>
      <w:r>
        <w:rPr>
          <w:rFonts w:ascii="宋体" w:hAnsi="宋体" w:cs="宋体" w:eastAsia="宋体" w:hint="default"/>
          <w:sz w:val="18"/>
          <w:szCs w:val="18"/>
        </w:rPr>
        <w:t>①客户集中化 全球消费电子行业已经进入相对稳定的成熟期，其特点在于盈利空间逐渐下降，而市场竞争日趋激烈。在这一背景下，</w:t>
      </w:r>
    </w:p>
    <w:p>
      <w:pPr>
        <w:spacing w:line="224" w:lineRule="exact"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主要的消费电子企业纷纷通过规模扩张来强化其竞争力。因此，品牌整合、收购和兼并司空见惯，并且成为大公司保持领先</w:t>
      </w:r>
    </w:p>
    <w:p>
      <w:pPr>
        <w:spacing w:before="77"/>
        <w:ind w:left="153" w:right="0" w:firstLine="0"/>
        <w:jc w:val="both"/>
        <w:rPr>
          <w:rFonts w:ascii="宋体" w:hAnsi="宋体" w:cs="宋体" w:eastAsia="宋体" w:hint="default"/>
          <w:sz w:val="18"/>
          <w:szCs w:val="18"/>
        </w:rPr>
      </w:pPr>
      <w:r>
        <w:rPr>
          <w:rFonts w:ascii="宋体" w:hAnsi="宋体" w:cs="宋体" w:eastAsia="宋体" w:hint="default"/>
          <w:sz w:val="18"/>
          <w:szCs w:val="18"/>
        </w:rPr>
        <w:t>地位的重要手段。随着客户的整合，做强，消费电子类电源产品销售将逐步向大客户集中。</w:t>
      </w:r>
    </w:p>
    <w:p>
      <w:pPr>
        <w:spacing w:after="0"/>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line="357" w:lineRule="auto" w:before="44"/>
        <w:ind w:left="513" w:right="0" w:firstLine="0"/>
        <w:jc w:val="left"/>
        <w:rPr>
          <w:rFonts w:ascii="宋体" w:hAnsi="宋体" w:cs="宋体" w:eastAsia="宋体" w:hint="default"/>
          <w:sz w:val="18"/>
          <w:szCs w:val="18"/>
        </w:rPr>
      </w:pPr>
      <w:r>
        <w:rPr>
          <w:rFonts w:ascii="宋体" w:hAnsi="宋体" w:cs="宋体" w:eastAsia="宋体" w:hint="default"/>
          <w:sz w:val="18"/>
          <w:szCs w:val="18"/>
        </w:rPr>
        <w:t>②产品品质、创新将更加重要 </w:t>
      </w:r>
      <w:r>
        <w:rPr>
          <w:rFonts w:ascii="宋体" w:hAnsi="宋体" w:cs="宋体" w:eastAsia="宋体" w:hint="default"/>
          <w:spacing w:val="-2"/>
          <w:sz w:val="18"/>
          <w:szCs w:val="18"/>
        </w:rPr>
        <w:t>随着竞争激烈，盈利空间下降，只有保持良好的品质，不断创新，能够为客户提优秀的电源解决方案，才能够保持盈利</w:t>
      </w:r>
    </w:p>
    <w:p>
      <w:pPr>
        <w:spacing w:line="225" w:lineRule="exact"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稳定，逐步增长。</w:t>
      </w:r>
    </w:p>
    <w:p>
      <w:pPr>
        <w:spacing w:line="357" w:lineRule="auto" w:before="117"/>
        <w:ind w:left="513" w:right="0" w:firstLine="0"/>
        <w:jc w:val="left"/>
        <w:rPr>
          <w:rFonts w:ascii="宋体" w:hAnsi="宋体" w:cs="宋体" w:eastAsia="宋体" w:hint="default"/>
          <w:sz w:val="18"/>
          <w:szCs w:val="18"/>
        </w:rPr>
      </w:pPr>
      <w:r>
        <w:rPr>
          <w:rFonts w:ascii="宋体" w:hAnsi="宋体" w:cs="宋体" w:eastAsia="宋体" w:hint="default"/>
          <w:sz w:val="18"/>
          <w:szCs w:val="18"/>
        </w:rPr>
        <w:t>③绿色、低碳成为主流 </w:t>
      </w:r>
      <w:r>
        <w:rPr>
          <w:rFonts w:ascii="宋体" w:hAnsi="宋体" w:cs="宋体" w:eastAsia="宋体" w:hint="default"/>
          <w:spacing w:val="-2"/>
          <w:sz w:val="18"/>
          <w:szCs w:val="18"/>
        </w:rPr>
        <w:t>近年来，绿色和低碳经济成为具有社会责任的消费电子企业的共识，绿色、低碳技术和产品为这些企业带来了新的增长</w:t>
      </w:r>
    </w:p>
    <w:p>
      <w:pPr>
        <w:spacing w:line="237" w:lineRule="exact"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点。通用电气、惠普、松下、三星、苹果、</w:t>
      </w:r>
      <w:r>
        <w:rPr>
          <w:rFonts w:ascii="Times New Roman" w:hAnsi="Times New Roman" w:cs="Times New Roman" w:eastAsia="Times New Roman" w:hint="default"/>
          <w:sz w:val="18"/>
          <w:szCs w:val="18"/>
        </w:rPr>
        <w:t>LG</w:t>
      </w:r>
      <w:r>
        <w:rPr>
          <w:rFonts w:ascii="宋体" w:hAnsi="宋体" w:cs="宋体" w:eastAsia="宋体" w:hint="default"/>
          <w:sz w:val="18"/>
          <w:szCs w:val="18"/>
        </w:rPr>
        <w:t>、索尼、海尔、</w:t>
      </w:r>
      <w:r>
        <w:rPr>
          <w:rFonts w:ascii="Times New Roman" w:hAnsi="Times New Roman" w:cs="Times New Roman" w:eastAsia="Times New Roman" w:hint="default"/>
          <w:sz w:val="18"/>
          <w:szCs w:val="18"/>
        </w:rPr>
        <w:t>TCL</w:t>
      </w:r>
      <w:r>
        <w:rPr>
          <w:rFonts w:ascii="宋体" w:hAnsi="宋体" w:cs="宋体" w:eastAsia="宋体" w:hint="default"/>
          <w:sz w:val="18"/>
          <w:szCs w:val="18"/>
        </w:rPr>
        <w:t>等知名企业是推动绿色与低碳技术的典型。这些大公司</w:t>
      </w:r>
    </w:p>
    <w:p>
      <w:pPr>
        <w:spacing w:line="319" w:lineRule="auto" w:before="63"/>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纷纷提早布局，培育市场，将技术创新与品牌建设融合，为可持续增长奠定基础。消费电子类电源作为配套产品，也必将向</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绿色、低碳方向发展。</w:t>
      </w:r>
    </w:p>
    <w:p>
      <w:pPr>
        <w:spacing w:line="338" w:lineRule="auto" w:before="56"/>
        <w:ind w:left="514" w:right="1102"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）、大功率</w:t>
      </w:r>
      <w:r>
        <w:rPr>
          <w:rFonts w:ascii="Times New Roman" w:hAnsi="Times New Roman" w:cs="Times New Roman" w:eastAsia="Times New Roman" w:hint="default"/>
          <w:sz w:val="18"/>
          <w:szCs w:val="18"/>
        </w:rPr>
        <w:t>LED</w:t>
      </w:r>
      <w:r>
        <w:rPr>
          <w:rFonts w:ascii="宋体" w:hAnsi="宋体" w:cs="宋体" w:eastAsia="宋体" w:hint="default"/>
          <w:sz w:val="18"/>
          <w:szCs w:val="18"/>
        </w:rPr>
        <w:t>驱动电源行业发展趋势 目前，</w:t>
      </w:r>
      <w:r>
        <w:rPr>
          <w:rFonts w:ascii="Times New Roman" w:hAnsi="Times New Roman" w:cs="Times New Roman" w:eastAsia="Times New Roman" w:hint="default"/>
          <w:sz w:val="18"/>
          <w:szCs w:val="18"/>
        </w:rPr>
        <w:t>LED</w:t>
      </w:r>
      <w:r>
        <w:rPr>
          <w:rFonts w:ascii="宋体" w:hAnsi="宋体" w:cs="宋体" w:eastAsia="宋体" w:hint="default"/>
          <w:sz w:val="18"/>
          <w:szCs w:val="18"/>
        </w:rPr>
        <w:t>驱动电源市场与下游行业，特别是大功率</w:t>
      </w:r>
      <w:r>
        <w:rPr>
          <w:rFonts w:ascii="Times New Roman" w:hAnsi="Times New Roman" w:cs="Times New Roman" w:eastAsia="Times New Roman" w:hint="default"/>
          <w:sz w:val="18"/>
          <w:szCs w:val="18"/>
        </w:rPr>
        <w:t>LED</w:t>
      </w:r>
      <w:r>
        <w:rPr>
          <w:rFonts w:ascii="宋体" w:hAnsi="宋体" w:cs="宋体" w:eastAsia="宋体" w:hint="default"/>
          <w:sz w:val="18"/>
          <w:szCs w:val="18"/>
        </w:rPr>
        <w:t>路灯的发展密切相关。随着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各项性能参数的不断提升，</w:t>
      </w:r>
    </w:p>
    <w:p>
      <w:pPr>
        <w:spacing w:line="231" w:lineRule="exact"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宋体" w:hAnsi="宋体" w:cs="宋体" w:eastAsia="宋体" w:hint="default"/>
          <w:sz w:val="18"/>
          <w:szCs w:val="18"/>
        </w:rPr>
        <w:t>照明市场逐步兴起，应用领域更加广泛，</w:t>
      </w:r>
      <w:r>
        <w:rPr>
          <w:rFonts w:ascii="Times New Roman" w:hAnsi="Times New Roman" w:cs="Times New Roman" w:eastAsia="Times New Roman" w:hint="default"/>
          <w:sz w:val="18"/>
          <w:szCs w:val="18"/>
        </w:rPr>
        <w:t>LED</w:t>
      </w:r>
      <w:r>
        <w:rPr>
          <w:rFonts w:ascii="宋体" w:hAnsi="宋体" w:cs="宋体" w:eastAsia="宋体" w:hint="default"/>
          <w:sz w:val="18"/>
          <w:szCs w:val="18"/>
        </w:rPr>
        <w:t>照明市场逐步兴起。</w:t>
      </w:r>
    </w:p>
    <w:p>
      <w:pPr>
        <w:spacing w:before="102"/>
        <w:ind w:left="513" w:right="0" w:firstLine="0"/>
        <w:jc w:val="left"/>
        <w:rPr>
          <w:rFonts w:ascii="宋体" w:hAnsi="宋体" w:cs="宋体" w:eastAsia="宋体" w:hint="default"/>
          <w:sz w:val="18"/>
          <w:szCs w:val="18"/>
        </w:rPr>
      </w:pPr>
      <w:r>
        <w:rPr>
          <w:rFonts w:ascii="宋体" w:hAnsi="宋体" w:cs="宋体" w:eastAsia="宋体" w:hint="default"/>
          <w:sz w:val="18"/>
          <w:szCs w:val="18"/>
        </w:rPr>
        <w:t>未来</w:t>
      </w:r>
      <w:r>
        <w:rPr>
          <w:rFonts w:ascii="Times New Roman" w:hAnsi="Times New Roman" w:cs="Times New Roman" w:eastAsia="Times New Roman" w:hint="default"/>
          <w:sz w:val="18"/>
          <w:szCs w:val="18"/>
        </w:rPr>
        <w:t>LED</w:t>
      </w:r>
      <w:r>
        <w:rPr>
          <w:rFonts w:ascii="宋体" w:hAnsi="宋体" w:cs="宋体" w:eastAsia="宋体" w:hint="default"/>
          <w:sz w:val="18"/>
          <w:szCs w:val="18"/>
        </w:rPr>
        <w:t>驱动电源发展趋势情况如下：</w:t>
      </w:r>
    </w:p>
    <w:p>
      <w:pPr>
        <w:spacing w:before="102"/>
        <w:ind w:left="514" w:right="0" w:firstLine="0"/>
        <w:jc w:val="left"/>
        <w:rPr>
          <w:rFonts w:ascii="宋体" w:hAnsi="宋体" w:cs="宋体" w:eastAsia="宋体" w:hint="default"/>
          <w:sz w:val="18"/>
          <w:szCs w:val="18"/>
        </w:rPr>
      </w:pPr>
      <w:r>
        <w:rPr>
          <w:rFonts w:ascii="宋体" w:hAnsi="宋体" w:cs="宋体" w:eastAsia="宋体" w:hint="default"/>
          <w:sz w:val="18"/>
          <w:szCs w:val="18"/>
        </w:rPr>
        <w:t>①</w:t>
      </w:r>
      <w:r>
        <w:rPr>
          <w:rFonts w:ascii="Times New Roman" w:hAnsi="Times New Roman" w:cs="Times New Roman" w:eastAsia="Times New Roman" w:hint="default"/>
          <w:sz w:val="18"/>
          <w:szCs w:val="18"/>
        </w:rPr>
        <w:t>LED</w:t>
      </w:r>
      <w:r>
        <w:rPr>
          <w:rFonts w:ascii="宋体" w:hAnsi="宋体" w:cs="宋体" w:eastAsia="宋体" w:hint="default"/>
          <w:sz w:val="18"/>
          <w:szCs w:val="18"/>
        </w:rPr>
        <w:t>下游产品将由大功率路灯开始逐步向室内照明发展，行业将逐渐细分。</w:t>
      </w:r>
    </w:p>
    <w:p>
      <w:pPr>
        <w:spacing w:line="300" w:lineRule="auto" w:before="102"/>
        <w:ind w:left="153" w:right="1131" w:firstLine="36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LED</w:t>
      </w:r>
      <w:r>
        <w:rPr>
          <w:rFonts w:ascii="宋体" w:hAnsi="宋体" w:cs="宋体" w:eastAsia="宋体" w:hint="default"/>
          <w:spacing w:val="-2"/>
          <w:sz w:val="18"/>
          <w:szCs w:val="18"/>
        </w:rPr>
        <w:t>产品能够在很大程度上降低能源消耗，非常符合现阶段国家节能减排的发展方向，因此，在国家相关政策的支持下</w:t>
      </w:r>
      <w:r>
        <w:rPr>
          <w:rFonts w:ascii="宋体" w:hAnsi="宋体" w:cs="宋体" w:eastAsia="宋体" w:hint="default"/>
          <w:w w:val="99"/>
          <w:sz w:val="18"/>
          <w:szCs w:val="18"/>
        </w:rPr>
        <w:t> </w:t>
      </w:r>
      <w:r>
        <w:rPr>
          <w:rFonts w:ascii="宋体" w:hAnsi="宋体" w:cs="宋体" w:eastAsia="宋体" w:hint="default"/>
          <w:sz w:val="18"/>
          <w:szCs w:val="18"/>
        </w:rPr>
        <w:t>大功率</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路灯已成为各地政府基础建设投资中的重点。但随着节能减排理念的不断深入，</w:t>
      </w:r>
      <w:r>
        <w:rPr>
          <w:rFonts w:ascii="Times New Roman" w:hAnsi="Times New Roman" w:cs="Times New Roman" w:eastAsia="Times New Roman" w:hint="default"/>
          <w:sz w:val="18"/>
          <w:szCs w:val="18"/>
        </w:rPr>
        <w:t>LED</w:t>
      </w:r>
      <w:r>
        <w:rPr>
          <w:rFonts w:ascii="宋体" w:hAnsi="宋体" w:cs="宋体" w:eastAsia="宋体" w:hint="default"/>
          <w:sz w:val="18"/>
          <w:szCs w:val="18"/>
        </w:rPr>
        <w:t>产品的应用将逐步从政府 工程主导转变为民用照明主导，而随着</w:t>
      </w:r>
      <w:r>
        <w:rPr>
          <w:rFonts w:ascii="Times New Roman" w:hAnsi="Times New Roman" w:cs="Times New Roman" w:eastAsia="Times New Roman" w:hint="default"/>
          <w:sz w:val="18"/>
          <w:szCs w:val="18"/>
        </w:rPr>
        <w:t>LED</w:t>
      </w:r>
      <w:r>
        <w:rPr>
          <w:rFonts w:ascii="宋体" w:hAnsi="宋体" w:cs="宋体" w:eastAsia="宋体" w:hint="default"/>
          <w:sz w:val="18"/>
          <w:szCs w:val="18"/>
        </w:rPr>
        <w:t>产业的不断发展，行业将逐步细分。</w:t>
      </w:r>
    </w:p>
    <w:p>
      <w:pPr>
        <w:spacing w:line="338" w:lineRule="auto" w:before="52"/>
        <w:ind w:left="514" w:right="0" w:firstLine="0"/>
        <w:jc w:val="left"/>
        <w:rPr>
          <w:rFonts w:ascii="宋体" w:hAnsi="宋体" w:cs="宋体" w:eastAsia="宋体" w:hint="default"/>
          <w:sz w:val="18"/>
          <w:szCs w:val="18"/>
        </w:rPr>
      </w:pPr>
      <w:r>
        <w:rPr>
          <w:rFonts w:ascii="宋体" w:hAnsi="宋体" w:cs="宋体" w:eastAsia="宋体" w:hint="default"/>
          <w:sz w:val="18"/>
          <w:szCs w:val="18"/>
        </w:rPr>
        <w:t>②</w:t>
      </w:r>
      <w:r>
        <w:rPr>
          <w:rFonts w:ascii="Times New Roman" w:hAnsi="Times New Roman" w:cs="Times New Roman" w:eastAsia="Times New Roman" w:hint="default"/>
          <w:sz w:val="18"/>
          <w:szCs w:val="18"/>
        </w:rPr>
        <w:t>LED</w:t>
      </w:r>
      <w:r>
        <w:rPr>
          <w:rFonts w:ascii="宋体" w:hAnsi="宋体" w:cs="宋体" w:eastAsia="宋体" w:hint="default"/>
          <w:sz w:val="18"/>
          <w:szCs w:val="18"/>
        </w:rPr>
        <w:t>照明芯片流明度技术的提高，对产品功率要求降低。 </w:t>
      </w:r>
      <w:r>
        <w:rPr>
          <w:rFonts w:ascii="宋体" w:hAnsi="宋体" w:cs="宋体" w:eastAsia="宋体" w:hint="default"/>
          <w:spacing w:val="-2"/>
          <w:sz w:val="18"/>
          <w:szCs w:val="18"/>
        </w:rPr>
        <w:t>随着</w:t>
      </w:r>
      <w:r>
        <w:rPr>
          <w:rFonts w:ascii="Times New Roman" w:hAnsi="Times New Roman" w:cs="Times New Roman" w:eastAsia="Times New Roman" w:hint="default"/>
          <w:spacing w:val="-2"/>
          <w:sz w:val="18"/>
          <w:szCs w:val="18"/>
        </w:rPr>
        <w:t>LED</w:t>
      </w:r>
      <w:r>
        <w:rPr>
          <w:rFonts w:ascii="宋体" w:hAnsi="宋体" w:cs="宋体" w:eastAsia="宋体" w:hint="default"/>
          <w:spacing w:val="-2"/>
          <w:sz w:val="18"/>
          <w:szCs w:val="18"/>
        </w:rPr>
        <w:t>照明产品流明度的提升（流明是光通量单位，每瓦流明值越高，产品越亮），相同照明效果产品功率将逐步降</w:t>
      </w:r>
    </w:p>
    <w:p>
      <w:pPr>
        <w:spacing w:line="218" w:lineRule="exact"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低。</w:t>
      </w:r>
    </w:p>
    <w:p>
      <w:pPr>
        <w:spacing w:line="338" w:lineRule="auto" w:before="117"/>
        <w:ind w:left="513" w:right="0" w:firstLine="0"/>
        <w:jc w:val="left"/>
        <w:rPr>
          <w:rFonts w:ascii="宋体" w:hAnsi="宋体" w:cs="宋体" w:eastAsia="宋体" w:hint="default"/>
          <w:sz w:val="18"/>
          <w:szCs w:val="18"/>
        </w:rPr>
      </w:pPr>
      <w:r>
        <w:rPr>
          <w:rFonts w:ascii="宋体" w:hAnsi="宋体" w:cs="宋体" w:eastAsia="宋体" w:hint="default"/>
          <w:sz w:val="18"/>
          <w:szCs w:val="18"/>
        </w:rPr>
        <w:t>③</w:t>
      </w:r>
      <w:r>
        <w:rPr>
          <w:rFonts w:ascii="Times New Roman" w:hAnsi="Times New Roman" w:cs="Times New Roman" w:eastAsia="Times New Roman" w:hint="default"/>
          <w:sz w:val="18"/>
          <w:szCs w:val="18"/>
        </w:rPr>
        <w:t>LED</w:t>
      </w:r>
      <w:r>
        <w:rPr>
          <w:rFonts w:ascii="宋体" w:hAnsi="宋体" w:cs="宋体" w:eastAsia="宋体" w:hint="default"/>
          <w:sz w:val="18"/>
          <w:szCs w:val="18"/>
        </w:rPr>
        <w:t>驱动电源产品逐步向模块化、智能化方面发展。 </w:t>
      </w:r>
      <w:r>
        <w:rPr>
          <w:rFonts w:ascii="宋体" w:hAnsi="宋体" w:cs="宋体" w:eastAsia="宋体" w:hint="default"/>
          <w:spacing w:val="-2"/>
          <w:sz w:val="18"/>
          <w:szCs w:val="18"/>
        </w:rPr>
        <w:t>目前，部分大功率</w:t>
      </w:r>
      <w:r>
        <w:rPr>
          <w:rFonts w:ascii="Times New Roman" w:hAnsi="Times New Roman" w:cs="Times New Roman" w:eastAsia="Times New Roman" w:hint="default"/>
          <w:spacing w:val="-2"/>
          <w:sz w:val="18"/>
          <w:szCs w:val="18"/>
        </w:rPr>
        <w:t>LED</w:t>
      </w:r>
      <w:r>
        <w:rPr>
          <w:rFonts w:ascii="宋体" w:hAnsi="宋体" w:cs="宋体" w:eastAsia="宋体" w:hint="default"/>
          <w:spacing w:val="-2"/>
          <w:sz w:val="18"/>
          <w:szCs w:val="18"/>
        </w:rPr>
        <w:t>驱动电源产品尚处于恒压源配备恒流模块使用阶段，随着客户对产品性能、外观等方面要求的提</w:t>
      </w:r>
    </w:p>
    <w:p>
      <w:pPr>
        <w:spacing w:line="218" w:lineRule="exact"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高，配备恒流模块的恒压源产品将逐步被恒压恒流一体化的模块化产品所取代，产品也将逐步增加智能控制功效。</w:t>
      </w:r>
    </w:p>
    <w:p>
      <w:pPr>
        <w:spacing w:line="357" w:lineRule="auto" w:before="116"/>
        <w:ind w:left="514" w:right="0" w:firstLine="0"/>
        <w:jc w:val="left"/>
        <w:rPr>
          <w:rFonts w:ascii="宋体" w:hAnsi="宋体" w:cs="宋体" w:eastAsia="宋体" w:hint="default"/>
          <w:sz w:val="18"/>
          <w:szCs w:val="18"/>
        </w:rPr>
      </w:pPr>
      <w:r>
        <w:rPr>
          <w:rFonts w:ascii="宋体" w:hAnsi="宋体" w:cs="宋体" w:eastAsia="宋体" w:hint="default"/>
          <w:sz w:val="18"/>
          <w:szCs w:val="18"/>
        </w:rPr>
        <w:t>④市场从目前以国内为主，逐步转变为以国际为主。 </w:t>
      </w:r>
      <w:r>
        <w:rPr>
          <w:rFonts w:ascii="宋体" w:hAnsi="宋体" w:cs="宋体" w:eastAsia="宋体" w:hint="default"/>
          <w:spacing w:val="-2"/>
          <w:sz w:val="18"/>
          <w:szCs w:val="18"/>
        </w:rPr>
        <w:t>由于大功率</w:t>
      </w:r>
      <w:r>
        <w:rPr>
          <w:rFonts w:ascii="Times New Roman" w:hAnsi="Times New Roman" w:cs="Times New Roman" w:eastAsia="Times New Roman" w:hint="default"/>
          <w:spacing w:val="-2"/>
          <w:sz w:val="18"/>
          <w:szCs w:val="18"/>
        </w:rPr>
        <w:t>LED</w:t>
      </w:r>
      <w:r>
        <w:rPr>
          <w:rFonts w:ascii="宋体" w:hAnsi="宋体" w:cs="宋体" w:eastAsia="宋体" w:hint="default"/>
          <w:spacing w:val="-2"/>
          <w:sz w:val="18"/>
          <w:szCs w:val="18"/>
        </w:rPr>
        <w:t>电源主要用于路灯、景观等公共照明领域，</w:t>
      </w:r>
      <w:r>
        <w:rPr>
          <w:rFonts w:ascii="Times New Roman" w:hAnsi="Times New Roman" w:cs="Times New Roman" w:eastAsia="Times New Roman" w:hint="default"/>
          <w:spacing w:val="-2"/>
          <w:sz w:val="18"/>
          <w:szCs w:val="18"/>
        </w:rPr>
        <w:t>2008</w:t>
      </w:r>
      <w:r>
        <w:rPr>
          <w:rFonts w:ascii="宋体" w:hAnsi="宋体" w:cs="宋体" w:eastAsia="宋体" w:hint="default"/>
          <w:spacing w:val="-2"/>
          <w:sz w:val="18"/>
          <w:szCs w:val="18"/>
        </w:rPr>
        <w:t>年以来受国际金融危机及欧美债务危机的影响，国外在</w:t>
      </w:r>
    </w:p>
    <w:p>
      <w:pPr>
        <w:spacing w:line="214" w:lineRule="exact"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大功率</w:t>
      </w:r>
      <w:r>
        <w:rPr>
          <w:rFonts w:ascii="Times New Roman" w:hAnsi="Times New Roman" w:cs="Times New Roman" w:eastAsia="Times New Roman" w:hint="default"/>
          <w:sz w:val="18"/>
          <w:szCs w:val="18"/>
        </w:rPr>
        <w:t>LE</w:t>
      </w:r>
      <w:r>
        <w:rPr>
          <w:rFonts w:ascii="Times New Roman" w:hAnsi="Times New Roman" w:cs="Times New Roman" w:eastAsia="Times New Roman" w:hint="default"/>
          <w:spacing w:val="-1"/>
          <w:sz w:val="18"/>
          <w:szCs w:val="18"/>
        </w:rPr>
        <w:t>D</w:t>
      </w:r>
      <w:r>
        <w:rPr>
          <w:rFonts w:ascii="宋体" w:hAnsi="宋体" w:cs="宋体" w:eastAsia="宋体" w:hint="default"/>
          <w:sz w:val="18"/>
          <w:szCs w:val="18"/>
        </w:rPr>
        <w:t>照明领域的投资和增长较为有限</w:t>
      </w:r>
      <w:r>
        <w:rPr>
          <w:rFonts w:ascii="宋体" w:hAnsi="宋体" w:cs="宋体" w:eastAsia="宋体" w:hint="default"/>
          <w:spacing w:val="-76"/>
          <w:sz w:val="18"/>
          <w:szCs w:val="18"/>
        </w:rPr>
        <w:t>，</w:t>
      </w:r>
      <w:r>
        <w:rPr>
          <w:rFonts w:ascii="宋体" w:hAnsi="宋体" w:cs="宋体" w:eastAsia="宋体" w:hint="default"/>
          <w:sz w:val="18"/>
          <w:szCs w:val="18"/>
        </w:rPr>
        <w:t>产品销售以国内市场为主</w:t>
      </w:r>
      <w:r>
        <w:rPr>
          <w:rFonts w:ascii="宋体" w:hAnsi="宋体" w:cs="宋体" w:eastAsia="宋体" w:hint="default"/>
          <w:spacing w:val="-76"/>
          <w:sz w:val="18"/>
          <w:szCs w:val="18"/>
        </w:rPr>
        <w:t>，</w:t>
      </w:r>
      <w:r>
        <w:rPr>
          <w:rFonts w:ascii="宋体" w:hAnsi="宋体" w:cs="宋体" w:eastAsia="宋体" w:hint="default"/>
          <w:sz w:val="18"/>
          <w:szCs w:val="18"/>
        </w:rPr>
        <w:t>但随着各国对白炽灯的禁用及</w:t>
      </w:r>
      <w:r>
        <w:rPr>
          <w:rFonts w:ascii="Times New Roman" w:hAnsi="Times New Roman" w:cs="Times New Roman" w:eastAsia="Times New Roman" w:hint="default"/>
          <w:sz w:val="18"/>
          <w:szCs w:val="18"/>
        </w:rPr>
        <w:t>LE</w:t>
      </w:r>
      <w:r>
        <w:rPr>
          <w:rFonts w:ascii="Times New Roman" w:hAnsi="Times New Roman" w:cs="Times New Roman" w:eastAsia="Times New Roman" w:hint="default"/>
          <w:spacing w:val="-1"/>
          <w:sz w:val="18"/>
          <w:szCs w:val="18"/>
        </w:rPr>
        <w:t>D</w:t>
      </w:r>
      <w:r>
        <w:rPr>
          <w:rFonts w:ascii="宋体" w:hAnsi="宋体" w:cs="宋体" w:eastAsia="宋体" w:hint="default"/>
          <w:sz w:val="18"/>
          <w:szCs w:val="18"/>
        </w:rPr>
        <w:t>照明产品的推广，</w:t>
      </w:r>
    </w:p>
    <w:p>
      <w:pPr>
        <w:spacing w:before="64"/>
        <w:ind w:left="153" w:right="0" w:firstLine="0"/>
        <w:jc w:val="both"/>
        <w:rPr>
          <w:rFonts w:ascii="宋体" w:hAnsi="宋体" w:cs="宋体" w:eastAsia="宋体" w:hint="default"/>
          <w:sz w:val="18"/>
          <w:szCs w:val="18"/>
        </w:rPr>
      </w:pPr>
      <w:r>
        <w:rPr>
          <w:rFonts w:ascii="宋体" w:hAnsi="宋体" w:cs="宋体" w:eastAsia="宋体" w:hint="default"/>
          <w:sz w:val="18"/>
          <w:szCs w:val="18"/>
        </w:rPr>
        <w:t>国际市场将逐步扩大。近年国内</w:t>
      </w:r>
      <w:r>
        <w:rPr>
          <w:rFonts w:ascii="Times New Roman" w:hAnsi="Times New Roman" w:cs="Times New Roman" w:eastAsia="Times New Roman" w:hint="default"/>
          <w:sz w:val="18"/>
          <w:szCs w:val="18"/>
        </w:rPr>
        <w:t>LED</w:t>
      </w:r>
      <w:r>
        <w:rPr>
          <w:rFonts w:ascii="宋体" w:hAnsi="宋体" w:cs="宋体" w:eastAsia="宋体" w:hint="default"/>
          <w:sz w:val="18"/>
          <w:szCs w:val="18"/>
        </w:rPr>
        <w:t>照明企业快速发展，将有益于我国迅速进入国际市场。</w:t>
      </w:r>
    </w:p>
    <w:p>
      <w:pPr>
        <w:spacing w:before="102"/>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FPC</w:t>
      </w:r>
      <w:r>
        <w:rPr>
          <w:rFonts w:ascii="宋体" w:hAnsi="宋体" w:cs="宋体" w:eastAsia="宋体" w:hint="default"/>
          <w:sz w:val="18"/>
          <w:szCs w:val="18"/>
        </w:rPr>
        <w:t>行业发展趋势</w:t>
      </w:r>
    </w:p>
    <w:p>
      <w:pPr>
        <w:spacing w:line="304" w:lineRule="auto" w:before="101"/>
        <w:ind w:left="153" w:right="103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FPC</w:t>
      </w:r>
      <w:r>
        <w:rPr>
          <w:rFonts w:ascii="宋体" w:hAnsi="宋体" w:cs="宋体" w:eastAsia="宋体" w:hint="default"/>
          <w:sz w:val="18"/>
          <w:szCs w:val="18"/>
        </w:rPr>
        <w:t>作为电子零件装载的基板和关键互连件，其下游产业涵盖范围相当广泛，涉及一般消费性电子产品、信息、通讯、 医疗、光电，甚至航天产品等领域。随着科学技术的发展，各类产品的电子信息化处理需求逐步增强，新兴产品不断涌现， </w:t>
      </w:r>
      <w:r>
        <w:rPr>
          <w:rFonts w:ascii="宋体" w:hAnsi="宋体" w:cs="宋体" w:eastAsia="宋体" w:hint="default"/>
          <w:spacing w:val="-3"/>
          <w:sz w:val="18"/>
          <w:szCs w:val="18"/>
        </w:rPr>
        <w:t>使</w:t>
      </w:r>
      <w:r>
        <w:rPr>
          <w:rFonts w:ascii="Times New Roman" w:hAnsi="Times New Roman" w:cs="Times New Roman" w:eastAsia="Times New Roman" w:hint="default"/>
          <w:spacing w:val="-3"/>
          <w:sz w:val="18"/>
          <w:szCs w:val="18"/>
        </w:rPr>
        <w:t>FPC</w:t>
      </w:r>
      <w:r>
        <w:rPr>
          <w:rFonts w:ascii="宋体" w:hAnsi="宋体" w:cs="宋体" w:eastAsia="宋体" w:hint="default"/>
          <w:spacing w:val="-3"/>
          <w:sz w:val="18"/>
          <w:szCs w:val="18"/>
        </w:rPr>
        <w:t>产品的用途和市场不断扩展。最近几年，随着信息化时代的来临，在消费电子产品追求轻、薄、短、小设计的背景下，</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Times New Roman" w:hAnsi="Times New Roman" w:cs="Times New Roman" w:eastAsia="Times New Roman" w:hint="default"/>
          <w:sz w:val="18"/>
          <w:szCs w:val="18"/>
        </w:rPr>
        <w:t>FPC</w:t>
      </w:r>
      <w:r>
        <w:rPr>
          <w:rFonts w:ascii="宋体" w:hAnsi="宋体" w:cs="宋体" w:eastAsia="宋体" w:hint="default"/>
          <w:sz w:val="18"/>
          <w:szCs w:val="18"/>
        </w:rPr>
        <w:t>应用范围扩大到新的领域，包括智能手机、平板电脑、笔记本电脑、数码相机、汽车卫星方向定位装置、液晶显示屏等 小型化终端电子产品。未来，随着可穿戴智能设备的兴起，</w:t>
      </w:r>
      <w:r>
        <w:rPr>
          <w:rFonts w:ascii="Times New Roman" w:hAnsi="Times New Roman" w:cs="Times New Roman" w:eastAsia="Times New Roman" w:hint="default"/>
          <w:sz w:val="18"/>
          <w:szCs w:val="18"/>
        </w:rPr>
        <w:t>FPC</w:t>
      </w:r>
      <w:r>
        <w:rPr>
          <w:rFonts w:ascii="宋体" w:hAnsi="宋体" w:cs="宋体" w:eastAsia="宋体" w:hint="default"/>
          <w:sz w:val="18"/>
          <w:szCs w:val="18"/>
        </w:rPr>
        <w:t>的产品由于具有轻薄、可弯曲等特性，与可穿戴设备切合度 非常高，将成为可穿戴设备电路板的标准配置，将极大受益于可穿戴智能设备带来的广阔市场空间。</w:t>
      </w:r>
    </w:p>
    <w:p>
      <w:pPr>
        <w:spacing w:before="68"/>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）光伏发电行业发展趋势</w:t>
      </w:r>
    </w:p>
    <w:p>
      <w:pPr>
        <w:spacing w:line="357" w:lineRule="auto" w:before="102"/>
        <w:ind w:left="514" w:right="1115" w:firstLine="0"/>
        <w:jc w:val="left"/>
        <w:rPr>
          <w:rFonts w:ascii="宋体" w:hAnsi="宋体" w:cs="宋体" w:eastAsia="宋体" w:hint="default"/>
          <w:sz w:val="18"/>
          <w:szCs w:val="18"/>
        </w:rPr>
      </w:pPr>
      <w:r>
        <w:rPr>
          <w:rFonts w:ascii="宋体" w:hAnsi="宋体" w:cs="宋体" w:eastAsia="宋体" w:hint="default"/>
          <w:sz w:val="18"/>
          <w:szCs w:val="18"/>
        </w:rPr>
        <w:t>①光伏发电行业具有广阔的发展前景 </w:t>
      </w:r>
      <w:r>
        <w:rPr>
          <w:rFonts w:ascii="宋体" w:hAnsi="宋体" w:cs="宋体" w:eastAsia="宋体" w:hint="default"/>
          <w:spacing w:val="-1"/>
          <w:sz w:val="18"/>
          <w:szCs w:val="18"/>
        </w:rPr>
        <w:t>我国能源消费结构中煤炭能源所占比重约为</w:t>
      </w:r>
      <w:r>
        <w:rPr>
          <w:rFonts w:ascii="Times New Roman" w:hAnsi="Times New Roman" w:cs="Times New Roman" w:eastAsia="Times New Roman" w:hint="default"/>
          <w:spacing w:val="-1"/>
          <w:sz w:val="18"/>
          <w:szCs w:val="18"/>
        </w:rPr>
        <w:t>68%</w:t>
      </w:r>
      <w:r>
        <w:rPr>
          <w:rFonts w:ascii="宋体" w:hAnsi="宋体" w:cs="宋体" w:eastAsia="宋体" w:hint="default"/>
          <w:spacing w:val="-1"/>
          <w:sz w:val="18"/>
          <w:szCs w:val="18"/>
        </w:rPr>
        <w:t>，太阳能等清洁能源占比较低，能源消费结构不合理，在未来节能减排</w:t>
      </w:r>
    </w:p>
    <w:p>
      <w:pPr>
        <w:spacing w:line="201" w:lineRule="exact"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的压力之下，太阳能等新能源将会对传统能源进行逐步替代。在全球范围内，近年来，太阳能光伏行业呈现出高速发展的势</w:t>
      </w:r>
    </w:p>
    <w:p>
      <w:pPr>
        <w:spacing w:line="309" w:lineRule="auto" w:before="76"/>
        <w:ind w:left="153" w:right="1131" w:firstLine="0"/>
        <w:jc w:val="both"/>
        <w:rPr>
          <w:rFonts w:ascii="宋体" w:hAnsi="宋体" w:cs="宋体" w:eastAsia="宋体" w:hint="default"/>
          <w:sz w:val="18"/>
          <w:szCs w:val="18"/>
        </w:rPr>
      </w:pPr>
      <w:r>
        <w:rPr>
          <w:rFonts w:ascii="宋体" w:hAnsi="宋体" w:cs="宋体" w:eastAsia="宋体" w:hint="default"/>
          <w:sz w:val="18"/>
          <w:szCs w:val="18"/>
        </w:rPr>
        <w:t>头，根据统计，当前全球能源消耗结构中，可再生能源占比仅约</w:t>
      </w:r>
      <w:r>
        <w:rPr>
          <w:rFonts w:ascii="Times New Roman" w:hAnsi="Times New Roman" w:cs="Times New Roman" w:eastAsia="Times New Roman" w:hint="default"/>
          <w:sz w:val="18"/>
          <w:szCs w:val="18"/>
        </w:rPr>
        <w:t>18%</w:t>
      </w:r>
      <w:r>
        <w:rPr>
          <w:rFonts w:ascii="宋体" w:hAnsi="宋体" w:cs="宋体" w:eastAsia="宋体" w:hint="default"/>
          <w:sz w:val="18"/>
          <w:szCs w:val="18"/>
        </w:rPr>
        <w:t>，其中太阳能与风能占比仅约</w:t>
      </w:r>
      <w:r>
        <w:rPr>
          <w:rFonts w:ascii="Times New Roman" w:hAnsi="Times New Roman" w:cs="Times New Roman" w:eastAsia="Times New Roman" w:hint="default"/>
          <w:sz w:val="18"/>
          <w:szCs w:val="18"/>
        </w:rPr>
        <w:t>0.40%</w:t>
      </w:r>
      <w:r>
        <w:rPr>
          <w:rFonts w:ascii="宋体" w:hAnsi="宋体" w:cs="宋体" w:eastAsia="宋体" w:hint="default"/>
          <w:sz w:val="18"/>
          <w:szCs w:val="18"/>
        </w:rPr>
        <w:t>。光伏发电业务前</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2"/>
          <w:sz w:val="18"/>
          <w:szCs w:val="18"/>
        </w:rPr>
        <w:t>景广阔，市场增量空间较大，且已经成为我国重要的战略性新兴产业，大力推进光伏发电应用对优化能源结构、保障能源安</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全、改善生态环境、转变城乡用能方式具有重大战略意义。</w:t>
      </w:r>
    </w:p>
    <w:p>
      <w:pPr>
        <w:spacing w:line="357" w:lineRule="auto" w:before="65"/>
        <w:ind w:left="514" w:right="0" w:firstLine="0"/>
        <w:jc w:val="left"/>
        <w:rPr>
          <w:rFonts w:ascii="宋体" w:hAnsi="宋体" w:cs="宋体" w:eastAsia="宋体" w:hint="default"/>
          <w:sz w:val="18"/>
          <w:szCs w:val="18"/>
        </w:rPr>
      </w:pPr>
      <w:r>
        <w:rPr>
          <w:rFonts w:ascii="宋体" w:hAnsi="宋体" w:cs="宋体" w:eastAsia="宋体" w:hint="default"/>
          <w:sz w:val="18"/>
          <w:szCs w:val="18"/>
        </w:rPr>
        <w:t>②行业成本下降，高收益驱动太阳能光伏发电装机增长 </w:t>
      </w:r>
      <w:r>
        <w:rPr>
          <w:rFonts w:ascii="宋体" w:hAnsi="宋体" w:cs="宋体" w:eastAsia="宋体" w:hint="default"/>
          <w:spacing w:val="-2"/>
          <w:sz w:val="18"/>
          <w:szCs w:val="18"/>
        </w:rPr>
        <w:t>太阳能电池组件是太阳能光伏发电的核心设备，太阳能电池组件的购置成本约占屋顶分布式太阳能光伏发电项目建设成</w:t>
      </w:r>
    </w:p>
    <w:p>
      <w:pPr>
        <w:spacing w:after="0" w:line="357"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line="302" w:lineRule="auto" w:before="44"/>
        <w:ind w:left="153" w:right="1118" w:firstLine="0"/>
        <w:jc w:val="left"/>
        <w:rPr>
          <w:rFonts w:ascii="宋体" w:hAnsi="宋体" w:cs="宋体" w:eastAsia="宋体" w:hint="default"/>
          <w:sz w:val="18"/>
          <w:szCs w:val="18"/>
        </w:rPr>
      </w:pPr>
      <w:r>
        <w:rPr>
          <w:rFonts w:ascii="宋体" w:hAnsi="宋体" w:cs="宋体" w:eastAsia="宋体" w:hint="default"/>
          <w:spacing w:val="-1"/>
          <w:sz w:val="18"/>
          <w:szCs w:val="18"/>
        </w:rPr>
        <w:t>本的</w:t>
      </w:r>
      <w:r>
        <w:rPr>
          <w:rFonts w:ascii="Times New Roman" w:hAnsi="Times New Roman" w:cs="Times New Roman" w:eastAsia="Times New Roman" w:hint="default"/>
          <w:spacing w:val="-1"/>
          <w:sz w:val="18"/>
          <w:szCs w:val="18"/>
        </w:rPr>
        <w:t>50%</w:t>
      </w:r>
      <w:r>
        <w:rPr>
          <w:rFonts w:ascii="宋体" w:hAnsi="宋体" w:cs="宋体" w:eastAsia="宋体" w:hint="default"/>
          <w:spacing w:val="-1"/>
          <w:sz w:val="18"/>
          <w:szCs w:val="18"/>
        </w:rPr>
        <w:t>。光伏发电成本逐步下降的总体趋势使得电站投资收益率持续上升，进而驱动国内光伏装机快速增长，有助于太阳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能光伏发电项目的推广和普及。</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4"/>
          <w:szCs w:val="14"/>
        </w:rPr>
      </w:pPr>
    </w:p>
    <w:p>
      <w:pPr>
        <w:spacing w:line="357" w:lineRule="auto" w:before="0"/>
        <w:ind w:left="513" w:right="7153" w:firstLine="0"/>
        <w:jc w:val="left"/>
        <w:rPr>
          <w:rFonts w:ascii="宋体" w:hAnsi="宋体" w:cs="宋体" w:eastAsia="宋体" w:hint="default"/>
          <w:sz w:val="18"/>
          <w:szCs w:val="18"/>
        </w:rPr>
      </w:pPr>
      <w:r>
        <w:rPr>
          <w:rFonts w:ascii="宋体" w:hAnsi="宋体" w:cs="宋体" w:eastAsia="宋体" w:hint="default"/>
          <w:sz w:val="18"/>
          <w:szCs w:val="18"/>
        </w:rPr>
        <w:t>（三）发展战略 公司未来主要将着眼以下几点进行发展：</w:t>
      </w:r>
    </w:p>
    <w:p>
      <w:pPr>
        <w:spacing w:line="309" w:lineRule="auto" w:before="26"/>
        <w:ind w:left="154" w:right="1130"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）消费电子类电源方面，加大对公司募投项目惠州茂硕的设备和产线的投入，使产能获得大幅度提升，满足更多的 </w:t>
      </w:r>
      <w:r>
        <w:rPr>
          <w:rFonts w:ascii="宋体" w:hAnsi="宋体" w:cs="宋体" w:eastAsia="宋体" w:hint="default"/>
          <w:spacing w:val="-2"/>
          <w:sz w:val="18"/>
          <w:szCs w:val="18"/>
        </w:rPr>
        <w:t>客户需求。同时，对内推行新的业务机制，同时招贤纳士，为赢得更多市场份额而夯实基础。在服务好老客户的同时，加大</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对新开发客户的审厂通过，坚持大客户制订专线服务的理念。</w:t>
      </w:r>
    </w:p>
    <w:p>
      <w:pPr>
        <w:spacing w:line="302" w:lineRule="auto" w:before="64"/>
        <w:ind w:left="153" w:right="1134"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）大功率</w:t>
      </w:r>
      <w:r>
        <w:rPr>
          <w:rFonts w:ascii="Times New Roman" w:hAnsi="Times New Roman" w:cs="Times New Roman" w:eastAsia="Times New Roman" w:hint="default"/>
          <w:sz w:val="18"/>
          <w:szCs w:val="18"/>
        </w:rPr>
        <w:t>LED</w:t>
      </w:r>
      <w:r>
        <w:rPr>
          <w:rFonts w:ascii="宋体" w:hAnsi="宋体" w:cs="宋体" w:eastAsia="宋体" w:hint="default"/>
          <w:sz w:val="18"/>
          <w:szCs w:val="18"/>
        </w:rPr>
        <w:t>驱动电源方面，继续加大对</w:t>
      </w:r>
      <w:r>
        <w:rPr>
          <w:rFonts w:ascii="Times New Roman" w:hAnsi="Times New Roman" w:cs="Times New Roman" w:eastAsia="Times New Roman" w:hint="default"/>
          <w:sz w:val="18"/>
          <w:szCs w:val="18"/>
        </w:rPr>
        <w:t>LED</w:t>
      </w:r>
      <w:r>
        <w:rPr>
          <w:rFonts w:ascii="宋体" w:hAnsi="宋体" w:cs="宋体" w:eastAsia="宋体" w:hint="default"/>
          <w:sz w:val="18"/>
          <w:szCs w:val="18"/>
        </w:rPr>
        <w:t>驱动电源业务的技术研发和人员投入力度，稳定现有的技术和管理团 队，目前公司的</w:t>
      </w:r>
      <w:r>
        <w:rPr>
          <w:rFonts w:ascii="Times New Roman" w:hAnsi="Times New Roman" w:cs="Times New Roman" w:eastAsia="Times New Roman" w:hint="default"/>
          <w:sz w:val="18"/>
          <w:szCs w:val="18"/>
        </w:rPr>
        <w:t>E6</w:t>
      </w:r>
      <w:r>
        <w:rPr>
          <w:rFonts w:ascii="宋体" w:hAnsi="宋体" w:cs="宋体" w:eastAsia="宋体" w:hint="default"/>
          <w:sz w:val="18"/>
          <w:szCs w:val="18"/>
        </w:rPr>
        <w:t>系列</w:t>
      </w:r>
      <w:r>
        <w:rPr>
          <w:rFonts w:ascii="Times New Roman" w:hAnsi="Times New Roman" w:cs="Times New Roman" w:eastAsia="Times New Roman" w:hint="default"/>
          <w:sz w:val="18"/>
          <w:szCs w:val="18"/>
        </w:rPr>
        <w:t>LED</w:t>
      </w:r>
      <w:r>
        <w:rPr>
          <w:rFonts w:ascii="宋体" w:hAnsi="宋体" w:cs="宋体" w:eastAsia="宋体" w:hint="default"/>
          <w:sz w:val="18"/>
          <w:szCs w:val="18"/>
        </w:rPr>
        <w:t>驱动电源产品性能稳定且成本下降，继续加大对其的推广力度。</w:t>
      </w:r>
    </w:p>
    <w:p>
      <w:pPr>
        <w:spacing w:line="302" w:lineRule="auto" w:before="49"/>
        <w:ind w:left="154" w:right="1130" w:firstLine="360"/>
        <w:jc w:val="both"/>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FPC</w:t>
      </w:r>
      <w:r>
        <w:rPr>
          <w:rFonts w:ascii="宋体" w:hAnsi="宋体" w:cs="宋体" w:eastAsia="宋体" w:hint="default"/>
          <w:spacing w:val="-1"/>
          <w:sz w:val="18"/>
          <w:szCs w:val="18"/>
        </w:rPr>
        <w:t>行业，公司控股子公司方正达主营业务为</w:t>
      </w:r>
      <w:r>
        <w:rPr>
          <w:rFonts w:ascii="Times New Roman" w:hAnsi="Times New Roman" w:cs="Times New Roman" w:eastAsia="Times New Roman" w:hint="default"/>
          <w:spacing w:val="-1"/>
          <w:sz w:val="18"/>
          <w:szCs w:val="18"/>
        </w:rPr>
        <w:t>FPC</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2016</w:t>
      </w:r>
      <w:r>
        <w:rPr>
          <w:rFonts w:ascii="宋体" w:hAnsi="宋体" w:cs="宋体" w:eastAsia="宋体" w:hint="default"/>
          <w:spacing w:val="-1"/>
          <w:sz w:val="18"/>
          <w:szCs w:val="18"/>
        </w:rPr>
        <w:t>年，计划加大市场投入力度，继续成为</w:t>
      </w:r>
      <w:r>
        <w:rPr>
          <w:rFonts w:ascii="Times New Roman" w:hAnsi="Times New Roman" w:cs="Times New Roman" w:eastAsia="Times New Roman" w:hint="default"/>
          <w:spacing w:val="-1"/>
          <w:sz w:val="18"/>
          <w:szCs w:val="18"/>
        </w:rPr>
        <w:t>LED</w:t>
      </w:r>
      <w:r>
        <w:rPr>
          <w:rFonts w:ascii="宋体" w:hAnsi="宋体" w:cs="宋体" w:eastAsia="宋体" w:hint="default"/>
          <w:spacing w:val="-1"/>
          <w:sz w:val="18"/>
          <w:szCs w:val="18"/>
        </w:rPr>
        <w:t>应用</w:t>
      </w:r>
      <w:r>
        <w:rPr>
          <w:rFonts w:ascii="Times New Roman" w:hAnsi="Times New Roman" w:cs="Times New Roman" w:eastAsia="Times New Roman" w:hint="default"/>
          <w:spacing w:val="-1"/>
          <w:sz w:val="18"/>
          <w:szCs w:val="18"/>
        </w:rPr>
        <w:t>FPC</w:t>
      </w:r>
      <w:r>
        <w:rPr>
          <w:rFonts w:ascii="宋体" w:hAnsi="宋体" w:cs="宋体" w:eastAsia="宋体" w:hint="default"/>
          <w:spacing w:val="-1"/>
          <w:sz w:val="18"/>
          <w:szCs w:val="18"/>
        </w:rPr>
        <w:t>领军</w:t>
      </w:r>
      <w:r>
        <w:rPr>
          <w:rFonts w:ascii="宋体" w:hAnsi="宋体" w:cs="宋体" w:eastAsia="宋体" w:hint="default"/>
          <w:sz w:val="18"/>
          <w:szCs w:val="18"/>
        </w:rPr>
        <w:t> 企业。</w:t>
      </w:r>
    </w:p>
    <w:p>
      <w:pPr>
        <w:spacing w:line="302" w:lineRule="auto" w:before="68"/>
        <w:ind w:left="154" w:right="1131"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）光伏发电方面，公司本次非公开发行如顺利完成，公司将大力发展光伏发电站项目，进一步发挥光伏电站和光伏 逆变器产品生产、销售的协同作用，有利于公司提升核心竞争力和盈利能力，加快推进公司战略目标的实现。</w:t>
      </w:r>
    </w:p>
    <w:p>
      <w:pPr>
        <w:spacing w:before="70"/>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）开拓充电桩市场，作好技术储备，争取与大客户实现战略合作，加大市场拓展力度。</w:t>
      </w:r>
    </w:p>
    <w:p>
      <w:pPr>
        <w:spacing w:line="302" w:lineRule="auto" w:before="101"/>
        <w:ind w:left="153" w:right="1132" w:firstLine="360"/>
        <w:jc w:val="both"/>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6</w:t>
      </w:r>
      <w:r>
        <w:rPr>
          <w:rFonts w:ascii="宋体" w:hAnsi="宋体" w:cs="宋体" w:eastAsia="宋体" w:hint="default"/>
          <w:spacing w:val="-1"/>
          <w:sz w:val="18"/>
          <w:szCs w:val="18"/>
        </w:rPr>
        <w:t>）资本运作方面</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围绕投资热点及上市公司产业需求，寻找盈利性强、成长性高的投资标的，通过增资或股权转让的</w:t>
      </w:r>
      <w:r>
        <w:rPr>
          <w:rFonts w:ascii="宋体" w:hAnsi="宋体" w:cs="宋体" w:eastAsia="宋体" w:hint="default"/>
          <w:sz w:val="18"/>
          <w:szCs w:val="18"/>
        </w:rPr>
        <w:t> 方式持有投资标的股权，待时机成熟后推进产业并购工作，从而提升公司盈利能力，增强上市公司行业影响力。</w:t>
      </w:r>
    </w:p>
    <w:p>
      <w:pPr>
        <w:spacing w:before="69"/>
        <w:ind w:left="513" w:right="0" w:firstLine="0"/>
        <w:jc w:val="left"/>
        <w:rPr>
          <w:rFonts w:ascii="宋体" w:hAnsi="宋体" w:cs="宋体" w:eastAsia="宋体" w:hint="default"/>
          <w:sz w:val="18"/>
          <w:szCs w:val="18"/>
        </w:rPr>
      </w:pPr>
      <w:r>
        <w:rPr>
          <w:rFonts w:ascii="宋体" w:hAnsi="宋体" w:cs="宋体" w:eastAsia="宋体" w:hint="default"/>
          <w:sz w:val="18"/>
          <w:szCs w:val="18"/>
        </w:rPr>
        <w:t>（四）</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年年度经营计划</w:t>
      </w:r>
    </w:p>
    <w:p>
      <w:pPr>
        <w:spacing w:before="102"/>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、市场营销方面：</w:t>
      </w:r>
    </w:p>
    <w:p>
      <w:pPr>
        <w:spacing w:line="309" w:lineRule="auto" w:before="63"/>
        <w:ind w:left="154" w:right="1130"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）公司进行业务梳理后，将现有的业务模式和对接窗口进行调整，明确母公司及各子公司业务范围，清晰各职权责 </w:t>
      </w:r>
      <w:r>
        <w:rPr>
          <w:rFonts w:ascii="宋体" w:hAnsi="宋体" w:cs="宋体" w:eastAsia="宋体" w:hint="default"/>
          <w:spacing w:val="-2"/>
          <w:sz w:val="18"/>
          <w:szCs w:val="18"/>
        </w:rPr>
        <w:t>任人，公司未来加强对各子公司负责人的管控，以达到对各业务情况的把控，增加各单项业务的竞争力，进一步提高公司的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抗风险能力和可持续发展能力。</w:t>
      </w:r>
    </w:p>
    <w:p>
      <w:pPr>
        <w:spacing w:line="300" w:lineRule="auto" w:before="24"/>
        <w:ind w:left="154" w:right="1131"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）持续巩固公司现有主营业务，并积极探索新的业务领域，坚持技术创新，扩大市场占有率，持续提高公司盈利能 力。</w:t>
      </w:r>
    </w:p>
    <w:p>
      <w:pPr>
        <w:spacing w:line="300" w:lineRule="auto" w:before="31"/>
        <w:ind w:left="154" w:right="1134"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）维护现有大客户，坚持以客户为导向，提高客户服务质量，与</w:t>
      </w:r>
      <w:r>
        <w:rPr>
          <w:rFonts w:ascii="Times New Roman" w:hAnsi="Times New Roman" w:cs="Times New Roman" w:eastAsia="Times New Roman" w:hint="default"/>
          <w:sz w:val="18"/>
          <w:szCs w:val="18"/>
        </w:rPr>
        <w:t>VIP</w:t>
      </w:r>
      <w:r>
        <w:rPr>
          <w:rFonts w:ascii="宋体" w:hAnsi="宋体" w:cs="宋体" w:eastAsia="宋体" w:hint="default"/>
          <w:sz w:val="18"/>
          <w:szCs w:val="18"/>
        </w:rPr>
        <w:t>客户建立长久的战略合作关系，同时积极拓展 新客户进行审场，确保订单的持续稳定。</w:t>
      </w:r>
    </w:p>
    <w:p>
      <w:pPr>
        <w:spacing w:before="31"/>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、增加惠州茂硕产能</w:t>
      </w:r>
    </w:p>
    <w:p>
      <w:pPr>
        <w:spacing w:line="307" w:lineRule="auto" w:before="63"/>
        <w:ind w:left="153" w:right="1131" w:firstLine="36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年各新设备及产线陆续到位，惠州茂硕产能和品质逐步爬升，随着产能陆续释放，</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年可以在</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年的月均产能</w:t>
      </w:r>
      <w:r>
        <w:rPr>
          <w:rFonts w:ascii="宋体" w:hAnsi="宋体" w:cs="宋体" w:eastAsia="宋体" w:hint="default"/>
          <w:sz w:val="18"/>
          <w:szCs w:val="18"/>
        </w:rPr>
        <w:t> </w:t>
      </w:r>
      <w:r>
        <w:rPr>
          <w:rFonts w:ascii="宋体" w:hAnsi="宋体" w:cs="宋体" w:eastAsia="宋体" w:hint="default"/>
          <w:spacing w:val="-1"/>
          <w:sz w:val="18"/>
          <w:szCs w:val="18"/>
        </w:rPr>
        <w:t>上提升</w:t>
      </w:r>
      <w:r>
        <w:rPr>
          <w:rFonts w:ascii="Times New Roman" w:hAnsi="Times New Roman" w:cs="Times New Roman" w:eastAsia="Times New Roman" w:hint="default"/>
          <w:spacing w:val="-1"/>
          <w:sz w:val="18"/>
          <w:szCs w:val="18"/>
        </w:rPr>
        <w:t>60%</w:t>
      </w:r>
      <w:r>
        <w:rPr>
          <w:rFonts w:ascii="宋体" w:hAnsi="宋体" w:cs="宋体" w:eastAsia="宋体" w:hint="default"/>
          <w:spacing w:val="-1"/>
          <w:sz w:val="18"/>
          <w:szCs w:val="18"/>
        </w:rPr>
        <w:t>；随着产能及品质的稳定，惠州茂硕研发中心建设项目、信息化系统建设项目也在建设提升之中，公司高度重视</w:t>
      </w:r>
      <w:r>
        <w:rPr>
          <w:rFonts w:ascii="宋体" w:hAnsi="宋体" w:cs="宋体" w:eastAsia="宋体" w:hint="default"/>
          <w:sz w:val="18"/>
          <w:szCs w:val="18"/>
        </w:rPr>
        <w:t> </w:t>
      </w:r>
      <w:r>
        <w:rPr>
          <w:rFonts w:ascii="宋体" w:hAnsi="宋体" w:cs="宋体" w:eastAsia="宋体" w:hint="default"/>
          <w:spacing w:val="-2"/>
          <w:sz w:val="18"/>
          <w:szCs w:val="18"/>
        </w:rPr>
        <w:t>募投项目的运营进展情况，加强对募投项目的持续督导。公司已经争取到老客户更多份额、新增新客户大量订单，进一步使</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产能得到充分释放，加速公司销售业绩增长。</w:t>
      </w:r>
    </w:p>
    <w:p>
      <w:pPr>
        <w:spacing w:line="300" w:lineRule="auto" w:before="26"/>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、积极推动茂硕电子的资产证券化 </w:t>
      </w:r>
      <w:r>
        <w:rPr>
          <w:rFonts w:ascii="宋体" w:hAnsi="宋体" w:cs="宋体" w:eastAsia="宋体" w:hint="default"/>
          <w:spacing w:val="-2"/>
          <w:sz w:val="18"/>
          <w:szCs w:val="18"/>
        </w:rPr>
        <w:t>公司全资子公司茂硕电子专业生产各种</w:t>
      </w:r>
      <w:r>
        <w:rPr>
          <w:rFonts w:ascii="Times New Roman" w:hAnsi="Times New Roman" w:cs="Times New Roman" w:eastAsia="Times New Roman" w:hint="default"/>
          <w:spacing w:val="-2"/>
          <w:sz w:val="18"/>
          <w:szCs w:val="18"/>
        </w:rPr>
        <w:t>LED</w:t>
      </w:r>
      <w:r>
        <w:rPr>
          <w:rFonts w:ascii="宋体" w:hAnsi="宋体" w:cs="宋体" w:eastAsia="宋体" w:hint="default"/>
          <w:spacing w:val="-2"/>
          <w:sz w:val="18"/>
          <w:szCs w:val="18"/>
        </w:rPr>
        <w:t>路灯电源、</w:t>
      </w:r>
      <w:r>
        <w:rPr>
          <w:rFonts w:ascii="Times New Roman" w:hAnsi="Times New Roman" w:cs="Times New Roman" w:eastAsia="Times New Roman" w:hint="default"/>
          <w:spacing w:val="-2"/>
          <w:sz w:val="18"/>
          <w:szCs w:val="18"/>
        </w:rPr>
        <w:t>LED</w:t>
      </w:r>
      <w:r>
        <w:rPr>
          <w:rFonts w:ascii="宋体" w:hAnsi="宋体" w:cs="宋体" w:eastAsia="宋体" w:hint="default"/>
          <w:spacing w:val="-2"/>
          <w:sz w:val="18"/>
          <w:szCs w:val="18"/>
        </w:rPr>
        <w:t>隧道灯电源及其它</w:t>
      </w:r>
      <w:r>
        <w:rPr>
          <w:rFonts w:ascii="Times New Roman" w:hAnsi="Times New Roman" w:cs="Times New Roman" w:eastAsia="Times New Roman" w:hint="default"/>
          <w:spacing w:val="-2"/>
          <w:sz w:val="18"/>
          <w:szCs w:val="18"/>
        </w:rPr>
        <w:t>LED</w:t>
      </w:r>
      <w:r>
        <w:rPr>
          <w:rFonts w:ascii="宋体" w:hAnsi="宋体" w:cs="宋体" w:eastAsia="宋体" w:hint="default"/>
          <w:spacing w:val="-2"/>
          <w:sz w:val="18"/>
          <w:szCs w:val="18"/>
        </w:rPr>
        <w:t>照明电源等产品，在国内驱动电源行</w:t>
      </w:r>
    </w:p>
    <w:p>
      <w:pPr>
        <w:spacing w:before="13"/>
        <w:ind w:left="153" w:right="0" w:firstLine="0"/>
        <w:jc w:val="left"/>
        <w:rPr>
          <w:rFonts w:ascii="宋体" w:hAnsi="宋体" w:cs="宋体" w:eastAsia="宋体" w:hint="default"/>
          <w:sz w:val="18"/>
          <w:szCs w:val="18"/>
        </w:rPr>
      </w:pPr>
      <w:r>
        <w:rPr>
          <w:rFonts w:ascii="宋体" w:hAnsi="宋体" w:cs="宋体" w:eastAsia="宋体" w:hint="default"/>
          <w:sz w:val="18"/>
          <w:szCs w:val="18"/>
        </w:rPr>
        <w:t>业竞争日趋白热化的情况下，为了提高市场份额，稳固行业地位，公司将积极推动茂硕电子的资产证券化。</w:t>
      </w:r>
    </w:p>
    <w:p>
      <w:pPr>
        <w:spacing w:before="76"/>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FPC</w:t>
      </w:r>
      <w:r>
        <w:rPr>
          <w:rFonts w:ascii="宋体" w:hAnsi="宋体" w:cs="宋体" w:eastAsia="宋体" w:hint="default"/>
          <w:sz w:val="18"/>
          <w:szCs w:val="18"/>
        </w:rPr>
        <w:t>方面，提升现有产能，在产品种类上增加单面软板，其主要应用于高压灯条和日光灯管等。</w:t>
      </w:r>
    </w:p>
    <w:p>
      <w:pPr>
        <w:spacing w:line="300" w:lineRule="auto" w:before="63"/>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、光伏发电方面 </w:t>
      </w:r>
      <w:r>
        <w:rPr>
          <w:rFonts w:ascii="宋体" w:hAnsi="宋体" w:cs="宋体" w:eastAsia="宋体" w:hint="default"/>
          <w:spacing w:val="-4"/>
          <w:sz w:val="18"/>
          <w:szCs w:val="18"/>
        </w:rPr>
        <w:t>公司在</w:t>
      </w:r>
      <w:r>
        <w:rPr>
          <w:rFonts w:ascii="Times New Roman" w:hAnsi="Times New Roman" w:cs="Times New Roman" w:eastAsia="Times New Roman" w:hint="default"/>
          <w:spacing w:val="-4"/>
          <w:sz w:val="18"/>
          <w:szCs w:val="18"/>
        </w:rPr>
        <w:t>2016</w:t>
      </w:r>
      <w:r>
        <w:rPr>
          <w:rFonts w:ascii="宋体" w:hAnsi="宋体" w:cs="宋体" w:eastAsia="宋体" w:hint="default"/>
          <w:spacing w:val="-4"/>
          <w:sz w:val="18"/>
          <w:szCs w:val="18"/>
        </w:rPr>
        <w:t>年度的着重于新能源领域的光伏电站开发和应用投资、光伏配套产品销售等业务。在国家政策利好的形势下，</w:t>
      </w:r>
    </w:p>
    <w:p>
      <w:pPr>
        <w:spacing w:before="13"/>
        <w:ind w:left="153" w:right="0" w:firstLine="0"/>
        <w:jc w:val="left"/>
        <w:rPr>
          <w:rFonts w:ascii="宋体" w:hAnsi="宋体" w:cs="宋体" w:eastAsia="宋体" w:hint="default"/>
          <w:sz w:val="18"/>
          <w:szCs w:val="18"/>
        </w:rPr>
      </w:pPr>
      <w:r>
        <w:rPr>
          <w:rFonts w:ascii="宋体" w:hAnsi="宋体" w:cs="宋体" w:eastAsia="宋体" w:hint="default"/>
          <w:sz w:val="18"/>
          <w:szCs w:val="18"/>
        </w:rPr>
        <w:t>结合前期光伏应用投资资源的布局，力争完成非公开发行募投光伏项目建设投资。</w:t>
      </w:r>
    </w:p>
    <w:p>
      <w:pPr>
        <w:spacing w:line="338" w:lineRule="auto" w:before="117"/>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、资本运作方面 </w:t>
      </w:r>
      <w:r>
        <w:rPr>
          <w:rFonts w:ascii="宋体" w:hAnsi="宋体" w:cs="宋体" w:eastAsia="宋体" w:hint="default"/>
          <w:spacing w:val="-2"/>
          <w:sz w:val="18"/>
          <w:szCs w:val="18"/>
        </w:rPr>
        <w:t>借助先进技术和平台优势，推进资产证券化进程，为资产端寻找合适的证券化渠道，同时建立良好的风险控制制度与体</w:t>
      </w:r>
    </w:p>
    <w:p>
      <w:pPr>
        <w:spacing w:before="4"/>
        <w:ind w:left="154" w:right="0" w:firstLine="0"/>
        <w:jc w:val="left"/>
        <w:rPr>
          <w:rFonts w:ascii="宋体" w:hAnsi="宋体" w:cs="宋体" w:eastAsia="宋体" w:hint="default"/>
          <w:sz w:val="18"/>
          <w:szCs w:val="18"/>
        </w:rPr>
      </w:pPr>
      <w:r>
        <w:rPr>
          <w:rFonts w:ascii="宋体" w:hAnsi="宋体" w:cs="宋体" w:eastAsia="宋体" w:hint="default"/>
          <w:sz w:val="18"/>
          <w:szCs w:val="18"/>
        </w:rPr>
        <w:t>系，为投资者创造更高收益为目标，实现风险与收益的平衡。</w:t>
      </w:r>
    </w:p>
    <w:p>
      <w:pPr>
        <w:spacing w:before="117"/>
        <w:ind w:left="514" w:right="0" w:firstLine="0"/>
        <w:jc w:val="left"/>
        <w:rPr>
          <w:rFonts w:ascii="宋体" w:hAnsi="宋体" w:cs="宋体" w:eastAsia="宋体" w:hint="default"/>
          <w:sz w:val="18"/>
          <w:szCs w:val="18"/>
        </w:rPr>
      </w:pPr>
      <w:r>
        <w:rPr>
          <w:rFonts w:ascii="宋体" w:hAnsi="宋体" w:cs="宋体" w:eastAsia="宋体" w:hint="default"/>
          <w:sz w:val="18"/>
          <w:szCs w:val="18"/>
        </w:rPr>
        <w:t>（五）面临的风险</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line="338" w:lineRule="auto" w:before="44"/>
        <w:ind w:left="514" w:right="10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、市场竞争加剧及毛利率下降的风险 经过</w:t>
      </w:r>
      <w:r>
        <w:rPr>
          <w:rFonts w:ascii="Times New Roman" w:hAnsi="Times New Roman" w:cs="Times New Roman" w:eastAsia="Times New Roman" w:hint="default"/>
          <w:sz w:val="18"/>
          <w:szCs w:val="18"/>
        </w:rPr>
        <w:t>30</w:t>
      </w:r>
      <w:r>
        <w:rPr>
          <w:rFonts w:ascii="宋体" w:hAnsi="宋体" w:cs="宋体" w:eastAsia="宋体" w:hint="default"/>
          <w:sz w:val="18"/>
          <w:szCs w:val="18"/>
        </w:rPr>
        <w:t>多年的快速发展，中国已成为全球最大的消费类开关电源制造基地。普通开关电源行业是一个充分竞争的行业，</w:t>
      </w:r>
    </w:p>
    <w:p>
      <w:pPr>
        <w:spacing w:line="217" w:lineRule="exact"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作为传统产业，行业进入门槛相对较低，其竞争主要体现在产品质量、营销渠道、研发设计、客户服务等方面。普通开关电</w:t>
      </w:r>
    </w:p>
    <w:p>
      <w:pPr>
        <w:spacing w:line="309" w:lineRule="auto" w:before="76"/>
        <w:ind w:left="153" w:right="1131" w:firstLine="0"/>
        <w:jc w:val="both"/>
        <w:rPr>
          <w:rFonts w:ascii="宋体" w:hAnsi="宋体" w:cs="宋体" w:eastAsia="宋体" w:hint="default"/>
          <w:sz w:val="18"/>
          <w:szCs w:val="18"/>
        </w:rPr>
      </w:pPr>
      <w:r>
        <w:rPr>
          <w:rFonts w:ascii="宋体" w:hAnsi="宋体" w:cs="宋体" w:eastAsia="宋体" w:hint="default"/>
          <w:spacing w:val="-2"/>
          <w:sz w:val="18"/>
          <w:szCs w:val="18"/>
        </w:rPr>
        <w:t>源各品牌的市场集中度相对较低，各品牌之间的竞争较为激烈。</w:t>
      </w:r>
      <w:r>
        <w:rPr>
          <w:rFonts w:ascii="Times New Roman" w:hAnsi="Times New Roman" w:cs="Times New Roman" w:eastAsia="Times New Roman" w:hint="default"/>
          <w:spacing w:val="-2"/>
          <w:sz w:val="18"/>
          <w:szCs w:val="18"/>
        </w:rPr>
        <w:t>LED</w:t>
      </w:r>
      <w:r>
        <w:rPr>
          <w:rFonts w:ascii="宋体" w:hAnsi="宋体" w:cs="宋体" w:eastAsia="宋体" w:hint="default"/>
          <w:spacing w:val="-2"/>
          <w:sz w:val="18"/>
          <w:szCs w:val="18"/>
        </w:rPr>
        <w:t>驱动电源虽然为开关电源行业中的新兴细分产业，但新</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pacing w:val="-2"/>
          <w:sz w:val="18"/>
          <w:szCs w:val="18"/>
        </w:rPr>
        <w:t>进制造商的不断增加也使其竞争日趋激烈，来自国内外的竞争压力仍将持续甚至加大，如公司无法保持竞争优势，则公司的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行业地位、市场份额、经营业绩等均会受到不利影响。</w:t>
      </w:r>
    </w:p>
    <w:p>
      <w:pPr>
        <w:spacing w:line="319" w:lineRule="auto" w:before="64"/>
        <w:ind w:left="153" w:right="1043" w:firstLine="360"/>
        <w:jc w:val="both"/>
        <w:rPr>
          <w:rFonts w:ascii="宋体" w:hAnsi="宋体" w:cs="宋体" w:eastAsia="宋体" w:hint="default"/>
          <w:sz w:val="18"/>
          <w:szCs w:val="18"/>
        </w:rPr>
      </w:pPr>
      <w:r>
        <w:rPr>
          <w:rFonts w:ascii="宋体" w:hAnsi="宋体" w:cs="宋体" w:eastAsia="宋体" w:hint="default"/>
          <w:spacing w:val="-2"/>
          <w:sz w:val="18"/>
          <w:szCs w:val="18"/>
        </w:rPr>
        <w:t>此外，电子产品普遍呈现同款产品价格逐年下降的趋势。长期来看，随着市场竞争的加剧、供求关系的影响、生产效率</w:t>
      </w:r>
      <w:r>
        <w:rPr>
          <w:rFonts w:ascii="宋体" w:hAnsi="宋体" w:cs="宋体" w:eastAsia="宋体" w:hint="default"/>
          <w:sz w:val="18"/>
          <w:szCs w:val="18"/>
        </w:rPr>
        <w:t> </w:t>
      </w:r>
      <w:r>
        <w:rPr>
          <w:rFonts w:ascii="宋体" w:hAnsi="宋体" w:cs="宋体" w:eastAsia="宋体" w:hint="default"/>
          <w:spacing w:val="-2"/>
          <w:sz w:val="18"/>
          <w:szCs w:val="18"/>
        </w:rPr>
        <w:t>的提高，公司各类电源产品价格存在下降趋势，若公司不能通过有效降低产品生产成本来抵消价格下降的风险，或者无法持</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4"/>
          <w:sz w:val="18"/>
          <w:szCs w:val="18"/>
        </w:rPr>
        <w:t>续推出新产品进行产品结构的升级，公司产品价格的下降将导致产品毛利率的下降，从而影响到公司的财务状况和经营业绩。</w:t>
      </w:r>
    </w:p>
    <w:p>
      <w:pPr>
        <w:spacing w:line="338" w:lineRule="auto" w:before="56"/>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、技术及产品研发风险 </w:t>
      </w:r>
      <w:r>
        <w:rPr>
          <w:rFonts w:ascii="Times New Roman" w:hAnsi="Times New Roman" w:cs="Times New Roman" w:eastAsia="Times New Roman" w:hint="default"/>
          <w:spacing w:val="-1"/>
          <w:sz w:val="18"/>
          <w:szCs w:val="18"/>
        </w:rPr>
        <w:t>SPS</w:t>
      </w:r>
      <w:r>
        <w:rPr>
          <w:rFonts w:ascii="宋体" w:hAnsi="宋体" w:cs="宋体" w:eastAsia="宋体" w:hint="default"/>
          <w:spacing w:val="-1"/>
          <w:sz w:val="18"/>
          <w:szCs w:val="18"/>
        </w:rPr>
        <w:t>开关电源及</w:t>
      </w:r>
      <w:r>
        <w:rPr>
          <w:rFonts w:ascii="Times New Roman" w:hAnsi="Times New Roman" w:cs="Times New Roman" w:eastAsia="Times New Roman" w:hint="default"/>
          <w:spacing w:val="-1"/>
          <w:sz w:val="18"/>
          <w:szCs w:val="18"/>
        </w:rPr>
        <w:t>LED</w:t>
      </w:r>
      <w:r>
        <w:rPr>
          <w:rFonts w:ascii="宋体" w:hAnsi="宋体" w:cs="宋体" w:eastAsia="宋体" w:hint="default"/>
          <w:spacing w:val="-1"/>
          <w:sz w:val="18"/>
          <w:szCs w:val="18"/>
        </w:rPr>
        <w:t>驱动电源等电源产品是公司的传统优势领域。公司十分重视电源技术及产品的研发，逐步增强自身</w:t>
      </w:r>
    </w:p>
    <w:p>
      <w:pPr>
        <w:spacing w:line="230" w:lineRule="exact" w:before="0"/>
        <w:ind w:left="153" w:right="0" w:firstLine="0"/>
        <w:jc w:val="both"/>
        <w:rPr>
          <w:rFonts w:ascii="Times New Roman" w:hAnsi="Times New Roman" w:cs="Times New Roman" w:eastAsia="Times New Roman" w:hint="default"/>
          <w:sz w:val="18"/>
          <w:szCs w:val="18"/>
        </w:rPr>
      </w:pPr>
      <w:r>
        <w:rPr>
          <w:rFonts w:ascii="宋体" w:hAnsi="宋体" w:cs="宋体" w:eastAsia="宋体" w:hint="default"/>
          <w:sz w:val="18"/>
          <w:szCs w:val="18"/>
        </w:rPr>
        <w:t>的研发实力。随着电源产品向高频、高功率、高效率、高可靠、智能化方向发展，电源的研发技术要求，尤其是大功率</w:t>
      </w:r>
      <w:r>
        <w:rPr>
          <w:rFonts w:ascii="Times New Roman" w:hAnsi="Times New Roman" w:cs="Times New Roman" w:eastAsia="Times New Roman" w:hint="default"/>
          <w:sz w:val="18"/>
          <w:szCs w:val="18"/>
        </w:rPr>
        <w:t>LED</w:t>
      </w:r>
    </w:p>
    <w:p>
      <w:pPr>
        <w:spacing w:line="319" w:lineRule="auto" w:before="63"/>
        <w:ind w:left="153" w:right="1131" w:firstLine="0"/>
        <w:jc w:val="both"/>
        <w:rPr>
          <w:rFonts w:ascii="宋体" w:hAnsi="宋体" w:cs="宋体" w:eastAsia="宋体" w:hint="default"/>
          <w:sz w:val="18"/>
          <w:szCs w:val="18"/>
        </w:rPr>
      </w:pPr>
      <w:r>
        <w:rPr>
          <w:rFonts w:ascii="宋体" w:hAnsi="宋体" w:cs="宋体" w:eastAsia="宋体" w:hint="default"/>
          <w:spacing w:val="-2"/>
          <w:sz w:val="18"/>
          <w:szCs w:val="18"/>
        </w:rPr>
        <w:t>驱动电源的技术要求显著提高，工艺技术和行业经验也非常重要，需要长时间的行业积累。虽然公司对电源的技术研发一直</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处于行业领先水平，但是如果公司技术不能持续进步、保持行业领先，或是研发方向决策错误，开发的新产品不能很好的适</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应市场需求，公司的竞争能力将被削弱。</w:t>
      </w:r>
    </w:p>
    <w:p>
      <w:pPr>
        <w:spacing w:line="338" w:lineRule="auto" w:before="58"/>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、经营管理风险 </w:t>
      </w:r>
      <w:r>
        <w:rPr>
          <w:rFonts w:ascii="宋体" w:hAnsi="宋体" w:cs="宋体" w:eastAsia="宋体" w:hint="default"/>
          <w:spacing w:val="-2"/>
          <w:sz w:val="18"/>
          <w:szCs w:val="18"/>
        </w:rPr>
        <w:t>公司通过多年的持续发展，已建立了较稳定的经营管理体系和内控制度。本次募集资金投资项目建设完成后，公司业务</w:t>
      </w:r>
    </w:p>
    <w:p>
      <w:pPr>
        <w:spacing w:line="314" w:lineRule="auto" w:before="2"/>
        <w:ind w:left="154" w:right="1032" w:firstLine="0"/>
        <w:jc w:val="left"/>
        <w:rPr>
          <w:rFonts w:ascii="宋体" w:hAnsi="宋体" w:cs="宋体" w:eastAsia="宋体" w:hint="default"/>
          <w:sz w:val="18"/>
          <w:szCs w:val="18"/>
        </w:rPr>
      </w:pPr>
      <w:r>
        <w:rPr>
          <w:rFonts w:ascii="宋体" w:hAnsi="宋体" w:cs="宋体" w:eastAsia="宋体" w:hint="default"/>
          <w:spacing w:val="-2"/>
          <w:sz w:val="18"/>
          <w:szCs w:val="18"/>
        </w:rPr>
        <w:t>将全面拓展至光伏发电领域。公司在大规模光伏发电领域的管理经验有限，新业务领域对公司在经营管理模式上提出了全新</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要求。与此同时，公司业务规模将较发行前有一定程度的提升，公司经营活动、组织架构和管理体系亦将趋于复杂，对公司</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的战略规划、组织机构、内部控制、运营管理、财务管理等方面提出更高要求。针对业务扩张带来的管理风险，公司在管理</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制度建设和管理人才引进等方面积极应对：制度建设方面，公司将充分利用在项目流程管理和产品质量控制建设上的经验， </w:t>
      </w:r>
      <w:r>
        <w:rPr>
          <w:rFonts w:ascii="宋体" w:hAnsi="宋体" w:cs="宋体" w:eastAsia="宋体" w:hint="default"/>
          <w:spacing w:val="-2"/>
          <w:sz w:val="18"/>
          <w:szCs w:val="18"/>
        </w:rPr>
        <w:t>继续推行精细化管理制度，同时加强管理规范化，优化决策流程，提高管理效率。人才储备方面，公司将进一步建设富有竞</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争力的薪酬及激励机制，提高</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茂硕</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品牌在行业内的号召力，通过内部培养和外部引进相结合的方式建设专业化光伏电站管</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理团队。</w:t>
      </w:r>
    </w:p>
    <w:p>
      <w:pPr>
        <w:spacing w:line="300" w:lineRule="auto" w:before="59"/>
        <w:ind w:left="424" w:right="1117" w:firstLine="23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、商誉减值的风险 报告期内，公司已完成对湖南方正达的收购，形成</w:t>
      </w:r>
      <w:r>
        <w:rPr>
          <w:rFonts w:ascii="Times New Roman" w:hAnsi="Times New Roman" w:cs="Times New Roman" w:eastAsia="Times New Roman" w:hint="default"/>
          <w:sz w:val="18"/>
          <w:szCs w:val="18"/>
        </w:rPr>
        <w:t>131,038,709.71</w:t>
      </w:r>
      <w:r>
        <w:rPr>
          <w:rFonts w:ascii="宋体" w:hAnsi="宋体" w:cs="宋体" w:eastAsia="宋体" w:hint="default"/>
          <w:sz w:val="18"/>
          <w:szCs w:val="18"/>
        </w:rPr>
        <w:t>元的商誉，随着</w:t>
      </w:r>
      <w:r>
        <w:rPr>
          <w:rFonts w:ascii="Times New Roman" w:hAnsi="Times New Roman" w:cs="Times New Roman" w:eastAsia="Times New Roman" w:hint="default"/>
          <w:sz w:val="18"/>
          <w:szCs w:val="18"/>
        </w:rPr>
        <w:t>FPC</w:t>
      </w:r>
      <w:r>
        <w:rPr>
          <w:rFonts w:ascii="宋体" w:hAnsi="宋体" w:cs="宋体" w:eastAsia="宋体" w:hint="default"/>
          <w:sz w:val="18"/>
          <w:szCs w:val="18"/>
        </w:rPr>
        <w:t>行业竞争日趋激烈，若湖南方正达</w:t>
      </w:r>
    </w:p>
    <w:p>
      <w:pPr>
        <w:spacing w:line="278" w:lineRule="auto" w:before="0"/>
        <w:ind w:left="153" w:right="1169" w:firstLine="0"/>
        <w:jc w:val="both"/>
        <w:rPr>
          <w:rFonts w:ascii="宋体" w:hAnsi="宋体" w:cs="宋体" w:eastAsia="宋体" w:hint="default"/>
          <w:sz w:val="20"/>
          <w:szCs w:val="20"/>
        </w:rPr>
      </w:pPr>
      <w:r>
        <w:rPr>
          <w:rFonts w:ascii="宋体" w:hAnsi="宋体" w:cs="宋体" w:eastAsia="宋体" w:hint="default"/>
          <w:sz w:val="18"/>
          <w:szCs w:val="18"/>
        </w:rPr>
        <w:t>不能较好地</w:t>
      </w:r>
      <w:r>
        <w:rPr>
          <w:rFonts w:ascii="宋体" w:hAnsi="宋体" w:cs="宋体" w:eastAsia="宋体" w:hint="default"/>
          <w:sz w:val="20"/>
          <w:szCs w:val="20"/>
        </w:rPr>
        <w:t>完成承诺业绩，则存在商誉减值的风险。公司将充分发挥与湖南方正在</w:t>
      </w:r>
      <w:r>
        <w:rPr>
          <w:rFonts w:ascii="宋体" w:hAnsi="宋体" w:cs="宋体" w:eastAsia="宋体" w:hint="default"/>
          <w:spacing w:val="-26"/>
          <w:sz w:val="20"/>
          <w:szCs w:val="20"/>
        </w:rPr>
        <w:t> </w:t>
      </w:r>
      <w:r>
        <w:rPr>
          <w:rFonts w:ascii="宋体" w:hAnsi="宋体" w:cs="宋体" w:eastAsia="宋体" w:hint="default"/>
          <w:sz w:val="20"/>
          <w:szCs w:val="20"/>
        </w:rPr>
        <w:t>在</w:t>
      </w:r>
      <w:r>
        <w:rPr>
          <w:rFonts w:ascii="Times New Roman" w:hAnsi="Times New Roman" w:cs="Times New Roman" w:eastAsia="Times New Roman" w:hint="default"/>
          <w:sz w:val="20"/>
          <w:szCs w:val="20"/>
        </w:rPr>
        <w:t>LED</w:t>
      </w:r>
      <w:r>
        <w:rPr>
          <w:rFonts w:ascii="宋体" w:hAnsi="宋体" w:cs="宋体" w:eastAsia="宋体" w:hint="default"/>
          <w:sz w:val="20"/>
          <w:szCs w:val="20"/>
        </w:rPr>
        <w:t>产品产业链的配套优</w:t>
      </w:r>
      <w:r>
        <w:rPr>
          <w:rFonts w:ascii="宋体" w:hAnsi="宋体" w:cs="宋体" w:eastAsia="宋体" w:hint="default"/>
          <w:w w:val="100"/>
          <w:sz w:val="20"/>
          <w:szCs w:val="20"/>
        </w:rPr>
        <w:t> </w:t>
      </w:r>
      <w:r>
        <w:rPr>
          <w:rFonts w:ascii="宋体" w:hAnsi="宋体" w:cs="宋体" w:eastAsia="宋体" w:hint="default"/>
          <w:spacing w:val="-1"/>
          <w:sz w:val="20"/>
          <w:szCs w:val="20"/>
        </w:rPr>
        <w:t>势，在品牌影响、技术研发、市场开拓等方面的协同优势，进一步增强细分领域的市场竞争力，稳步提升公司</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z w:val="20"/>
          <w:szCs w:val="20"/>
        </w:rPr>
        <w:t>及湖南方正达的市场拓展能力及市场占有率，降低产生商誉减值风险的可能性。</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pStyle w:val="Heading2"/>
        <w:spacing w:line="240" w:lineRule="auto"/>
        <w:ind w:right="0"/>
        <w:jc w:val="both"/>
        <w:rPr>
          <w:b w:val="0"/>
          <w:bCs w:val="0"/>
        </w:rPr>
      </w:pPr>
      <w:bookmarkStart w:name="十、接待调研、沟通、采访等活动" w:id="58"/>
      <w:bookmarkEnd w:id="58"/>
      <w:r>
        <w:rPr>
          <w:b w:val="0"/>
          <w:bCs w:val="0"/>
        </w:rPr>
      </w:r>
      <w:r>
        <w:rPr/>
        <w:t>十、接待调研、沟通、采访等活动</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both"/>
        <w:rPr>
          <w:b w:val="0"/>
          <w:bCs w:val="0"/>
        </w:rPr>
      </w:pPr>
      <w:bookmarkStart w:name="1、报告期内接待调研、沟通、采访等活动登记表" w:id="59"/>
      <w:bookmarkEnd w:id="59"/>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78"/>
        <w:gridCol w:w="2177"/>
        <w:gridCol w:w="2177"/>
        <w:gridCol w:w="3038"/>
      </w:tblGrid>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22"/>
              <w:jc w:val="right"/>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1650"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6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84"/>
              <w:jc w:val="left"/>
              <w:rPr>
                <w:rFonts w:ascii="宋体" w:hAnsi="宋体" w:cs="宋体" w:eastAsia="宋体" w:hint="default"/>
                <w:sz w:val="18"/>
                <w:szCs w:val="18"/>
              </w:rPr>
            </w:pPr>
            <w:r>
              <w:rPr>
                <w:rFonts w:ascii="宋体" w:hAnsi="宋体" w:cs="宋体" w:eastAsia="宋体" w:hint="default"/>
                <w:sz w:val="18"/>
                <w:szCs w:val="18"/>
              </w:rPr>
              <w:t>此次的调研的有关情况详见公司于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日登载于深圳证券交 易所网站互动平台上的《茂硕电源：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 录表》</w:t>
            </w:r>
          </w:p>
        </w:tc>
      </w:tr>
    </w:tbl>
    <w:p>
      <w:pPr>
        <w:spacing w:after="0" w:line="30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593"/>
        <w:jc w:val="center"/>
        <w:rPr>
          <w:b w:val="0"/>
          <w:bCs w:val="0"/>
        </w:rPr>
      </w:pPr>
      <w:bookmarkStart w:name="第五节 重要事项" w:id="60"/>
      <w:bookmarkEnd w:id="60"/>
      <w:r>
        <w:rPr>
          <w:b w:val="0"/>
          <w:bCs w:val="0"/>
        </w:rPr>
      </w:r>
      <w:bookmarkStart w:name="_bookmark3" w:id="61"/>
      <w:bookmarkEnd w:id="61"/>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2"/>
      <w:bookmarkEnd w:id="62"/>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7"/>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6"/>
        <w:ind w:left="154" w:right="0"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w:t>
      </w:r>
      <w:r>
        <w:rPr>
          <w:rFonts w:ascii="宋体" w:hAnsi="宋体" w:cs="宋体" w:eastAsia="宋体" w:hint="default"/>
          <w:sz w:val="18"/>
          <w:szCs w:val="18"/>
        </w:rPr>
        <w:t>包括本报告期）的普通股股利分配方案（预案</w:t>
      </w:r>
      <w:r>
        <w:rPr>
          <w:rFonts w:ascii="宋体" w:hAnsi="宋体" w:cs="宋体" w:eastAsia="宋体" w:hint="default"/>
          <w:spacing w:val="-90"/>
          <w:sz w:val="18"/>
          <w:szCs w:val="18"/>
        </w:rPr>
        <w:t>）</w:t>
      </w:r>
      <w:r>
        <w:rPr>
          <w:rFonts w:ascii="宋体" w:hAnsi="宋体" w:cs="宋体" w:eastAsia="宋体" w:hint="default"/>
          <w:sz w:val="18"/>
          <w:szCs w:val="18"/>
        </w:rPr>
        <w:t>、资本公积金转增股本方案（预案）情况</w:t>
      </w:r>
    </w:p>
    <w:p>
      <w:pPr>
        <w:spacing w:line="271" w:lineRule="auto" w:before="85"/>
        <w:ind w:left="153" w:right="1130" w:firstLine="399"/>
        <w:jc w:val="both"/>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宋体" w:hAnsi="宋体" w:cs="宋体" w:eastAsia="宋体" w:hint="default"/>
          <w:sz w:val="20"/>
          <w:szCs w:val="20"/>
        </w:rPr>
        <w:t>年，以总股本</w:t>
      </w:r>
      <w:r>
        <w:rPr>
          <w:rFonts w:ascii="Times New Roman" w:hAnsi="Times New Roman" w:cs="Times New Roman" w:eastAsia="Times New Roman" w:hint="default"/>
          <w:sz w:val="20"/>
          <w:szCs w:val="20"/>
        </w:rPr>
        <w:t>9,863.18</w:t>
      </w:r>
      <w:r>
        <w:rPr>
          <w:rFonts w:ascii="宋体" w:hAnsi="宋体" w:cs="宋体" w:eastAsia="宋体" w:hint="default"/>
          <w:sz w:val="20"/>
          <w:szCs w:val="20"/>
        </w:rPr>
        <w:t>万股为基数，向全体股东每</w:t>
      </w:r>
      <w:r>
        <w:rPr>
          <w:rFonts w:ascii="Times New Roman" w:hAnsi="Times New Roman" w:cs="Times New Roman" w:eastAsia="Times New Roman" w:hint="default"/>
          <w:sz w:val="20"/>
          <w:szCs w:val="20"/>
        </w:rPr>
        <w:t>10</w:t>
      </w:r>
      <w:r>
        <w:rPr>
          <w:rFonts w:ascii="宋体" w:hAnsi="宋体" w:cs="宋体" w:eastAsia="宋体" w:hint="default"/>
          <w:sz w:val="20"/>
          <w:szCs w:val="20"/>
        </w:rPr>
        <w:t>股派发现金股利</w:t>
      </w:r>
      <w:r>
        <w:rPr>
          <w:rFonts w:ascii="Times New Roman" w:hAnsi="Times New Roman" w:cs="Times New Roman" w:eastAsia="Times New Roman" w:hint="default"/>
          <w:sz w:val="20"/>
          <w:szCs w:val="20"/>
        </w:rPr>
        <w:t>1</w:t>
      </w:r>
      <w:r>
        <w:rPr>
          <w:rFonts w:ascii="宋体" w:hAnsi="宋体" w:cs="宋体" w:eastAsia="宋体" w:hint="default"/>
          <w:sz w:val="20"/>
          <w:szCs w:val="20"/>
        </w:rPr>
        <w:t>元人民币（含税）；同时进行资</w:t>
      </w:r>
      <w:r>
        <w:rPr>
          <w:rFonts w:ascii="宋体" w:hAnsi="宋体" w:cs="宋体" w:eastAsia="宋体" w:hint="default"/>
          <w:w w:val="100"/>
          <w:sz w:val="20"/>
          <w:szCs w:val="20"/>
        </w:rPr>
        <w:t> </w:t>
      </w:r>
      <w:r>
        <w:rPr>
          <w:rFonts w:ascii="宋体" w:hAnsi="宋体" w:cs="宋体" w:eastAsia="宋体" w:hint="default"/>
          <w:spacing w:val="-2"/>
          <w:sz w:val="20"/>
          <w:szCs w:val="20"/>
        </w:rPr>
        <w:t>本公积金转增股本，以公司总股本</w:t>
      </w:r>
      <w:r>
        <w:rPr>
          <w:rFonts w:ascii="Times New Roman" w:hAnsi="Times New Roman" w:cs="Times New Roman" w:eastAsia="Times New Roman" w:hint="default"/>
          <w:spacing w:val="-2"/>
          <w:sz w:val="20"/>
          <w:szCs w:val="20"/>
        </w:rPr>
        <w:t>9,863.18</w:t>
      </w:r>
      <w:r>
        <w:rPr>
          <w:rFonts w:ascii="宋体" w:hAnsi="宋体" w:cs="宋体" w:eastAsia="宋体" w:hint="default"/>
          <w:spacing w:val="-2"/>
          <w:sz w:val="20"/>
          <w:szCs w:val="20"/>
        </w:rPr>
        <w:t>万股为基数向全体股东每</w:t>
      </w:r>
      <w:r>
        <w:rPr>
          <w:rFonts w:ascii="Times New Roman" w:hAnsi="Times New Roman" w:cs="Times New Roman" w:eastAsia="Times New Roman" w:hint="default"/>
          <w:spacing w:val="-2"/>
          <w:sz w:val="20"/>
          <w:szCs w:val="20"/>
        </w:rPr>
        <w:t>10</w:t>
      </w:r>
      <w:r>
        <w:rPr>
          <w:rFonts w:ascii="宋体" w:hAnsi="宋体" w:cs="宋体" w:eastAsia="宋体" w:hint="default"/>
          <w:spacing w:val="-2"/>
          <w:sz w:val="20"/>
          <w:szCs w:val="20"/>
        </w:rPr>
        <w:t>股转增</w:t>
      </w:r>
      <w:r>
        <w:rPr>
          <w:rFonts w:ascii="Times New Roman" w:hAnsi="Times New Roman" w:cs="Times New Roman" w:eastAsia="Times New Roman" w:hint="default"/>
          <w:spacing w:val="-2"/>
          <w:sz w:val="20"/>
          <w:szCs w:val="20"/>
        </w:rPr>
        <w:t>10</w:t>
      </w:r>
      <w:r>
        <w:rPr>
          <w:rFonts w:ascii="宋体" w:hAnsi="宋体" w:cs="宋体" w:eastAsia="宋体" w:hint="default"/>
          <w:spacing w:val="-2"/>
          <w:sz w:val="20"/>
          <w:szCs w:val="20"/>
        </w:rPr>
        <w:t>股，转增后公司总股本将增加至</w:t>
      </w:r>
      <w:r>
        <w:rPr>
          <w:rFonts w:ascii="宋体" w:hAnsi="宋体" w:cs="宋体" w:eastAsia="宋体" w:hint="default"/>
          <w:spacing w:val="-67"/>
          <w:sz w:val="20"/>
          <w:szCs w:val="20"/>
        </w:rPr>
        <w:t> </w:t>
      </w:r>
      <w:r>
        <w:rPr>
          <w:rFonts w:ascii="宋体" w:hAnsi="宋体" w:cs="宋体" w:eastAsia="宋体" w:hint="default"/>
          <w:spacing w:val="-67"/>
          <w:sz w:val="20"/>
          <w:szCs w:val="20"/>
        </w:rPr>
      </w:r>
      <w:r>
        <w:rPr>
          <w:rFonts w:ascii="Times New Roman" w:hAnsi="Times New Roman" w:cs="Times New Roman" w:eastAsia="Times New Roman" w:hint="default"/>
          <w:sz w:val="20"/>
          <w:szCs w:val="20"/>
        </w:rPr>
        <w:t>19,726.36</w:t>
      </w:r>
      <w:r>
        <w:rPr>
          <w:rFonts w:ascii="宋体" w:hAnsi="宋体" w:cs="宋体" w:eastAsia="宋体" w:hint="default"/>
          <w:sz w:val="20"/>
          <w:szCs w:val="20"/>
        </w:rPr>
        <w:t>万股。</w:t>
      </w:r>
    </w:p>
    <w:p>
      <w:pPr>
        <w:spacing w:line="271" w:lineRule="auto" w:before="6"/>
        <w:ind w:left="153" w:right="1130" w:firstLine="399"/>
        <w:jc w:val="both"/>
        <w:rPr>
          <w:rFonts w:ascii="宋体" w:hAnsi="宋体" w:cs="宋体" w:eastAsia="宋体" w:hint="default"/>
          <w:sz w:val="20"/>
          <w:szCs w:val="20"/>
        </w:rPr>
      </w:pPr>
      <w:r>
        <w:rPr>
          <w:rFonts w:ascii="Times New Roman" w:hAnsi="Times New Roman" w:cs="Times New Roman" w:eastAsia="Times New Roman" w:hint="default"/>
          <w:spacing w:val="-1"/>
          <w:sz w:val="20"/>
          <w:szCs w:val="20"/>
        </w:rPr>
        <w:t>2013</w:t>
      </w:r>
      <w:r>
        <w:rPr>
          <w:rFonts w:ascii="宋体" w:hAnsi="宋体" w:cs="宋体" w:eastAsia="宋体" w:hint="default"/>
          <w:spacing w:val="-1"/>
          <w:sz w:val="20"/>
          <w:szCs w:val="20"/>
        </w:rPr>
        <w:t>年，以公司总股本</w:t>
      </w:r>
      <w:r>
        <w:rPr>
          <w:rFonts w:ascii="Times New Roman" w:hAnsi="Times New Roman" w:cs="Times New Roman" w:eastAsia="Times New Roman" w:hint="default"/>
          <w:spacing w:val="-1"/>
          <w:sz w:val="20"/>
          <w:szCs w:val="20"/>
        </w:rPr>
        <w:t>194,160,000</w:t>
      </w:r>
      <w:r>
        <w:rPr>
          <w:rFonts w:ascii="宋体" w:hAnsi="宋体" w:cs="宋体" w:eastAsia="宋体" w:hint="default"/>
          <w:spacing w:val="-1"/>
          <w:sz w:val="20"/>
          <w:szCs w:val="20"/>
        </w:rPr>
        <w:t>股为基数，向全体股东每</w:t>
      </w:r>
      <w:r>
        <w:rPr>
          <w:rFonts w:ascii="Times New Roman" w:hAnsi="Times New Roman" w:cs="Times New Roman" w:eastAsia="Times New Roman" w:hint="default"/>
          <w:spacing w:val="-1"/>
          <w:sz w:val="20"/>
          <w:szCs w:val="20"/>
        </w:rPr>
        <w:t>10</w:t>
      </w:r>
      <w:r>
        <w:rPr>
          <w:rFonts w:ascii="宋体" w:hAnsi="宋体" w:cs="宋体" w:eastAsia="宋体" w:hint="default"/>
          <w:spacing w:val="-1"/>
          <w:sz w:val="20"/>
          <w:szCs w:val="20"/>
        </w:rPr>
        <w:t>股派发现金股利</w:t>
      </w:r>
      <w:r>
        <w:rPr>
          <w:rFonts w:ascii="Times New Roman" w:hAnsi="Times New Roman" w:cs="Times New Roman" w:eastAsia="Times New Roman" w:hint="default"/>
          <w:spacing w:val="-1"/>
          <w:sz w:val="20"/>
          <w:szCs w:val="20"/>
        </w:rPr>
        <w:t>0.3</w:t>
      </w:r>
      <w:r>
        <w:rPr>
          <w:rFonts w:ascii="宋体" w:hAnsi="宋体" w:cs="宋体" w:eastAsia="宋体" w:hint="default"/>
          <w:spacing w:val="-1"/>
          <w:sz w:val="20"/>
          <w:szCs w:val="20"/>
        </w:rPr>
        <w:t>元人民币（含税）；同时</w:t>
      </w:r>
      <w:r>
        <w:rPr>
          <w:rFonts w:ascii="宋体" w:hAnsi="宋体" w:cs="宋体" w:eastAsia="宋体" w:hint="default"/>
          <w:w w:val="100"/>
          <w:sz w:val="20"/>
          <w:szCs w:val="20"/>
        </w:rPr>
        <w:t> </w:t>
      </w:r>
      <w:r>
        <w:rPr>
          <w:rFonts w:ascii="宋体" w:hAnsi="宋体" w:cs="宋体" w:eastAsia="宋体" w:hint="default"/>
          <w:sz w:val="20"/>
          <w:szCs w:val="20"/>
        </w:rPr>
        <w:t>进行资本公积金转增股本，向全体股东每</w:t>
      </w:r>
      <w:r>
        <w:rPr>
          <w:rFonts w:ascii="Times New Roman" w:hAnsi="Times New Roman" w:cs="Times New Roman" w:eastAsia="Times New Roman" w:hint="default"/>
          <w:sz w:val="20"/>
          <w:szCs w:val="20"/>
        </w:rPr>
        <w:t>10</w:t>
      </w:r>
      <w:r>
        <w:rPr>
          <w:rFonts w:ascii="宋体" w:hAnsi="宋体" w:cs="宋体" w:eastAsia="宋体" w:hint="default"/>
          <w:sz w:val="20"/>
          <w:szCs w:val="20"/>
        </w:rPr>
        <w:t>股转增</w:t>
      </w:r>
      <w:r>
        <w:rPr>
          <w:rFonts w:ascii="Times New Roman" w:hAnsi="Times New Roman" w:cs="Times New Roman" w:eastAsia="Times New Roman" w:hint="default"/>
          <w:sz w:val="20"/>
          <w:szCs w:val="20"/>
        </w:rPr>
        <w:t>3</w:t>
      </w:r>
      <w:r>
        <w:rPr>
          <w:rFonts w:ascii="宋体" w:hAnsi="宋体" w:cs="宋体" w:eastAsia="宋体" w:hint="default"/>
          <w:sz w:val="20"/>
          <w:szCs w:val="20"/>
        </w:rPr>
        <w:t>股，转增后公司总股本将增加至</w:t>
      </w:r>
      <w:r>
        <w:rPr>
          <w:rFonts w:ascii="Times New Roman" w:hAnsi="Times New Roman" w:cs="Times New Roman" w:eastAsia="Times New Roman" w:hint="default"/>
          <w:sz w:val="20"/>
          <w:szCs w:val="20"/>
        </w:rPr>
        <w:t>252,408,000</w:t>
      </w:r>
      <w:r>
        <w:rPr>
          <w:rFonts w:ascii="宋体" w:hAnsi="宋体" w:cs="宋体" w:eastAsia="宋体" w:hint="default"/>
          <w:sz w:val="20"/>
          <w:szCs w:val="20"/>
        </w:rPr>
        <w:t>股。</w:t>
      </w:r>
    </w:p>
    <w:p>
      <w:pPr>
        <w:spacing w:before="6"/>
        <w:ind w:left="553"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2014  </w:t>
      </w:r>
      <w:r>
        <w:rPr>
          <w:rFonts w:ascii="宋体" w:hAnsi="宋体" w:cs="宋体" w:eastAsia="宋体" w:hint="default"/>
          <w:sz w:val="20"/>
          <w:szCs w:val="20"/>
        </w:rPr>
        <w:t>年度，鉴于公司</w:t>
      </w:r>
      <w:r>
        <w:rPr>
          <w:rFonts w:ascii="Times New Roman" w:hAnsi="Times New Roman" w:cs="Times New Roman" w:eastAsia="Times New Roman" w:hint="default"/>
          <w:sz w:val="20"/>
          <w:szCs w:val="20"/>
        </w:rPr>
        <w:t>2014</w:t>
      </w:r>
      <w:r>
        <w:rPr>
          <w:rFonts w:ascii="宋体" w:hAnsi="宋体" w:cs="宋体" w:eastAsia="宋体" w:hint="default"/>
          <w:sz w:val="20"/>
          <w:szCs w:val="20"/>
        </w:rPr>
        <w:t>年经营业绩出现亏损，</w:t>
      </w:r>
      <w:r>
        <w:rPr>
          <w:rFonts w:ascii="宋体" w:hAnsi="宋体" w:cs="宋体" w:eastAsia="宋体" w:hint="default"/>
          <w:spacing w:val="-50"/>
          <w:sz w:val="20"/>
          <w:szCs w:val="20"/>
        </w:rPr>
        <w:t> </w:t>
      </w:r>
      <w:r>
        <w:rPr>
          <w:rFonts w:ascii="宋体" w:hAnsi="宋体" w:cs="宋体" w:eastAsia="宋体" w:hint="default"/>
          <w:sz w:val="20"/>
          <w:szCs w:val="20"/>
        </w:rPr>
        <w:t>不派发现金红利，不送红股，不以公积金转增股本。</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85"/>
        <w:gridCol w:w="1594"/>
        <w:gridCol w:w="1595"/>
        <w:gridCol w:w="1594"/>
        <w:gridCol w:w="1594"/>
        <w:gridCol w:w="1595"/>
      </w:tblGrid>
      <w:tr>
        <w:trPr>
          <w:trHeight w:val="318" w:hRule="exact"/>
        </w:trPr>
        <w:tc>
          <w:tcPr>
            <w:tcW w:w="1585"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85"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2"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2" w:hRule="exact"/>
        </w:trPr>
        <w:tc>
          <w:tcPr>
            <w:tcW w:w="15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85"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585"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4,437,460.80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16,053,060.51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-47,859,425.18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5,824,800.00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24,922,433.33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二、本报告期利润分配及资本公积金转增股本预案" w:id="63"/>
      <w:bookmarkEnd w:id="63"/>
      <w:r>
        <w:rPr>
          <w:b w:val="0"/>
          <w:bCs w:val="0"/>
        </w:rPr>
      </w:r>
      <w:r>
        <w:rPr/>
        <w:t>二、本报告期利润分配及资本公积金转增股本预案</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84"/>
        <w:gridCol w:w="5784"/>
      </w:tblGrid>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0.16</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277,341,300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4,437,460.80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20,267,209.99</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shape style="position:absolute;margin-left:356.803009pt;margin-top:463.719971pt;width:122.75pt;height:132.6pt;mso-position-horizontal-relative:page;mso-position-vertical-relative:page;z-index:-112566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6"/>
                      <w:szCs w:val="2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前述锁定期届满后，</w:t>
                  </w:r>
                </w:p>
              </w:txbxContent>
            </v:textbox>
            <w10:wrap type="none"/>
          </v:shape>
        </w:pict>
      </w:r>
      <w:r>
        <w:rPr/>
        <w:pict>
          <v:group style="position:absolute;margin-left:435pt;margin-top:631.539978pt;width:44.55pt;height:132.65pt;mso-position-horizontal-relative:page;mso-position-vertical-relative:page;z-index:-1125640" coordorigin="8700,12631" coordsize="891,2653">
            <v:shape style="position:absolute;left:8700;top:12631;width:891;height:2653" coordorigin="8700,12631" coordsize="891,2653" path="m8700,15283l9590,15283,9590,12631,8700,12631,8700,15283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9569"/>
      </w:tblGrid>
      <w:tr>
        <w:trPr>
          <w:trHeight w:val="402" w:hRule="exact"/>
        </w:trPr>
        <w:tc>
          <w:tcPr>
            <w:tcW w:w="9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pacing w:val="-2"/>
                <w:sz w:val="18"/>
                <w:szCs w:val="18"/>
              </w:rPr>
              <w:t>公司发展阶段不易区分但有重大资金支出安排的，进行利润分配时，现金分红在本次利润分配中所占比例最低应达到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2" w:hRule="exact"/>
        </w:trPr>
        <w:tc>
          <w:tcPr>
            <w:tcW w:w="9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650" w:hRule="exact"/>
        </w:trPr>
        <w:tc>
          <w:tcPr>
            <w:tcW w:w="9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以公司当期总股本为基数（由于湖南方正达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年度扣除非经常性损益后的净利润未能达到承诺业绩，根据公司与方笑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求、蓝顺明签署的《盈利预测补偿协议》及补充协议的约定，公司拟回购方笑求应补偿的公司股份</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15.5342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万股和蓝顺明</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应补偿的公司股份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15.5342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万股，合计回购公司股份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31.0684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万股并予以注销。上述两笔股份回购注销完成后，公司总股</w:t>
            </w:r>
          </w:p>
          <w:p>
            <w:pPr>
              <w:pStyle w:val="TableParagraph"/>
              <w:spacing w:line="302" w:lineRule="auto" w:before="63"/>
              <w:ind w:left="22" w:right="41"/>
              <w:jc w:val="left"/>
              <w:rPr>
                <w:rFonts w:ascii="宋体" w:hAnsi="宋体" w:cs="宋体" w:eastAsia="宋体" w:hint="default"/>
                <w:sz w:val="18"/>
                <w:szCs w:val="18"/>
              </w:rPr>
            </w:pPr>
            <w:r>
              <w:rPr>
                <w:rFonts w:ascii="宋体" w:hAnsi="宋体" w:cs="宋体" w:eastAsia="宋体" w:hint="default"/>
                <w:sz w:val="18"/>
                <w:szCs w:val="18"/>
              </w:rPr>
              <w:t>本将由</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27,734.1300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万股减少至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27,703.0616</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万股），向全体股东每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股派发现金股利</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0.16</w:t>
            </w:r>
            <w:r>
              <w:rPr>
                <w:rFonts w:ascii="Times New Roman" w:hAnsi="Times New Roman" w:cs="Times New Roman" w:eastAsia="Times New Roman" w:hint="default"/>
                <w:spacing w:val="2"/>
                <w:sz w:val="18"/>
                <w:szCs w:val="18"/>
              </w:rPr>
              <w:t> </w:t>
            </w:r>
            <w:r>
              <w:rPr>
                <w:rFonts w:ascii="宋体" w:hAnsi="宋体" w:cs="宋体" w:eastAsia="宋体" w:hint="default"/>
                <w:spacing w:val="-7"/>
                <w:sz w:val="18"/>
                <w:szCs w:val="18"/>
              </w:rPr>
              <w:t>元人民币（含税）；不涉及资本</w:t>
            </w:r>
            <w:r>
              <w:rPr>
                <w:rFonts w:ascii="宋体" w:hAnsi="宋体" w:cs="宋体" w:eastAsia="宋体" w:hint="default"/>
                <w:sz w:val="18"/>
                <w:szCs w:val="18"/>
              </w:rPr>
              <w:t> 公积金转增股本。</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三、承诺事项履行情况" w:id="64"/>
      <w:bookmarkEnd w:id="64"/>
      <w:r>
        <w:rPr>
          <w:b w:val="0"/>
          <w:bCs w:val="0"/>
        </w:rPr>
      </w:r>
      <w:r>
        <w:rPr/>
        <w:t>三、承诺事项履行情况</w:t>
      </w:r>
      <w:r>
        <w:rPr>
          <w:b w:val="0"/>
          <w:bCs w:val="0"/>
        </w:rPr>
      </w:r>
    </w:p>
    <w:p>
      <w:pPr>
        <w:spacing w:line="240" w:lineRule="auto" w:before="8"/>
        <w:rPr>
          <w:rFonts w:ascii="宋体" w:hAnsi="宋体" w:cs="宋体" w:eastAsia="宋体" w:hint="default"/>
          <w:b/>
          <w:bCs/>
          <w:sz w:val="24"/>
          <w:szCs w:val="24"/>
        </w:rPr>
      </w:pPr>
    </w:p>
    <w:p>
      <w:pPr>
        <w:pStyle w:val="Heading4"/>
        <w:spacing w:line="259" w:lineRule="auto"/>
        <w:ind w:right="0"/>
        <w:jc w:val="left"/>
        <w:rPr>
          <w:b w:val="0"/>
          <w:bCs w:val="0"/>
        </w:rPr>
      </w:pPr>
      <w:bookmarkStart w:name="1、公司、股东、实际控制人、收购人、董事、监事、高级管理人员或其他关联方在报告期" w:id="65"/>
      <w:bookmarkEnd w:id="65"/>
      <w:r>
        <w:rPr>
          <w:b w:val="0"/>
          <w:bCs w:val="0"/>
        </w:rPr>
      </w:r>
      <w:r>
        <w:rPr>
          <w:rFonts w:ascii="Times New Roman" w:hAnsi="Times New Roman" w:cs="Times New Roman" w:eastAsia="Times New Roman" w:hint="default"/>
        </w:rPr>
        <w:t>1</w:t>
      </w:r>
      <w:r>
        <w:rPr/>
        <w:t>、公司、股东、实际控制人、收购人、董事、监事、高级管理人员或其他关联方在报告期内履行完毕及</w:t>
      </w:r>
      <w:r>
        <w:rPr>
          <w:spacing w:val="-74"/>
        </w:rPr>
        <w:t> </w:t>
      </w:r>
      <w:r>
        <w:rPr>
          <w:spacing w:val="-74"/>
        </w:rPr>
      </w:r>
      <w:r>
        <w:rPr/>
        <w:t>截至报告期末尚未履行完毕的承诺事项</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900"/>
        <w:gridCol w:w="900"/>
        <w:gridCol w:w="540"/>
        <w:gridCol w:w="5221"/>
        <w:gridCol w:w="900"/>
        <w:gridCol w:w="540"/>
        <w:gridCol w:w="568"/>
      </w:tblGrid>
      <w:tr>
        <w:trPr>
          <w:trHeight w:val="161" w:hRule="exact"/>
        </w:trPr>
        <w:tc>
          <w:tcPr>
            <w:tcW w:w="900" w:type="dxa"/>
            <w:tcBorders>
              <w:top w:val="single" w:sz="4" w:space="0" w:color="000000"/>
              <w:left w:val="single" w:sz="4" w:space="0" w:color="000000"/>
              <w:bottom w:val="nil" w:sz="6" w:space="0" w:color="auto"/>
              <w:right w:val="single" w:sz="4" w:space="0" w:color="000000"/>
            </w:tcBorders>
            <w:shd w:val="clear" w:color="auto" w:fill="D2D2D2"/>
          </w:tcPr>
          <w:p>
            <w:pPr/>
          </w:p>
        </w:tc>
        <w:tc>
          <w:tcPr>
            <w:tcW w:w="900" w:type="dxa"/>
            <w:tcBorders>
              <w:top w:val="single" w:sz="4" w:space="0" w:color="000000"/>
              <w:left w:val="single" w:sz="4" w:space="0" w:color="000000"/>
              <w:bottom w:val="nil" w:sz="6" w:space="0" w:color="auto"/>
              <w:right w:val="single" w:sz="4" w:space="0" w:color="000000"/>
            </w:tcBorders>
            <w:shd w:val="clear" w:color="auto" w:fill="D2D2D2"/>
          </w:tcPr>
          <w:p>
            <w:pPr/>
          </w:p>
        </w:tc>
        <w:tc>
          <w:tcPr>
            <w:tcW w:w="54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84" w:right="84"/>
              <w:jc w:val="left"/>
              <w:rPr>
                <w:rFonts w:ascii="宋体" w:hAnsi="宋体" w:cs="宋体" w:eastAsia="宋体" w:hint="default"/>
                <w:sz w:val="18"/>
                <w:szCs w:val="18"/>
              </w:rPr>
            </w:pPr>
            <w:r>
              <w:rPr>
                <w:rFonts w:ascii="宋体" w:hAnsi="宋体" w:cs="宋体" w:eastAsia="宋体" w:hint="default"/>
                <w:sz w:val="18"/>
                <w:szCs w:val="18"/>
              </w:rPr>
              <w:t>承诺 类型</w:t>
            </w:r>
          </w:p>
        </w:tc>
        <w:tc>
          <w:tcPr>
            <w:tcW w:w="5221" w:type="dxa"/>
            <w:tcBorders>
              <w:top w:val="single" w:sz="4" w:space="0" w:color="000000"/>
              <w:left w:val="single" w:sz="4" w:space="0" w:color="000000"/>
              <w:bottom w:val="nil" w:sz="6" w:space="0" w:color="auto"/>
              <w:right w:val="single" w:sz="4" w:space="0" w:color="000000"/>
            </w:tcBorders>
            <w:shd w:val="clear" w:color="auto" w:fill="D2D2D2"/>
          </w:tcPr>
          <w:p>
            <w:pPr/>
          </w:p>
        </w:tc>
        <w:tc>
          <w:tcPr>
            <w:tcW w:w="900" w:type="dxa"/>
            <w:tcBorders>
              <w:top w:val="nil" w:sz="6" w:space="0" w:color="auto"/>
              <w:left w:val="single" w:sz="4" w:space="0" w:color="000000"/>
              <w:bottom w:val="nil" w:sz="6" w:space="0" w:color="auto"/>
              <w:right w:val="single" w:sz="4" w:space="0" w:color="000000"/>
            </w:tcBorders>
            <w:shd w:val="clear" w:color="auto" w:fill="D2D2D2"/>
          </w:tcPr>
          <w:p>
            <w:pPr/>
          </w:p>
        </w:tc>
        <w:tc>
          <w:tcPr>
            <w:tcW w:w="54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83" w:right="84"/>
              <w:jc w:val="left"/>
              <w:rPr>
                <w:rFonts w:ascii="宋体" w:hAnsi="宋体" w:cs="宋体" w:eastAsia="宋体" w:hint="default"/>
                <w:sz w:val="18"/>
                <w:szCs w:val="18"/>
              </w:rPr>
            </w:pPr>
            <w:r>
              <w:rPr>
                <w:rFonts w:ascii="宋体" w:hAnsi="宋体" w:cs="宋体" w:eastAsia="宋体" w:hint="default"/>
                <w:sz w:val="18"/>
                <w:szCs w:val="18"/>
              </w:rPr>
              <w:t>承诺 期限</w:t>
            </w: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98" w:right="97"/>
              <w:jc w:val="left"/>
              <w:rPr>
                <w:rFonts w:ascii="宋体" w:hAnsi="宋体" w:cs="宋体" w:eastAsia="宋体" w:hint="default"/>
                <w:sz w:val="18"/>
                <w:szCs w:val="18"/>
              </w:rPr>
            </w:pPr>
            <w:r>
              <w:rPr>
                <w:rFonts w:ascii="宋体" w:hAnsi="宋体" w:cs="宋体" w:eastAsia="宋体" w:hint="default"/>
                <w:sz w:val="18"/>
                <w:szCs w:val="18"/>
              </w:rPr>
              <w:t>履行 情况</w:t>
            </w:r>
          </w:p>
        </w:tc>
      </w:tr>
      <w:tr>
        <w:trPr>
          <w:trHeight w:val="392" w:hRule="exact"/>
        </w:trPr>
        <w:tc>
          <w:tcPr>
            <w:tcW w:w="9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9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7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540" w:type="dxa"/>
            <w:vMerge/>
            <w:tcBorders>
              <w:left w:val="single" w:sz="4" w:space="0" w:color="000000"/>
              <w:right w:val="single" w:sz="4" w:space="0" w:color="000000"/>
            </w:tcBorders>
            <w:shd w:val="clear" w:color="auto" w:fill="D2D2D2"/>
          </w:tcPr>
          <w:p>
            <w:pPr/>
          </w:p>
        </w:tc>
        <w:tc>
          <w:tcPr>
            <w:tcW w:w="52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83"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540" w:type="dxa"/>
            <w:vMerge/>
            <w:tcBorders>
              <w:left w:val="single" w:sz="4" w:space="0" w:color="000000"/>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r>
      <w:tr>
        <w:trPr>
          <w:trHeight w:val="161" w:hRule="exact"/>
        </w:trPr>
        <w:tc>
          <w:tcPr>
            <w:tcW w:w="900" w:type="dxa"/>
            <w:tcBorders>
              <w:top w:val="nil" w:sz="6" w:space="0" w:color="auto"/>
              <w:left w:val="single" w:sz="4" w:space="0" w:color="000000"/>
              <w:bottom w:val="single" w:sz="4" w:space="0" w:color="000000"/>
              <w:right w:val="single" w:sz="4" w:space="0" w:color="000000"/>
            </w:tcBorders>
            <w:shd w:val="clear" w:color="auto" w:fill="D2D2D2"/>
          </w:tcPr>
          <w:p>
            <w:pPr/>
          </w:p>
        </w:tc>
        <w:tc>
          <w:tcPr>
            <w:tcW w:w="900" w:type="dxa"/>
            <w:tcBorders>
              <w:top w:val="nil" w:sz="6" w:space="0" w:color="auto"/>
              <w:left w:val="single" w:sz="4" w:space="0" w:color="000000"/>
              <w:bottom w:val="single" w:sz="4" w:space="0" w:color="000000"/>
              <w:right w:val="single" w:sz="4" w:space="0" w:color="000000"/>
            </w:tcBorders>
            <w:shd w:val="clear" w:color="auto" w:fill="D2D2D2"/>
          </w:tcPr>
          <w:p>
            <w:pPr/>
          </w:p>
        </w:tc>
        <w:tc>
          <w:tcPr>
            <w:tcW w:w="540" w:type="dxa"/>
            <w:vMerge/>
            <w:tcBorders>
              <w:left w:val="single" w:sz="4" w:space="0" w:color="000000"/>
              <w:bottom w:val="single" w:sz="4" w:space="0" w:color="000000"/>
              <w:right w:val="single" w:sz="4" w:space="0" w:color="000000"/>
            </w:tcBorders>
            <w:shd w:val="clear" w:color="auto" w:fill="D2D2D2"/>
          </w:tcPr>
          <w:p>
            <w:pPr/>
          </w:p>
        </w:tc>
        <w:tc>
          <w:tcPr>
            <w:tcW w:w="5221" w:type="dxa"/>
            <w:tcBorders>
              <w:top w:val="nil" w:sz="6" w:space="0" w:color="auto"/>
              <w:left w:val="single" w:sz="4" w:space="0" w:color="000000"/>
              <w:bottom w:val="single" w:sz="4" w:space="0" w:color="000000"/>
              <w:right w:val="single" w:sz="4" w:space="0" w:color="000000"/>
            </w:tcBorders>
            <w:shd w:val="clear" w:color="auto" w:fill="D2D2D2"/>
          </w:tcPr>
          <w:p>
            <w:pPr/>
          </w:p>
        </w:tc>
        <w:tc>
          <w:tcPr>
            <w:tcW w:w="900" w:type="dxa"/>
            <w:tcBorders>
              <w:top w:val="nil" w:sz="6" w:space="0" w:color="auto"/>
              <w:left w:val="single" w:sz="4" w:space="0" w:color="000000"/>
              <w:bottom w:val="single" w:sz="4" w:space="0" w:color="000000"/>
              <w:right w:val="single" w:sz="4" w:space="0" w:color="000000"/>
            </w:tcBorders>
            <w:shd w:val="clear" w:color="auto" w:fill="D2D2D2"/>
          </w:tcPr>
          <w:p>
            <w:pPr/>
          </w:p>
        </w:tc>
        <w:tc>
          <w:tcPr>
            <w:tcW w:w="540" w:type="dxa"/>
            <w:vMerge/>
            <w:tcBorders>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3"/>
              <w:jc w:val="center"/>
              <w:rPr>
                <w:rFonts w:ascii="宋体" w:hAnsi="宋体" w:cs="宋体" w:eastAsia="宋体" w:hint="default"/>
                <w:sz w:val="18"/>
                <w:szCs w:val="18"/>
              </w:rPr>
            </w:pPr>
            <w:r>
              <w:rPr>
                <w:rFonts w:ascii="宋体" w:hAnsi="宋体" w:cs="宋体" w:eastAsia="宋体" w:hint="default"/>
                <w:sz w:val="18"/>
                <w:szCs w:val="18"/>
              </w:rPr>
              <w:t>股改承诺</w:t>
            </w:r>
          </w:p>
        </w:tc>
        <w:tc>
          <w:tcPr>
            <w:tcW w:w="900" w:type="dxa"/>
            <w:tcBorders>
              <w:top w:val="single" w:sz="4" w:space="0" w:color="000000"/>
              <w:left w:val="single" w:sz="13" w:space="0" w:color="D2D2D2"/>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22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7"/>
              <w:jc w:val="both"/>
              <w:rPr>
                <w:rFonts w:ascii="宋体" w:hAnsi="宋体" w:cs="宋体" w:eastAsia="宋体" w:hint="default"/>
                <w:sz w:val="18"/>
                <w:szCs w:val="18"/>
              </w:rPr>
            </w:pPr>
            <w:r>
              <w:rPr>
                <w:rFonts w:ascii="宋体" w:hAnsi="宋体" w:cs="宋体" w:eastAsia="宋体" w:hint="default"/>
                <w:sz w:val="18"/>
                <w:szCs w:val="18"/>
              </w:rPr>
              <w:t>收购报告 书或权益 变动报告 书中所作 承诺</w:t>
            </w:r>
          </w:p>
        </w:tc>
        <w:tc>
          <w:tcPr>
            <w:tcW w:w="900" w:type="dxa"/>
            <w:tcBorders>
              <w:top w:val="single" w:sz="4" w:space="0" w:color="000000"/>
              <w:left w:val="single" w:sz="13" w:space="0" w:color="D2D2D2"/>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22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r>
      <w:tr>
        <w:trPr>
          <w:trHeight w:val="2501" w:hRule="exact"/>
        </w:trPr>
        <w:tc>
          <w:tcPr>
            <w:tcW w:w="900" w:type="dxa"/>
            <w:tcBorders>
              <w:top w:val="single" w:sz="4" w:space="0" w:color="000000"/>
              <w:left w:val="single" w:sz="4" w:space="0" w:color="000000"/>
              <w:bottom w:val="nil" w:sz="6" w:space="0" w:color="auto"/>
              <w:right w:val="single" w:sz="4" w:space="0" w:color="000000"/>
            </w:tcBorders>
            <w:shd w:val="clear" w:color="auto" w:fill="D2D2D2"/>
          </w:tcPr>
          <w:p>
            <w:pPr/>
          </w:p>
        </w:tc>
        <w:tc>
          <w:tcPr>
            <w:tcW w:w="900"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319" w:lineRule="auto"/>
              <w:ind w:left="16" w:right="21"/>
              <w:jc w:val="left"/>
              <w:rPr>
                <w:rFonts w:ascii="宋体" w:hAnsi="宋体" w:cs="宋体" w:eastAsia="宋体" w:hint="default"/>
                <w:sz w:val="18"/>
                <w:szCs w:val="18"/>
              </w:rPr>
            </w:pPr>
            <w:r>
              <w:rPr>
                <w:rFonts w:ascii="宋体" w:hAnsi="宋体" w:cs="宋体" w:eastAsia="宋体" w:hint="default"/>
                <w:spacing w:val="-12"/>
                <w:sz w:val="18"/>
                <w:szCs w:val="18"/>
              </w:rPr>
              <w:t>方笑求、蓝</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顺明</w:t>
            </w:r>
          </w:p>
        </w:tc>
        <w:tc>
          <w:tcPr>
            <w:tcW w:w="5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319" w:lineRule="auto"/>
              <w:ind w:left="22" w:right="145"/>
              <w:jc w:val="both"/>
              <w:rPr>
                <w:rFonts w:ascii="宋体" w:hAnsi="宋体" w:cs="宋体" w:eastAsia="宋体" w:hint="default"/>
                <w:sz w:val="18"/>
                <w:szCs w:val="18"/>
              </w:rPr>
            </w:pPr>
            <w:r>
              <w:rPr>
                <w:rFonts w:ascii="宋体" w:hAnsi="宋体" w:cs="宋体" w:eastAsia="宋体" w:hint="default"/>
                <w:sz w:val="18"/>
                <w:szCs w:val="18"/>
              </w:rPr>
              <w:t>股份 限售 承诺</w:t>
            </w:r>
          </w:p>
        </w:tc>
        <w:tc>
          <w:tcPr>
            <w:tcW w:w="5221" w:type="dxa"/>
            <w:vMerge w:val="restart"/>
            <w:tcBorders>
              <w:top w:val="single" w:sz="4" w:space="0" w:color="000000"/>
              <w:left w:val="single" w:sz="4" w:space="0" w:color="000000"/>
              <w:right w:val="single" w:sz="4" w:space="0" w:color="000000"/>
            </w:tcBorders>
          </w:tcPr>
          <w:p>
            <w:pPr>
              <w:pStyle w:val="TableParagraph"/>
              <w:spacing w:line="312" w:lineRule="auto" w:before="51"/>
              <w:ind w:left="22" w:right="22"/>
              <w:jc w:val="both"/>
              <w:rPr>
                <w:rFonts w:ascii="宋体" w:hAnsi="宋体" w:cs="宋体" w:eastAsia="宋体" w:hint="default"/>
                <w:sz w:val="18"/>
                <w:szCs w:val="18"/>
              </w:rPr>
            </w:pPr>
            <w:r>
              <w:rPr>
                <w:rFonts w:ascii="宋体" w:hAnsi="宋体" w:cs="宋体" w:eastAsia="宋体" w:hint="default"/>
                <w:spacing w:val="-4"/>
                <w:sz w:val="18"/>
                <w:szCs w:val="18"/>
              </w:rPr>
              <w:t>方笑求、蓝顺明已经分别出具《关于股份锁定的承诺函》，方笑求</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承诺其本次认购茂硕电源的股份自股份发行上市之日起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 </w:t>
            </w:r>
            <w:r>
              <w:rPr>
                <w:rFonts w:ascii="宋体" w:hAnsi="宋体" w:cs="宋体" w:eastAsia="宋体" w:hint="default"/>
                <w:spacing w:val="-2"/>
                <w:sz w:val="18"/>
                <w:szCs w:val="18"/>
              </w:rPr>
              <w:t>不进行转让。蓝顺明承诺其本次认购茂硕电源的股份自股份发行上</w:t>
            </w:r>
            <w:r>
              <w:rPr>
                <w:rFonts w:ascii="宋体" w:hAnsi="宋体" w:cs="宋体" w:eastAsia="宋体" w:hint="default"/>
                <w:sz w:val="18"/>
                <w:szCs w:val="18"/>
              </w:rPr>
              <w:t> 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个月内不进行转让。同时，为保证盈利预测业绩补偿</w:t>
            </w:r>
          </w:p>
          <w:p>
            <w:pPr>
              <w:pStyle w:val="TableParagraph"/>
              <w:spacing w:line="240" w:lineRule="auto" w:before="3"/>
              <w:ind w:left="22" w:right="0"/>
              <w:jc w:val="left"/>
              <w:rPr>
                <w:rFonts w:ascii="宋体" w:hAnsi="宋体" w:cs="宋体" w:eastAsia="宋体" w:hint="default"/>
                <w:sz w:val="18"/>
                <w:szCs w:val="18"/>
              </w:rPr>
            </w:pPr>
            <w:r>
              <w:rPr>
                <w:rFonts w:ascii="宋体" w:hAnsi="宋体" w:cs="宋体" w:eastAsia="宋体" w:hint="default"/>
                <w:sz w:val="18"/>
                <w:szCs w:val="18"/>
              </w:rPr>
              <w:t>的可行性，自股份发行上市之日起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个月后，蓝顺明本次认购的</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茂硕电源股份按以下比例分批解锁：①自股份发行上市之日起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个月后解锁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；②自股份发行上市之日起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p>
            <w:pPr>
              <w:pStyle w:val="TableParagraph"/>
              <w:spacing w:line="314" w:lineRule="auto" w:before="63"/>
              <w:ind w:left="22" w:right="-32"/>
              <w:jc w:val="left"/>
              <w:rPr>
                <w:rFonts w:ascii="宋体" w:hAnsi="宋体" w:cs="宋体" w:eastAsia="宋体" w:hint="default"/>
                <w:sz w:val="18"/>
                <w:szCs w:val="18"/>
              </w:rPr>
            </w:pPr>
            <w:r>
              <w:rPr>
                <w:rFonts w:ascii="宋体" w:hAnsi="宋体" w:cs="宋体" w:eastAsia="宋体" w:hint="default"/>
                <w:sz w:val="18"/>
                <w:szCs w:val="18"/>
              </w:rPr>
              <w:t>③自股份发行上市之日起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个月后解锁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 </w:t>
            </w:r>
            <w:r>
              <w:rPr>
                <w:rFonts w:ascii="宋体" w:hAnsi="宋体" w:cs="宋体" w:eastAsia="宋体" w:hint="default"/>
                <w:spacing w:val="-3"/>
                <w:sz w:val="18"/>
                <w:szCs w:val="18"/>
              </w:rPr>
              <w:t>若方笑求、蓝顺明需要按照《盈利预测补偿协议》的约定对公司进</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3"/>
                <w:sz w:val="18"/>
                <w:szCs w:val="18"/>
              </w:rPr>
              <w:t>行股份补偿，则方笑求、蓝顺明应先对公司进行股份补偿，剩余股</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份方可解锁转让，解锁后可以按照中国证监会及深交所的有关规定</w:t>
            </w:r>
            <w:r>
              <w:rPr>
                <w:rFonts w:ascii="宋体" w:hAnsi="宋体" w:cs="宋体" w:eastAsia="宋体" w:hint="default"/>
                <w:sz w:val="18"/>
                <w:szCs w:val="18"/>
              </w:rPr>
              <w:t> </w:t>
            </w:r>
            <w:r>
              <w:rPr>
                <w:rFonts w:ascii="宋体" w:hAnsi="宋体" w:cs="宋体" w:eastAsia="宋体" w:hint="default"/>
                <w:spacing w:val="-3"/>
                <w:sz w:val="18"/>
                <w:szCs w:val="18"/>
              </w:rPr>
              <w:t>进行交易。若方笑求、蓝顺明未来在茂硕电源担任董事、监事或高</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级管理人员职务，将按照中国证监会及证券交易所关于董事、监事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或高级管理人员转让所持上市公司股份的有关规定进行股份转让。 若茂硕电源在前述锁定期内实施转增股本或送红股分配，则方笑 </w:t>
            </w:r>
            <w:r>
              <w:rPr>
                <w:rFonts w:ascii="宋体" w:hAnsi="宋体" w:cs="宋体" w:eastAsia="宋体" w:hint="default"/>
                <w:spacing w:val="-2"/>
                <w:sz w:val="18"/>
                <w:szCs w:val="18"/>
              </w:rPr>
              <w:t>求、蓝顺明因此获得的新增股份亦同样遵守上述锁定期约定。若方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笑求、蓝顺明所认购股份的锁定期</w:t>
            </w:r>
            <w:r>
              <w:rPr>
                <w:rFonts w:ascii="Times New Roman" w:hAnsi="Times New Roman" w:cs="Times New Roman" w:eastAsia="Times New Roman" w:hint="default"/>
                <w:sz w:val="18"/>
                <w:szCs w:val="18"/>
              </w:rPr>
              <w:t>/</w:t>
            </w:r>
            <w:r>
              <w:rPr>
                <w:rFonts w:ascii="宋体" w:hAnsi="宋体" w:cs="宋体" w:eastAsia="宋体" w:hint="default"/>
                <w:sz w:val="18"/>
                <w:szCs w:val="18"/>
              </w:rPr>
              <w:t>限售期的规定与证券监管机构 </w:t>
            </w:r>
            <w:r>
              <w:rPr>
                <w:rFonts w:ascii="宋体" w:hAnsi="宋体" w:cs="宋体" w:eastAsia="宋体" w:hint="default"/>
                <w:spacing w:val="-2"/>
                <w:sz w:val="18"/>
                <w:szCs w:val="18"/>
              </w:rPr>
              <w:t>的最新监管意见不相符，公司及方笑求、蓝顺明将根据相关证券监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管机构的监管意见进行相应调整。</w:t>
            </w:r>
          </w:p>
        </w:tc>
        <w:tc>
          <w:tcPr>
            <w:tcW w:w="900" w:type="dxa"/>
            <w:vMerge w:val="restart"/>
            <w:tcBorders>
              <w:top w:val="single" w:sz="4" w:space="0" w:color="000000"/>
              <w:left w:val="single" w:sz="4" w:space="0" w:color="000000"/>
              <w:right w:val="single" w:sz="4" w:space="0" w:color="000000"/>
            </w:tcBorders>
          </w:tcPr>
          <w:p>
            <w:pPr>
              <w:pStyle w:val="TableParagraph"/>
              <w:spacing w:line="2652" w:lineRule="exact"/>
              <w:ind w:right="-51"/>
              <w:jc w:val="left"/>
              <w:rPr>
                <w:rFonts w:ascii="宋体" w:hAnsi="宋体" w:cs="宋体" w:eastAsia="宋体" w:hint="default"/>
                <w:sz w:val="20"/>
                <w:szCs w:val="20"/>
              </w:rPr>
            </w:pPr>
            <w:r>
              <w:rPr>
                <w:rFonts w:ascii="宋体" w:hAnsi="宋体" w:cs="宋体" w:eastAsia="宋体" w:hint="default"/>
                <w:position w:val="-52"/>
                <w:sz w:val="20"/>
                <w:szCs w:val="20"/>
              </w:rPr>
              <w:pict>
                <v:group style="width:44.55pt;height:132.6pt;mso-position-horizontal-relative:char;mso-position-vertical-relative:line" coordorigin="0,0" coordsize="891,2652">
                  <v:group style="position:absolute;left:0;top:0;width:891;height:2652" coordorigin="0,0" coordsize="891,2652">
                    <v:shape style="position:absolute;left:0;top:0;width:891;height:2652" coordorigin="0,0" coordsize="891,2652" path="m0,2652l890,2652,890,0,0,0,0,2652xe" filled="true" fillcolor="#ffffff" stroked="false">
                      <v:path arrowok="t"/>
                      <v:fill type="solid"/>
                    </v:shape>
                  </v:group>
                </v:group>
              </w:pict>
            </w:r>
            <w:r>
              <w:rPr>
                <w:rFonts w:ascii="宋体" w:hAnsi="宋体" w:cs="宋体" w:eastAsia="宋体" w:hint="default"/>
                <w:position w:val="-52"/>
                <w:sz w:val="20"/>
                <w:szCs w:val="20"/>
              </w:rPr>
            </w:r>
          </w:p>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319" w:lineRule="auto"/>
              <w:ind w:left="22" w:right="173"/>
              <w:jc w:val="left"/>
              <w:rPr>
                <w:rFonts w:ascii="宋体" w:hAnsi="宋体" w:cs="宋体" w:eastAsia="宋体" w:hint="default"/>
                <w:sz w:val="18"/>
                <w:szCs w:val="18"/>
              </w:rPr>
            </w:pPr>
            <w:r>
              <w:rPr>
                <w:rFonts w:ascii="宋体" w:hAnsi="宋体" w:cs="宋体" w:eastAsia="宋体" w:hint="default"/>
                <w:sz w:val="18"/>
                <w:szCs w:val="18"/>
              </w:rPr>
              <w:t>正常 履行</w:t>
            </w:r>
          </w:p>
        </w:tc>
      </w:tr>
      <w:tr>
        <w:trPr>
          <w:trHeight w:val="1016" w:hRule="exact"/>
        </w:trPr>
        <w:tc>
          <w:tcPr>
            <w:tcW w:w="9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147"/>
              <w:jc w:val="both"/>
              <w:rPr>
                <w:rFonts w:ascii="宋体" w:hAnsi="宋体" w:cs="宋体" w:eastAsia="宋体" w:hint="default"/>
                <w:sz w:val="18"/>
                <w:szCs w:val="18"/>
              </w:rPr>
            </w:pPr>
            <w:r>
              <w:rPr>
                <w:rFonts w:ascii="宋体" w:hAnsi="宋体" w:cs="宋体" w:eastAsia="宋体" w:hint="default"/>
                <w:sz w:val="18"/>
                <w:szCs w:val="18"/>
              </w:rPr>
              <w:t>资产重组 时所作承 诺</w:t>
            </w:r>
          </w:p>
        </w:tc>
        <w:tc>
          <w:tcPr>
            <w:tcW w:w="900" w:type="dxa"/>
            <w:vMerge/>
            <w:tcBorders>
              <w:left w:val="single" w:sz="9" w:space="0" w:color="D2D2D2"/>
              <w:right w:val="single" w:sz="4" w:space="0" w:color="000000"/>
            </w:tcBorders>
          </w:tcPr>
          <w:p>
            <w:pPr/>
          </w:p>
        </w:tc>
        <w:tc>
          <w:tcPr>
            <w:tcW w:w="540" w:type="dxa"/>
            <w:vMerge/>
            <w:tcBorders>
              <w:left w:val="single" w:sz="4" w:space="0" w:color="000000"/>
              <w:right w:val="single" w:sz="4" w:space="0" w:color="000000"/>
            </w:tcBorders>
          </w:tcPr>
          <w:p>
            <w:pPr/>
          </w:p>
        </w:tc>
        <w:tc>
          <w:tcPr>
            <w:tcW w:w="5221"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r>
      <w:tr>
        <w:trPr>
          <w:trHeight w:val="2501" w:hRule="exact"/>
        </w:trPr>
        <w:tc>
          <w:tcPr>
            <w:tcW w:w="900" w:type="dxa"/>
            <w:tcBorders>
              <w:top w:val="nil" w:sz="6" w:space="0" w:color="auto"/>
              <w:left w:val="single" w:sz="4" w:space="0" w:color="000000"/>
              <w:bottom w:val="single" w:sz="4" w:space="0" w:color="000000"/>
              <w:right w:val="single" w:sz="4" w:space="0" w:color="000000"/>
            </w:tcBorders>
            <w:shd w:val="clear" w:color="auto" w:fill="D2D2D2"/>
          </w:tcPr>
          <w:p>
            <w:pPr/>
          </w:p>
        </w:tc>
        <w:tc>
          <w:tcPr>
            <w:tcW w:w="900" w:type="dxa"/>
            <w:vMerge/>
            <w:tcBorders>
              <w:left w:val="single" w:sz="9" w:space="0" w:color="D2D2D2"/>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5221"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02.846008pt;margin-top:434.319977pt;width:176.7pt;height:326.7pt;mso-position-horizontal-relative:page;mso-position-vertical-relative:page;z-index:-112561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18"/>
                      <w:szCs w:val="18"/>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《深圳证券交易所股票上市规则》</w:t>
                  </w:r>
                </w:p>
              </w:txbxContent>
            </v:textbox>
            <w10:wrap type="none"/>
          </v:shape>
        </w:pict>
      </w:r>
      <w:r>
        <w:rPr/>
        <w:pict>
          <v:group style="position:absolute;margin-left:435pt;margin-top:434.319977pt;width:44.55pt;height:326.7pt;mso-position-horizontal-relative:page;mso-position-vertical-relative:page;z-index:-1125592" coordorigin="8700,8686" coordsize="891,6534">
            <v:shape style="position:absolute;left:8700;top:8686;width:891;height:6534" coordorigin="8700,8686" coordsize="891,6534" path="m8700,15220l9590,15220,9590,8686,8700,8686,8700,15220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00"/>
        <w:gridCol w:w="900"/>
        <w:gridCol w:w="540"/>
        <w:gridCol w:w="5221"/>
        <w:gridCol w:w="900"/>
        <w:gridCol w:w="540"/>
        <w:gridCol w:w="568"/>
      </w:tblGrid>
      <w:tr>
        <w:trPr>
          <w:trHeight w:val="363" w:hRule="exact"/>
        </w:trPr>
        <w:tc>
          <w:tcPr>
            <w:tcW w:w="900" w:type="dxa"/>
            <w:vMerge w:val="restart"/>
            <w:tcBorders>
              <w:top w:val="single" w:sz="4" w:space="0" w:color="000000"/>
              <w:left w:val="single" w:sz="4" w:space="0" w:color="000000"/>
              <w:right w:val="single" w:sz="4" w:space="0" w:color="000000"/>
            </w:tcBorders>
            <w:shd w:val="clear" w:color="auto" w:fill="D2D2D2"/>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540" w:type="dxa"/>
            <w:tcBorders>
              <w:top w:val="single" w:sz="4" w:space="0" w:color="000000"/>
              <w:left w:val="single" w:sz="4" w:space="0" w:color="000000"/>
              <w:bottom w:val="nil" w:sz="6" w:space="0" w:color="auto"/>
              <w:right w:val="single" w:sz="4" w:space="0" w:color="000000"/>
            </w:tcBorders>
          </w:tcPr>
          <w:p>
            <w:pPr/>
          </w:p>
        </w:tc>
        <w:tc>
          <w:tcPr>
            <w:tcW w:w="52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公司与方笑求、蓝顺明于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日签署了《盈利预测补</w:t>
            </w:r>
          </w:p>
        </w:tc>
        <w:tc>
          <w:tcPr>
            <w:tcW w:w="900" w:type="dxa"/>
            <w:tcBorders>
              <w:top w:val="single" w:sz="4" w:space="0" w:color="000000"/>
              <w:left w:val="single" w:sz="4" w:space="0" w:color="000000"/>
              <w:bottom w:val="nil" w:sz="6" w:space="0" w:color="auto"/>
              <w:right w:val="single" w:sz="4" w:space="0" w:color="000000"/>
            </w:tcBorders>
          </w:tcPr>
          <w:p>
            <w:pPr/>
          </w:p>
        </w:tc>
        <w:tc>
          <w:tcPr>
            <w:tcW w:w="540" w:type="dxa"/>
            <w:tcBorders>
              <w:top w:val="single" w:sz="4" w:space="0" w:color="000000"/>
              <w:left w:val="single" w:sz="4" w:space="0" w:color="000000"/>
              <w:bottom w:val="nil" w:sz="6" w:space="0" w:color="auto"/>
              <w:right w:val="single" w:sz="4" w:space="0" w:color="000000"/>
            </w:tcBorders>
          </w:tcPr>
          <w:p>
            <w:pPr/>
          </w:p>
        </w:tc>
        <w:tc>
          <w:tcPr>
            <w:tcW w:w="568"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900" w:type="dxa"/>
            <w:vMerge/>
            <w:tcBorders>
              <w:left w:val="single" w:sz="4" w:space="0" w:color="000000"/>
              <w:right w:val="single" w:sz="4" w:space="0" w:color="000000"/>
            </w:tcBorders>
            <w:shd w:val="clear" w:color="auto" w:fill="D2D2D2"/>
          </w:tcPr>
          <w:p>
            <w:pP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22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偿协议</w:t>
            </w:r>
            <w:r>
              <w:rPr>
                <w:rFonts w:ascii="宋体" w:hAnsi="宋体" w:cs="宋体" w:eastAsia="宋体" w:hint="default"/>
                <w:spacing w:val="-90"/>
                <w:sz w:val="18"/>
                <w:szCs w:val="18"/>
              </w:rPr>
              <w:t>》</w:t>
            </w:r>
            <w:r>
              <w:rPr>
                <w:rFonts w:ascii="宋体" w:hAnsi="宋体" w:cs="宋体" w:eastAsia="宋体" w:hint="default"/>
                <w:spacing w:val="-20"/>
                <w:sz w:val="18"/>
                <w:szCs w:val="18"/>
              </w:rPr>
              <w:t>，</w:t>
            </w:r>
            <w:r>
              <w:rPr>
                <w:rFonts w:ascii="宋体" w:hAnsi="宋体" w:cs="宋体" w:eastAsia="宋体" w:hint="default"/>
                <w:sz w:val="18"/>
                <w:szCs w:val="18"/>
              </w:rPr>
              <w:t>其中涉及承诺事项的约定如下</w:t>
            </w:r>
            <w:r>
              <w:rPr>
                <w:rFonts w:ascii="宋体" w:hAnsi="宋体" w:cs="宋体" w:eastAsia="宋体" w:hint="default"/>
                <w:spacing w:val="-110"/>
                <w:sz w:val="18"/>
                <w:szCs w:val="18"/>
              </w:rPr>
              <w:t>：</w:t>
            </w:r>
            <w:r>
              <w:rPr>
                <w:rFonts w:ascii="宋体" w:hAnsi="宋体" w:cs="宋体" w:eastAsia="宋体" w:hint="default"/>
                <w:sz w:val="18"/>
                <w:szCs w:val="18"/>
              </w:rPr>
              <w:t>（一</w:t>
            </w:r>
            <w:r>
              <w:rPr>
                <w:rFonts w:ascii="宋体" w:hAnsi="宋体" w:cs="宋体" w:eastAsia="宋体" w:hint="default"/>
                <w:spacing w:val="-20"/>
                <w:sz w:val="18"/>
                <w:szCs w:val="18"/>
              </w:rPr>
              <w:t>）</w:t>
            </w:r>
            <w:r>
              <w:rPr>
                <w:rFonts w:ascii="宋体" w:hAnsi="宋体" w:cs="宋体" w:eastAsia="宋体" w:hint="default"/>
                <w:sz w:val="18"/>
                <w:szCs w:val="18"/>
              </w:rPr>
              <w:t>盈利承诺期及承诺</w:t>
            </w: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900" w:type="dxa"/>
            <w:vMerge/>
            <w:tcBorders>
              <w:left w:val="single" w:sz="4" w:space="0" w:color="000000"/>
              <w:right w:val="single" w:sz="4" w:space="0" w:color="000000"/>
            </w:tcBorders>
            <w:shd w:val="clear" w:color="auto" w:fill="D2D2D2"/>
          </w:tcPr>
          <w:p>
            <w:pP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2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净利润数 方笑求、蓝顺明承诺，湖南方正达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00" w:type="dxa"/>
            <w:vMerge/>
            <w:tcBorders>
              <w:left w:val="single" w:sz="4" w:space="0" w:color="000000"/>
              <w:right w:val="single" w:sz="4" w:space="0" w:color="000000"/>
            </w:tcBorders>
            <w:shd w:val="clear" w:color="auto" w:fill="D2D2D2"/>
          </w:tcPr>
          <w:p>
            <w:pP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22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度、</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年度的承诺净利润数额（净利润数额以扣除非经常性损</w:t>
            </w: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00" w:type="dxa"/>
            <w:vMerge/>
            <w:tcBorders>
              <w:left w:val="single" w:sz="4" w:space="0" w:color="000000"/>
              <w:right w:val="single" w:sz="4" w:space="0" w:color="000000"/>
            </w:tcBorders>
            <w:shd w:val="clear" w:color="auto" w:fill="D2D2D2"/>
          </w:tcPr>
          <w:p>
            <w:pP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22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益后的数额为准，下同）分别不低于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3,484.8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4,356.0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00" w:type="dxa"/>
            <w:vMerge/>
            <w:tcBorders>
              <w:left w:val="single" w:sz="4" w:space="0" w:color="000000"/>
              <w:right w:val="single" w:sz="4" w:space="0" w:color="000000"/>
            </w:tcBorders>
            <w:shd w:val="clear" w:color="auto" w:fill="D2D2D2"/>
          </w:tcPr>
          <w:p>
            <w:pP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22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5,227.2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万元。若本次发行股份及支付现金购买资产事宜未能在</w:t>
            </w: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00" w:type="dxa"/>
            <w:vMerge/>
            <w:tcBorders>
              <w:left w:val="single" w:sz="4" w:space="0" w:color="000000"/>
              <w:right w:val="single" w:sz="4" w:space="0" w:color="000000"/>
            </w:tcBorders>
            <w:shd w:val="clear" w:color="auto" w:fill="D2D2D2"/>
          </w:tcPr>
          <w:p>
            <w:pP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22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年实施完成，则湖南方正达的承诺净利润相应调整为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00" w:type="dxa"/>
            <w:vMerge/>
            <w:tcBorders>
              <w:left w:val="single" w:sz="4" w:space="0" w:color="000000"/>
              <w:right w:val="single" w:sz="4" w:space="0" w:color="000000"/>
            </w:tcBorders>
            <w:shd w:val="clear" w:color="auto" w:fill="D2D2D2"/>
          </w:tcPr>
          <w:p>
            <w:pP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22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4"/>
                <w:sz w:val="18"/>
                <w:szCs w:val="18"/>
              </w:rPr>
              <w:t>度、</w:t>
            </w:r>
            <w:r>
              <w:rPr>
                <w:rFonts w:ascii="Times New Roman" w:hAnsi="Times New Roman" w:cs="Times New Roman" w:eastAsia="Times New Roman" w:hint="default"/>
                <w:spacing w:val="-4"/>
                <w:sz w:val="18"/>
                <w:szCs w:val="18"/>
              </w:rPr>
              <w:t>2016 </w:t>
            </w:r>
            <w:r>
              <w:rPr>
                <w:rFonts w:ascii="宋体" w:hAnsi="宋体" w:cs="宋体" w:eastAsia="宋体" w:hint="default"/>
                <w:spacing w:val="-3"/>
                <w:sz w:val="18"/>
                <w:szCs w:val="18"/>
              </w:rPr>
              <w:t>年度、</w:t>
            </w:r>
            <w:r>
              <w:rPr>
                <w:rFonts w:ascii="Times New Roman" w:hAnsi="Times New Roman" w:cs="Times New Roman" w:eastAsia="Times New Roman" w:hint="default"/>
                <w:spacing w:val="-3"/>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年度，承诺净利润数额分别不低于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4,356.0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w:t>
            </w: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00" w:type="dxa"/>
            <w:vMerge/>
            <w:tcBorders>
              <w:left w:val="single" w:sz="4" w:space="0" w:color="000000"/>
              <w:right w:val="single" w:sz="4" w:space="0" w:color="000000"/>
            </w:tcBorders>
            <w:shd w:val="clear" w:color="auto" w:fill="D2D2D2"/>
          </w:tcPr>
          <w:p>
            <w:pP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22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pacing w:val="-15"/>
                <w:sz w:val="18"/>
                <w:szCs w:val="18"/>
              </w:rPr>
              <w:t>、</w:t>
            </w:r>
            <w:r>
              <w:rPr>
                <w:rFonts w:ascii="Times New Roman" w:hAnsi="Times New Roman" w:cs="Times New Roman" w:eastAsia="Times New Roman" w:hint="default"/>
                <w:sz w:val="18"/>
                <w:szCs w:val="18"/>
              </w:rPr>
              <w:t>5,227.2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14"/>
                <w:sz w:val="18"/>
                <w:szCs w:val="18"/>
              </w:rPr>
              <w:t>、</w:t>
            </w:r>
            <w:r>
              <w:rPr>
                <w:rFonts w:ascii="Times New Roman" w:hAnsi="Times New Roman" w:cs="Times New Roman" w:eastAsia="Times New Roman" w:hint="default"/>
                <w:sz w:val="18"/>
                <w:szCs w:val="18"/>
              </w:rPr>
              <w:t>5,400.0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105"/>
                <w:sz w:val="18"/>
                <w:szCs w:val="18"/>
              </w:rPr>
              <w:t>。</w:t>
            </w:r>
            <w:r>
              <w:rPr>
                <w:rFonts w:ascii="宋体" w:hAnsi="宋体" w:cs="宋体" w:eastAsia="宋体" w:hint="default"/>
                <w:sz w:val="18"/>
                <w:szCs w:val="18"/>
              </w:rPr>
              <w:t>（二</w:t>
            </w:r>
            <w:r>
              <w:rPr>
                <w:rFonts w:ascii="宋体" w:hAnsi="宋体" w:cs="宋体" w:eastAsia="宋体" w:hint="default"/>
                <w:spacing w:val="-15"/>
                <w:sz w:val="18"/>
                <w:szCs w:val="18"/>
              </w:rPr>
              <w:t>）</w:t>
            </w:r>
            <w:r>
              <w:rPr>
                <w:rFonts w:ascii="宋体" w:hAnsi="宋体" w:cs="宋体" w:eastAsia="宋体" w:hint="default"/>
                <w:sz w:val="18"/>
                <w:szCs w:val="18"/>
              </w:rPr>
              <w:t>实</w:t>
            </w:r>
            <w:r>
              <w:rPr>
                <w:rFonts w:ascii="宋体" w:hAnsi="宋体" w:cs="宋体" w:eastAsia="宋体" w:hint="default"/>
                <w:spacing w:val="1"/>
                <w:sz w:val="18"/>
                <w:szCs w:val="18"/>
              </w:rPr>
              <w:t>际</w:t>
            </w:r>
            <w:r>
              <w:rPr>
                <w:rFonts w:ascii="宋体" w:hAnsi="宋体" w:cs="宋体" w:eastAsia="宋体" w:hint="default"/>
                <w:sz w:val="18"/>
                <w:szCs w:val="18"/>
              </w:rPr>
              <w:t>净利润与标的资产减值</w:t>
            </w: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900" w:type="dxa"/>
            <w:vMerge/>
            <w:tcBorders>
              <w:left w:val="single" w:sz="4" w:space="0" w:color="000000"/>
              <w:right w:val="single" w:sz="4" w:space="0" w:color="000000"/>
            </w:tcBorders>
            <w:shd w:val="clear" w:color="auto" w:fill="D2D2D2"/>
          </w:tcPr>
          <w:p>
            <w:pP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22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的确定 由公司聘请的具有证券期货相关业务资格的审计机构出具</w:t>
            </w: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00" w:type="dxa"/>
            <w:vMerge/>
            <w:tcBorders>
              <w:left w:val="single" w:sz="4" w:space="0" w:color="000000"/>
              <w:right w:val="single" w:sz="4" w:space="0" w:color="000000"/>
            </w:tcBorders>
            <w:shd w:val="clear" w:color="auto" w:fill="D2D2D2"/>
          </w:tcPr>
          <w:p>
            <w:pP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2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湖南方正达专项审计报告（与公司的年度审计报告同日出具</w:t>
            </w:r>
            <w:r>
              <w:rPr>
                <w:rFonts w:ascii="宋体" w:hAnsi="宋体" w:cs="宋体" w:eastAsia="宋体" w:hint="default"/>
                <w:spacing w:val="-90"/>
                <w:sz w:val="18"/>
                <w:szCs w:val="18"/>
              </w:rPr>
              <w:t>）</w:t>
            </w:r>
            <w:r>
              <w:rPr>
                <w:rFonts w:ascii="宋体" w:hAnsi="宋体" w:cs="宋体" w:eastAsia="宋体" w:hint="default"/>
                <w:sz w:val="18"/>
                <w:szCs w:val="18"/>
              </w:rPr>
              <w:t>，对</w:t>
            </w: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900" w:type="dxa"/>
            <w:vMerge/>
            <w:tcBorders>
              <w:left w:val="single" w:sz="4" w:space="0" w:color="000000"/>
              <w:right w:val="single" w:sz="4" w:space="0" w:color="000000"/>
            </w:tcBorders>
            <w:shd w:val="clear" w:color="auto" w:fill="D2D2D2"/>
          </w:tcPr>
          <w:p>
            <w:pP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2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湖南方正达</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年度、</w:t>
            </w:r>
            <w:r>
              <w:rPr>
                <w:rFonts w:ascii="Times New Roman" w:hAnsi="Times New Roman" w:cs="Times New Roman" w:eastAsia="Times New Roman" w:hint="default"/>
                <w:spacing w:val="-3"/>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年度、</w:t>
            </w:r>
            <w:r>
              <w:rPr>
                <w:rFonts w:ascii="Times New Roman" w:hAnsi="Times New Roman" w:cs="Times New Roman" w:eastAsia="Times New Roman" w:hint="default"/>
                <w:spacing w:val="-3"/>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年度（若本次发行股份及</w:t>
            </w: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00" w:type="dxa"/>
            <w:vMerge/>
            <w:tcBorders>
              <w:left w:val="single" w:sz="4" w:space="0" w:color="000000"/>
              <w:right w:val="single" w:sz="4" w:space="0" w:color="000000"/>
            </w:tcBorders>
            <w:shd w:val="clear" w:color="auto" w:fill="D2D2D2"/>
          </w:tcPr>
          <w:p>
            <w:pP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22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支付现金购买资产事宜未能在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年实施完成，则相应顺延至</w:t>
            </w: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00" w:type="dxa"/>
            <w:vMerge/>
            <w:tcBorders>
              <w:left w:val="single" w:sz="4" w:space="0" w:color="000000"/>
              <w:right w:val="single" w:sz="4" w:space="0" w:color="000000"/>
            </w:tcBorders>
            <w:shd w:val="clear" w:color="auto" w:fill="D2D2D2"/>
          </w:tcPr>
          <w:p>
            <w:pP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22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年度）的实际净利润数额进行审计确</w:t>
            </w: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00" w:type="dxa"/>
            <w:vMerge/>
            <w:tcBorders>
              <w:left w:val="single" w:sz="4" w:space="0" w:color="000000"/>
              <w:right w:val="single" w:sz="4" w:space="0" w:color="000000"/>
            </w:tcBorders>
            <w:shd w:val="clear" w:color="auto" w:fill="D2D2D2"/>
          </w:tcPr>
          <w:p>
            <w:pP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22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认。在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年度（若本次发行股份及支付现金购买资产事宜未能</w:t>
            </w: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00" w:type="dxa"/>
            <w:vMerge/>
            <w:tcBorders>
              <w:left w:val="single" w:sz="4" w:space="0" w:color="000000"/>
              <w:right w:val="single" w:sz="4" w:space="0" w:color="000000"/>
            </w:tcBorders>
            <w:shd w:val="clear" w:color="auto" w:fill="D2D2D2"/>
          </w:tcPr>
          <w:p>
            <w:pP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22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年实施完成，则相应顺延至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年度）湖南方正达专项审</w:t>
            </w: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00" w:type="dxa"/>
            <w:vMerge/>
            <w:tcBorders>
              <w:left w:val="single" w:sz="4" w:space="0" w:color="000000"/>
              <w:right w:val="single" w:sz="4" w:space="0" w:color="000000"/>
            </w:tcBorders>
            <w:shd w:val="clear" w:color="auto" w:fill="D2D2D2"/>
          </w:tcPr>
          <w:p>
            <w:pP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22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计报告出具后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日内，由公司聘请的具有证券期货相关业务资格</w:t>
            </w: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900" w:type="dxa"/>
            <w:vMerge/>
            <w:tcBorders>
              <w:left w:val="single" w:sz="4" w:space="0" w:color="000000"/>
              <w:right w:val="single" w:sz="4" w:space="0" w:color="000000"/>
            </w:tcBorders>
            <w:shd w:val="clear" w:color="auto" w:fill="D2D2D2"/>
          </w:tcPr>
          <w:p>
            <w:pP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22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的审计机构出具标的资产减值测试报告，对标的资产进行减值测</w:t>
            </w: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900" w:type="dxa"/>
            <w:vMerge/>
            <w:tcBorders>
              <w:left w:val="single" w:sz="4" w:space="0" w:color="000000"/>
              <w:right w:val="single" w:sz="4" w:space="0" w:color="000000"/>
            </w:tcBorders>
            <w:shd w:val="clear" w:color="auto" w:fill="D2D2D2"/>
          </w:tcPr>
          <w:p>
            <w:pP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2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试</w:t>
            </w:r>
            <w:r>
              <w:rPr>
                <w:rFonts w:ascii="宋体" w:hAnsi="宋体" w:cs="宋体" w:eastAsia="宋体" w:hint="default"/>
                <w:spacing w:val="-90"/>
                <w:sz w:val="18"/>
                <w:szCs w:val="18"/>
              </w:rPr>
              <w:t>。</w:t>
            </w:r>
            <w:r>
              <w:rPr>
                <w:rFonts w:ascii="宋体" w:hAnsi="宋体" w:cs="宋体" w:eastAsia="宋体" w:hint="default"/>
                <w:sz w:val="18"/>
                <w:szCs w:val="18"/>
              </w:rPr>
              <w:t>（三）业绩及减值补偿方式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、本次发行股份及支付现金购买</w:t>
            </w: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r>
      <w:tr>
        <w:trPr>
          <w:trHeight w:val="1872" w:hRule="exact"/>
        </w:trPr>
        <w:tc>
          <w:tcPr>
            <w:tcW w:w="900" w:type="dxa"/>
            <w:vMerge/>
            <w:tcBorders>
              <w:left w:val="single" w:sz="4" w:space="0" w:color="000000"/>
              <w:right w:val="single" w:sz="4" w:space="0" w:color="000000"/>
            </w:tcBorders>
            <w:shd w:val="clear" w:color="auto" w:fill="D2D2D2"/>
          </w:tcPr>
          <w:p>
            <w:pP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12"/>
                <w:sz w:val="18"/>
                <w:szCs w:val="18"/>
              </w:rPr>
              <w:t>方笑求、蓝</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顺明</w:t>
            </w: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319" w:lineRule="auto" w:before="142"/>
              <w:ind w:left="22" w:right="145"/>
              <w:jc w:val="both"/>
              <w:rPr>
                <w:rFonts w:ascii="宋体" w:hAnsi="宋体" w:cs="宋体" w:eastAsia="宋体" w:hint="default"/>
                <w:sz w:val="18"/>
                <w:szCs w:val="18"/>
              </w:rPr>
            </w:pPr>
            <w:r>
              <w:rPr>
                <w:rFonts w:ascii="宋体" w:hAnsi="宋体" w:cs="宋体" w:eastAsia="宋体" w:hint="default"/>
                <w:sz w:val="18"/>
                <w:szCs w:val="18"/>
              </w:rPr>
              <w:t>业绩 承诺 及补 偿安 排</w:t>
            </w:r>
          </w:p>
        </w:tc>
        <w:tc>
          <w:tcPr>
            <w:tcW w:w="5221" w:type="dxa"/>
            <w:tcBorders>
              <w:top w:val="nil" w:sz="6" w:space="0" w:color="auto"/>
              <w:left w:val="single" w:sz="4" w:space="0" w:color="000000"/>
              <w:bottom w:val="nil" w:sz="6" w:space="0" w:color="auto"/>
              <w:right w:val="single" w:sz="13" w:space="0" w:color="FFFFFF"/>
            </w:tcBorders>
          </w:tcPr>
          <w:p>
            <w:pPr>
              <w:pStyle w:val="TableParagraph"/>
              <w:spacing w:line="314" w:lineRule="auto" w:before="5"/>
              <w:ind w:left="22" w:right="-44"/>
              <w:jc w:val="left"/>
              <w:rPr>
                <w:rFonts w:ascii="宋体" w:hAnsi="宋体" w:cs="宋体" w:eastAsia="宋体" w:hint="default"/>
                <w:sz w:val="18"/>
                <w:szCs w:val="18"/>
              </w:rPr>
            </w:pPr>
            <w:r>
              <w:rPr>
                <w:rFonts w:ascii="宋体" w:hAnsi="宋体" w:cs="宋体" w:eastAsia="宋体" w:hint="default"/>
                <w:spacing w:val="-2"/>
                <w:sz w:val="18"/>
                <w:szCs w:val="18"/>
              </w:rPr>
              <w:t>资产事宜实施完成后三年内（含本次发行股份及支付现金购买资产</w:t>
            </w:r>
            <w:r>
              <w:rPr>
                <w:rFonts w:ascii="宋体" w:hAnsi="宋体" w:cs="宋体" w:eastAsia="宋体" w:hint="default"/>
                <w:sz w:val="18"/>
                <w:szCs w:val="18"/>
              </w:rPr>
              <w:t> </w:t>
            </w:r>
            <w:r>
              <w:rPr>
                <w:rFonts w:ascii="宋体" w:hAnsi="宋体" w:cs="宋体" w:eastAsia="宋体" w:hint="default"/>
                <w:spacing w:val="-4"/>
                <w:sz w:val="18"/>
                <w:szCs w:val="18"/>
              </w:rPr>
              <w:t>事宜实施完成当年），若湖南方正达任一年度的实际净利润数额低</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3"/>
                <w:sz w:val="18"/>
                <w:szCs w:val="18"/>
              </w:rPr>
              <w:t>于承诺净利润数额，方笑求、蓝顺明应向公司补偿。方笑求、蓝顺</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明各自应承担的补偿金额按其各自转让标的资产的股权比例确定。 当期应补偿金额按以下公式确定：当期应补偿金额</w:t>
            </w:r>
            <w:r>
              <w:rPr>
                <w:rFonts w:ascii="Times New Roman" w:hAnsi="Times New Roman" w:cs="Times New Roman" w:eastAsia="Times New Roman" w:hint="default"/>
                <w:sz w:val="18"/>
                <w:szCs w:val="18"/>
              </w:rPr>
              <w:t>=</w:t>
            </w:r>
            <w:r>
              <w:rPr>
                <w:rFonts w:ascii="宋体" w:hAnsi="宋体" w:cs="宋体" w:eastAsia="宋体" w:hint="default"/>
                <w:sz w:val="18"/>
                <w:szCs w:val="18"/>
              </w:rPr>
              <w:t>（截至当期期 末累计承诺净利润数额</w:t>
            </w:r>
            <w:r>
              <w:rPr>
                <w:rFonts w:ascii="Times New Roman" w:hAnsi="Times New Roman" w:cs="Times New Roman" w:eastAsia="Times New Roman" w:hint="default"/>
                <w:sz w:val="18"/>
                <w:szCs w:val="18"/>
              </w:rPr>
              <w:t>-</w:t>
            </w:r>
            <w:r>
              <w:rPr>
                <w:rFonts w:ascii="宋体" w:hAnsi="宋体" w:cs="宋体" w:eastAsia="宋体" w:hint="default"/>
                <w:sz w:val="18"/>
                <w:szCs w:val="18"/>
              </w:rPr>
              <w:t>截至当期期末累计实际净利润数额）</w:t>
            </w:r>
            <w:r>
              <w:rPr>
                <w:rFonts w:ascii="Times New Roman" w:hAnsi="Times New Roman" w:cs="Times New Roman" w:eastAsia="Times New Roman" w:hint="default"/>
                <w:sz w:val="18"/>
                <w:szCs w:val="18"/>
              </w:rPr>
              <w:t>÷</w:t>
            </w:r>
            <w:r>
              <w:rPr>
                <w:rFonts w:ascii="宋体" w:hAnsi="宋体" w:cs="宋体" w:eastAsia="宋体" w:hint="default"/>
                <w:sz w:val="18"/>
                <w:szCs w:val="18"/>
              </w:rPr>
              <w:t>补偿</w:t>
            </w:r>
          </w:p>
        </w:tc>
        <w:tc>
          <w:tcPr>
            <w:tcW w:w="900" w:type="dxa"/>
            <w:tcBorders>
              <w:top w:val="nil" w:sz="6" w:space="0" w:color="auto"/>
              <w:left w:val="single" w:sz="13" w:space="0" w:color="FFFFFF"/>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9" w:lineRule="auto"/>
              <w:ind w:left="22" w:right="173"/>
              <w:jc w:val="left"/>
              <w:rPr>
                <w:rFonts w:ascii="宋体" w:hAnsi="宋体" w:cs="宋体" w:eastAsia="宋体" w:hint="default"/>
                <w:sz w:val="18"/>
                <w:szCs w:val="18"/>
              </w:rPr>
            </w:pPr>
            <w:r>
              <w:rPr>
                <w:rFonts w:ascii="宋体" w:hAnsi="宋体" w:cs="宋体" w:eastAsia="宋体" w:hint="default"/>
                <w:sz w:val="18"/>
                <w:szCs w:val="18"/>
              </w:rPr>
              <w:t>正常 履行</w:t>
            </w:r>
          </w:p>
        </w:tc>
      </w:tr>
      <w:tr>
        <w:trPr>
          <w:trHeight w:val="312" w:hRule="exact"/>
        </w:trPr>
        <w:tc>
          <w:tcPr>
            <w:tcW w:w="900" w:type="dxa"/>
            <w:vMerge/>
            <w:tcBorders>
              <w:left w:val="single" w:sz="4" w:space="0" w:color="000000"/>
              <w:right w:val="single" w:sz="4" w:space="0" w:color="000000"/>
            </w:tcBorders>
            <w:shd w:val="clear" w:color="auto" w:fill="D2D2D2"/>
          </w:tcPr>
          <w:p>
            <w:pP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22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期限内三年的承诺净利润总额</w:t>
            </w:r>
            <w:r>
              <w:rPr>
                <w:rFonts w:ascii="Times New Roman" w:hAnsi="Times New Roman" w:cs="Times New Roman" w:eastAsia="Times New Roman" w:hint="default"/>
                <w:sz w:val="18"/>
                <w:szCs w:val="18"/>
              </w:rPr>
              <w:t>×</w:t>
            </w:r>
            <w:r>
              <w:rPr>
                <w:rFonts w:ascii="宋体" w:hAnsi="宋体" w:cs="宋体" w:eastAsia="宋体" w:hint="default"/>
                <w:sz w:val="18"/>
                <w:szCs w:val="18"/>
              </w:rPr>
              <w:t>标的资产交易对价</w:t>
            </w:r>
            <w:r>
              <w:rPr>
                <w:rFonts w:ascii="Times New Roman" w:hAnsi="Times New Roman" w:cs="Times New Roman" w:eastAsia="Times New Roman" w:hint="default"/>
                <w:sz w:val="18"/>
                <w:szCs w:val="18"/>
              </w:rPr>
              <w:t>-</w:t>
            </w:r>
            <w:r>
              <w:rPr>
                <w:rFonts w:ascii="宋体" w:hAnsi="宋体" w:cs="宋体" w:eastAsia="宋体" w:hint="default"/>
                <w:sz w:val="18"/>
                <w:szCs w:val="18"/>
              </w:rPr>
              <w:t>累计已补偿金</w:t>
            </w: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900" w:type="dxa"/>
            <w:vMerge/>
            <w:tcBorders>
              <w:left w:val="single" w:sz="4" w:space="0" w:color="000000"/>
              <w:right w:val="single" w:sz="4" w:space="0" w:color="000000"/>
            </w:tcBorders>
            <w:shd w:val="clear" w:color="auto" w:fill="D2D2D2"/>
          </w:tcPr>
          <w:p>
            <w:pP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22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3"/>
                <w:sz w:val="18"/>
                <w:szCs w:val="18"/>
              </w:rPr>
              <w:t>额。方笑求、蓝顺明应先以股份补偿方式补偿公司，股份补偿按逐</w:t>
            </w: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00" w:type="dxa"/>
            <w:vMerge/>
            <w:tcBorders>
              <w:left w:val="single" w:sz="4" w:space="0" w:color="000000"/>
              <w:right w:val="single" w:sz="4" w:space="0" w:color="000000"/>
            </w:tcBorders>
            <w:shd w:val="clear" w:color="auto" w:fill="D2D2D2"/>
          </w:tcPr>
          <w:p>
            <w:pP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2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年计算、逐年回购应补偿股份并注销的原则执行，股份补偿方式不</w:t>
            </w: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00" w:type="dxa"/>
            <w:vMerge/>
            <w:tcBorders>
              <w:left w:val="single" w:sz="4" w:space="0" w:color="000000"/>
              <w:right w:val="single" w:sz="4" w:space="0" w:color="000000"/>
            </w:tcBorders>
            <w:shd w:val="clear" w:color="auto" w:fill="D2D2D2"/>
          </w:tcPr>
          <w:p>
            <w:pP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2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足以补偿公司的，方笑求、蓝顺明应以现金补偿方式补足。具体补</w:t>
            </w: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900" w:type="dxa"/>
            <w:vMerge/>
            <w:tcBorders>
              <w:left w:val="single" w:sz="4" w:space="0" w:color="000000"/>
              <w:right w:val="single" w:sz="4" w:space="0" w:color="000000"/>
            </w:tcBorders>
            <w:shd w:val="clear" w:color="auto" w:fill="D2D2D2"/>
          </w:tcPr>
          <w:p>
            <w:pP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2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偿安排如下</w:t>
            </w:r>
            <w:r>
              <w:rPr>
                <w:rFonts w:ascii="宋体" w:hAnsi="宋体" w:cs="宋体" w:eastAsia="宋体" w:hint="default"/>
                <w:spacing w:val="-118"/>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28"/>
                <w:sz w:val="18"/>
                <w:szCs w:val="18"/>
              </w:rPr>
              <w:t>）</w:t>
            </w:r>
            <w:r>
              <w:rPr>
                <w:rFonts w:ascii="宋体" w:hAnsi="宋体" w:cs="宋体" w:eastAsia="宋体" w:hint="default"/>
                <w:sz w:val="18"/>
                <w:szCs w:val="18"/>
              </w:rPr>
              <w:t>股份补偿公司应在湖南方正达专项审计报告出具</w:t>
            </w: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00" w:type="dxa"/>
            <w:vMerge/>
            <w:tcBorders>
              <w:left w:val="single" w:sz="4" w:space="0" w:color="000000"/>
              <w:right w:val="single" w:sz="4" w:space="0" w:color="000000"/>
            </w:tcBorders>
            <w:shd w:val="clear" w:color="auto" w:fill="D2D2D2"/>
          </w:tcPr>
          <w:p>
            <w:pP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22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之日后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日内召开董事会、股东大会，审议当年回购方笑求、蓝</w:t>
            </w: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900" w:type="dxa"/>
            <w:vMerge/>
            <w:tcBorders>
              <w:left w:val="single" w:sz="4" w:space="0" w:color="000000"/>
              <w:right w:val="single" w:sz="4" w:space="0" w:color="000000"/>
            </w:tcBorders>
            <w:shd w:val="clear" w:color="auto" w:fill="D2D2D2"/>
          </w:tcPr>
          <w:p>
            <w:pP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22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3"/>
                <w:sz w:val="18"/>
                <w:szCs w:val="18"/>
              </w:rPr>
              <w:t>顺明的股份方案，确定当年应回购方笑求、蓝顺明的股份数量，由</w:t>
            </w: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900" w:type="dxa"/>
            <w:vMerge/>
            <w:tcBorders>
              <w:left w:val="single" w:sz="4" w:space="0" w:color="000000"/>
              <w:right w:val="single" w:sz="4" w:space="0" w:color="000000"/>
            </w:tcBorders>
            <w:shd w:val="clear" w:color="auto" w:fill="D2D2D2"/>
          </w:tcPr>
          <w:p>
            <w:pP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2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宋体" w:hAnsi="宋体" w:cs="宋体" w:eastAsia="宋体" w:hint="default"/>
                <w:spacing w:val="1"/>
                <w:sz w:val="18"/>
                <w:szCs w:val="18"/>
              </w:rPr>
              <w:t>的</w:t>
            </w:r>
            <w:r>
              <w:rPr>
                <w:rFonts w:ascii="宋体" w:hAnsi="宋体" w:cs="宋体" w:eastAsia="宋体" w:hint="default"/>
                <w:sz w:val="18"/>
                <w:szCs w:val="18"/>
              </w:rPr>
              <w:t>总对价</w:t>
            </w:r>
            <w:r>
              <w:rPr>
                <w:rFonts w:ascii="宋体" w:hAnsi="宋体" w:cs="宋体" w:eastAsia="宋体" w:hint="default"/>
                <w:spacing w:val="-28"/>
                <w:sz w:val="18"/>
                <w:szCs w:val="18"/>
              </w:rPr>
              <w:t>按</w:t>
            </w:r>
            <w:r>
              <w:rPr>
                <w:rFonts w:ascii="宋体" w:hAnsi="宋体" w:cs="宋体" w:eastAsia="宋体" w:hint="default"/>
                <w:sz w:val="18"/>
                <w:szCs w:val="18"/>
              </w:rPr>
              <w:t>《中华人民共和国公司法</w:t>
            </w:r>
            <w:r>
              <w:rPr>
                <w:rFonts w:ascii="宋体" w:hAnsi="宋体" w:cs="宋体" w:eastAsia="宋体" w:hint="default"/>
                <w:spacing w:val="-90"/>
                <w:sz w:val="18"/>
                <w:szCs w:val="18"/>
              </w:rPr>
              <w:t>》</w:t>
            </w:r>
            <w:r>
              <w:rPr>
                <w:rFonts w:ascii="宋体" w:hAnsi="宋体" w:cs="宋体" w:eastAsia="宋体" w:hint="default"/>
                <w:spacing w:val="-118"/>
                <w:sz w:val="18"/>
                <w:szCs w:val="18"/>
              </w:rPr>
              <w:t>、</w:t>
            </w:r>
            <w:r>
              <w:rPr>
                <w:rFonts w:ascii="宋体" w:hAnsi="宋体" w:cs="宋体" w:eastAsia="宋体" w:hint="default"/>
                <w:sz w:val="18"/>
                <w:szCs w:val="18"/>
              </w:rPr>
              <w:t>《上市公司回购</w:t>
            </w: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900" w:type="dxa"/>
            <w:vMerge/>
            <w:tcBorders>
              <w:left w:val="single" w:sz="4" w:space="0" w:color="000000"/>
              <w:right w:val="single" w:sz="4" w:space="0" w:color="000000"/>
            </w:tcBorders>
            <w:shd w:val="clear" w:color="auto" w:fill="D2D2D2"/>
          </w:tcPr>
          <w:p>
            <w:pP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22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社会公众股份管理办</w:t>
            </w:r>
            <w:r>
              <w:rPr>
                <w:rFonts w:ascii="宋体" w:hAnsi="宋体" w:cs="宋体" w:eastAsia="宋体" w:hint="default"/>
                <w:spacing w:val="-28"/>
                <w:sz w:val="18"/>
                <w:szCs w:val="18"/>
              </w:rPr>
              <w:t>法</w:t>
            </w:r>
            <w:r>
              <w:rPr>
                <w:rFonts w:ascii="宋体" w:hAnsi="宋体" w:cs="宋体" w:eastAsia="宋体" w:hint="default"/>
                <w:sz w:val="18"/>
                <w:szCs w:val="18"/>
              </w:rPr>
              <w:t>（试行</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900" w:type="dxa"/>
            <w:vMerge/>
            <w:tcBorders>
              <w:left w:val="single" w:sz="4" w:space="0" w:color="000000"/>
              <w:right w:val="single" w:sz="4" w:space="0" w:color="000000"/>
            </w:tcBorders>
            <w:shd w:val="clear" w:color="auto" w:fill="D2D2D2"/>
          </w:tcPr>
          <w:p>
            <w:pP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2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等相关规定回购该被锁定的股份并在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日内注销所回购的股份。</w:t>
            </w: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00" w:type="dxa"/>
            <w:vMerge/>
            <w:tcBorders>
              <w:left w:val="single" w:sz="4" w:space="0" w:color="000000"/>
              <w:right w:val="single" w:sz="4" w:space="0" w:color="000000"/>
            </w:tcBorders>
            <w:shd w:val="clear" w:color="auto" w:fill="D2D2D2"/>
          </w:tcPr>
          <w:p>
            <w:pP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22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当期应回购方笑求、蓝顺明的股份数量</w:t>
            </w:r>
            <w:r>
              <w:rPr>
                <w:rFonts w:ascii="Times New Roman" w:hAnsi="Times New Roman" w:cs="Times New Roman" w:eastAsia="Times New Roman" w:hint="default"/>
                <w:sz w:val="18"/>
                <w:szCs w:val="18"/>
              </w:rPr>
              <w:t>=</w:t>
            </w:r>
            <w:r>
              <w:rPr>
                <w:rFonts w:ascii="宋体" w:hAnsi="宋体" w:cs="宋体" w:eastAsia="宋体" w:hint="default"/>
                <w:sz w:val="18"/>
                <w:szCs w:val="18"/>
              </w:rPr>
              <w:t>（当期期末累计承诺净利</w:t>
            </w: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00" w:type="dxa"/>
            <w:vMerge/>
            <w:tcBorders>
              <w:left w:val="single" w:sz="4" w:space="0" w:color="000000"/>
              <w:right w:val="single" w:sz="4" w:space="0" w:color="000000"/>
            </w:tcBorders>
            <w:shd w:val="clear" w:color="auto" w:fill="D2D2D2"/>
          </w:tcPr>
          <w:p>
            <w:pP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22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润数额</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当期期末累计实际净利润数额）</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补偿期限内三年的承诺净</w:t>
            </w: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00" w:type="dxa"/>
            <w:vMerge/>
            <w:tcBorders>
              <w:left w:val="single" w:sz="4" w:space="0" w:color="000000"/>
              <w:right w:val="single" w:sz="4" w:space="0" w:color="000000"/>
            </w:tcBorders>
            <w:shd w:val="clear" w:color="auto" w:fill="D2D2D2"/>
          </w:tcPr>
          <w:p>
            <w:pP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22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利润总额</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方笑求、蓝顺明认购公司非公开发行的股票数量</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补偿期</w:t>
            </w: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900" w:type="dxa"/>
            <w:vMerge/>
            <w:tcBorders>
              <w:left w:val="single" w:sz="4" w:space="0" w:color="000000"/>
              <w:right w:val="single" w:sz="4" w:space="0" w:color="000000"/>
            </w:tcBorders>
            <w:shd w:val="clear" w:color="auto" w:fill="D2D2D2"/>
          </w:tcPr>
          <w:p>
            <w:pP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22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限内已回购的股份数量。补偿期限内应回购方笑求、蓝顺明的股份</w:t>
            </w: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00" w:type="dxa"/>
            <w:vMerge/>
            <w:tcBorders>
              <w:left w:val="single" w:sz="4" w:space="0" w:color="000000"/>
              <w:right w:val="single" w:sz="4" w:space="0" w:color="000000"/>
            </w:tcBorders>
            <w:shd w:val="clear" w:color="auto" w:fill="D2D2D2"/>
          </w:tcPr>
          <w:p>
            <w:pP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2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数量不得超过方笑求、蓝顺明认购公司向其非公开发行的股份数</w:t>
            </w: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00" w:type="dxa"/>
            <w:vMerge/>
            <w:tcBorders>
              <w:left w:val="single" w:sz="4" w:space="0" w:color="000000"/>
              <w:right w:val="single" w:sz="4" w:space="0" w:color="000000"/>
            </w:tcBorders>
            <w:shd w:val="clear" w:color="auto" w:fill="D2D2D2"/>
          </w:tcPr>
          <w:p>
            <w:pP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2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量，超过的部分由方笑求、蓝顺明按本条约定另行以现金补偿方式</w:t>
            </w: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900" w:type="dxa"/>
            <w:vMerge/>
            <w:tcBorders>
              <w:left w:val="single" w:sz="4" w:space="0" w:color="000000"/>
              <w:right w:val="single" w:sz="4" w:space="0" w:color="000000"/>
            </w:tcBorders>
            <w:shd w:val="clear" w:color="auto" w:fill="D2D2D2"/>
          </w:tcPr>
          <w:p>
            <w:pP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2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补足。若当期计算的补偿股份数量小于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，按</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取值，即已补偿的</w:t>
            </w: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00" w:type="dxa"/>
            <w:vMerge/>
            <w:tcBorders>
              <w:left w:val="single" w:sz="4" w:space="0" w:color="000000"/>
              <w:right w:val="single" w:sz="4" w:space="0" w:color="000000"/>
            </w:tcBorders>
            <w:shd w:val="clear" w:color="auto" w:fill="D2D2D2"/>
          </w:tcPr>
          <w:p>
            <w:pP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22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股份不冲回</w:t>
            </w:r>
            <w:r>
              <w:rPr>
                <w:rFonts w:ascii="宋体" w:hAnsi="宋体" w:cs="宋体" w:eastAsia="宋体" w:hint="default"/>
                <w:spacing w:val="-11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20"/>
                <w:sz w:val="18"/>
                <w:szCs w:val="18"/>
              </w:rPr>
              <w:t>）</w:t>
            </w:r>
            <w:r>
              <w:rPr>
                <w:rFonts w:ascii="宋体" w:hAnsi="宋体" w:cs="宋体" w:eastAsia="宋体" w:hint="default"/>
                <w:sz w:val="18"/>
                <w:szCs w:val="18"/>
              </w:rPr>
              <w:t>现金补偿若方笑求</w:t>
            </w:r>
            <w:r>
              <w:rPr>
                <w:rFonts w:ascii="宋体" w:hAnsi="宋体" w:cs="宋体" w:eastAsia="宋体" w:hint="default"/>
                <w:spacing w:val="-20"/>
                <w:sz w:val="18"/>
                <w:szCs w:val="18"/>
              </w:rPr>
              <w:t>、</w:t>
            </w:r>
            <w:r>
              <w:rPr>
                <w:rFonts w:ascii="宋体" w:hAnsi="宋体" w:cs="宋体" w:eastAsia="宋体" w:hint="default"/>
                <w:sz w:val="18"/>
                <w:szCs w:val="18"/>
              </w:rPr>
              <w:t>蓝顺明补偿期限内股份补偿</w:t>
            </w: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00" w:type="dxa"/>
            <w:vMerge/>
            <w:tcBorders>
              <w:left w:val="single" w:sz="4" w:space="0" w:color="000000"/>
              <w:bottom w:val="single" w:sz="4" w:space="0" w:color="000000"/>
              <w:right w:val="single" w:sz="4" w:space="0" w:color="000000"/>
            </w:tcBorders>
            <w:shd w:val="clear" w:color="auto" w:fill="D2D2D2"/>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c>
          <w:tcPr>
            <w:tcW w:w="522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32"/>
              <w:jc w:val="left"/>
              <w:rPr>
                <w:rFonts w:ascii="宋体" w:hAnsi="宋体" w:cs="宋体" w:eastAsia="宋体" w:hint="default"/>
                <w:sz w:val="18"/>
                <w:szCs w:val="18"/>
              </w:rPr>
            </w:pPr>
            <w:r>
              <w:rPr>
                <w:rFonts w:ascii="宋体" w:hAnsi="宋体" w:cs="宋体" w:eastAsia="宋体" w:hint="default"/>
                <w:sz w:val="18"/>
                <w:szCs w:val="18"/>
              </w:rPr>
              <w:t>总数不足以补偿公司，则方笑求、蓝顺明应以现金补偿方式补足。</w:t>
            </w:r>
          </w:p>
        </w:tc>
        <w:tc>
          <w:tcPr>
            <w:tcW w:w="900"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c>
          <w:tcPr>
            <w:tcW w:w="56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84.774017pt;margin-top:72.47998pt;width:194.75pt;height:563.7pt;mso-position-horizontal-relative:page;mso-position-vertical-relative:page;z-index:-112554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20"/>
                      <w:szCs w:val="20"/>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蓝顺明应先以股份补偿方式补偿公司，</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25"/>
                      <w:szCs w:val="25"/>
                    </w:rPr>
                  </w:pPr>
                </w:p>
                <w:p>
                  <w:pPr>
                    <w:spacing w:before="0"/>
                    <w:ind w:left="1800" w:right="0" w:firstLine="0"/>
                    <w:jc w:val="left"/>
                    <w:rPr>
                      <w:rFonts w:ascii="宋体" w:hAnsi="宋体" w:cs="宋体" w:eastAsia="宋体" w:hint="default"/>
                      <w:sz w:val="18"/>
                      <w:szCs w:val="18"/>
                    </w:rPr>
                  </w:pPr>
                  <w:r>
                    <w:rPr>
                      <w:rFonts w:ascii="宋体" w:hAnsi="宋体" w:cs="宋体" w:eastAsia="宋体" w:hint="default"/>
                      <w:sz w:val="18"/>
                      <w:szCs w:val="18"/>
                    </w:rPr>
                    <w:t>应回购方笑求、</w:t>
                  </w:r>
                </w:p>
              </w:txbxContent>
            </v:textbox>
            <w10:wrap type="none"/>
          </v:shape>
        </w:pict>
      </w:r>
    </w:p>
    <w:p>
      <w:pPr>
        <w:spacing w:line="240" w:lineRule="auto" w:before="10"/>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00"/>
        <w:gridCol w:w="900"/>
        <w:gridCol w:w="540"/>
        <w:gridCol w:w="5221"/>
        <w:gridCol w:w="900"/>
        <w:gridCol w:w="540"/>
        <w:gridCol w:w="570"/>
      </w:tblGrid>
      <w:tr>
        <w:trPr>
          <w:trHeight w:val="11283" w:hRule="exact"/>
        </w:trPr>
        <w:tc>
          <w:tcPr>
            <w:tcW w:w="900" w:type="dxa"/>
            <w:vMerge w:val="restart"/>
            <w:tcBorders>
              <w:top w:val="single" w:sz="4" w:space="0" w:color="000000"/>
              <w:left w:val="single" w:sz="4" w:space="0" w:color="000000"/>
              <w:right w:val="single" w:sz="4" w:space="0" w:color="000000"/>
            </w:tcBorders>
            <w:shd w:val="clear" w:color="auto" w:fill="D2D2D2"/>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方笑求、蓝顺明当期应补偿的现金金额</w:t>
            </w:r>
            <w:r>
              <w:rPr>
                <w:rFonts w:ascii="Times New Roman" w:hAnsi="Times New Roman" w:cs="Times New Roman" w:eastAsia="Times New Roman" w:hint="default"/>
                <w:sz w:val="18"/>
                <w:szCs w:val="18"/>
              </w:rPr>
              <w:t>=</w:t>
            </w:r>
            <w:r>
              <w:rPr>
                <w:rFonts w:ascii="宋体" w:hAnsi="宋体" w:cs="宋体" w:eastAsia="宋体" w:hint="default"/>
                <w:sz w:val="18"/>
                <w:szCs w:val="18"/>
              </w:rPr>
              <w:t>（截至当期期末累计承诺 </w:t>
            </w:r>
            <w:r>
              <w:rPr>
                <w:rFonts w:ascii="宋体" w:hAnsi="宋体" w:cs="宋体" w:eastAsia="宋体" w:hint="default"/>
                <w:spacing w:val="-2"/>
                <w:sz w:val="18"/>
                <w:szCs w:val="18"/>
              </w:rPr>
              <w:t>净利润数额</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截至当期期末累计实际净利润数额）</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补偿期限内三年</w:t>
            </w:r>
            <w:r>
              <w:rPr>
                <w:rFonts w:ascii="宋体" w:hAnsi="宋体" w:cs="宋体" w:eastAsia="宋体" w:hint="default"/>
                <w:spacing w:val="-66"/>
                <w:sz w:val="18"/>
                <w:szCs w:val="18"/>
              </w:rPr>
              <w:t> </w:t>
            </w:r>
            <w:r>
              <w:rPr>
                <w:rFonts w:ascii="宋体" w:hAnsi="宋体" w:cs="宋体" w:eastAsia="宋体" w:hint="default"/>
                <w:spacing w:val="-2"/>
                <w:sz w:val="18"/>
                <w:szCs w:val="18"/>
              </w:rPr>
              <w:t>的承诺净利润总额</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标的资产交易对价</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方笑求、蓝顺明补偿期限内</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已补偿的股份数量</w:t>
            </w:r>
            <w:r>
              <w:rPr>
                <w:rFonts w:ascii="Times New Roman" w:hAnsi="Times New Roman" w:cs="Times New Roman" w:eastAsia="Times New Roman" w:hint="default"/>
                <w:sz w:val="18"/>
                <w:szCs w:val="18"/>
              </w:rPr>
              <w:t>×</w:t>
            </w:r>
            <w:r>
              <w:rPr>
                <w:rFonts w:ascii="宋体" w:hAnsi="宋体" w:cs="宋体" w:eastAsia="宋体" w:hint="default"/>
                <w:sz w:val="18"/>
                <w:szCs w:val="18"/>
              </w:rPr>
              <w:t>公司非公开发行股票的发行价格。若当期计算 的现金补偿金额小于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 </w:t>
            </w:r>
            <w:r>
              <w:rPr>
                <w:rFonts w:ascii="宋体" w:hAnsi="宋体" w:cs="宋体" w:eastAsia="宋体" w:hint="default"/>
                <w:sz w:val="18"/>
                <w:szCs w:val="18"/>
              </w:rPr>
              <w:t>取值，即已补偿的现金不冲回。</w:t>
            </w:r>
            <w:r>
              <w:rPr>
                <w:rFonts w:ascii="Times New Roman" w:hAnsi="Times New Roman" w:cs="Times New Roman" w:eastAsia="Times New Roman" w:hint="default"/>
                <w:sz w:val="18"/>
                <w:szCs w:val="18"/>
              </w:rPr>
              <w:t>2</w:t>
            </w:r>
            <w:r>
              <w:rPr>
                <w:rFonts w:ascii="宋体" w:hAnsi="宋体" w:cs="宋体" w:eastAsia="宋体" w:hint="default"/>
                <w:sz w:val="18"/>
                <w:szCs w:val="18"/>
              </w:rPr>
              <w:t>、 若标的资产减值测试报告确认标的资产期末减值金额</w:t>
            </w:r>
            <w:r>
              <w:rPr>
                <w:rFonts w:ascii="Times New Roman" w:hAnsi="Times New Roman" w:cs="Times New Roman" w:eastAsia="Times New Roman" w:hint="default"/>
                <w:sz w:val="18"/>
                <w:szCs w:val="18"/>
              </w:rPr>
              <w:t>&gt;</w:t>
            </w:r>
            <w:r>
              <w:rPr>
                <w:rFonts w:ascii="宋体" w:hAnsi="宋体" w:cs="宋体" w:eastAsia="宋体" w:hint="default"/>
                <w:sz w:val="18"/>
                <w:szCs w:val="18"/>
              </w:rPr>
              <w:t>方笑求、蓝 顺明补偿期限内已补偿股份数量</w:t>
            </w:r>
            <w:r>
              <w:rPr>
                <w:rFonts w:ascii="Times New Roman" w:hAnsi="Times New Roman" w:cs="Times New Roman" w:eastAsia="Times New Roman" w:hint="default"/>
                <w:sz w:val="18"/>
                <w:szCs w:val="18"/>
              </w:rPr>
              <w:t>×</w:t>
            </w:r>
            <w:r>
              <w:rPr>
                <w:rFonts w:ascii="宋体" w:hAnsi="宋体" w:cs="宋体" w:eastAsia="宋体" w:hint="default"/>
                <w:sz w:val="18"/>
                <w:szCs w:val="18"/>
              </w:rPr>
              <w:t>公司非公开发行股票的发行价格</w:t>
            </w:r>
          </w:p>
          <w:p>
            <w:pPr>
              <w:pStyle w:val="TableParagraph"/>
              <w:spacing w:line="309" w:lineRule="auto" w:before="13"/>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方笑求、蓝顺明补偿期限内已补偿现金金额，则方笑求、蓝顺明 同时应向公司另行补偿标的资产期末减值额与补偿期限内已补偿 股份数量</w:t>
            </w:r>
            <w:r>
              <w:rPr>
                <w:rFonts w:ascii="Times New Roman" w:hAnsi="Times New Roman" w:cs="Times New Roman" w:eastAsia="Times New Roman" w:hint="default"/>
                <w:sz w:val="18"/>
                <w:szCs w:val="18"/>
              </w:rPr>
              <w:t>×</w:t>
            </w:r>
            <w:r>
              <w:rPr>
                <w:rFonts w:ascii="宋体" w:hAnsi="宋体" w:cs="宋体" w:eastAsia="宋体" w:hint="default"/>
                <w:sz w:val="18"/>
                <w:szCs w:val="18"/>
              </w:rPr>
              <w:t>公司非公开发行股票的发行价格</w:t>
            </w:r>
            <w:r>
              <w:rPr>
                <w:rFonts w:ascii="Times New Roman" w:hAnsi="Times New Roman" w:cs="Times New Roman" w:eastAsia="Times New Roman" w:hint="default"/>
                <w:sz w:val="18"/>
                <w:szCs w:val="18"/>
              </w:rPr>
              <w:t>+</w:t>
            </w:r>
            <w:r>
              <w:rPr>
                <w:rFonts w:ascii="宋体" w:hAnsi="宋体" w:cs="宋体" w:eastAsia="宋体" w:hint="default"/>
                <w:sz w:val="18"/>
                <w:szCs w:val="18"/>
              </w:rPr>
              <w:t>补偿期限内已补偿现 </w:t>
            </w:r>
            <w:r>
              <w:rPr>
                <w:rFonts w:ascii="宋体" w:hAnsi="宋体" w:cs="宋体" w:eastAsia="宋体" w:hint="default"/>
                <w:spacing w:val="-6"/>
                <w:sz w:val="18"/>
                <w:szCs w:val="18"/>
              </w:rPr>
              <w:t>金金额之间的差额，方笑求、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股份补偿方式不足以补偿公司的，方笑求、蓝顺明应以现金补偿方</w:t>
            </w:r>
            <w:r>
              <w:rPr>
                <w:rFonts w:ascii="宋体" w:hAnsi="宋体" w:cs="宋体" w:eastAsia="宋体" w:hint="default"/>
                <w:sz w:val="18"/>
                <w:szCs w:val="18"/>
              </w:rPr>
              <w:t> </w:t>
            </w:r>
            <w:r>
              <w:rPr>
                <w:rFonts w:ascii="宋体" w:hAnsi="宋体" w:cs="宋体" w:eastAsia="宋体" w:hint="default"/>
                <w:spacing w:val="-5"/>
                <w:sz w:val="18"/>
                <w:szCs w:val="18"/>
              </w:rPr>
              <w:t>式补足。（</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）股份补偿公司应在标的资产减值测试报告出具之日后</w:t>
            </w:r>
            <w:r>
              <w:rPr>
                <w:rFonts w:ascii="宋体" w:hAnsi="宋体" w:cs="宋体" w:eastAsia="宋体" w:hint="default"/>
                <w:sz w:val="18"/>
                <w:szCs w:val="18"/>
              </w:rPr>
              <w:t> </w:t>
            </w: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日内召开董事会、股东大会，审议回购方笑求、蓝顺明的股份</w:t>
            </w:r>
          </w:p>
          <w:p>
            <w:pPr>
              <w:pStyle w:val="TableParagraph"/>
              <w:spacing w:line="307" w:lineRule="auto" w:before="5"/>
              <w:ind w:left="22" w:right="-15"/>
              <w:jc w:val="left"/>
              <w:rPr>
                <w:rFonts w:ascii="宋体" w:hAnsi="宋体" w:cs="宋体" w:eastAsia="宋体" w:hint="default"/>
                <w:sz w:val="18"/>
                <w:szCs w:val="18"/>
              </w:rPr>
            </w:pPr>
            <w:r>
              <w:rPr>
                <w:rFonts w:ascii="宋体" w:hAnsi="宋体" w:cs="宋体" w:eastAsia="宋体" w:hint="default"/>
                <w:spacing w:val="-3"/>
                <w:sz w:val="18"/>
                <w:szCs w:val="18"/>
              </w:rPr>
              <w:t>方案，确定应回购方笑求、蓝顺明的股份数量，由公司以</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元的总</w:t>
            </w:r>
            <w:r>
              <w:rPr>
                <w:rFonts w:ascii="宋体" w:hAnsi="宋体" w:cs="宋体" w:eastAsia="宋体" w:hint="default"/>
                <w:spacing w:val="-85"/>
                <w:sz w:val="18"/>
                <w:szCs w:val="18"/>
              </w:rPr>
              <w:t> </w:t>
            </w:r>
            <w:r>
              <w:rPr>
                <w:rFonts w:ascii="宋体" w:hAnsi="宋体" w:cs="宋体" w:eastAsia="宋体" w:hint="default"/>
                <w:spacing w:val="-8"/>
                <w:sz w:val="18"/>
                <w:szCs w:val="18"/>
              </w:rPr>
              <w:t>对价按《中华人民共和国公司法》、《上市公司回购社会公众股份管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9"/>
                <w:sz w:val="18"/>
                <w:szCs w:val="18"/>
              </w:rPr>
              <w:t>理办法（试行）》、《深圳证券交易所股票上市规则》等相关规定回</w:t>
            </w:r>
            <w:r>
              <w:rPr>
                <w:rFonts w:ascii="宋体" w:hAnsi="宋体" w:cs="宋体" w:eastAsia="宋体" w:hint="default"/>
                <w:sz w:val="18"/>
                <w:szCs w:val="18"/>
              </w:rPr>
              <w:t> 购该被锁定的股份并在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日内注销所回购的股份。 </w:t>
            </w:r>
            <w:r>
              <w:rPr>
                <w:rFonts w:ascii="宋体" w:hAnsi="宋体" w:cs="宋体" w:eastAsia="宋体" w:hint="default"/>
                <w:spacing w:val="-2"/>
                <w:sz w:val="18"/>
                <w:szCs w:val="18"/>
              </w:rPr>
              <w:t>蓝顺明的股份数量</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（标的资产期末减值额</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方笑求、蓝顺明补偿期</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限内已补偿的股份数量</w:t>
            </w:r>
            <w:r>
              <w:rPr>
                <w:rFonts w:ascii="Times New Roman" w:hAnsi="Times New Roman" w:cs="Times New Roman" w:eastAsia="Times New Roman" w:hint="default"/>
                <w:sz w:val="18"/>
                <w:szCs w:val="18"/>
              </w:rPr>
              <w:t>×</w:t>
            </w:r>
            <w:r>
              <w:rPr>
                <w:rFonts w:ascii="宋体" w:hAnsi="宋体" w:cs="宋体" w:eastAsia="宋体" w:hint="default"/>
                <w:sz w:val="18"/>
                <w:szCs w:val="18"/>
              </w:rPr>
              <w:t>公司非公开发行股票的发行价格</w:t>
            </w:r>
            <w:r>
              <w:rPr>
                <w:rFonts w:ascii="Times New Roman" w:hAnsi="Times New Roman" w:cs="Times New Roman" w:eastAsia="Times New Roman" w:hint="default"/>
                <w:sz w:val="18"/>
                <w:szCs w:val="18"/>
              </w:rPr>
              <w:t>-</w:t>
            </w:r>
            <w:r>
              <w:rPr>
                <w:rFonts w:ascii="宋体" w:hAnsi="宋体" w:cs="宋体" w:eastAsia="宋体" w:hint="default"/>
                <w:sz w:val="18"/>
                <w:szCs w:val="18"/>
              </w:rPr>
              <w:t>方笑求、 蓝顺明补偿期限内已补偿的现金金额</w:t>
            </w:r>
            <w:r>
              <w:rPr>
                <w:rFonts w:ascii="Times New Roman" w:hAnsi="Times New Roman" w:cs="Times New Roman" w:eastAsia="Times New Roman" w:hint="default"/>
                <w:sz w:val="18"/>
                <w:szCs w:val="18"/>
              </w:rPr>
              <w:t>÷</w:t>
            </w:r>
            <w:r>
              <w:rPr>
                <w:rFonts w:ascii="宋体" w:hAnsi="宋体" w:cs="宋体" w:eastAsia="宋体" w:hint="default"/>
                <w:sz w:val="18"/>
                <w:szCs w:val="18"/>
              </w:rPr>
              <w:t>公司非公开发行股票的发行 </w:t>
            </w:r>
            <w:r>
              <w:rPr>
                <w:rFonts w:ascii="宋体" w:hAnsi="宋体" w:cs="宋体" w:eastAsia="宋体" w:hint="default"/>
                <w:spacing w:val="-2"/>
                <w:sz w:val="18"/>
                <w:szCs w:val="18"/>
              </w:rPr>
              <w:t>价格。补偿期限内应回购方笑求、蓝顺明的股份数量不得超过方笑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求、蓝顺明认购公司向其非公开发行的股份数量，超过的部分由方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笑求、蓝顺明按本条约定另行以现金补偿方式补足。（</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）现金补偿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若方笑求、蓝顺明股份补偿总数不足以补偿公司，则方笑求、蓝顺</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明还应以现金补足。方笑求、蓝顺明应补偿的现金金额</w:t>
            </w:r>
            <w:r>
              <w:rPr>
                <w:rFonts w:ascii="Times New Roman" w:hAnsi="Times New Roman" w:cs="Times New Roman" w:eastAsia="Times New Roman" w:hint="default"/>
                <w:sz w:val="18"/>
                <w:szCs w:val="18"/>
              </w:rPr>
              <w:t>=</w:t>
            </w:r>
            <w:r>
              <w:rPr>
                <w:rFonts w:ascii="宋体" w:hAnsi="宋体" w:cs="宋体" w:eastAsia="宋体" w:hint="default"/>
                <w:sz w:val="18"/>
                <w:szCs w:val="18"/>
              </w:rPr>
              <w:t>标的资产 </w:t>
            </w:r>
            <w:r>
              <w:rPr>
                <w:rFonts w:ascii="宋体" w:hAnsi="宋体" w:cs="宋体" w:eastAsia="宋体" w:hint="default"/>
                <w:spacing w:val="-2"/>
                <w:sz w:val="18"/>
                <w:szCs w:val="18"/>
              </w:rPr>
              <w:t>期末减值额</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补偿期限内方笑求、蓝顺明已补偿的股份数量</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公司非</w:t>
            </w:r>
            <w:r>
              <w:rPr>
                <w:rFonts w:ascii="宋体" w:hAnsi="宋体" w:cs="宋体" w:eastAsia="宋体" w:hint="default"/>
                <w:spacing w:val="-68"/>
                <w:sz w:val="18"/>
                <w:szCs w:val="18"/>
              </w:rPr>
              <w:t> </w:t>
            </w:r>
            <w:r>
              <w:rPr>
                <w:rFonts w:ascii="宋体" w:hAnsi="宋体" w:cs="宋体" w:eastAsia="宋体" w:hint="default"/>
                <w:sz w:val="18"/>
                <w:szCs w:val="18"/>
              </w:rPr>
              <w:t>公开发行股票的发行价格</w:t>
            </w:r>
            <w:r>
              <w:rPr>
                <w:rFonts w:ascii="Times New Roman" w:hAnsi="Times New Roman" w:cs="Times New Roman" w:eastAsia="Times New Roman" w:hint="default"/>
                <w:sz w:val="18"/>
                <w:szCs w:val="18"/>
              </w:rPr>
              <w:t>-</w:t>
            </w:r>
            <w:r>
              <w:rPr>
                <w:rFonts w:ascii="宋体" w:hAnsi="宋体" w:cs="宋体" w:eastAsia="宋体" w:hint="default"/>
                <w:sz w:val="18"/>
                <w:szCs w:val="18"/>
              </w:rPr>
              <w:t>方笑求、蓝顺明补偿期限内已补偿的现 </w:t>
            </w:r>
            <w:r>
              <w:rPr>
                <w:rFonts w:ascii="宋体" w:hAnsi="宋体" w:cs="宋体" w:eastAsia="宋体" w:hint="default"/>
                <w:spacing w:val="-2"/>
                <w:sz w:val="18"/>
                <w:szCs w:val="18"/>
              </w:rPr>
              <w:t>金金额</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方笑求、蓝顺明已补偿的股份数量</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公司非公开发行股票的</w:t>
            </w:r>
            <w:r>
              <w:rPr>
                <w:rFonts w:ascii="宋体" w:hAnsi="宋体" w:cs="宋体" w:eastAsia="宋体" w:hint="default"/>
                <w:spacing w:val="-68"/>
                <w:sz w:val="18"/>
                <w:szCs w:val="18"/>
              </w:rPr>
              <w:t> </w:t>
            </w:r>
            <w:r>
              <w:rPr>
                <w:rFonts w:ascii="宋体" w:hAnsi="宋体" w:cs="宋体" w:eastAsia="宋体" w:hint="default"/>
                <w:sz w:val="18"/>
                <w:szCs w:val="18"/>
              </w:rPr>
              <w:t>发行价格。</w:t>
            </w:r>
            <w:r>
              <w:rPr>
                <w:rFonts w:ascii="Times New Roman" w:hAnsi="Times New Roman" w:cs="Times New Roman" w:eastAsia="Times New Roman" w:hint="default"/>
                <w:sz w:val="18"/>
                <w:szCs w:val="18"/>
              </w:rPr>
              <w:t>3</w:t>
            </w:r>
            <w:r>
              <w:rPr>
                <w:rFonts w:ascii="宋体" w:hAnsi="宋体" w:cs="宋体" w:eastAsia="宋体" w:hint="default"/>
                <w:sz w:val="18"/>
                <w:szCs w:val="18"/>
              </w:rPr>
              <w:t>、若公司在补偿期限内实施转增或送股分配，则方笑 </w:t>
            </w:r>
            <w:r>
              <w:rPr>
                <w:rFonts w:ascii="宋体" w:hAnsi="宋体" w:cs="宋体" w:eastAsia="宋体" w:hint="default"/>
                <w:spacing w:val="-3"/>
                <w:sz w:val="18"/>
                <w:szCs w:val="18"/>
              </w:rPr>
              <w:t>求、蓝顺明应回购注销的股份数量应相应调整，计算公式为：应回</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6"/>
                <w:sz w:val="18"/>
                <w:szCs w:val="18"/>
              </w:rPr>
              <w:t>购注销的股份数量</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转增或送股比例）。若公司在补偿期限内实</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施现金分配，现金分配的部分应作相应返还，计算公式为：返还金</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额</w:t>
            </w:r>
            <w:r>
              <w:rPr>
                <w:rFonts w:ascii="Times New Roman" w:hAnsi="Times New Roman" w:cs="Times New Roman" w:eastAsia="Times New Roman" w:hint="default"/>
                <w:sz w:val="18"/>
                <w:szCs w:val="18"/>
              </w:rPr>
              <w:t>=</w:t>
            </w:r>
            <w:r>
              <w:rPr>
                <w:rFonts w:ascii="宋体" w:hAnsi="宋体" w:cs="宋体" w:eastAsia="宋体" w:hint="default"/>
                <w:sz w:val="18"/>
                <w:szCs w:val="18"/>
              </w:rPr>
              <w:t>每股已分配现金股利</w:t>
            </w:r>
            <w:r>
              <w:rPr>
                <w:rFonts w:ascii="Times New Roman" w:hAnsi="Times New Roman" w:cs="Times New Roman" w:eastAsia="Times New Roman" w:hint="default"/>
                <w:sz w:val="18"/>
                <w:szCs w:val="18"/>
              </w:rPr>
              <w:t>×</w:t>
            </w:r>
            <w:r>
              <w:rPr>
                <w:rFonts w:ascii="宋体" w:hAnsi="宋体" w:cs="宋体" w:eastAsia="宋体" w:hint="default"/>
                <w:sz w:val="18"/>
                <w:szCs w:val="18"/>
              </w:rPr>
              <w:t>应回购注销的股份数量。</w:t>
            </w:r>
            <w:r>
              <w:rPr>
                <w:rFonts w:ascii="Times New Roman" w:hAnsi="Times New Roman" w:cs="Times New Roman" w:eastAsia="Times New Roman" w:hint="default"/>
                <w:sz w:val="18"/>
                <w:szCs w:val="18"/>
              </w:rPr>
              <w:t>4</w:t>
            </w:r>
            <w:r>
              <w:rPr>
                <w:rFonts w:ascii="宋体" w:hAnsi="宋体" w:cs="宋体" w:eastAsia="宋体" w:hint="default"/>
                <w:sz w:val="18"/>
                <w:szCs w:val="18"/>
              </w:rPr>
              <w:t>、在任何情况 </w:t>
            </w:r>
            <w:r>
              <w:rPr>
                <w:rFonts w:ascii="宋体" w:hAnsi="宋体" w:cs="宋体" w:eastAsia="宋体" w:hint="default"/>
                <w:spacing w:val="-2"/>
                <w:sz w:val="18"/>
                <w:szCs w:val="18"/>
              </w:rPr>
              <w:t>下，因标的资产减值而发生的补偿与因实际净利润数额不足承诺净</w:t>
            </w:r>
            <w:r>
              <w:rPr>
                <w:rFonts w:ascii="宋体" w:hAnsi="宋体" w:cs="宋体" w:eastAsia="宋体" w:hint="default"/>
                <w:sz w:val="18"/>
                <w:szCs w:val="18"/>
              </w:rPr>
              <w:t> 利润数额而发生的补偿合计不超过标的资产的交易价格。</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11273"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24"/>
                <w:sz w:val="20"/>
                <w:szCs w:val="20"/>
              </w:rPr>
              <w:pict>
                <v:group style="width:44.55pt;height:563.7pt;mso-position-horizontal-relative:char;mso-position-vertical-relative:line" coordorigin="0,0" coordsize="891,11274">
                  <v:group style="position:absolute;left:0;top:0;width:891;height:11274" coordorigin="0,0" coordsize="891,11274">
                    <v:shape style="position:absolute;left:0;top:0;width:891;height:11274" coordorigin="0,0" coordsize="891,11274" path="m0,11274l890,11274,890,0,0,0,0,11274xe" filled="true" fillcolor="#ffffff" stroked="false">
                      <v:path arrowok="t"/>
                      <v:fill type="solid"/>
                    </v:shape>
                  </v:group>
                </v:group>
              </w:pict>
            </w:r>
            <w:r>
              <w:rPr>
                <w:rFonts w:ascii="Times New Roman" w:hAnsi="Times New Roman" w:cs="Times New Roman" w:eastAsia="Times New Roman" w:hint="default"/>
                <w:position w:val="-224"/>
                <w:sz w:val="20"/>
                <w:szCs w:val="20"/>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r>
      <w:tr>
        <w:trPr>
          <w:trHeight w:val="2547" w:hRule="exact"/>
        </w:trPr>
        <w:tc>
          <w:tcPr>
            <w:tcW w:w="900" w:type="dxa"/>
            <w:vMerge/>
            <w:tcBorders>
              <w:left w:val="single" w:sz="4" w:space="0" w:color="000000"/>
              <w:bottom w:val="single" w:sz="4" w:space="0" w:color="000000"/>
              <w:right w:val="single" w:sz="4" w:space="0" w:color="000000"/>
            </w:tcBorders>
            <w:shd w:val="clear" w:color="auto" w:fill="D2D2D2"/>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2" w:right="21"/>
              <w:jc w:val="left"/>
              <w:rPr>
                <w:rFonts w:ascii="宋体" w:hAnsi="宋体" w:cs="宋体" w:eastAsia="宋体" w:hint="default"/>
                <w:sz w:val="18"/>
                <w:szCs w:val="18"/>
              </w:rPr>
            </w:pPr>
            <w:r>
              <w:rPr>
                <w:rFonts w:ascii="宋体" w:hAnsi="宋体" w:cs="宋体" w:eastAsia="宋体" w:hint="default"/>
                <w:spacing w:val="-12"/>
                <w:sz w:val="18"/>
                <w:szCs w:val="18"/>
              </w:rPr>
              <w:t>方笑求、蓝</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顺明</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22" w:right="145"/>
              <w:jc w:val="both"/>
              <w:rPr>
                <w:rFonts w:ascii="宋体" w:hAnsi="宋体" w:cs="宋体" w:eastAsia="宋体" w:hint="default"/>
                <w:sz w:val="18"/>
                <w:szCs w:val="18"/>
              </w:rPr>
            </w:pPr>
            <w:r>
              <w:rPr>
                <w:rFonts w:ascii="宋体" w:hAnsi="宋体" w:cs="宋体" w:eastAsia="宋体" w:hint="default"/>
                <w:sz w:val="18"/>
                <w:szCs w:val="18"/>
              </w:rPr>
              <w:t>关于 同业 竞争 的承 诺</w:t>
            </w:r>
          </w:p>
        </w:tc>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4"/>
                <w:sz w:val="18"/>
                <w:szCs w:val="18"/>
              </w:rPr>
              <w:t>方笑求、蓝顺明已经分别出具《关于避免同业竞争的承诺函》，承</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诺如下：①截至该承诺函签署日，方笑求、蓝顺明及其控制的其他</w:t>
            </w:r>
            <w:r>
              <w:rPr>
                <w:rFonts w:ascii="宋体" w:hAnsi="宋体" w:cs="宋体" w:eastAsia="宋体" w:hint="default"/>
                <w:sz w:val="18"/>
                <w:szCs w:val="18"/>
              </w:rPr>
              <w:t> </w:t>
            </w:r>
            <w:r>
              <w:rPr>
                <w:rFonts w:ascii="宋体" w:hAnsi="宋体" w:cs="宋体" w:eastAsia="宋体" w:hint="default"/>
                <w:spacing w:val="-2"/>
                <w:sz w:val="18"/>
                <w:szCs w:val="18"/>
              </w:rPr>
              <w:t>公司、企业或者其他经济组织未从事与茂硕电源、湖南方正达及其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控制的其他公司、企业或者其他经济组织存在同业竞争关系的业 </w:t>
            </w:r>
            <w:r>
              <w:rPr>
                <w:rFonts w:ascii="宋体" w:hAnsi="宋体" w:cs="宋体" w:eastAsia="宋体" w:hint="default"/>
                <w:spacing w:val="-2"/>
                <w:sz w:val="18"/>
                <w:szCs w:val="18"/>
              </w:rPr>
              <w:t>务。②在方笑求、蓝顺明持有茂硕电源股份期间及全部减持茂硕电</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源股份后五年内或担任茂硕电源董事、监事及高级管理人员期间及</w:t>
            </w:r>
            <w:r>
              <w:rPr>
                <w:rFonts w:ascii="宋体" w:hAnsi="宋体" w:cs="宋体" w:eastAsia="宋体" w:hint="default"/>
                <w:sz w:val="18"/>
                <w:szCs w:val="18"/>
              </w:rPr>
              <w:t> </w:t>
            </w:r>
            <w:r>
              <w:rPr>
                <w:rFonts w:ascii="宋体" w:hAnsi="宋体" w:cs="宋体" w:eastAsia="宋体" w:hint="default"/>
                <w:spacing w:val="-3"/>
                <w:sz w:val="18"/>
                <w:szCs w:val="18"/>
              </w:rPr>
              <w:t>离任茂硕电源董事、监事及高级管理人员后两年内，方笑求、蓝顺</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明及其控制的其他公司、企业或者其他经济组织将避免与茂硕电</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2" w:right="145"/>
              <w:jc w:val="left"/>
              <w:rPr>
                <w:rFonts w:ascii="宋体" w:hAnsi="宋体" w:cs="宋体" w:eastAsia="宋体" w:hint="default"/>
                <w:sz w:val="18"/>
                <w:szCs w:val="18"/>
              </w:rPr>
            </w:pPr>
            <w:r>
              <w:rPr>
                <w:rFonts w:ascii="宋体" w:hAnsi="宋体" w:cs="宋体" w:eastAsia="宋体" w:hint="default"/>
                <w:sz w:val="18"/>
                <w:szCs w:val="18"/>
              </w:rPr>
              <w:t>长期 有效</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2" w:right="175"/>
              <w:jc w:val="left"/>
              <w:rPr>
                <w:rFonts w:ascii="宋体" w:hAnsi="宋体" w:cs="宋体" w:eastAsia="宋体" w:hint="default"/>
                <w:sz w:val="18"/>
                <w:szCs w:val="18"/>
              </w:rPr>
            </w:pPr>
            <w:r>
              <w:rPr>
                <w:rFonts w:ascii="宋体" w:hAnsi="宋体" w:cs="宋体" w:eastAsia="宋体" w:hint="default"/>
                <w:sz w:val="18"/>
                <w:szCs w:val="18"/>
              </w:rPr>
              <w:t>正常 履行</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401.774017pt;margin-top:72.47998pt;width:77.75pt;height:173.7pt;mso-position-horizontal-relative:page;mso-position-vertical-relative:page;z-index:-112549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22"/>
                    <w:ind w:left="0" w:right="0" w:firstLine="0"/>
                    <w:jc w:val="left"/>
                    <w:rPr>
                      <w:rFonts w:ascii="宋体" w:hAnsi="宋体" w:cs="宋体" w:eastAsia="宋体" w:hint="default"/>
                      <w:sz w:val="18"/>
                      <w:szCs w:val="18"/>
                    </w:rPr>
                  </w:pPr>
                  <w:r>
                    <w:rPr>
                      <w:rFonts w:ascii="宋体" w:hAnsi="宋体" w:cs="宋体" w:eastAsia="宋体" w:hint="default"/>
                      <w:sz w:val="18"/>
                      <w:szCs w:val="18"/>
                    </w:rPr>
                    <w:t>方笑求、</w:t>
                  </w:r>
                </w:p>
              </w:txbxContent>
            </v:textbox>
            <w10:wrap type="none"/>
          </v:shape>
        </w:pict>
      </w:r>
      <w:r>
        <w:rPr/>
        <w:pict>
          <v:shape style="position:absolute;margin-left:401.774017pt;margin-top:359.839996pt;width:77.75pt;height:78.05pt;mso-position-horizontal-relative:page;mso-position-vertical-relative:page;z-index:-112547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方笑求、</w:t>
                  </w:r>
                </w:p>
              </w:txbxContent>
            </v:textbox>
            <w10:wrap type="none"/>
          </v:shape>
        </w:pict>
      </w:r>
      <w:r>
        <w:rPr/>
        <w:pict>
          <v:shape style="position:absolute;margin-left:329.774017pt;margin-top:582.76001pt;width:149.75pt;height:109.2pt;mso-position-horizontal-relative:page;mso-position-vertical-relative:page;z-index:-112544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将承担因此而给茂硕电源、</w:t>
                  </w:r>
                </w:p>
              </w:txbxContent>
            </v:textbox>
            <w10:wrap type="none"/>
          </v:shape>
        </w:pict>
      </w:r>
      <w:r>
        <w:rPr/>
        <w:pict>
          <v:group style="position:absolute;margin-left:435pt;margin-top:359.839996pt;width:44.55pt;height:187.7pt;mso-position-horizontal-relative:page;mso-position-vertical-relative:page;z-index:-1125424" coordorigin="8700,7197" coordsize="891,3754">
            <v:group style="position:absolute;left:8700;top:7197;width:891;height:1561" coordorigin="8700,7197" coordsize="891,1561">
              <v:shape style="position:absolute;left:8700;top:7197;width:891;height:1561" coordorigin="8700,7197" coordsize="891,1561" path="m8700,8757l9590,8757,9590,7197,8700,7197,8700,8757xe" filled="true" fillcolor="#ffffff" stroked="false">
                <v:path arrowok="t"/>
                <v:fill type="solid"/>
              </v:shape>
            </v:group>
            <v:group style="position:absolute;left:8700;top:8767;width:891;height:2184" coordorigin="8700,8767" coordsize="891,2184">
              <v:shape style="position:absolute;left:8700;top:8767;width:891;height:2184" coordorigin="8700,8767" coordsize="891,2184" path="m8700,10951l9590,10951,9590,8767,8700,8767,8700,10951xe" filled="true" fillcolor="#ffffff" stroked="false">
                <v:path arrowok="t"/>
                <v:fill type="solid"/>
              </v:shape>
            </v:group>
            <w10:wrap type="none"/>
          </v:group>
        </w:pict>
      </w:r>
      <w:r>
        <w:rPr/>
        <w:pict>
          <v:group style="position:absolute;margin-left:435pt;margin-top:582.76001pt;width:44.55pt;height:109.2pt;mso-position-horizontal-relative:page;mso-position-vertical-relative:page;z-index:-1125400" coordorigin="8700,11655" coordsize="891,2184">
            <v:shape style="position:absolute;left:8700;top:11655;width:891;height:2184" coordorigin="8700,11655" coordsize="891,2184" path="m8700,13839l9590,13839,9590,11655,8700,11655,8700,1383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00"/>
        <w:gridCol w:w="900"/>
        <w:gridCol w:w="540"/>
        <w:gridCol w:w="5221"/>
        <w:gridCol w:w="900"/>
        <w:gridCol w:w="540"/>
        <w:gridCol w:w="568"/>
      </w:tblGrid>
      <w:tr>
        <w:trPr>
          <w:trHeight w:val="317" w:hRule="exact"/>
        </w:trPr>
        <w:tc>
          <w:tcPr>
            <w:tcW w:w="900" w:type="dxa"/>
            <w:vMerge w:val="restart"/>
            <w:tcBorders>
              <w:top w:val="single" w:sz="4" w:space="0" w:color="000000"/>
              <w:left w:val="single" w:sz="4" w:space="0" w:color="000000"/>
              <w:right w:val="single" w:sz="4" w:space="0" w:color="000000"/>
            </w:tcBorders>
            <w:shd w:val="clear" w:color="auto" w:fill="D2D2D2"/>
          </w:tcPr>
          <w:p>
            <w:pPr/>
          </w:p>
        </w:tc>
        <w:tc>
          <w:tcPr>
            <w:tcW w:w="900" w:type="dxa"/>
            <w:vMerge w:val="restart"/>
            <w:tcBorders>
              <w:top w:val="single" w:sz="4" w:space="0" w:color="000000"/>
              <w:left w:val="single" w:sz="4" w:space="0" w:color="000000"/>
              <w:right w:val="single" w:sz="4" w:space="0" w:color="000000"/>
            </w:tcBorders>
          </w:tcPr>
          <w:p>
            <w:pPr/>
          </w:p>
        </w:tc>
        <w:tc>
          <w:tcPr>
            <w:tcW w:w="540" w:type="dxa"/>
            <w:vMerge w:val="restart"/>
            <w:tcBorders>
              <w:top w:val="single" w:sz="4" w:space="0" w:color="000000"/>
              <w:left w:val="single" w:sz="4" w:space="0" w:color="000000"/>
              <w:right w:val="single" w:sz="4" w:space="0" w:color="000000"/>
            </w:tcBorders>
          </w:tcPr>
          <w:p>
            <w:pPr/>
          </w:p>
        </w:tc>
        <w:tc>
          <w:tcPr>
            <w:tcW w:w="52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源、湖南方正达及其控制的其他公司、企业或者其他经济组织从事</w:t>
            </w:r>
          </w:p>
        </w:tc>
        <w:tc>
          <w:tcPr>
            <w:tcW w:w="900" w:type="dxa"/>
            <w:vMerge w:val="restart"/>
            <w:tcBorders>
              <w:top w:val="single" w:sz="4" w:space="0" w:color="000000"/>
              <w:left w:val="single" w:sz="4" w:space="0" w:color="000000"/>
              <w:right w:val="single" w:sz="4" w:space="0" w:color="000000"/>
            </w:tcBorders>
          </w:tcPr>
          <w:p>
            <w:pPr>
              <w:pStyle w:val="TableParagraph"/>
              <w:spacing w:line="3473"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8"/>
                <w:sz w:val="20"/>
                <w:szCs w:val="20"/>
              </w:rPr>
              <w:pict>
                <v:group style="width:44.55pt;height:173.7pt;mso-position-horizontal-relative:char;mso-position-vertical-relative:line" coordorigin="0,0" coordsize="891,3474">
                  <v:group style="position:absolute;left:0;top:0;width:891;height:3474" coordorigin="0,0" coordsize="891,3474">
                    <v:shape style="position:absolute;left:0;top:0;width:891;height:3474" coordorigin="0,0" coordsize="891,3474" path="m0,3473l890,3473,890,0,0,0,0,3473xe" filled="true" fillcolor="#ffffff" stroked="false">
                      <v:path arrowok="t"/>
                      <v:fill type="solid"/>
                    </v:shape>
                  </v:group>
                </v:group>
              </w:pict>
            </w:r>
            <w:r>
              <w:rPr>
                <w:rFonts w:ascii="Times New Roman" w:hAnsi="Times New Roman" w:cs="Times New Roman" w:eastAsia="Times New Roman" w:hint="default"/>
                <w:position w:val="-68"/>
                <w:sz w:val="20"/>
                <w:szCs w:val="20"/>
              </w:rPr>
            </w:r>
          </w:p>
        </w:tc>
        <w:tc>
          <w:tcPr>
            <w:tcW w:w="540" w:type="dxa"/>
            <w:vMerge w:val="restart"/>
            <w:tcBorders>
              <w:top w:val="single" w:sz="4" w:space="0" w:color="000000"/>
              <w:left w:val="single" w:sz="4" w:space="0" w:color="000000"/>
              <w:right w:val="single" w:sz="4" w:space="0" w:color="000000"/>
            </w:tcBorders>
          </w:tcPr>
          <w:p>
            <w:pPr/>
          </w:p>
        </w:tc>
        <w:tc>
          <w:tcPr>
            <w:tcW w:w="568" w:type="dxa"/>
            <w:vMerge w:val="restart"/>
            <w:tcBorders>
              <w:top w:val="single" w:sz="4" w:space="0" w:color="000000"/>
              <w:left w:val="single" w:sz="4" w:space="0" w:color="000000"/>
              <w:right w:val="single" w:sz="4" w:space="0" w:color="000000"/>
            </w:tcBorders>
          </w:tcPr>
          <w:p>
            <w:pPr/>
          </w:p>
        </w:tc>
      </w:tr>
      <w:tr>
        <w:trPr>
          <w:trHeight w:val="312" w:hRule="exact"/>
        </w:trPr>
        <w:tc>
          <w:tcPr>
            <w:tcW w:w="900" w:type="dxa"/>
            <w:vMerge/>
            <w:tcBorders>
              <w:left w:val="single" w:sz="4" w:space="0" w:color="000000"/>
              <w:right w:val="single" w:sz="4" w:space="0" w:color="000000"/>
            </w:tcBorders>
            <w:shd w:val="clear" w:color="auto" w:fill="D2D2D2"/>
          </w:tcPr>
          <w:p>
            <w:pPr/>
          </w:p>
        </w:tc>
        <w:tc>
          <w:tcPr>
            <w:tcW w:w="900"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2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任何相同或相似且构成或可能构成竞争关系的业务，亦不从事任何</w:t>
            </w:r>
          </w:p>
        </w:tc>
        <w:tc>
          <w:tcPr>
            <w:tcW w:w="900"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r>
      <w:tr>
        <w:trPr>
          <w:trHeight w:val="312" w:hRule="exact"/>
        </w:trPr>
        <w:tc>
          <w:tcPr>
            <w:tcW w:w="900" w:type="dxa"/>
            <w:vMerge/>
            <w:tcBorders>
              <w:left w:val="single" w:sz="4" w:space="0" w:color="000000"/>
              <w:right w:val="single" w:sz="4" w:space="0" w:color="000000"/>
            </w:tcBorders>
            <w:shd w:val="clear" w:color="auto" w:fill="D2D2D2"/>
          </w:tcPr>
          <w:p>
            <w:pPr/>
          </w:p>
        </w:tc>
        <w:tc>
          <w:tcPr>
            <w:tcW w:w="900"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2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可能损害茂硕电源、湖南方正达及其控制的其他公司、企业或者其</w:t>
            </w:r>
          </w:p>
        </w:tc>
        <w:tc>
          <w:tcPr>
            <w:tcW w:w="900"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r>
      <w:tr>
        <w:trPr>
          <w:trHeight w:val="312" w:hRule="exact"/>
        </w:trPr>
        <w:tc>
          <w:tcPr>
            <w:tcW w:w="900" w:type="dxa"/>
            <w:vMerge/>
            <w:tcBorders>
              <w:left w:val="single" w:sz="4" w:space="0" w:color="000000"/>
              <w:right w:val="single" w:sz="4" w:space="0" w:color="000000"/>
            </w:tcBorders>
            <w:shd w:val="clear" w:color="auto" w:fill="D2D2D2"/>
          </w:tcPr>
          <w:p>
            <w:pPr/>
          </w:p>
        </w:tc>
        <w:tc>
          <w:tcPr>
            <w:tcW w:w="900"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2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33"/>
              <w:jc w:val="left"/>
              <w:rPr>
                <w:rFonts w:ascii="宋体" w:hAnsi="宋体" w:cs="宋体" w:eastAsia="宋体" w:hint="default"/>
                <w:sz w:val="18"/>
                <w:szCs w:val="18"/>
              </w:rPr>
            </w:pPr>
            <w:r>
              <w:rPr>
                <w:rFonts w:ascii="宋体" w:hAnsi="宋体" w:cs="宋体" w:eastAsia="宋体" w:hint="default"/>
                <w:sz w:val="18"/>
                <w:szCs w:val="18"/>
              </w:rPr>
              <w:t>他经济组织利益的活动。如方笑求、蓝顺明及其控制的其他公司、</w:t>
            </w:r>
          </w:p>
        </w:tc>
        <w:tc>
          <w:tcPr>
            <w:tcW w:w="900"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r>
      <w:tr>
        <w:trPr>
          <w:trHeight w:val="312" w:hRule="exact"/>
        </w:trPr>
        <w:tc>
          <w:tcPr>
            <w:tcW w:w="900" w:type="dxa"/>
            <w:vMerge/>
            <w:tcBorders>
              <w:left w:val="single" w:sz="4" w:space="0" w:color="000000"/>
              <w:right w:val="single" w:sz="4" w:space="0" w:color="000000"/>
            </w:tcBorders>
            <w:shd w:val="clear" w:color="auto" w:fill="D2D2D2"/>
          </w:tcPr>
          <w:p>
            <w:pPr/>
          </w:p>
        </w:tc>
        <w:tc>
          <w:tcPr>
            <w:tcW w:w="900"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2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企业或者其他经济组织遇到茂硕电源、湖南方正达及其控制的其他</w:t>
            </w:r>
          </w:p>
        </w:tc>
        <w:tc>
          <w:tcPr>
            <w:tcW w:w="900"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r>
      <w:tr>
        <w:trPr>
          <w:trHeight w:val="312" w:hRule="exact"/>
        </w:trPr>
        <w:tc>
          <w:tcPr>
            <w:tcW w:w="900" w:type="dxa"/>
            <w:vMerge/>
            <w:tcBorders>
              <w:left w:val="single" w:sz="4" w:space="0" w:color="000000"/>
              <w:right w:val="single" w:sz="4" w:space="0" w:color="000000"/>
            </w:tcBorders>
            <w:shd w:val="clear" w:color="auto" w:fill="D2D2D2"/>
          </w:tcPr>
          <w:p>
            <w:pPr/>
          </w:p>
        </w:tc>
        <w:tc>
          <w:tcPr>
            <w:tcW w:w="900"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2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74"/>
                <w:sz w:val="18"/>
                <w:szCs w:val="18"/>
              </w:rPr>
              <w:t>、</w:t>
            </w:r>
            <w:r>
              <w:rPr>
                <w:rFonts w:ascii="宋体" w:hAnsi="宋体" w:cs="宋体" w:eastAsia="宋体" w:hint="default"/>
                <w:sz w:val="18"/>
                <w:szCs w:val="18"/>
              </w:rPr>
              <w:t>企业或者其他经济组织主营业务范围内的业务机会，</w:t>
            </w:r>
          </w:p>
        </w:tc>
        <w:tc>
          <w:tcPr>
            <w:tcW w:w="900"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r>
      <w:tr>
        <w:trPr>
          <w:trHeight w:val="312" w:hRule="exact"/>
        </w:trPr>
        <w:tc>
          <w:tcPr>
            <w:tcW w:w="900" w:type="dxa"/>
            <w:vMerge/>
            <w:tcBorders>
              <w:left w:val="single" w:sz="4" w:space="0" w:color="000000"/>
              <w:right w:val="single" w:sz="4" w:space="0" w:color="000000"/>
            </w:tcBorders>
            <w:shd w:val="clear" w:color="auto" w:fill="D2D2D2"/>
          </w:tcPr>
          <w:p>
            <w:pPr/>
          </w:p>
        </w:tc>
        <w:tc>
          <w:tcPr>
            <w:tcW w:w="900"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2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蓝顺明及其控制的其他公司、企业或者其他经济组织将该等合作机</w:t>
            </w:r>
          </w:p>
        </w:tc>
        <w:tc>
          <w:tcPr>
            <w:tcW w:w="900"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r>
      <w:tr>
        <w:trPr>
          <w:trHeight w:val="312" w:hRule="exact"/>
        </w:trPr>
        <w:tc>
          <w:tcPr>
            <w:tcW w:w="900" w:type="dxa"/>
            <w:vMerge/>
            <w:tcBorders>
              <w:left w:val="single" w:sz="4" w:space="0" w:color="000000"/>
              <w:right w:val="single" w:sz="4" w:space="0" w:color="000000"/>
            </w:tcBorders>
            <w:shd w:val="clear" w:color="auto" w:fill="D2D2D2"/>
          </w:tcPr>
          <w:p>
            <w:pPr/>
          </w:p>
        </w:tc>
        <w:tc>
          <w:tcPr>
            <w:tcW w:w="900"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2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会让予茂硕电源、湖南方正达及其控制的其他公司、企业或者其他</w:t>
            </w:r>
          </w:p>
        </w:tc>
        <w:tc>
          <w:tcPr>
            <w:tcW w:w="900"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r>
      <w:tr>
        <w:trPr>
          <w:trHeight w:val="312" w:hRule="exact"/>
        </w:trPr>
        <w:tc>
          <w:tcPr>
            <w:tcW w:w="900" w:type="dxa"/>
            <w:vMerge/>
            <w:tcBorders>
              <w:left w:val="single" w:sz="4" w:space="0" w:color="000000"/>
              <w:right w:val="single" w:sz="4" w:space="0" w:color="000000"/>
            </w:tcBorders>
            <w:shd w:val="clear" w:color="auto" w:fill="D2D2D2"/>
          </w:tcPr>
          <w:p>
            <w:pPr/>
          </w:p>
        </w:tc>
        <w:tc>
          <w:tcPr>
            <w:tcW w:w="900"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2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经济组织。方笑求、蓝顺明若违反上述承诺，将承担因此而给茂硕</w:t>
            </w:r>
          </w:p>
        </w:tc>
        <w:tc>
          <w:tcPr>
            <w:tcW w:w="900"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r>
      <w:tr>
        <w:trPr>
          <w:trHeight w:val="313" w:hRule="exact"/>
        </w:trPr>
        <w:tc>
          <w:tcPr>
            <w:tcW w:w="900" w:type="dxa"/>
            <w:vMerge/>
            <w:tcBorders>
              <w:left w:val="single" w:sz="4" w:space="0" w:color="000000"/>
              <w:right w:val="single" w:sz="4" w:space="0" w:color="000000"/>
            </w:tcBorders>
            <w:shd w:val="clear" w:color="auto" w:fill="D2D2D2"/>
          </w:tcPr>
          <w:p>
            <w:pPr/>
          </w:p>
        </w:tc>
        <w:tc>
          <w:tcPr>
            <w:tcW w:w="900"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2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电源、湖南方正达及其控制的其他公司、企业或者其他经济组织造</w:t>
            </w:r>
          </w:p>
        </w:tc>
        <w:tc>
          <w:tcPr>
            <w:tcW w:w="900"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r>
      <w:tr>
        <w:trPr>
          <w:trHeight w:val="357" w:hRule="exact"/>
        </w:trPr>
        <w:tc>
          <w:tcPr>
            <w:tcW w:w="900" w:type="dxa"/>
            <w:vMerge/>
            <w:tcBorders>
              <w:left w:val="single" w:sz="4" w:space="0" w:color="000000"/>
              <w:right w:val="single" w:sz="4" w:space="0" w:color="000000"/>
            </w:tcBorders>
            <w:shd w:val="clear" w:color="auto" w:fill="D2D2D2"/>
          </w:tcPr>
          <w:p>
            <w:pPr/>
          </w:p>
        </w:tc>
        <w:tc>
          <w:tcPr>
            <w:tcW w:w="900"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522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成的一切损失。</w:t>
            </w:r>
          </w:p>
        </w:tc>
        <w:tc>
          <w:tcPr>
            <w:tcW w:w="900"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r>
      <w:tr>
        <w:trPr>
          <w:trHeight w:val="357" w:hRule="exact"/>
        </w:trPr>
        <w:tc>
          <w:tcPr>
            <w:tcW w:w="900" w:type="dxa"/>
            <w:vMerge/>
            <w:tcBorders>
              <w:left w:val="single" w:sz="4" w:space="0" w:color="000000"/>
              <w:right w:val="single" w:sz="4" w:space="0" w:color="000000"/>
            </w:tcBorders>
            <w:shd w:val="clear" w:color="auto" w:fill="D2D2D2"/>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540" w:type="dxa"/>
            <w:tcBorders>
              <w:top w:val="single" w:sz="4" w:space="0" w:color="000000"/>
              <w:left w:val="single" w:sz="4" w:space="0" w:color="000000"/>
              <w:bottom w:val="nil" w:sz="6" w:space="0" w:color="auto"/>
              <w:right w:val="single" w:sz="4" w:space="0" w:color="000000"/>
            </w:tcBorders>
          </w:tcPr>
          <w:p>
            <w:pPr/>
          </w:p>
        </w:tc>
        <w:tc>
          <w:tcPr>
            <w:tcW w:w="52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方笑求、蓝顺明已经分别出具《关于减少和规范关联交易的承诺</w:t>
            </w:r>
          </w:p>
        </w:tc>
        <w:tc>
          <w:tcPr>
            <w:tcW w:w="900" w:type="dxa"/>
            <w:tcBorders>
              <w:top w:val="single" w:sz="4" w:space="0" w:color="000000"/>
              <w:left w:val="single" w:sz="4" w:space="0" w:color="000000"/>
              <w:bottom w:val="nil" w:sz="6" w:space="0" w:color="auto"/>
              <w:right w:val="single" w:sz="4" w:space="0" w:color="000000"/>
            </w:tcBorders>
          </w:tcPr>
          <w:p>
            <w:pPr/>
          </w:p>
        </w:tc>
        <w:tc>
          <w:tcPr>
            <w:tcW w:w="540" w:type="dxa"/>
            <w:tcBorders>
              <w:top w:val="single" w:sz="4" w:space="0" w:color="000000"/>
              <w:left w:val="single" w:sz="4" w:space="0" w:color="000000"/>
              <w:bottom w:val="nil" w:sz="6" w:space="0" w:color="auto"/>
              <w:right w:val="single" w:sz="4" w:space="0" w:color="000000"/>
            </w:tcBorders>
          </w:tcPr>
          <w:p>
            <w:pPr/>
          </w:p>
        </w:tc>
        <w:tc>
          <w:tcPr>
            <w:tcW w:w="56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900" w:type="dxa"/>
            <w:vMerge/>
            <w:tcBorders>
              <w:left w:val="single" w:sz="4" w:space="0" w:color="000000"/>
              <w:right w:val="single" w:sz="4" w:space="0" w:color="000000"/>
            </w:tcBorders>
            <w:shd w:val="clear" w:color="auto" w:fill="D2D2D2"/>
          </w:tcPr>
          <w:p>
            <w:pP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2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函</w:t>
            </w:r>
            <w:r>
              <w:rPr>
                <w:rFonts w:ascii="宋体" w:hAnsi="宋体" w:cs="宋体" w:eastAsia="宋体" w:hint="default"/>
                <w:spacing w:val="-90"/>
                <w:sz w:val="18"/>
                <w:szCs w:val="18"/>
              </w:rPr>
              <w:t>》</w:t>
            </w:r>
            <w:r>
              <w:rPr>
                <w:rFonts w:ascii="宋体" w:hAnsi="宋体" w:cs="宋体" w:eastAsia="宋体" w:hint="default"/>
                <w:sz w:val="18"/>
                <w:szCs w:val="18"/>
              </w:rPr>
              <w:t>，承诺如下：方笑求、蓝顺明在持有茂硕电源股份期间或担任</w:t>
            </w: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00" w:type="dxa"/>
            <w:vMerge/>
            <w:tcBorders>
              <w:left w:val="single" w:sz="4" w:space="0" w:color="000000"/>
              <w:right w:val="single" w:sz="4" w:space="0" w:color="000000"/>
            </w:tcBorders>
            <w:shd w:val="clear" w:color="auto" w:fill="D2D2D2"/>
          </w:tcPr>
          <w:p>
            <w:pP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2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茂硕电源董事、监事及高级管理人员期间，方笑求、蓝顺明及其控</w:t>
            </w: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r>
      <w:tr>
        <w:trPr>
          <w:trHeight w:val="1872" w:hRule="exact"/>
        </w:trPr>
        <w:tc>
          <w:tcPr>
            <w:tcW w:w="900" w:type="dxa"/>
            <w:vMerge/>
            <w:tcBorders>
              <w:left w:val="single" w:sz="4" w:space="0" w:color="000000"/>
              <w:right w:val="single" w:sz="4" w:space="0" w:color="000000"/>
            </w:tcBorders>
            <w:shd w:val="clear" w:color="auto" w:fill="D2D2D2"/>
          </w:tcPr>
          <w:p>
            <w:pP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12"/>
                <w:sz w:val="18"/>
                <w:szCs w:val="18"/>
              </w:rPr>
              <w:t>方笑求、蓝</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顺明</w:t>
            </w: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145"/>
              <w:jc w:val="both"/>
              <w:rPr>
                <w:rFonts w:ascii="宋体" w:hAnsi="宋体" w:cs="宋体" w:eastAsia="宋体" w:hint="default"/>
                <w:sz w:val="18"/>
                <w:szCs w:val="18"/>
              </w:rPr>
            </w:pPr>
            <w:r>
              <w:rPr>
                <w:rFonts w:ascii="宋体" w:hAnsi="宋体" w:cs="宋体" w:eastAsia="宋体" w:hint="default"/>
                <w:sz w:val="18"/>
                <w:szCs w:val="18"/>
              </w:rPr>
              <w:t>关于 关联 交易 的承 诺</w:t>
            </w:r>
          </w:p>
        </w:tc>
        <w:tc>
          <w:tcPr>
            <w:tcW w:w="522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1"/>
              <w:jc w:val="both"/>
              <w:rPr>
                <w:rFonts w:ascii="宋体" w:hAnsi="宋体" w:cs="宋体" w:eastAsia="宋体" w:hint="default"/>
                <w:sz w:val="18"/>
                <w:szCs w:val="18"/>
              </w:rPr>
            </w:pPr>
            <w:r>
              <w:rPr>
                <w:rFonts w:ascii="宋体" w:hAnsi="宋体" w:cs="宋体" w:eastAsia="宋体" w:hint="default"/>
                <w:spacing w:val="-2"/>
                <w:sz w:val="18"/>
                <w:szCs w:val="18"/>
              </w:rPr>
              <w:t>制的其他公司、企业或者其他经济组织将尽量减少并规范与茂硕电</w:t>
            </w:r>
            <w:r>
              <w:rPr>
                <w:rFonts w:ascii="宋体" w:hAnsi="宋体" w:cs="宋体" w:eastAsia="宋体" w:hint="default"/>
                <w:sz w:val="18"/>
                <w:szCs w:val="18"/>
              </w:rPr>
              <w:t> </w:t>
            </w:r>
            <w:r>
              <w:rPr>
                <w:rFonts w:ascii="宋体" w:hAnsi="宋体" w:cs="宋体" w:eastAsia="宋体" w:hint="default"/>
                <w:spacing w:val="-2"/>
                <w:sz w:val="18"/>
                <w:szCs w:val="18"/>
              </w:rPr>
              <w:t>源、湖南方正达及其控制的其他公司、企业或者其他经济组织之间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的关联交易。对于无法避免或有合理原因而发生的关联交易，方笑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求、蓝顺明及其控制的其他公司、企业或者其他经济组织将遵循市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场原则以公允、合理的市场价格进行，根据有关法律、法规及规范</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性文件的规定履行关联交易决策程序，依法履行信息披露义务和办</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长期 有效</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正常 履行</w:t>
            </w:r>
          </w:p>
        </w:tc>
      </w:tr>
      <w:tr>
        <w:trPr>
          <w:trHeight w:val="312" w:hRule="exact"/>
        </w:trPr>
        <w:tc>
          <w:tcPr>
            <w:tcW w:w="900" w:type="dxa"/>
            <w:vMerge/>
            <w:tcBorders>
              <w:left w:val="single" w:sz="4" w:space="0" w:color="000000"/>
              <w:right w:val="single" w:sz="4" w:space="0" w:color="000000"/>
            </w:tcBorders>
            <w:shd w:val="clear" w:color="auto" w:fill="D2D2D2"/>
          </w:tcPr>
          <w:p>
            <w:pP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2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理有关报批程序</w:t>
            </w:r>
            <w:r>
              <w:rPr>
                <w:rFonts w:ascii="宋体" w:hAnsi="宋体" w:cs="宋体" w:eastAsia="宋体" w:hint="default"/>
                <w:spacing w:val="-74"/>
                <w:sz w:val="18"/>
                <w:szCs w:val="18"/>
              </w:rPr>
              <w:t>，</w:t>
            </w:r>
            <w:r>
              <w:rPr>
                <w:rFonts w:ascii="宋体" w:hAnsi="宋体" w:cs="宋体" w:eastAsia="宋体" w:hint="default"/>
                <w:sz w:val="18"/>
                <w:szCs w:val="18"/>
              </w:rPr>
              <w:t>不损害茂硕电源及其他股东的合法权益。</w:t>
            </w: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900" w:type="dxa"/>
            <w:vMerge/>
            <w:tcBorders>
              <w:left w:val="single" w:sz="4" w:space="0" w:color="000000"/>
              <w:right w:val="single" w:sz="4" w:space="0" w:color="000000"/>
            </w:tcBorders>
            <w:shd w:val="clear" w:color="auto" w:fill="D2D2D2"/>
          </w:tcPr>
          <w:p>
            <w:pP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2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蓝顺明若违反上述承诺，将承担因此而给茂硕电源、湖南方正达及</w:t>
            </w: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900" w:type="dxa"/>
            <w:vMerge/>
            <w:tcBorders>
              <w:left w:val="single" w:sz="4" w:space="0" w:color="000000"/>
              <w:right w:val="single" w:sz="4" w:space="0" w:color="000000"/>
            </w:tcBorders>
            <w:shd w:val="clear" w:color="auto" w:fill="D2D2D2"/>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c>
          <w:tcPr>
            <w:tcW w:w="522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其控制的其他公司、企业或者其他经济组织造成的一切损失。</w:t>
            </w:r>
          </w:p>
        </w:tc>
        <w:tc>
          <w:tcPr>
            <w:tcW w:w="900"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c>
          <w:tcPr>
            <w:tcW w:w="568"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900" w:type="dxa"/>
            <w:vMerge/>
            <w:tcBorders>
              <w:left w:val="single" w:sz="4" w:space="0" w:color="000000"/>
              <w:right w:val="single" w:sz="4" w:space="0" w:color="000000"/>
            </w:tcBorders>
            <w:shd w:val="clear" w:color="auto" w:fill="D2D2D2"/>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540" w:type="dxa"/>
            <w:tcBorders>
              <w:top w:val="single" w:sz="4" w:space="0" w:color="000000"/>
              <w:left w:val="single" w:sz="4" w:space="0" w:color="000000"/>
              <w:bottom w:val="nil" w:sz="6" w:space="0" w:color="auto"/>
              <w:right w:val="single" w:sz="4" w:space="0" w:color="000000"/>
            </w:tcBorders>
          </w:tcPr>
          <w:p>
            <w:pPr/>
          </w:p>
        </w:tc>
        <w:tc>
          <w:tcPr>
            <w:tcW w:w="52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本公司实际控制人顾永德先生已经出具承诺函，承诺如下：①截至</w:t>
            </w:r>
          </w:p>
        </w:tc>
        <w:tc>
          <w:tcPr>
            <w:tcW w:w="900" w:type="dxa"/>
            <w:tcBorders>
              <w:top w:val="single" w:sz="4" w:space="0" w:color="000000"/>
              <w:left w:val="single" w:sz="4" w:space="0" w:color="000000"/>
              <w:bottom w:val="nil" w:sz="6" w:space="0" w:color="auto"/>
              <w:right w:val="single" w:sz="4" w:space="0" w:color="000000"/>
            </w:tcBorders>
          </w:tcPr>
          <w:p>
            <w:pPr/>
          </w:p>
        </w:tc>
        <w:tc>
          <w:tcPr>
            <w:tcW w:w="540" w:type="dxa"/>
            <w:tcBorders>
              <w:top w:val="single" w:sz="4" w:space="0" w:color="000000"/>
              <w:left w:val="single" w:sz="4" w:space="0" w:color="000000"/>
              <w:bottom w:val="nil" w:sz="6" w:space="0" w:color="auto"/>
              <w:right w:val="single" w:sz="4" w:space="0" w:color="000000"/>
            </w:tcBorders>
          </w:tcPr>
          <w:p>
            <w:pPr/>
          </w:p>
        </w:tc>
        <w:tc>
          <w:tcPr>
            <w:tcW w:w="56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900" w:type="dxa"/>
            <w:vMerge/>
            <w:tcBorders>
              <w:left w:val="single" w:sz="4" w:space="0" w:color="000000"/>
              <w:right w:val="single" w:sz="4" w:space="0" w:color="000000"/>
            </w:tcBorders>
            <w:shd w:val="clear" w:color="auto" w:fill="D2D2D2"/>
          </w:tcPr>
          <w:p>
            <w:pP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2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该承诺函签署日，顾永德及其控制的其他公司、企业或者其他经济</w:t>
            </w: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00" w:type="dxa"/>
            <w:vMerge/>
            <w:tcBorders>
              <w:left w:val="single" w:sz="4" w:space="0" w:color="000000"/>
              <w:right w:val="single" w:sz="4" w:space="0" w:color="000000"/>
            </w:tcBorders>
            <w:shd w:val="clear" w:color="auto" w:fill="D2D2D2"/>
          </w:tcPr>
          <w:p>
            <w:pP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2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组织未从事与茂硕电源、湖南方正达及其控制的其他公司、企业或</w:t>
            </w: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00" w:type="dxa"/>
            <w:vMerge/>
            <w:tcBorders>
              <w:left w:val="single" w:sz="4" w:space="0" w:color="000000"/>
              <w:right w:val="single" w:sz="4" w:space="0" w:color="000000"/>
            </w:tcBorders>
            <w:shd w:val="clear" w:color="auto" w:fill="D2D2D2"/>
          </w:tcPr>
          <w:p>
            <w:pP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2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者其他经济组织存在同业竞争关系的业务。②在作为茂硕电源的实</w:t>
            </w: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00" w:type="dxa"/>
            <w:vMerge/>
            <w:tcBorders>
              <w:left w:val="single" w:sz="4" w:space="0" w:color="000000"/>
              <w:right w:val="single" w:sz="4" w:space="0" w:color="000000"/>
            </w:tcBorders>
            <w:shd w:val="clear" w:color="auto" w:fill="D2D2D2"/>
          </w:tcPr>
          <w:p>
            <w:pP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2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际控制人期间，顾永德及其控制的其他公司、企业或者其他经济组</w:t>
            </w: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r>
      <w:tr>
        <w:trPr>
          <w:trHeight w:val="1872" w:hRule="exact"/>
        </w:trPr>
        <w:tc>
          <w:tcPr>
            <w:tcW w:w="900" w:type="dxa"/>
            <w:vMerge/>
            <w:tcBorders>
              <w:left w:val="single" w:sz="4" w:space="0" w:color="000000"/>
              <w:right w:val="single" w:sz="4" w:space="0" w:color="000000"/>
            </w:tcBorders>
            <w:shd w:val="clear" w:color="auto" w:fill="D2D2D2"/>
          </w:tcPr>
          <w:p>
            <w:pP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145"/>
              <w:jc w:val="both"/>
              <w:rPr>
                <w:rFonts w:ascii="宋体" w:hAnsi="宋体" w:cs="宋体" w:eastAsia="宋体" w:hint="default"/>
                <w:sz w:val="18"/>
                <w:szCs w:val="18"/>
              </w:rPr>
            </w:pPr>
            <w:r>
              <w:rPr>
                <w:rFonts w:ascii="宋体" w:hAnsi="宋体" w:cs="宋体" w:eastAsia="宋体" w:hint="default"/>
                <w:sz w:val="18"/>
                <w:szCs w:val="18"/>
              </w:rPr>
              <w:t>关于 同业 竞争 的承 诺</w:t>
            </w:r>
          </w:p>
        </w:tc>
        <w:tc>
          <w:tcPr>
            <w:tcW w:w="522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32"/>
              <w:jc w:val="left"/>
              <w:rPr>
                <w:rFonts w:ascii="宋体" w:hAnsi="宋体" w:cs="宋体" w:eastAsia="宋体" w:hint="default"/>
                <w:sz w:val="18"/>
                <w:szCs w:val="18"/>
              </w:rPr>
            </w:pPr>
            <w:r>
              <w:rPr>
                <w:rFonts w:ascii="宋体" w:hAnsi="宋体" w:cs="宋体" w:eastAsia="宋体" w:hint="default"/>
                <w:sz w:val="18"/>
                <w:szCs w:val="18"/>
              </w:rPr>
              <w:t>织将避免从事任何与茂硕电源、湖南方正达及其控制的其他公司、 企业或者其他经济组织相同或相似且构成或可能构成竞争关系的 </w:t>
            </w:r>
            <w:r>
              <w:rPr>
                <w:rFonts w:ascii="宋体" w:hAnsi="宋体" w:cs="宋体" w:eastAsia="宋体" w:hint="default"/>
                <w:spacing w:val="-2"/>
                <w:sz w:val="18"/>
                <w:szCs w:val="18"/>
              </w:rPr>
              <w:t>业务，亦不从事任何可能损害茂硕电源、湖南方正达及其控制的其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他公司、企业或者其他经济组织利益的活动。如顾永德及其控制的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其他公司、企业或者其他经济组织遇到茂硕电源、湖南方正达及其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控制的其他公司、企业或者其他经济组织主营业务范围内的业务机</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长期 有效</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正常 履行</w:t>
            </w:r>
          </w:p>
        </w:tc>
      </w:tr>
      <w:tr>
        <w:trPr>
          <w:trHeight w:val="312" w:hRule="exact"/>
        </w:trPr>
        <w:tc>
          <w:tcPr>
            <w:tcW w:w="900" w:type="dxa"/>
            <w:vMerge/>
            <w:tcBorders>
              <w:left w:val="single" w:sz="4" w:space="0" w:color="000000"/>
              <w:right w:val="single" w:sz="4" w:space="0" w:color="000000"/>
            </w:tcBorders>
            <w:shd w:val="clear" w:color="auto" w:fill="D2D2D2"/>
          </w:tcPr>
          <w:p>
            <w:pP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2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会，顾永德及其控制的其他公司、企业或者其他经济组织将该等合</w:t>
            </w: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00" w:type="dxa"/>
            <w:vMerge/>
            <w:tcBorders>
              <w:left w:val="single" w:sz="4" w:space="0" w:color="000000"/>
              <w:right w:val="single" w:sz="4" w:space="0" w:color="000000"/>
            </w:tcBorders>
            <w:shd w:val="clear" w:color="auto" w:fill="D2D2D2"/>
          </w:tcPr>
          <w:p>
            <w:pP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2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作机会让予茂硕电源、湖南方正达及其控制的其他公司、企业或者</w:t>
            </w: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00" w:type="dxa"/>
            <w:vMerge/>
            <w:tcBorders>
              <w:left w:val="single" w:sz="4" w:space="0" w:color="000000"/>
              <w:right w:val="single" w:sz="4" w:space="0" w:color="000000"/>
            </w:tcBorders>
            <w:shd w:val="clear" w:color="auto" w:fill="D2D2D2"/>
          </w:tcPr>
          <w:p>
            <w:pP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2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其他经济组织</w:t>
            </w:r>
            <w:r>
              <w:rPr>
                <w:rFonts w:ascii="宋体" w:hAnsi="宋体" w:cs="宋体" w:eastAsia="宋体" w:hint="default"/>
                <w:spacing w:val="-74"/>
                <w:sz w:val="18"/>
                <w:szCs w:val="18"/>
              </w:rPr>
              <w:t>。</w:t>
            </w:r>
            <w:r>
              <w:rPr>
                <w:rFonts w:ascii="宋体" w:hAnsi="宋体" w:cs="宋体" w:eastAsia="宋体" w:hint="default"/>
                <w:sz w:val="18"/>
                <w:szCs w:val="18"/>
              </w:rPr>
              <w:t>顾永德若违反上述承诺，</w:t>
            </w: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900" w:type="dxa"/>
            <w:vMerge/>
            <w:tcBorders>
              <w:left w:val="single" w:sz="4" w:space="0" w:color="000000"/>
              <w:right w:val="single" w:sz="4" w:space="0" w:color="000000"/>
            </w:tcBorders>
            <w:shd w:val="clear" w:color="auto" w:fill="D2D2D2"/>
          </w:tcPr>
          <w:p>
            <w:pP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2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湖南方正达及其控制的其他公司、企业或者其他经济组织造成的损</w:t>
            </w: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900" w:type="dxa"/>
            <w:vMerge/>
            <w:tcBorders>
              <w:left w:val="single" w:sz="4" w:space="0" w:color="000000"/>
              <w:right w:val="single" w:sz="4" w:space="0" w:color="000000"/>
            </w:tcBorders>
            <w:shd w:val="clear" w:color="auto" w:fill="D2D2D2"/>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c>
          <w:tcPr>
            <w:tcW w:w="522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失。</w:t>
            </w:r>
          </w:p>
        </w:tc>
        <w:tc>
          <w:tcPr>
            <w:tcW w:w="900"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c>
          <w:tcPr>
            <w:tcW w:w="568" w:type="dxa"/>
            <w:tcBorders>
              <w:top w:val="nil" w:sz="6" w:space="0" w:color="auto"/>
              <w:left w:val="single" w:sz="4" w:space="0" w:color="000000"/>
              <w:bottom w:val="single" w:sz="4" w:space="0" w:color="000000"/>
              <w:right w:val="single" w:sz="4" w:space="0" w:color="000000"/>
            </w:tcBorders>
          </w:tcPr>
          <w:p>
            <w:pPr/>
          </w:p>
        </w:tc>
      </w:tr>
      <w:tr>
        <w:trPr>
          <w:trHeight w:val="348" w:hRule="exact"/>
        </w:trPr>
        <w:tc>
          <w:tcPr>
            <w:tcW w:w="900" w:type="dxa"/>
            <w:vMerge/>
            <w:tcBorders>
              <w:left w:val="single" w:sz="4" w:space="0" w:color="000000"/>
              <w:right w:val="single" w:sz="4" w:space="0" w:color="000000"/>
            </w:tcBorders>
            <w:shd w:val="clear" w:color="auto" w:fill="D2D2D2"/>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5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关于</w:t>
            </w:r>
          </w:p>
        </w:tc>
        <w:tc>
          <w:tcPr>
            <w:tcW w:w="5221" w:type="dxa"/>
            <w:tcBorders>
              <w:top w:val="single" w:sz="4" w:space="0" w:color="000000"/>
              <w:left w:val="single" w:sz="4" w:space="0" w:color="000000"/>
              <w:bottom w:val="nil" w:sz="6" w:space="0" w:color="auto"/>
              <w:right w:val="single" w:sz="13" w:space="0" w:color="FFFFFF"/>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本公司实际控制人顾永德先生已经出具承诺函，承诺如下：顾永德</w:t>
            </w:r>
          </w:p>
        </w:tc>
        <w:tc>
          <w:tcPr>
            <w:tcW w:w="900" w:type="dxa"/>
            <w:tcBorders>
              <w:top w:val="single" w:sz="4" w:space="0" w:color="000000"/>
              <w:left w:val="single" w:sz="13" w:space="0" w:color="FFFFFF"/>
              <w:bottom w:val="nil" w:sz="6" w:space="0" w:color="auto"/>
              <w:right w:val="single" w:sz="4" w:space="0" w:color="000000"/>
            </w:tcBorders>
          </w:tcPr>
          <w:p>
            <w:pPr/>
          </w:p>
        </w:tc>
        <w:tc>
          <w:tcPr>
            <w:tcW w:w="540" w:type="dxa"/>
            <w:tcBorders>
              <w:top w:val="single" w:sz="4" w:space="0" w:color="000000"/>
              <w:left w:val="single" w:sz="4" w:space="0" w:color="000000"/>
              <w:bottom w:val="nil" w:sz="6" w:space="0" w:color="auto"/>
              <w:right w:val="single" w:sz="4" w:space="0" w:color="000000"/>
            </w:tcBorders>
          </w:tcPr>
          <w:p>
            <w:pPr/>
          </w:p>
        </w:tc>
        <w:tc>
          <w:tcPr>
            <w:tcW w:w="568" w:type="dxa"/>
            <w:tcBorders>
              <w:top w:val="single" w:sz="4" w:space="0" w:color="000000"/>
              <w:left w:val="single" w:sz="4" w:space="0" w:color="000000"/>
              <w:bottom w:val="nil" w:sz="6" w:space="0" w:color="auto"/>
              <w:right w:val="single" w:sz="4" w:space="0" w:color="000000"/>
            </w:tcBorders>
          </w:tcPr>
          <w:p>
            <w:pPr/>
          </w:p>
        </w:tc>
      </w:tr>
      <w:tr>
        <w:trPr>
          <w:trHeight w:val="633" w:hRule="exact"/>
        </w:trPr>
        <w:tc>
          <w:tcPr>
            <w:tcW w:w="900" w:type="dxa"/>
            <w:vMerge/>
            <w:tcBorders>
              <w:left w:val="single" w:sz="4" w:space="0" w:color="000000"/>
              <w:right w:val="single" w:sz="4" w:space="0" w:color="000000"/>
            </w:tcBorders>
            <w:shd w:val="clear" w:color="auto" w:fill="D2D2D2"/>
          </w:tcPr>
          <w:p>
            <w:pP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316" w:lineRule="auto" w:before="19"/>
              <w:ind w:left="22" w:right="145"/>
              <w:jc w:val="left"/>
              <w:rPr>
                <w:rFonts w:ascii="宋体" w:hAnsi="宋体" w:cs="宋体" w:eastAsia="宋体" w:hint="default"/>
                <w:sz w:val="18"/>
                <w:szCs w:val="18"/>
              </w:rPr>
            </w:pPr>
            <w:r>
              <w:rPr>
                <w:rFonts w:ascii="宋体" w:hAnsi="宋体" w:cs="宋体" w:eastAsia="宋体" w:hint="default"/>
                <w:sz w:val="18"/>
                <w:szCs w:val="18"/>
              </w:rPr>
              <w:t>关联 交易</w:t>
            </w:r>
          </w:p>
        </w:tc>
        <w:tc>
          <w:tcPr>
            <w:tcW w:w="5221" w:type="dxa"/>
            <w:tcBorders>
              <w:top w:val="nil" w:sz="6" w:space="0" w:color="auto"/>
              <w:left w:val="single" w:sz="4" w:space="0" w:color="000000"/>
              <w:bottom w:val="nil" w:sz="6" w:space="0" w:color="auto"/>
              <w:right w:val="single" w:sz="13" w:space="0" w:color="FFFFFF"/>
            </w:tcBorders>
          </w:tcPr>
          <w:p>
            <w:pPr>
              <w:pStyle w:val="TableParagraph"/>
              <w:spacing w:line="316" w:lineRule="auto" w:before="19"/>
              <w:ind w:left="22" w:right="-44"/>
              <w:jc w:val="left"/>
              <w:rPr>
                <w:rFonts w:ascii="宋体" w:hAnsi="宋体" w:cs="宋体" w:eastAsia="宋体" w:hint="default"/>
                <w:sz w:val="18"/>
                <w:szCs w:val="18"/>
              </w:rPr>
            </w:pPr>
            <w:r>
              <w:rPr>
                <w:rFonts w:ascii="宋体" w:hAnsi="宋体" w:cs="宋体" w:eastAsia="宋体" w:hint="default"/>
                <w:sz w:val="18"/>
                <w:szCs w:val="18"/>
              </w:rPr>
              <w:t>在作为茂硕电源的实际控制人期间，顾永德及其控制的其他公司、 </w:t>
            </w:r>
            <w:r>
              <w:rPr>
                <w:rFonts w:ascii="宋体" w:hAnsi="宋体" w:cs="宋体" w:eastAsia="宋体" w:hint="default"/>
                <w:spacing w:val="-2"/>
                <w:sz w:val="18"/>
                <w:szCs w:val="18"/>
              </w:rPr>
              <w:t>企业或者其他经济组织将尽量减少并规范与茂硕电源、湖南方正达</w:t>
            </w:r>
          </w:p>
        </w:tc>
        <w:tc>
          <w:tcPr>
            <w:tcW w:w="900" w:type="dxa"/>
            <w:tcBorders>
              <w:top w:val="nil" w:sz="6" w:space="0" w:color="auto"/>
              <w:left w:val="single" w:sz="13" w:space="0" w:color="FFFFFF"/>
              <w:bottom w:val="nil" w:sz="6" w:space="0" w:color="auto"/>
              <w:right w:val="single" w:sz="4" w:space="0" w:color="000000"/>
            </w:tcBorders>
          </w:tcPr>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319" w:lineRule="auto"/>
              <w:ind w:left="22" w:right="145"/>
              <w:jc w:val="left"/>
              <w:rPr>
                <w:rFonts w:ascii="宋体" w:hAnsi="宋体" w:cs="宋体" w:eastAsia="宋体" w:hint="default"/>
                <w:sz w:val="18"/>
                <w:szCs w:val="18"/>
              </w:rPr>
            </w:pPr>
            <w:r>
              <w:rPr>
                <w:rFonts w:ascii="宋体" w:hAnsi="宋体" w:cs="宋体" w:eastAsia="宋体" w:hint="default"/>
                <w:sz w:val="18"/>
                <w:szCs w:val="18"/>
              </w:rPr>
              <w:t>长期 有效</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319" w:lineRule="auto"/>
              <w:ind w:left="22" w:right="173"/>
              <w:jc w:val="left"/>
              <w:rPr>
                <w:rFonts w:ascii="宋体" w:hAnsi="宋体" w:cs="宋体" w:eastAsia="宋体" w:hint="default"/>
                <w:sz w:val="18"/>
                <w:szCs w:val="18"/>
              </w:rPr>
            </w:pPr>
            <w:r>
              <w:rPr>
                <w:rFonts w:ascii="宋体" w:hAnsi="宋体" w:cs="宋体" w:eastAsia="宋体" w:hint="default"/>
                <w:sz w:val="18"/>
                <w:szCs w:val="18"/>
              </w:rPr>
              <w:t>正常 履行</w:t>
            </w:r>
          </w:p>
        </w:tc>
      </w:tr>
      <w:tr>
        <w:trPr>
          <w:trHeight w:val="318" w:hRule="exact"/>
        </w:trPr>
        <w:tc>
          <w:tcPr>
            <w:tcW w:w="900" w:type="dxa"/>
            <w:vMerge/>
            <w:tcBorders>
              <w:left w:val="single" w:sz="4" w:space="0" w:color="000000"/>
              <w:bottom w:val="single" w:sz="4" w:space="0" w:color="000000"/>
              <w:right w:val="single" w:sz="4" w:space="0" w:color="000000"/>
            </w:tcBorders>
            <w:shd w:val="clear" w:color="auto" w:fill="D2D2D2"/>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的承</w:t>
            </w:r>
          </w:p>
        </w:tc>
        <w:tc>
          <w:tcPr>
            <w:tcW w:w="522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及其控制的其他公司、企业或者其他经济组织之间的关联交易。对</w:t>
            </w:r>
          </w:p>
        </w:tc>
        <w:tc>
          <w:tcPr>
            <w:tcW w:w="900"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c>
          <w:tcPr>
            <w:tcW w:w="56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428.846008pt;margin-top:329.119995pt;width:50.7pt;height:54.6pt;mso-position-horizontal-relative:page;mso-position-vertical-relative:page;z-index:-1125376"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365.729004pt;margin-top:716.579956pt;width:113.8pt;height:46.8pt;mso-position-horizontal-relative:page;mso-position-vertical-relative:page;z-index:-1125352" type="#_x0000_t202" filled="false" stroked="false">
            <v:textbox inset="0,0,0,0">
              <w:txbxContent>
                <w:p>
                  <w:pPr>
                    <w:spacing w:line="205"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不存在禁止转让、</w:t>
                  </w:r>
                </w:p>
              </w:txbxContent>
            </v:textbox>
            <w10:wrap type="none"/>
          </v:shape>
        </w:pict>
      </w:r>
      <w:r>
        <w:rPr/>
        <w:pict>
          <v:group style="position:absolute;margin-left:435pt;margin-top:184.219986pt;width:44.55pt;height:54.6pt;mso-position-horizontal-relative:page;mso-position-vertical-relative:page;z-index:-1125328" coordorigin="8700,3684" coordsize="891,1092">
            <v:shape style="position:absolute;left:8700;top:3684;width:891;height:1092" coordorigin="8700,3684" coordsize="891,1092" path="m8700,4776l9590,4776,9590,3684,8700,3684,8700,4776xe" filled="true" fillcolor="#ffffff" stroked="false">
              <v:path arrowok="t"/>
              <v:fill type="solid"/>
            </v:shape>
            <w10:wrap type="none"/>
          </v:group>
        </w:pict>
      </w:r>
      <w:r>
        <w:rPr/>
        <w:pict>
          <v:group style="position:absolute;margin-left:435pt;margin-top:329.119995pt;width:44.55pt;height:54.6pt;mso-position-horizontal-relative:page;mso-position-vertical-relative:page;z-index:-1125304" coordorigin="8700,6582" coordsize="891,1092">
            <v:shape style="position:absolute;left:8700;top:6582;width:891;height:1092" coordorigin="8700,6582" coordsize="891,1092" path="m8700,7674l9590,7674,9590,6582,8700,6582,8700,7674xe" filled="true" fillcolor="#ffffff" stroked="false">
              <v:path arrowok="t"/>
              <v:fill type="solid"/>
            </v:shape>
            <w10:wrap type="none"/>
          </v:group>
        </w:pict>
      </w:r>
      <w:r>
        <w:rPr/>
        <w:pict>
          <v:group style="position:absolute;margin-left:435pt;margin-top:474.039978pt;width:44.55pt;height:62.4pt;mso-position-horizontal-relative:page;mso-position-vertical-relative:page;z-index:-1125280" coordorigin="8700,9481" coordsize="891,1248">
            <v:shape style="position:absolute;left:8700;top:9481;width:891;height:1248" coordorigin="8700,9481" coordsize="891,1248" path="m8700,10729l9590,10729,9590,9481,8700,9481,8700,10729xe" filled="true" fillcolor="#ffffff" stroked="false">
              <v:path arrowok="t"/>
              <v:fill type="solid"/>
            </v:shape>
            <w10:wrap type="none"/>
          </v:group>
        </w:pict>
      </w:r>
      <w:r>
        <w:rPr/>
        <w:pict>
          <v:group style="position:absolute;margin-left:435pt;margin-top:716.579956pt;width:44.55pt;height:46.8pt;mso-position-horizontal-relative:page;mso-position-vertical-relative:page;z-index:-1125256" coordorigin="8700,14332" coordsize="891,936">
            <v:shape style="position:absolute;left:8700;top:14332;width:891;height:936" coordorigin="8700,14332" coordsize="891,936" path="m8700,15268l9590,15268,9590,14332,8700,14332,8700,15268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00"/>
        <w:gridCol w:w="900"/>
        <w:gridCol w:w="540"/>
        <w:gridCol w:w="5221"/>
        <w:gridCol w:w="900"/>
        <w:gridCol w:w="540"/>
        <w:gridCol w:w="568"/>
      </w:tblGrid>
      <w:tr>
        <w:trPr>
          <w:trHeight w:val="318" w:hRule="exact"/>
        </w:trPr>
        <w:tc>
          <w:tcPr>
            <w:tcW w:w="900" w:type="dxa"/>
            <w:vMerge w:val="restart"/>
            <w:tcBorders>
              <w:top w:val="single" w:sz="4" w:space="0" w:color="000000"/>
              <w:left w:val="single" w:sz="4" w:space="0" w:color="000000"/>
              <w:right w:val="single" w:sz="4" w:space="0" w:color="000000"/>
            </w:tcBorders>
            <w:shd w:val="clear" w:color="auto" w:fill="D2D2D2"/>
          </w:tcPr>
          <w:p>
            <w:pPr/>
          </w:p>
        </w:tc>
        <w:tc>
          <w:tcPr>
            <w:tcW w:w="900" w:type="dxa"/>
            <w:vMerge w:val="restart"/>
            <w:tcBorders>
              <w:top w:val="single" w:sz="4" w:space="0" w:color="000000"/>
              <w:left w:val="single" w:sz="4" w:space="0" w:color="000000"/>
              <w:right w:val="single" w:sz="4" w:space="0" w:color="000000"/>
            </w:tcBorders>
          </w:tcPr>
          <w:p>
            <w:pPr/>
          </w:p>
        </w:tc>
        <w:tc>
          <w:tcPr>
            <w:tcW w:w="5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诺</w:t>
            </w:r>
          </w:p>
        </w:tc>
        <w:tc>
          <w:tcPr>
            <w:tcW w:w="52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于无法避免或有合理原因而发生的关联交易，顾永德及其控制的其</w:t>
            </w:r>
          </w:p>
        </w:tc>
        <w:tc>
          <w:tcPr>
            <w:tcW w:w="900" w:type="dxa"/>
            <w:vMerge w:val="restart"/>
            <w:tcBorders>
              <w:top w:val="single" w:sz="4" w:space="0" w:color="000000"/>
              <w:left w:val="single" w:sz="4" w:space="0" w:color="000000"/>
              <w:right w:val="single" w:sz="4" w:space="0" w:color="000000"/>
            </w:tcBorders>
          </w:tcPr>
          <w:p>
            <w:pPr/>
          </w:p>
        </w:tc>
        <w:tc>
          <w:tcPr>
            <w:tcW w:w="540" w:type="dxa"/>
            <w:vMerge w:val="restart"/>
            <w:tcBorders>
              <w:top w:val="single" w:sz="4" w:space="0" w:color="000000"/>
              <w:left w:val="single" w:sz="4" w:space="0" w:color="000000"/>
              <w:right w:val="single" w:sz="4" w:space="0" w:color="000000"/>
            </w:tcBorders>
          </w:tcPr>
          <w:p>
            <w:pPr/>
          </w:p>
        </w:tc>
        <w:tc>
          <w:tcPr>
            <w:tcW w:w="568" w:type="dxa"/>
            <w:vMerge w:val="restart"/>
            <w:tcBorders>
              <w:top w:val="single" w:sz="4" w:space="0" w:color="000000"/>
              <w:left w:val="single" w:sz="4" w:space="0" w:color="000000"/>
              <w:right w:val="single" w:sz="4" w:space="0" w:color="000000"/>
            </w:tcBorders>
          </w:tcPr>
          <w:p>
            <w:pPr/>
          </w:p>
        </w:tc>
      </w:tr>
      <w:tr>
        <w:trPr>
          <w:trHeight w:val="311" w:hRule="exact"/>
        </w:trPr>
        <w:tc>
          <w:tcPr>
            <w:tcW w:w="900" w:type="dxa"/>
            <w:vMerge/>
            <w:tcBorders>
              <w:left w:val="single" w:sz="4" w:space="0" w:color="000000"/>
              <w:right w:val="single" w:sz="4" w:space="0" w:color="000000"/>
            </w:tcBorders>
            <w:shd w:val="clear" w:color="auto" w:fill="D2D2D2"/>
          </w:tcPr>
          <w:p>
            <w:pPr/>
          </w:p>
        </w:tc>
        <w:tc>
          <w:tcPr>
            <w:tcW w:w="900" w:type="dxa"/>
            <w:vMerge/>
            <w:tcBorders>
              <w:left w:val="single" w:sz="4" w:space="0" w:color="000000"/>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2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他公司、企业或者其他经济组织将遵循市场原则以公允、合理的市</w:t>
            </w:r>
          </w:p>
        </w:tc>
        <w:tc>
          <w:tcPr>
            <w:tcW w:w="900"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r>
      <w:tr>
        <w:trPr>
          <w:trHeight w:val="312" w:hRule="exact"/>
        </w:trPr>
        <w:tc>
          <w:tcPr>
            <w:tcW w:w="900" w:type="dxa"/>
            <w:vMerge/>
            <w:tcBorders>
              <w:left w:val="single" w:sz="4" w:space="0" w:color="000000"/>
              <w:right w:val="single" w:sz="4" w:space="0" w:color="000000"/>
            </w:tcBorders>
            <w:shd w:val="clear" w:color="auto" w:fill="D2D2D2"/>
          </w:tcPr>
          <w:p>
            <w:pPr/>
          </w:p>
        </w:tc>
        <w:tc>
          <w:tcPr>
            <w:tcW w:w="900" w:type="dxa"/>
            <w:vMerge/>
            <w:tcBorders>
              <w:left w:val="single" w:sz="4" w:space="0" w:color="000000"/>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2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场价格进行，根据有关法律、法规及规范性文件的规定履行关联交</w:t>
            </w:r>
          </w:p>
        </w:tc>
        <w:tc>
          <w:tcPr>
            <w:tcW w:w="900"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r>
      <w:tr>
        <w:trPr>
          <w:trHeight w:val="312" w:hRule="exact"/>
        </w:trPr>
        <w:tc>
          <w:tcPr>
            <w:tcW w:w="900" w:type="dxa"/>
            <w:vMerge/>
            <w:tcBorders>
              <w:left w:val="single" w:sz="4" w:space="0" w:color="000000"/>
              <w:right w:val="single" w:sz="4" w:space="0" w:color="000000"/>
            </w:tcBorders>
            <w:shd w:val="clear" w:color="auto" w:fill="D2D2D2"/>
          </w:tcPr>
          <w:p>
            <w:pPr/>
          </w:p>
        </w:tc>
        <w:tc>
          <w:tcPr>
            <w:tcW w:w="900" w:type="dxa"/>
            <w:vMerge/>
            <w:tcBorders>
              <w:left w:val="single" w:sz="4" w:space="0" w:color="000000"/>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2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易决策程序，依法履行信息披露义务和办理有关报批程序，不利用</w:t>
            </w:r>
          </w:p>
        </w:tc>
        <w:tc>
          <w:tcPr>
            <w:tcW w:w="900"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r>
      <w:tr>
        <w:trPr>
          <w:trHeight w:val="312" w:hRule="exact"/>
        </w:trPr>
        <w:tc>
          <w:tcPr>
            <w:tcW w:w="900" w:type="dxa"/>
            <w:vMerge/>
            <w:tcBorders>
              <w:left w:val="single" w:sz="4" w:space="0" w:color="000000"/>
              <w:right w:val="single" w:sz="4" w:space="0" w:color="000000"/>
            </w:tcBorders>
            <w:shd w:val="clear" w:color="auto" w:fill="D2D2D2"/>
          </w:tcPr>
          <w:p>
            <w:pPr/>
          </w:p>
        </w:tc>
        <w:tc>
          <w:tcPr>
            <w:tcW w:w="900" w:type="dxa"/>
            <w:vMerge/>
            <w:tcBorders>
              <w:left w:val="single" w:sz="4" w:space="0" w:color="000000"/>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2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实际控制人地位损害茂硕电源及其他股东的合法权益。顾永德若违</w:t>
            </w:r>
          </w:p>
        </w:tc>
        <w:tc>
          <w:tcPr>
            <w:tcW w:w="900"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r>
      <w:tr>
        <w:trPr>
          <w:trHeight w:val="313" w:hRule="exact"/>
        </w:trPr>
        <w:tc>
          <w:tcPr>
            <w:tcW w:w="900" w:type="dxa"/>
            <w:vMerge/>
            <w:tcBorders>
              <w:left w:val="single" w:sz="4" w:space="0" w:color="000000"/>
              <w:right w:val="single" w:sz="4" w:space="0" w:color="000000"/>
            </w:tcBorders>
            <w:shd w:val="clear" w:color="auto" w:fill="D2D2D2"/>
          </w:tcPr>
          <w:p>
            <w:pPr/>
          </w:p>
        </w:tc>
        <w:tc>
          <w:tcPr>
            <w:tcW w:w="900" w:type="dxa"/>
            <w:vMerge/>
            <w:tcBorders>
              <w:left w:val="single" w:sz="4" w:space="0" w:color="000000"/>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2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反上述承诺，将承担因此而给茂硕电源、湖南方正达及其控制的其</w:t>
            </w:r>
          </w:p>
        </w:tc>
        <w:tc>
          <w:tcPr>
            <w:tcW w:w="900"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r>
      <w:tr>
        <w:trPr>
          <w:trHeight w:val="357" w:hRule="exact"/>
        </w:trPr>
        <w:tc>
          <w:tcPr>
            <w:tcW w:w="900" w:type="dxa"/>
            <w:vMerge/>
            <w:tcBorders>
              <w:left w:val="single" w:sz="4" w:space="0" w:color="000000"/>
              <w:right w:val="single" w:sz="4" w:space="0" w:color="000000"/>
            </w:tcBorders>
            <w:shd w:val="clear" w:color="auto" w:fill="D2D2D2"/>
          </w:tcPr>
          <w:p>
            <w:pPr/>
          </w:p>
        </w:tc>
        <w:tc>
          <w:tcPr>
            <w:tcW w:w="900" w:type="dxa"/>
            <w:vMerge/>
            <w:tcBorders>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c>
          <w:tcPr>
            <w:tcW w:w="522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他公司、企业或者其他经济组织造成的损失。</w:t>
            </w:r>
          </w:p>
        </w:tc>
        <w:tc>
          <w:tcPr>
            <w:tcW w:w="900"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r>
      <w:tr>
        <w:trPr>
          <w:trHeight w:val="357" w:hRule="exact"/>
        </w:trPr>
        <w:tc>
          <w:tcPr>
            <w:tcW w:w="900" w:type="dxa"/>
            <w:vMerge/>
            <w:tcBorders>
              <w:left w:val="single" w:sz="4" w:space="0" w:color="000000"/>
              <w:right w:val="single" w:sz="4" w:space="0" w:color="000000"/>
            </w:tcBorders>
            <w:shd w:val="clear" w:color="auto" w:fill="D2D2D2"/>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540" w:type="dxa"/>
            <w:tcBorders>
              <w:top w:val="single" w:sz="4" w:space="0" w:color="000000"/>
              <w:left w:val="single" w:sz="4" w:space="0" w:color="000000"/>
              <w:bottom w:val="nil" w:sz="6" w:space="0" w:color="auto"/>
              <w:right w:val="single" w:sz="4" w:space="0" w:color="000000"/>
            </w:tcBorders>
          </w:tcPr>
          <w:p>
            <w:pPr/>
          </w:p>
        </w:tc>
        <w:tc>
          <w:tcPr>
            <w:tcW w:w="52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3"/>
                <w:sz w:val="18"/>
                <w:szCs w:val="18"/>
              </w:rPr>
              <w:t>方笑求、蓝顺明已经分别出具《关于信息的真实性、准确性和完整</w:t>
            </w:r>
          </w:p>
        </w:tc>
        <w:tc>
          <w:tcPr>
            <w:tcW w:w="900" w:type="dxa"/>
            <w:tcBorders>
              <w:top w:val="single" w:sz="4" w:space="0" w:color="000000"/>
              <w:left w:val="single" w:sz="4" w:space="0" w:color="000000"/>
              <w:bottom w:val="nil" w:sz="6" w:space="0" w:color="auto"/>
              <w:right w:val="single" w:sz="4" w:space="0" w:color="000000"/>
            </w:tcBorders>
          </w:tcPr>
          <w:p>
            <w:pPr/>
          </w:p>
        </w:tc>
        <w:tc>
          <w:tcPr>
            <w:tcW w:w="540" w:type="dxa"/>
            <w:tcBorders>
              <w:top w:val="single" w:sz="4" w:space="0" w:color="000000"/>
              <w:left w:val="single" w:sz="4" w:space="0" w:color="000000"/>
              <w:bottom w:val="nil" w:sz="6" w:space="0" w:color="auto"/>
              <w:right w:val="single" w:sz="4" w:space="0" w:color="000000"/>
            </w:tcBorders>
          </w:tcPr>
          <w:p>
            <w:pPr/>
          </w:p>
        </w:tc>
        <w:tc>
          <w:tcPr>
            <w:tcW w:w="56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900" w:type="dxa"/>
            <w:vMerge/>
            <w:tcBorders>
              <w:left w:val="single" w:sz="4" w:space="0" w:color="000000"/>
              <w:right w:val="single" w:sz="4" w:space="0" w:color="000000"/>
            </w:tcBorders>
            <w:shd w:val="clear" w:color="auto" w:fill="D2D2D2"/>
          </w:tcPr>
          <w:p>
            <w:pP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2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性的承诺函</w:t>
            </w:r>
            <w:r>
              <w:rPr>
                <w:rFonts w:ascii="宋体" w:hAnsi="宋体" w:cs="宋体" w:eastAsia="宋体" w:hint="default"/>
                <w:spacing w:val="-90"/>
                <w:sz w:val="18"/>
                <w:szCs w:val="18"/>
              </w:rPr>
              <w:t>》</w:t>
            </w:r>
            <w:r>
              <w:rPr>
                <w:rFonts w:ascii="宋体" w:hAnsi="宋体" w:cs="宋体" w:eastAsia="宋体" w:hint="default"/>
                <w:sz w:val="18"/>
                <w:szCs w:val="18"/>
              </w:rPr>
              <w:t>，承诺其将及时向公司提供本次发行股份及支付现金</w:t>
            </w: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900" w:type="dxa"/>
            <w:vMerge/>
            <w:tcBorders>
              <w:left w:val="single" w:sz="4" w:space="0" w:color="000000"/>
              <w:right w:val="single" w:sz="4" w:space="0" w:color="000000"/>
            </w:tcBorders>
            <w:shd w:val="clear" w:color="auto" w:fill="D2D2D2"/>
          </w:tcPr>
          <w:p>
            <w:pP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12"/>
                <w:sz w:val="18"/>
                <w:szCs w:val="18"/>
              </w:rPr>
              <w:t>方笑求、蓝</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顺明</w:t>
            </w: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其它 承诺</w:t>
            </w:r>
          </w:p>
        </w:tc>
        <w:tc>
          <w:tcPr>
            <w:tcW w:w="522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33"/>
              <w:jc w:val="left"/>
              <w:rPr>
                <w:rFonts w:ascii="宋体" w:hAnsi="宋体" w:cs="宋体" w:eastAsia="宋体" w:hint="default"/>
                <w:sz w:val="18"/>
                <w:szCs w:val="18"/>
              </w:rPr>
            </w:pPr>
            <w:r>
              <w:rPr>
                <w:rFonts w:ascii="宋体" w:hAnsi="宋体" w:cs="宋体" w:eastAsia="宋体" w:hint="default"/>
                <w:sz w:val="18"/>
                <w:szCs w:val="18"/>
              </w:rPr>
              <w:t>购买资产事宜相关信息，并保证所提供的信息真实、准确、完整， </w:t>
            </w:r>
            <w:r>
              <w:rPr>
                <w:rFonts w:ascii="宋体" w:hAnsi="宋体" w:cs="宋体" w:eastAsia="宋体" w:hint="default"/>
                <w:spacing w:val="-2"/>
                <w:sz w:val="18"/>
                <w:szCs w:val="18"/>
              </w:rPr>
              <w:t>如因提供的信息存在虚假记载、误导性陈述或者重大遗漏，给公司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或者投资者造成损失的，将依法承担赔偿责任。如本次发行股份及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支付现金购买资产事宜因涉嫌所提供或者披露的信息存在虚假记 </w:t>
            </w:r>
            <w:r>
              <w:rPr>
                <w:rFonts w:ascii="宋体" w:hAnsi="宋体" w:cs="宋体" w:eastAsia="宋体" w:hint="default"/>
                <w:spacing w:val="-2"/>
                <w:sz w:val="18"/>
                <w:szCs w:val="18"/>
              </w:rPr>
              <w:t>载、误导性陈述或者重大遗漏，被司法机关立案侦查或者被中国证</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履行 完毕</w:t>
            </w:r>
          </w:p>
        </w:tc>
      </w:tr>
      <w:tr>
        <w:trPr>
          <w:trHeight w:val="313" w:hRule="exact"/>
        </w:trPr>
        <w:tc>
          <w:tcPr>
            <w:tcW w:w="900" w:type="dxa"/>
            <w:vMerge/>
            <w:tcBorders>
              <w:left w:val="single" w:sz="4" w:space="0" w:color="000000"/>
              <w:right w:val="single" w:sz="4" w:space="0" w:color="000000"/>
            </w:tcBorders>
            <w:shd w:val="clear" w:color="auto" w:fill="D2D2D2"/>
          </w:tcPr>
          <w:p>
            <w:pP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2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监会立案调查的，在案件调查结论明确之前，将暂停转让其在公司</w:t>
            </w: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900" w:type="dxa"/>
            <w:vMerge/>
            <w:tcBorders>
              <w:left w:val="single" w:sz="4" w:space="0" w:color="000000"/>
              <w:right w:val="single" w:sz="4" w:space="0" w:color="000000"/>
            </w:tcBorders>
            <w:shd w:val="clear" w:color="auto" w:fill="D2D2D2"/>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c>
          <w:tcPr>
            <w:tcW w:w="522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拥有权益的股份。</w:t>
            </w:r>
          </w:p>
        </w:tc>
        <w:tc>
          <w:tcPr>
            <w:tcW w:w="900"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c>
          <w:tcPr>
            <w:tcW w:w="568"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900" w:type="dxa"/>
            <w:vMerge/>
            <w:tcBorders>
              <w:left w:val="single" w:sz="4" w:space="0" w:color="000000"/>
              <w:right w:val="single" w:sz="4" w:space="0" w:color="000000"/>
            </w:tcBorders>
            <w:shd w:val="clear" w:color="auto" w:fill="D2D2D2"/>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540" w:type="dxa"/>
            <w:tcBorders>
              <w:top w:val="single" w:sz="4" w:space="0" w:color="000000"/>
              <w:left w:val="single" w:sz="4" w:space="0" w:color="000000"/>
              <w:bottom w:val="nil" w:sz="6" w:space="0" w:color="auto"/>
              <w:right w:val="single" w:sz="4" w:space="0" w:color="000000"/>
            </w:tcBorders>
          </w:tcPr>
          <w:p>
            <w:pPr/>
          </w:p>
        </w:tc>
        <w:tc>
          <w:tcPr>
            <w:tcW w:w="52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方笑求、蓝顺明已经分别出具《关于认购上市公司股份的承诺函》</w:t>
            </w:r>
          </w:p>
        </w:tc>
        <w:tc>
          <w:tcPr>
            <w:tcW w:w="900" w:type="dxa"/>
            <w:tcBorders>
              <w:top w:val="single" w:sz="4" w:space="0" w:color="000000"/>
              <w:left w:val="single" w:sz="4" w:space="0" w:color="000000"/>
              <w:bottom w:val="nil" w:sz="6" w:space="0" w:color="auto"/>
              <w:right w:val="single" w:sz="4" w:space="0" w:color="000000"/>
            </w:tcBorders>
          </w:tcPr>
          <w:p>
            <w:pPr/>
          </w:p>
        </w:tc>
        <w:tc>
          <w:tcPr>
            <w:tcW w:w="540" w:type="dxa"/>
            <w:tcBorders>
              <w:top w:val="single" w:sz="4" w:space="0" w:color="000000"/>
              <w:left w:val="single" w:sz="4" w:space="0" w:color="000000"/>
              <w:bottom w:val="nil" w:sz="6" w:space="0" w:color="auto"/>
              <w:right w:val="single" w:sz="4" w:space="0" w:color="000000"/>
            </w:tcBorders>
          </w:tcPr>
          <w:p>
            <w:pPr/>
          </w:p>
        </w:tc>
        <w:tc>
          <w:tcPr>
            <w:tcW w:w="56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900" w:type="dxa"/>
            <w:vMerge/>
            <w:tcBorders>
              <w:left w:val="single" w:sz="4" w:space="0" w:color="000000"/>
              <w:right w:val="single" w:sz="4" w:space="0" w:color="000000"/>
            </w:tcBorders>
            <w:shd w:val="clear" w:color="auto" w:fill="D2D2D2"/>
          </w:tcPr>
          <w:p>
            <w:pP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2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32"/>
              <w:jc w:val="left"/>
              <w:rPr>
                <w:rFonts w:ascii="宋体" w:hAnsi="宋体" w:cs="宋体" w:eastAsia="宋体" w:hint="default"/>
                <w:sz w:val="18"/>
                <w:szCs w:val="18"/>
              </w:rPr>
            </w:pPr>
            <w:r>
              <w:rPr>
                <w:rFonts w:ascii="宋体" w:hAnsi="宋体" w:cs="宋体" w:eastAsia="宋体" w:hint="default"/>
                <w:sz w:val="18"/>
                <w:szCs w:val="18"/>
              </w:rPr>
              <w:t>承诺其不存在《上市公司收购管理办法》第六条规定的下列情形：</w:t>
            </w: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900" w:type="dxa"/>
            <w:vMerge/>
            <w:tcBorders>
              <w:left w:val="single" w:sz="4" w:space="0" w:color="000000"/>
              <w:right w:val="single" w:sz="4" w:space="0" w:color="000000"/>
            </w:tcBorders>
            <w:shd w:val="clear" w:color="auto" w:fill="D2D2D2"/>
          </w:tcPr>
          <w:p>
            <w:pP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12"/>
                <w:sz w:val="18"/>
                <w:szCs w:val="18"/>
              </w:rPr>
              <w:t>方笑求、蓝</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顺明</w:t>
            </w: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其它 承诺</w:t>
            </w:r>
          </w:p>
        </w:tc>
        <w:tc>
          <w:tcPr>
            <w:tcW w:w="522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both"/>
              <w:rPr>
                <w:rFonts w:ascii="宋体" w:hAnsi="宋体" w:cs="宋体" w:eastAsia="宋体" w:hint="default"/>
                <w:sz w:val="18"/>
                <w:szCs w:val="18"/>
              </w:rPr>
            </w:pPr>
            <w:r>
              <w:rPr>
                <w:rFonts w:ascii="宋体" w:hAnsi="宋体" w:cs="宋体" w:eastAsia="宋体" w:hint="default"/>
                <w:spacing w:val="-2"/>
                <w:sz w:val="18"/>
                <w:szCs w:val="18"/>
              </w:rPr>
              <w:t>①利用上市公司的收购损害被收购公司及其股东的合法权益；②负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有数额较大债务，到期未清偿，且处于持续状态；③最近</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年有重</w:t>
            </w:r>
          </w:p>
          <w:p>
            <w:pPr>
              <w:pStyle w:val="TableParagraph"/>
              <w:spacing w:line="309" w:lineRule="auto"/>
              <w:ind w:left="22" w:right="20"/>
              <w:jc w:val="both"/>
              <w:rPr>
                <w:rFonts w:ascii="宋体" w:hAnsi="宋体" w:cs="宋体" w:eastAsia="宋体" w:hint="default"/>
                <w:sz w:val="18"/>
                <w:szCs w:val="18"/>
              </w:rPr>
            </w:pPr>
            <w:r>
              <w:rPr>
                <w:rFonts w:ascii="宋体" w:hAnsi="宋体" w:cs="宋体" w:eastAsia="宋体" w:hint="default"/>
                <w:spacing w:val="-3"/>
                <w:sz w:val="18"/>
                <w:szCs w:val="18"/>
              </w:rPr>
              <w:t>大违法行为或者涉嫌有重大违法行为；④最近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年有严重的证券市 </w:t>
            </w:r>
            <w:r>
              <w:rPr>
                <w:rFonts w:ascii="宋体" w:hAnsi="宋体" w:cs="宋体" w:eastAsia="宋体" w:hint="default"/>
                <w:spacing w:val="-2"/>
                <w:sz w:val="18"/>
                <w:szCs w:val="18"/>
              </w:rPr>
              <w:t>场失信行为；⑤法律、行政法规规定以及中国证监会认定的不得收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购上市公司的其他情形。承诺其最近五年内没有受过行政处罚（与</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履行 完毕</w:t>
            </w:r>
          </w:p>
        </w:tc>
      </w:tr>
      <w:tr>
        <w:trPr>
          <w:trHeight w:val="313" w:hRule="exact"/>
        </w:trPr>
        <w:tc>
          <w:tcPr>
            <w:tcW w:w="900" w:type="dxa"/>
            <w:vMerge/>
            <w:tcBorders>
              <w:left w:val="single" w:sz="4" w:space="0" w:color="000000"/>
              <w:right w:val="single" w:sz="4" w:space="0" w:color="000000"/>
            </w:tcBorders>
            <w:shd w:val="clear" w:color="auto" w:fill="D2D2D2"/>
          </w:tcPr>
          <w:p>
            <w:pP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2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证券市场明显无关的除外</w:t>
            </w:r>
            <w:r>
              <w:rPr>
                <w:rFonts w:ascii="宋体" w:hAnsi="宋体" w:cs="宋体" w:eastAsia="宋体" w:hint="default"/>
                <w:spacing w:val="-90"/>
                <w:sz w:val="18"/>
                <w:szCs w:val="18"/>
              </w:rPr>
              <w:t>）</w:t>
            </w:r>
            <w:r>
              <w:rPr>
                <w:rFonts w:ascii="宋体" w:hAnsi="宋体" w:cs="宋体" w:eastAsia="宋体" w:hint="default"/>
                <w:sz w:val="18"/>
                <w:szCs w:val="18"/>
              </w:rPr>
              <w:t>、刑事处罚或者涉及与经济纠纷有关的</w:t>
            </w: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900" w:type="dxa"/>
            <w:vMerge/>
            <w:tcBorders>
              <w:left w:val="single" w:sz="4" w:space="0" w:color="000000"/>
              <w:right w:val="single" w:sz="4" w:space="0" w:color="000000"/>
            </w:tcBorders>
            <w:shd w:val="clear" w:color="auto" w:fill="D2D2D2"/>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c>
          <w:tcPr>
            <w:tcW w:w="522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重大民事诉讼或者仲裁。</w:t>
            </w:r>
          </w:p>
        </w:tc>
        <w:tc>
          <w:tcPr>
            <w:tcW w:w="900"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c>
          <w:tcPr>
            <w:tcW w:w="568"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900" w:type="dxa"/>
            <w:vMerge/>
            <w:tcBorders>
              <w:left w:val="single" w:sz="4" w:space="0" w:color="000000"/>
              <w:right w:val="single" w:sz="4" w:space="0" w:color="000000"/>
            </w:tcBorders>
            <w:shd w:val="clear" w:color="auto" w:fill="D2D2D2"/>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540" w:type="dxa"/>
            <w:tcBorders>
              <w:top w:val="single" w:sz="4" w:space="0" w:color="000000"/>
              <w:left w:val="single" w:sz="4" w:space="0" w:color="000000"/>
              <w:bottom w:val="nil" w:sz="6" w:space="0" w:color="auto"/>
              <w:right w:val="single" w:sz="4" w:space="0" w:color="000000"/>
            </w:tcBorders>
          </w:tcPr>
          <w:p>
            <w:pPr/>
          </w:p>
        </w:tc>
        <w:tc>
          <w:tcPr>
            <w:tcW w:w="52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方笑求、蓝顺明已经分别出具《关于内幕交易的承诺函</w:t>
            </w:r>
            <w:r>
              <w:rPr>
                <w:rFonts w:ascii="宋体" w:hAnsi="宋体" w:cs="宋体" w:eastAsia="宋体" w:hint="default"/>
                <w:spacing w:val="-90"/>
                <w:sz w:val="18"/>
                <w:szCs w:val="18"/>
              </w:rPr>
              <w:t>》</w:t>
            </w:r>
            <w:r>
              <w:rPr>
                <w:rFonts w:ascii="宋体" w:hAnsi="宋体" w:cs="宋体" w:eastAsia="宋体" w:hint="default"/>
                <w:sz w:val="18"/>
                <w:szCs w:val="18"/>
              </w:rPr>
              <w:t>，承诺方</w:t>
            </w:r>
          </w:p>
        </w:tc>
        <w:tc>
          <w:tcPr>
            <w:tcW w:w="900" w:type="dxa"/>
            <w:tcBorders>
              <w:top w:val="single" w:sz="4" w:space="0" w:color="000000"/>
              <w:left w:val="single" w:sz="4" w:space="0" w:color="000000"/>
              <w:bottom w:val="nil" w:sz="6" w:space="0" w:color="auto"/>
              <w:right w:val="single" w:sz="4" w:space="0" w:color="000000"/>
            </w:tcBorders>
          </w:tcPr>
          <w:p>
            <w:pPr/>
          </w:p>
        </w:tc>
        <w:tc>
          <w:tcPr>
            <w:tcW w:w="540" w:type="dxa"/>
            <w:tcBorders>
              <w:top w:val="single" w:sz="4" w:space="0" w:color="000000"/>
              <w:left w:val="single" w:sz="4" w:space="0" w:color="000000"/>
              <w:bottom w:val="nil" w:sz="6" w:space="0" w:color="auto"/>
              <w:right w:val="single" w:sz="4" w:space="0" w:color="000000"/>
            </w:tcBorders>
          </w:tcPr>
          <w:p>
            <w:pPr/>
          </w:p>
        </w:tc>
        <w:tc>
          <w:tcPr>
            <w:tcW w:w="56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900" w:type="dxa"/>
            <w:vMerge/>
            <w:tcBorders>
              <w:left w:val="single" w:sz="4" w:space="0" w:color="000000"/>
              <w:right w:val="single" w:sz="4" w:space="0" w:color="000000"/>
            </w:tcBorders>
            <w:shd w:val="clear" w:color="auto" w:fill="D2D2D2"/>
          </w:tcPr>
          <w:p>
            <w:pP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2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33"/>
              <w:jc w:val="left"/>
              <w:rPr>
                <w:rFonts w:ascii="宋体" w:hAnsi="宋体" w:cs="宋体" w:eastAsia="宋体" w:hint="default"/>
                <w:sz w:val="18"/>
                <w:szCs w:val="18"/>
              </w:rPr>
            </w:pPr>
            <w:r>
              <w:rPr>
                <w:rFonts w:ascii="宋体" w:hAnsi="宋体" w:cs="宋体" w:eastAsia="宋体" w:hint="default"/>
                <w:sz w:val="18"/>
                <w:szCs w:val="18"/>
              </w:rPr>
              <w:t>笑求、蓝顺明、湖南省方正达电子科技有限公司及其董事、监事、</w:t>
            </w: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00" w:type="dxa"/>
            <w:vMerge/>
            <w:tcBorders>
              <w:left w:val="single" w:sz="4" w:space="0" w:color="000000"/>
              <w:right w:val="single" w:sz="4" w:space="0" w:color="000000"/>
            </w:tcBorders>
            <w:shd w:val="clear" w:color="auto" w:fill="D2D2D2"/>
          </w:tcPr>
          <w:p>
            <w:pP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2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高级管理人员不存在泄露本次发行股份及支付现金购买资产事宜</w:t>
            </w: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900" w:type="dxa"/>
            <w:vMerge/>
            <w:tcBorders>
              <w:left w:val="single" w:sz="4" w:space="0" w:color="000000"/>
              <w:right w:val="single" w:sz="4" w:space="0" w:color="000000"/>
            </w:tcBorders>
            <w:shd w:val="clear" w:color="auto" w:fill="D2D2D2"/>
          </w:tcPr>
          <w:p>
            <w:pP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2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的相关内幕信息及利用该内幕信息进行内幕交易的情形，不存在因</w:t>
            </w: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2015</w:t>
            </w:r>
          </w:p>
        </w:tc>
        <w:tc>
          <w:tcPr>
            <w:tcW w:w="568"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900" w:type="dxa"/>
            <w:vMerge/>
            <w:tcBorders>
              <w:left w:val="single" w:sz="4" w:space="0" w:color="000000"/>
              <w:right w:val="single" w:sz="4" w:space="0" w:color="000000"/>
            </w:tcBorders>
            <w:shd w:val="clear" w:color="auto" w:fill="D2D2D2"/>
          </w:tcPr>
          <w:p>
            <w:pP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pacing w:val="-12"/>
                <w:sz w:val="18"/>
                <w:szCs w:val="18"/>
              </w:rPr>
              <w:t>方笑求、蓝</w:t>
            </w: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其它</w:t>
            </w:r>
          </w:p>
        </w:tc>
        <w:tc>
          <w:tcPr>
            <w:tcW w:w="522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涉嫌本次发行股份及支付现金购买资产事宜的内幕交易被立案调</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履行</w:t>
            </w:r>
          </w:p>
        </w:tc>
      </w:tr>
      <w:tr>
        <w:trPr>
          <w:trHeight w:val="312" w:hRule="exact"/>
        </w:trPr>
        <w:tc>
          <w:tcPr>
            <w:tcW w:w="900" w:type="dxa"/>
            <w:vMerge/>
            <w:tcBorders>
              <w:left w:val="single" w:sz="4" w:space="0" w:color="000000"/>
              <w:right w:val="single" w:sz="4" w:space="0" w:color="000000"/>
            </w:tcBorders>
            <w:shd w:val="clear" w:color="auto" w:fill="D2D2D2"/>
          </w:tcPr>
          <w:p>
            <w:pP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顺明</w:t>
            </w: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522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查或者立案侦查的情形，不存在因涉嫌本次发行股份及支付现金购</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完毕</w:t>
            </w:r>
          </w:p>
        </w:tc>
      </w:tr>
      <w:tr>
        <w:trPr>
          <w:trHeight w:val="307" w:hRule="exact"/>
        </w:trPr>
        <w:tc>
          <w:tcPr>
            <w:tcW w:w="900" w:type="dxa"/>
            <w:vMerge/>
            <w:tcBorders>
              <w:left w:val="single" w:sz="4" w:space="0" w:color="000000"/>
              <w:right w:val="single" w:sz="4" w:space="0" w:color="000000"/>
            </w:tcBorders>
            <w:shd w:val="clear" w:color="auto" w:fill="D2D2D2"/>
          </w:tcPr>
          <w:p>
            <w:pP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22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买资产事宜的内幕交易被中国证监会作出行政处罚或者被司法机</w:t>
            </w: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8"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900" w:type="dxa"/>
            <w:vMerge/>
            <w:tcBorders>
              <w:left w:val="single" w:sz="4" w:space="0" w:color="000000"/>
              <w:right w:val="single" w:sz="4" w:space="0" w:color="000000"/>
            </w:tcBorders>
            <w:shd w:val="clear" w:color="auto" w:fill="D2D2D2"/>
          </w:tcPr>
          <w:p>
            <w:pP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2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关依法追究刑事责任的情形，不存在《关于加强与上市公司发行股</w:t>
            </w: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900" w:type="dxa"/>
            <w:vMerge/>
            <w:tcBorders>
              <w:left w:val="single" w:sz="4" w:space="0" w:color="000000"/>
              <w:right w:val="single" w:sz="4" w:space="0" w:color="000000"/>
            </w:tcBorders>
            <w:shd w:val="clear" w:color="auto" w:fill="D2D2D2"/>
          </w:tcPr>
          <w:p>
            <w:pP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2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份购买资产相关股票异常交易监管的暂行规定》第十三条规定的不</w:t>
            </w: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900" w:type="dxa"/>
            <w:vMerge/>
            <w:tcBorders>
              <w:left w:val="single" w:sz="4" w:space="0" w:color="000000"/>
              <w:right w:val="single" w:sz="4" w:space="0" w:color="000000"/>
            </w:tcBorders>
            <w:shd w:val="clear" w:color="auto" w:fill="D2D2D2"/>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c>
          <w:tcPr>
            <w:tcW w:w="522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得参与上市公司重大资产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日重组的情形。</w:t>
            </w:r>
          </w:p>
        </w:tc>
        <w:tc>
          <w:tcPr>
            <w:tcW w:w="900"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c>
          <w:tcPr>
            <w:tcW w:w="568"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900" w:type="dxa"/>
            <w:vMerge/>
            <w:tcBorders>
              <w:left w:val="single" w:sz="4" w:space="0" w:color="000000"/>
              <w:right w:val="single" w:sz="4" w:space="0" w:color="000000"/>
            </w:tcBorders>
            <w:shd w:val="clear" w:color="auto" w:fill="D2D2D2"/>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540" w:type="dxa"/>
            <w:tcBorders>
              <w:top w:val="single" w:sz="4" w:space="0" w:color="000000"/>
              <w:left w:val="single" w:sz="4" w:space="0" w:color="000000"/>
              <w:bottom w:val="nil" w:sz="6" w:space="0" w:color="auto"/>
              <w:right w:val="single" w:sz="4" w:space="0" w:color="000000"/>
            </w:tcBorders>
          </w:tcPr>
          <w:p>
            <w:pPr/>
          </w:p>
        </w:tc>
        <w:tc>
          <w:tcPr>
            <w:tcW w:w="52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方笑求、蓝顺明已经分别出具《关于资产权属的承诺函</w:t>
            </w:r>
            <w:r>
              <w:rPr>
                <w:rFonts w:ascii="宋体" w:hAnsi="宋体" w:cs="宋体" w:eastAsia="宋体" w:hint="default"/>
                <w:spacing w:val="-90"/>
                <w:sz w:val="18"/>
                <w:szCs w:val="18"/>
              </w:rPr>
              <w:t>》</w:t>
            </w:r>
            <w:r>
              <w:rPr>
                <w:rFonts w:ascii="宋体" w:hAnsi="宋体" w:cs="宋体" w:eastAsia="宋体" w:hint="default"/>
                <w:sz w:val="18"/>
                <w:szCs w:val="18"/>
              </w:rPr>
              <w:t>，承诺其</w:t>
            </w:r>
          </w:p>
        </w:tc>
        <w:tc>
          <w:tcPr>
            <w:tcW w:w="900" w:type="dxa"/>
            <w:tcBorders>
              <w:top w:val="single" w:sz="4" w:space="0" w:color="000000"/>
              <w:left w:val="single" w:sz="4" w:space="0" w:color="000000"/>
              <w:bottom w:val="nil" w:sz="6" w:space="0" w:color="auto"/>
              <w:right w:val="single" w:sz="4" w:space="0" w:color="000000"/>
            </w:tcBorders>
          </w:tcPr>
          <w:p>
            <w:pPr/>
          </w:p>
        </w:tc>
        <w:tc>
          <w:tcPr>
            <w:tcW w:w="540" w:type="dxa"/>
            <w:tcBorders>
              <w:top w:val="single" w:sz="4" w:space="0" w:color="000000"/>
              <w:left w:val="single" w:sz="4" w:space="0" w:color="000000"/>
              <w:bottom w:val="nil" w:sz="6" w:space="0" w:color="auto"/>
              <w:right w:val="single" w:sz="4" w:space="0" w:color="000000"/>
            </w:tcBorders>
          </w:tcPr>
          <w:p>
            <w:pPr/>
          </w:p>
        </w:tc>
        <w:tc>
          <w:tcPr>
            <w:tcW w:w="56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900" w:type="dxa"/>
            <w:vMerge/>
            <w:tcBorders>
              <w:left w:val="single" w:sz="4" w:space="0" w:color="000000"/>
              <w:right w:val="single" w:sz="4" w:space="0" w:color="000000"/>
            </w:tcBorders>
            <w:shd w:val="clear" w:color="auto" w:fill="D2D2D2"/>
          </w:tcPr>
          <w:p>
            <w:pP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2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已经依法履行对湖南方正达的出资义务，不存在任何虚假出资、延</w:t>
            </w: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900" w:type="dxa"/>
            <w:vMerge/>
            <w:tcBorders>
              <w:left w:val="single" w:sz="4" w:space="0" w:color="000000"/>
              <w:right w:val="single" w:sz="4" w:space="0" w:color="000000"/>
            </w:tcBorders>
            <w:shd w:val="clear" w:color="auto" w:fill="D2D2D2"/>
          </w:tcPr>
          <w:p>
            <w:pP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2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期出资、抽逃出资等违反其作为股东所应承担的义务及责任的行</w:t>
            </w: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2015</w:t>
            </w:r>
          </w:p>
        </w:tc>
        <w:tc>
          <w:tcPr>
            <w:tcW w:w="568"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900" w:type="dxa"/>
            <w:vMerge/>
            <w:tcBorders>
              <w:left w:val="single" w:sz="4" w:space="0" w:color="000000"/>
              <w:right w:val="single" w:sz="4" w:space="0" w:color="000000"/>
            </w:tcBorders>
            <w:shd w:val="clear" w:color="auto" w:fill="D2D2D2"/>
          </w:tcPr>
          <w:p>
            <w:pP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pacing w:val="-12"/>
                <w:sz w:val="18"/>
                <w:szCs w:val="18"/>
              </w:rPr>
              <w:t>方笑求、蓝</w:t>
            </w: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其它</w:t>
            </w:r>
          </w:p>
        </w:tc>
        <w:tc>
          <w:tcPr>
            <w:tcW w:w="522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pacing w:val="-3"/>
                <w:sz w:val="18"/>
                <w:szCs w:val="18"/>
              </w:rPr>
              <w:t>为，不存在可能影响湖南方正达合法存续的情况。方笑求、蓝顺明</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履行</w:t>
            </w:r>
          </w:p>
        </w:tc>
      </w:tr>
      <w:tr>
        <w:trPr>
          <w:trHeight w:val="312" w:hRule="exact"/>
        </w:trPr>
        <w:tc>
          <w:tcPr>
            <w:tcW w:w="900" w:type="dxa"/>
            <w:vMerge/>
            <w:tcBorders>
              <w:left w:val="single" w:sz="4" w:space="0" w:color="000000"/>
              <w:right w:val="single" w:sz="4" w:space="0" w:color="000000"/>
            </w:tcBorders>
            <w:shd w:val="clear" w:color="auto" w:fill="D2D2D2"/>
          </w:tcPr>
          <w:p>
            <w:pP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顺明</w:t>
            </w: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522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持有的湖南方正达的股权为方笑求、蓝顺明实际合法拥有，不存在</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完毕</w:t>
            </w:r>
          </w:p>
        </w:tc>
      </w:tr>
      <w:tr>
        <w:trPr>
          <w:trHeight w:val="307" w:hRule="exact"/>
        </w:trPr>
        <w:tc>
          <w:tcPr>
            <w:tcW w:w="900" w:type="dxa"/>
            <w:vMerge/>
            <w:tcBorders>
              <w:left w:val="single" w:sz="4" w:space="0" w:color="000000"/>
              <w:right w:val="single" w:sz="4" w:space="0" w:color="000000"/>
            </w:tcBorders>
            <w:shd w:val="clear" w:color="auto" w:fill="D2D2D2"/>
          </w:tcPr>
          <w:p>
            <w:pP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22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5"/>
                <w:sz w:val="18"/>
                <w:szCs w:val="18"/>
              </w:rPr>
              <w:t>权属纠纷，不存在信托、委托持股或者类似安排，</w:t>
            </w: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00" w:type="dxa"/>
            <w:vMerge/>
            <w:tcBorders>
              <w:left w:val="single" w:sz="4" w:space="0" w:color="000000"/>
              <w:right w:val="single" w:sz="4" w:space="0" w:color="000000"/>
            </w:tcBorders>
            <w:shd w:val="clear" w:color="auto" w:fill="D2D2D2"/>
          </w:tcPr>
          <w:p>
            <w:pP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2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限制转让的承诺或安排，亦不存在质押、冻结、查封、财产保全或</w:t>
            </w: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900" w:type="dxa"/>
            <w:vMerge/>
            <w:tcBorders>
              <w:left w:val="single" w:sz="4" w:space="0" w:color="000000"/>
              <w:bottom w:val="single" w:sz="4" w:space="0" w:color="000000"/>
              <w:right w:val="single" w:sz="4" w:space="0" w:color="000000"/>
            </w:tcBorders>
            <w:shd w:val="clear" w:color="auto" w:fill="D2D2D2"/>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c>
          <w:tcPr>
            <w:tcW w:w="522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其他权利限制。</w:t>
            </w:r>
          </w:p>
        </w:tc>
        <w:tc>
          <w:tcPr>
            <w:tcW w:w="900"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c>
          <w:tcPr>
            <w:tcW w:w="56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35pt;margin-top:406.999969pt;width:44.55pt;height:23.45pt;mso-position-horizontal-relative:page;mso-position-vertical-relative:page;z-index:-1125232" coordorigin="8700,8140" coordsize="891,469">
            <v:shape style="position:absolute;left:8700;top:8140;width:891;height:469" coordorigin="8700,8140" coordsize="891,469" path="m8700,8608l9590,8608,9590,8140,8700,8140,8700,8608xe" filled="true" fillcolor="#ffffff" stroked="false">
              <v:path arrowok="t"/>
              <v:fill type="solid"/>
            </v:shape>
            <w10:wrap type="none"/>
          </v:group>
        </w:pict>
      </w:r>
      <w:r>
        <w:rPr/>
        <w:pict>
          <v:group style="position:absolute;margin-left:435pt;margin-top:532.539978pt;width:44.55pt;height:7.8pt;mso-position-horizontal-relative:page;mso-position-vertical-relative:page;z-index:-1125208" coordorigin="8700,10651" coordsize="891,156">
            <v:shape style="position:absolute;left:8700;top:10651;width:891;height:156" coordorigin="8700,10651" coordsize="891,156" path="m8700,10807l9590,10807,9590,10651,8700,10651,8700,10807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00"/>
        <w:gridCol w:w="900"/>
        <w:gridCol w:w="540"/>
        <w:gridCol w:w="5221"/>
        <w:gridCol w:w="900"/>
        <w:gridCol w:w="540"/>
        <w:gridCol w:w="568"/>
      </w:tblGrid>
      <w:tr>
        <w:trPr>
          <w:trHeight w:val="1026" w:hRule="exact"/>
        </w:trPr>
        <w:tc>
          <w:tcPr>
            <w:tcW w:w="900" w:type="dxa"/>
            <w:vMerge w:val="restart"/>
            <w:tcBorders>
              <w:top w:val="single" w:sz="4" w:space="0" w:color="000000"/>
              <w:left w:val="single" w:sz="4" w:space="0" w:color="000000"/>
              <w:right w:val="single" w:sz="4" w:space="0" w:color="000000"/>
            </w:tcBorders>
            <w:shd w:val="clear" w:color="auto" w:fill="D2D2D2"/>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12"/>
                <w:sz w:val="18"/>
                <w:szCs w:val="18"/>
              </w:rPr>
              <w:t>方笑求、蓝</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顺明</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45"/>
              <w:jc w:val="left"/>
              <w:rPr>
                <w:rFonts w:ascii="宋体" w:hAnsi="宋体" w:cs="宋体" w:eastAsia="宋体" w:hint="default"/>
                <w:sz w:val="18"/>
                <w:szCs w:val="18"/>
              </w:rPr>
            </w:pPr>
            <w:r>
              <w:rPr>
                <w:rFonts w:ascii="宋体" w:hAnsi="宋体" w:cs="宋体" w:eastAsia="宋体" w:hint="default"/>
                <w:sz w:val="18"/>
                <w:szCs w:val="18"/>
              </w:rPr>
              <w:t>其它 承诺</w:t>
            </w:r>
          </w:p>
        </w:tc>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为了保证公司及标的资产的独立性，方笑求、蓝顺明已经分别出具</w:t>
            </w:r>
          </w:p>
          <w:p>
            <w:pPr>
              <w:pStyle w:val="TableParagraph"/>
              <w:spacing w:line="319" w:lineRule="auto" w:before="76"/>
              <w:ind w:left="22" w:right="56"/>
              <w:jc w:val="left"/>
              <w:rPr>
                <w:rFonts w:ascii="宋体" w:hAnsi="宋体" w:cs="宋体" w:eastAsia="宋体" w:hint="default"/>
                <w:sz w:val="18"/>
                <w:szCs w:val="18"/>
              </w:rPr>
            </w:pPr>
            <w:r>
              <w:rPr>
                <w:rFonts w:ascii="宋体" w:hAnsi="宋体" w:cs="宋体" w:eastAsia="宋体" w:hint="default"/>
                <w:spacing w:val="-4"/>
                <w:sz w:val="18"/>
                <w:szCs w:val="18"/>
              </w:rPr>
              <w:t>《关于保证独立性的承诺函》，承诺在本次交易完成后，保持公司</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和湖南方正达的人员、机构、资产、业务、财务的独立性。</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45"/>
              <w:jc w:val="left"/>
              <w:rPr>
                <w:rFonts w:ascii="宋体" w:hAnsi="宋体" w:cs="宋体" w:eastAsia="宋体" w:hint="default"/>
                <w:sz w:val="18"/>
                <w:szCs w:val="18"/>
              </w:rPr>
            </w:pPr>
            <w:r>
              <w:rPr>
                <w:rFonts w:ascii="宋体" w:hAnsi="宋体" w:cs="宋体" w:eastAsia="宋体" w:hint="default"/>
                <w:sz w:val="18"/>
                <w:szCs w:val="18"/>
              </w:rPr>
              <w:t>长期 有效</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73"/>
              <w:jc w:val="left"/>
              <w:rPr>
                <w:rFonts w:ascii="宋体" w:hAnsi="宋体" w:cs="宋体" w:eastAsia="宋体" w:hint="default"/>
                <w:sz w:val="18"/>
                <w:szCs w:val="18"/>
              </w:rPr>
            </w:pPr>
            <w:r>
              <w:rPr>
                <w:rFonts w:ascii="宋体" w:hAnsi="宋体" w:cs="宋体" w:eastAsia="宋体" w:hint="default"/>
                <w:sz w:val="18"/>
                <w:szCs w:val="18"/>
              </w:rPr>
              <w:t>正常 履行</w:t>
            </w:r>
          </w:p>
        </w:tc>
      </w:tr>
      <w:tr>
        <w:trPr>
          <w:trHeight w:val="1026" w:hRule="exact"/>
        </w:trPr>
        <w:tc>
          <w:tcPr>
            <w:tcW w:w="900" w:type="dxa"/>
            <w:vMerge/>
            <w:tcBorders>
              <w:left w:val="single" w:sz="4" w:space="0" w:color="000000"/>
              <w:right w:val="single" w:sz="4" w:space="0" w:color="000000"/>
            </w:tcBorders>
            <w:shd w:val="clear" w:color="auto" w:fill="D2D2D2"/>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145"/>
              <w:jc w:val="left"/>
              <w:rPr>
                <w:rFonts w:ascii="宋体" w:hAnsi="宋体" w:cs="宋体" w:eastAsia="宋体" w:hint="default"/>
                <w:sz w:val="18"/>
                <w:szCs w:val="18"/>
              </w:rPr>
            </w:pPr>
            <w:r>
              <w:rPr>
                <w:rFonts w:ascii="宋体" w:hAnsi="宋体" w:cs="宋体" w:eastAsia="宋体" w:hint="default"/>
                <w:sz w:val="18"/>
                <w:szCs w:val="18"/>
              </w:rPr>
              <w:t>其它 承诺</w:t>
            </w:r>
          </w:p>
        </w:tc>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both"/>
              <w:rPr>
                <w:rFonts w:ascii="宋体" w:hAnsi="宋体" w:cs="宋体" w:eastAsia="宋体" w:hint="default"/>
                <w:sz w:val="18"/>
                <w:szCs w:val="18"/>
              </w:rPr>
            </w:pPr>
            <w:r>
              <w:rPr>
                <w:rFonts w:ascii="宋体" w:hAnsi="宋体" w:cs="宋体" w:eastAsia="宋体" w:hint="default"/>
                <w:spacing w:val="-2"/>
                <w:sz w:val="18"/>
                <w:szCs w:val="18"/>
              </w:rPr>
              <w:t>本公司实际控制人顾永德先生已经出具承诺函，承诺在本次交易完</w:t>
            </w:r>
            <w:r>
              <w:rPr>
                <w:rFonts w:ascii="宋体" w:hAnsi="宋体" w:cs="宋体" w:eastAsia="宋体" w:hint="default"/>
                <w:sz w:val="18"/>
                <w:szCs w:val="18"/>
              </w:rPr>
              <w:t> </w:t>
            </w:r>
            <w:r>
              <w:rPr>
                <w:rFonts w:ascii="宋体" w:hAnsi="宋体" w:cs="宋体" w:eastAsia="宋体" w:hint="default"/>
                <w:spacing w:val="-2"/>
                <w:sz w:val="18"/>
                <w:szCs w:val="18"/>
              </w:rPr>
              <w:t>成后，保持公司和湖南方正达的人员、机构、资产、业务、财务的</w:t>
            </w:r>
            <w:r>
              <w:rPr>
                <w:rFonts w:ascii="宋体" w:hAnsi="宋体" w:cs="宋体" w:eastAsia="宋体" w:hint="default"/>
                <w:sz w:val="18"/>
                <w:szCs w:val="18"/>
              </w:rPr>
              <w:t> 独立性。</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145"/>
              <w:jc w:val="left"/>
              <w:rPr>
                <w:rFonts w:ascii="宋体" w:hAnsi="宋体" w:cs="宋体" w:eastAsia="宋体" w:hint="default"/>
                <w:sz w:val="18"/>
                <w:szCs w:val="18"/>
              </w:rPr>
            </w:pPr>
            <w:r>
              <w:rPr>
                <w:rFonts w:ascii="宋体" w:hAnsi="宋体" w:cs="宋体" w:eastAsia="宋体" w:hint="default"/>
                <w:sz w:val="18"/>
                <w:szCs w:val="18"/>
              </w:rPr>
              <w:t>长期 有效</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173"/>
              <w:jc w:val="left"/>
              <w:rPr>
                <w:rFonts w:ascii="宋体" w:hAnsi="宋体" w:cs="宋体" w:eastAsia="宋体" w:hint="default"/>
                <w:sz w:val="18"/>
                <w:szCs w:val="18"/>
              </w:rPr>
            </w:pPr>
            <w:r>
              <w:rPr>
                <w:rFonts w:ascii="宋体" w:hAnsi="宋体" w:cs="宋体" w:eastAsia="宋体" w:hint="default"/>
                <w:sz w:val="18"/>
                <w:szCs w:val="18"/>
              </w:rPr>
              <w:t>正常 履行</w:t>
            </w:r>
          </w:p>
        </w:tc>
      </w:tr>
      <w:tr>
        <w:trPr>
          <w:trHeight w:val="1650" w:hRule="exact"/>
        </w:trPr>
        <w:tc>
          <w:tcPr>
            <w:tcW w:w="900" w:type="dxa"/>
            <w:vMerge/>
            <w:tcBorders>
              <w:left w:val="single" w:sz="4" w:space="0" w:color="000000"/>
              <w:right w:val="single" w:sz="4" w:space="0" w:color="000000"/>
            </w:tcBorders>
            <w:shd w:val="clear" w:color="auto" w:fill="D2D2D2"/>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21"/>
              <w:jc w:val="left"/>
              <w:rPr>
                <w:rFonts w:ascii="宋体" w:hAnsi="宋体" w:cs="宋体" w:eastAsia="宋体" w:hint="default"/>
                <w:sz w:val="18"/>
                <w:szCs w:val="18"/>
              </w:rPr>
            </w:pPr>
            <w:r>
              <w:rPr>
                <w:rFonts w:ascii="宋体" w:hAnsi="宋体" w:cs="宋体" w:eastAsia="宋体" w:hint="default"/>
                <w:spacing w:val="-12"/>
                <w:sz w:val="18"/>
                <w:szCs w:val="18"/>
              </w:rPr>
              <w:t>方笑求、蓝</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顺明</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45"/>
              <w:jc w:val="left"/>
              <w:rPr>
                <w:rFonts w:ascii="宋体" w:hAnsi="宋体" w:cs="宋体" w:eastAsia="宋体" w:hint="default"/>
                <w:sz w:val="18"/>
                <w:szCs w:val="18"/>
              </w:rPr>
            </w:pPr>
            <w:r>
              <w:rPr>
                <w:rFonts w:ascii="宋体" w:hAnsi="宋体" w:cs="宋体" w:eastAsia="宋体" w:hint="default"/>
                <w:sz w:val="18"/>
                <w:szCs w:val="18"/>
              </w:rPr>
              <w:t>其它 承诺</w:t>
            </w:r>
          </w:p>
        </w:tc>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both"/>
              <w:rPr>
                <w:rFonts w:ascii="宋体" w:hAnsi="宋体" w:cs="宋体" w:eastAsia="宋体" w:hint="default"/>
                <w:sz w:val="18"/>
                <w:szCs w:val="18"/>
              </w:rPr>
            </w:pPr>
            <w:r>
              <w:rPr>
                <w:rFonts w:ascii="宋体" w:hAnsi="宋体" w:cs="宋体" w:eastAsia="宋体" w:hint="default"/>
                <w:spacing w:val="-3"/>
                <w:sz w:val="18"/>
                <w:szCs w:val="18"/>
              </w:rPr>
              <w:t>方笑求、蓝顺明已经分别出具《关于社会保险、住房公积金补缴的</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4"/>
                <w:sz w:val="18"/>
                <w:szCs w:val="18"/>
              </w:rPr>
              <w:t>承诺函》，承诺如下：若湖南方正达及其子公司因未为其员工足额</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缴纳社会保险、住房公积金而被政府部门要求补缴社会保险、住房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公积金或被政府部门处以罚款，方笑求、蓝顺明将全额补偿湖南方</w:t>
            </w:r>
            <w:r>
              <w:rPr>
                <w:rFonts w:ascii="宋体" w:hAnsi="宋体" w:cs="宋体" w:eastAsia="宋体" w:hint="default"/>
                <w:sz w:val="18"/>
                <w:szCs w:val="18"/>
              </w:rPr>
              <w:t> 正达及其子公司补缴的社会保险、住房公积金及缴纳的罚款。</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45"/>
              <w:jc w:val="left"/>
              <w:rPr>
                <w:rFonts w:ascii="宋体" w:hAnsi="宋体" w:cs="宋体" w:eastAsia="宋体" w:hint="default"/>
                <w:sz w:val="18"/>
                <w:szCs w:val="18"/>
              </w:rPr>
            </w:pPr>
            <w:r>
              <w:rPr>
                <w:rFonts w:ascii="宋体" w:hAnsi="宋体" w:cs="宋体" w:eastAsia="宋体" w:hint="default"/>
                <w:sz w:val="18"/>
                <w:szCs w:val="18"/>
              </w:rPr>
              <w:t>长期 有效</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73"/>
              <w:jc w:val="left"/>
              <w:rPr>
                <w:rFonts w:ascii="宋体" w:hAnsi="宋体" w:cs="宋体" w:eastAsia="宋体" w:hint="default"/>
                <w:sz w:val="18"/>
                <w:szCs w:val="18"/>
              </w:rPr>
            </w:pPr>
            <w:r>
              <w:rPr>
                <w:rFonts w:ascii="宋体" w:hAnsi="宋体" w:cs="宋体" w:eastAsia="宋体" w:hint="default"/>
                <w:sz w:val="18"/>
                <w:szCs w:val="18"/>
              </w:rPr>
              <w:t>正常 履行</w:t>
            </w:r>
          </w:p>
        </w:tc>
      </w:tr>
      <w:tr>
        <w:trPr>
          <w:trHeight w:val="1650" w:hRule="exact"/>
        </w:trPr>
        <w:tc>
          <w:tcPr>
            <w:tcW w:w="900" w:type="dxa"/>
            <w:vMerge/>
            <w:tcBorders>
              <w:left w:val="single" w:sz="4" w:space="0" w:color="000000"/>
              <w:bottom w:val="single" w:sz="4" w:space="0" w:color="000000"/>
              <w:right w:val="single" w:sz="4" w:space="0" w:color="000000"/>
            </w:tcBorders>
            <w:shd w:val="clear" w:color="auto" w:fill="D2D2D2"/>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21"/>
              <w:jc w:val="left"/>
              <w:rPr>
                <w:rFonts w:ascii="宋体" w:hAnsi="宋体" w:cs="宋体" w:eastAsia="宋体" w:hint="default"/>
                <w:sz w:val="18"/>
                <w:szCs w:val="18"/>
              </w:rPr>
            </w:pPr>
            <w:r>
              <w:rPr>
                <w:rFonts w:ascii="宋体" w:hAnsi="宋体" w:cs="宋体" w:eastAsia="宋体" w:hint="default"/>
                <w:spacing w:val="-12"/>
                <w:sz w:val="18"/>
                <w:szCs w:val="18"/>
              </w:rPr>
              <w:t>方笑求、蓝</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顺明</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45"/>
              <w:jc w:val="left"/>
              <w:rPr>
                <w:rFonts w:ascii="宋体" w:hAnsi="宋体" w:cs="宋体" w:eastAsia="宋体" w:hint="default"/>
                <w:sz w:val="18"/>
                <w:szCs w:val="18"/>
              </w:rPr>
            </w:pPr>
            <w:r>
              <w:rPr>
                <w:rFonts w:ascii="宋体" w:hAnsi="宋体" w:cs="宋体" w:eastAsia="宋体" w:hint="default"/>
                <w:sz w:val="18"/>
                <w:szCs w:val="18"/>
              </w:rPr>
              <w:t>其它 承诺</w:t>
            </w:r>
          </w:p>
        </w:tc>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both"/>
              <w:rPr>
                <w:rFonts w:ascii="宋体" w:hAnsi="宋体" w:cs="宋体" w:eastAsia="宋体" w:hint="default"/>
                <w:sz w:val="18"/>
                <w:szCs w:val="18"/>
              </w:rPr>
            </w:pPr>
            <w:r>
              <w:rPr>
                <w:rFonts w:ascii="宋体" w:hAnsi="宋体" w:cs="宋体" w:eastAsia="宋体" w:hint="default"/>
                <w:spacing w:val="-4"/>
                <w:sz w:val="18"/>
                <w:szCs w:val="18"/>
              </w:rPr>
              <w:t>方笑求、蓝顺明已经分别出具《关于税收追缴补偿的承诺函》，承</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诺如下：若湖南方正达因不符合高新技术企业资质条件而被税务部</w:t>
            </w:r>
            <w:r>
              <w:rPr>
                <w:rFonts w:ascii="宋体" w:hAnsi="宋体" w:cs="宋体" w:eastAsia="宋体" w:hint="default"/>
                <w:sz w:val="18"/>
                <w:szCs w:val="18"/>
              </w:rPr>
              <w:t> </w:t>
            </w:r>
            <w:r>
              <w:rPr>
                <w:rFonts w:ascii="宋体" w:hAnsi="宋体" w:cs="宋体" w:eastAsia="宋体" w:hint="default"/>
                <w:spacing w:val="-3"/>
                <w:sz w:val="18"/>
                <w:szCs w:val="18"/>
              </w:rPr>
              <w:t>门追缴所享受的税收优惠或处以罚款、缴纳滞纳金，方笑求、蓝顺</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明将全额补偿湖南方正达被追缴的企业所得税款或缴纳的罚款、滞</w:t>
            </w:r>
            <w:r>
              <w:rPr>
                <w:rFonts w:ascii="宋体" w:hAnsi="宋体" w:cs="宋体" w:eastAsia="宋体" w:hint="default"/>
                <w:sz w:val="18"/>
                <w:szCs w:val="18"/>
              </w:rPr>
              <w:t> 纳金。</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45"/>
              <w:jc w:val="left"/>
              <w:rPr>
                <w:rFonts w:ascii="宋体" w:hAnsi="宋体" w:cs="宋体" w:eastAsia="宋体" w:hint="default"/>
                <w:sz w:val="18"/>
                <w:szCs w:val="18"/>
              </w:rPr>
            </w:pPr>
            <w:r>
              <w:rPr>
                <w:rFonts w:ascii="宋体" w:hAnsi="宋体" w:cs="宋体" w:eastAsia="宋体" w:hint="default"/>
                <w:sz w:val="18"/>
                <w:szCs w:val="18"/>
              </w:rPr>
              <w:t>长期 有效</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73"/>
              <w:jc w:val="left"/>
              <w:rPr>
                <w:rFonts w:ascii="宋体" w:hAnsi="宋体" w:cs="宋体" w:eastAsia="宋体" w:hint="default"/>
                <w:sz w:val="18"/>
                <w:szCs w:val="18"/>
              </w:rPr>
            </w:pPr>
            <w:r>
              <w:rPr>
                <w:rFonts w:ascii="宋体" w:hAnsi="宋体" w:cs="宋体" w:eastAsia="宋体" w:hint="default"/>
                <w:sz w:val="18"/>
                <w:szCs w:val="18"/>
              </w:rPr>
              <w:t>正常 履行</w:t>
            </w:r>
          </w:p>
        </w:tc>
      </w:tr>
      <w:tr>
        <w:trPr>
          <w:trHeight w:val="1338" w:hRule="exact"/>
        </w:trPr>
        <w:tc>
          <w:tcPr>
            <w:tcW w:w="9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319" w:lineRule="auto"/>
              <w:ind w:left="22" w:right="147"/>
              <w:jc w:val="both"/>
              <w:rPr>
                <w:rFonts w:ascii="宋体" w:hAnsi="宋体" w:cs="宋体" w:eastAsia="宋体" w:hint="default"/>
                <w:sz w:val="18"/>
                <w:szCs w:val="18"/>
              </w:rPr>
            </w:pPr>
            <w:r>
              <w:rPr>
                <w:rFonts w:ascii="宋体" w:hAnsi="宋体" w:cs="宋体" w:eastAsia="宋体" w:hint="default"/>
                <w:sz w:val="18"/>
                <w:szCs w:val="18"/>
              </w:rPr>
              <w:t>首次公开 发行或再 融资时所 作承诺</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45"/>
              <w:jc w:val="both"/>
              <w:rPr>
                <w:rFonts w:ascii="宋体" w:hAnsi="宋体" w:cs="宋体" w:eastAsia="宋体" w:hint="default"/>
                <w:sz w:val="18"/>
                <w:szCs w:val="18"/>
              </w:rPr>
            </w:pPr>
            <w:r>
              <w:rPr>
                <w:rFonts w:ascii="宋体" w:hAnsi="宋体" w:cs="宋体" w:eastAsia="宋体" w:hint="default"/>
                <w:sz w:val="18"/>
                <w:szCs w:val="18"/>
              </w:rPr>
              <w:t>股份 限售 承诺</w:t>
            </w:r>
          </w:p>
        </w:tc>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2"/>
              <w:jc w:val="both"/>
              <w:rPr>
                <w:rFonts w:ascii="宋体" w:hAnsi="宋体" w:cs="宋体" w:eastAsia="宋体" w:hint="default"/>
                <w:sz w:val="18"/>
                <w:szCs w:val="18"/>
              </w:rPr>
            </w:pPr>
            <w:r>
              <w:rPr>
                <w:rFonts w:ascii="宋体" w:hAnsi="宋体" w:cs="宋体" w:eastAsia="宋体" w:hint="default"/>
                <w:spacing w:val="-2"/>
                <w:sz w:val="18"/>
                <w:szCs w:val="18"/>
              </w:rPr>
              <w:t>本公司实际控制人及控股股东顾永德承诺，自公司股票在深圳证券</w:t>
            </w:r>
            <w:r>
              <w:rPr>
                <w:rFonts w:ascii="宋体" w:hAnsi="宋体" w:cs="宋体" w:eastAsia="宋体" w:hint="default"/>
                <w:sz w:val="18"/>
                <w:szCs w:val="18"/>
              </w:rPr>
              <w:t> 交易所上市之日起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个月内，不转让或者委托他人管理本人直接 </w:t>
            </w:r>
            <w:r>
              <w:rPr>
                <w:rFonts w:ascii="宋体" w:hAnsi="宋体" w:cs="宋体" w:eastAsia="宋体" w:hint="default"/>
                <w:spacing w:val="-2"/>
                <w:sz w:val="18"/>
                <w:szCs w:val="18"/>
              </w:rPr>
              <w:t>或者间接持有的公司公开发行股票前已发行的股份，也不由公司回</w:t>
            </w:r>
            <w:r>
              <w:rPr>
                <w:rFonts w:ascii="宋体" w:hAnsi="宋体" w:cs="宋体" w:eastAsia="宋体" w:hint="default"/>
                <w:sz w:val="18"/>
                <w:szCs w:val="18"/>
              </w:rPr>
              <w:t> 购该部分股份。</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03-16</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73"/>
              <w:jc w:val="left"/>
              <w:rPr>
                <w:rFonts w:ascii="宋体" w:hAnsi="宋体" w:cs="宋体" w:eastAsia="宋体" w:hint="default"/>
                <w:sz w:val="18"/>
                <w:szCs w:val="18"/>
              </w:rPr>
            </w:pPr>
            <w:r>
              <w:rPr>
                <w:rFonts w:ascii="宋体" w:hAnsi="宋体" w:cs="宋体" w:eastAsia="宋体" w:hint="default"/>
                <w:sz w:val="18"/>
                <w:szCs w:val="18"/>
              </w:rPr>
              <w:t>履行 完毕</w:t>
            </w:r>
          </w:p>
        </w:tc>
      </w:tr>
      <w:tr>
        <w:trPr>
          <w:trHeight w:val="1650" w:hRule="exact"/>
        </w:trPr>
        <w:tc>
          <w:tcPr>
            <w:tcW w:w="900" w:type="dxa"/>
            <w:vMerge/>
            <w:tcBorders>
              <w:left w:val="single" w:sz="4" w:space="0" w:color="000000"/>
              <w:right w:val="single" w:sz="4" w:space="0" w:color="000000"/>
            </w:tcBorders>
            <w:shd w:val="clear" w:color="auto" w:fill="D2D2D2"/>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45"/>
              <w:jc w:val="both"/>
              <w:rPr>
                <w:rFonts w:ascii="宋体" w:hAnsi="宋体" w:cs="宋体" w:eastAsia="宋体" w:hint="default"/>
                <w:sz w:val="18"/>
                <w:szCs w:val="18"/>
              </w:rPr>
            </w:pPr>
            <w:r>
              <w:rPr>
                <w:rFonts w:ascii="宋体" w:hAnsi="宋体" w:cs="宋体" w:eastAsia="宋体" w:hint="default"/>
                <w:sz w:val="18"/>
                <w:szCs w:val="18"/>
              </w:rPr>
              <w:t>股份 限售 承诺</w:t>
            </w:r>
          </w:p>
        </w:tc>
        <w:tc>
          <w:tcPr>
            <w:tcW w:w="5221" w:type="dxa"/>
            <w:tcBorders>
              <w:top w:val="single" w:sz="4" w:space="0" w:color="000000"/>
              <w:left w:val="single" w:sz="4" w:space="0" w:color="000000"/>
              <w:bottom w:val="single" w:sz="4" w:space="0" w:color="000000"/>
              <w:right w:val="single" w:sz="13" w:space="0" w:color="FFFFFF"/>
            </w:tcBorders>
          </w:tcPr>
          <w:p>
            <w:pPr>
              <w:pStyle w:val="TableParagraph"/>
              <w:spacing w:line="30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作为公司的董事，本人所持公司股份在上述锁定期限届满后，在任 职期间每年转让公司股份的比例不超过所持公司股份总数的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 </w:t>
            </w:r>
            <w:r>
              <w:rPr>
                <w:rFonts w:ascii="宋体" w:hAnsi="宋体" w:cs="宋体" w:eastAsia="宋体" w:hint="default"/>
                <w:spacing w:val="-3"/>
                <w:sz w:val="18"/>
                <w:szCs w:val="18"/>
              </w:rPr>
              <w:t>公司上市后如离任，离任后</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个月内，不转让本人所持有的公司股</w:t>
            </w:r>
          </w:p>
          <w:p>
            <w:pPr>
              <w:pStyle w:val="TableParagraph"/>
              <w:spacing w:line="302" w:lineRule="auto" w:before="5"/>
              <w:ind w:left="22" w:right="45"/>
              <w:jc w:val="left"/>
              <w:rPr>
                <w:rFonts w:ascii="宋体" w:hAnsi="宋体" w:cs="宋体" w:eastAsia="宋体" w:hint="default"/>
                <w:sz w:val="18"/>
                <w:szCs w:val="18"/>
              </w:rPr>
            </w:pPr>
            <w:r>
              <w:rPr>
                <w:rFonts w:ascii="宋体" w:hAnsi="宋体" w:cs="宋体" w:eastAsia="宋体" w:hint="default"/>
                <w:sz w:val="18"/>
                <w:szCs w:val="18"/>
              </w:rPr>
              <w:t>份；在申报离任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个月内通过交易所挂牌交易出售本 公司股票数量占其所持有本公司股票总数的比例不得超过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c>
          <w:tcPr>
            <w:tcW w:w="90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22" w:right="145"/>
              <w:jc w:val="left"/>
              <w:rPr>
                <w:rFonts w:ascii="宋体" w:hAnsi="宋体" w:cs="宋体" w:eastAsia="宋体" w:hint="default"/>
                <w:sz w:val="18"/>
                <w:szCs w:val="18"/>
              </w:rPr>
            </w:pPr>
            <w:r>
              <w:rPr>
                <w:rFonts w:ascii="宋体" w:hAnsi="宋体" w:cs="宋体" w:eastAsia="宋体" w:hint="default"/>
                <w:sz w:val="18"/>
                <w:szCs w:val="18"/>
              </w:rPr>
              <w:t>长期 有效</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22" w:right="173"/>
              <w:jc w:val="left"/>
              <w:rPr>
                <w:rFonts w:ascii="宋体" w:hAnsi="宋体" w:cs="宋体" w:eastAsia="宋体" w:hint="default"/>
                <w:sz w:val="18"/>
                <w:szCs w:val="18"/>
              </w:rPr>
            </w:pPr>
            <w:r>
              <w:rPr>
                <w:rFonts w:ascii="宋体" w:hAnsi="宋体" w:cs="宋体" w:eastAsia="宋体" w:hint="default"/>
                <w:sz w:val="18"/>
                <w:szCs w:val="18"/>
              </w:rPr>
              <w:t>正常 履行</w:t>
            </w:r>
          </w:p>
        </w:tc>
      </w:tr>
      <w:tr>
        <w:trPr>
          <w:trHeight w:val="1026" w:hRule="exact"/>
        </w:trPr>
        <w:tc>
          <w:tcPr>
            <w:tcW w:w="900" w:type="dxa"/>
            <w:vMerge/>
            <w:tcBorders>
              <w:left w:val="single" w:sz="4" w:space="0" w:color="000000"/>
              <w:right w:val="single" w:sz="4" w:space="0" w:color="000000"/>
            </w:tcBorders>
            <w:shd w:val="clear" w:color="auto" w:fill="D2D2D2"/>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5"/>
              <w:jc w:val="both"/>
              <w:rPr>
                <w:rFonts w:ascii="宋体" w:hAnsi="宋体" w:cs="宋体" w:eastAsia="宋体" w:hint="default"/>
                <w:sz w:val="18"/>
                <w:szCs w:val="18"/>
              </w:rPr>
            </w:pPr>
            <w:r>
              <w:rPr>
                <w:rFonts w:ascii="宋体" w:hAnsi="宋体" w:cs="宋体" w:eastAsia="宋体" w:hint="default"/>
                <w:sz w:val="18"/>
                <w:szCs w:val="18"/>
              </w:rPr>
              <w:t>深圳德旺 投资发展 有限公司</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5"/>
              <w:jc w:val="both"/>
              <w:rPr>
                <w:rFonts w:ascii="宋体" w:hAnsi="宋体" w:cs="宋体" w:eastAsia="宋体" w:hint="default"/>
                <w:sz w:val="18"/>
                <w:szCs w:val="18"/>
              </w:rPr>
            </w:pPr>
            <w:r>
              <w:rPr>
                <w:rFonts w:ascii="宋体" w:hAnsi="宋体" w:cs="宋体" w:eastAsia="宋体" w:hint="default"/>
                <w:sz w:val="18"/>
                <w:szCs w:val="18"/>
              </w:rPr>
              <w:t>股份 限售 承诺</w:t>
            </w:r>
          </w:p>
        </w:tc>
        <w:tc>
          <w:tcPr>
            <w:tcW w:w="5221" w:type="dxa"/>
            <w:tcBorders>
              <w:top w:val="single" w:sz="4" w:space="0" w:color="000000"/>
              <w:left w:val="single" w:sz="4" w:space="0" w:color="000000"/>
              <w:bottom w:val="single" w:sz="4" w:space="0" w:color="000000"/>
              <w:right w:val="single" w:sz="13" w:space="0" w:color="FFFFFF"/>
            </w:tcBorders>
          </w:tcPr>
          <w:p>
            <w:pPr>
              <w:pStyle w:val="TableParagraph"/>
              <w:spacing w:line="309" w:lineRule="auto" w:before="51"/>
              <w:ind w:left="22" w:right="-44"/>
              <w:jc w:val="both"/>
              <w:rPr>
                <w:rFonts w:ascii="宋体" w:hAnsi="宋体" w:cs="宋体" w:eastAsia="宋体" w:hint="default"/>
                <w:sz w:val="18"/>
                <w:szCs w:val="18"/>
              </w:rPr>
            </w:pPr>
            <w:r>
              <w:rPr>
                <w:rFonts w:ascii="宋体" w:hAnsi="宋体" w:cs="宋体" w:eastAsia="宋体" w:hint="default"/>
                <w:spacing w:val="-2"/>
                <w:sz w:val="18"/>
                <w:szCs w:val="18"/>
              </w:rPr>
              <w:t>本公司原控股股东德旺投资承诺，自公司股票在深圳证券交易所上</w:t>
            </w:r>
            <w:r>
              <w:rPr>
                <w:rFonts w:ascii="宋体" w:hAnsi="宋体" w:cs="宋体" w:eastAsia="宋体" w:hint="default"/>
                <w:sz w:val="18"/>
                <w:szCs w:val="18"/>
              </w:rPr>
              <w:t> 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个月内，不转让或者委托他人管理本公司直接持有的 公司公开发行股票前已发行的股份，也不由公司回购该部分股份。</w:t>
            </w:r>
          </w:p>
        </w:tc>
        <w:tc>
          <w:tcPr>
            <w:tcW w:w="90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03-16</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73"/>
              <w:jc w:val="left"/>
              <w:rPr>
                <w:rFonts w:ascii="宋体" w:hAnsi="宋体" w:cs="宋体" w:eastAsia="宋体" w:hint="default"/>
                <w:sz w:val="18"/>
                <w:szCs w:val="18"/>
              </w:rPr>
            </w:pPr>
            <w:r>
              <w:rPr>
                <w:rFonts w:ascii="宋体" w:hAnsi="宋体" w:cs="宋体" w:eastAsia="宋体" w:hint="default"/>
                <w:sz w:val="18"/>
                <w:szCs w:val="18"/>
              </w:rPr>
              <w:t>履行 完毕</w:t>
            </w:r>
          </w:p>
        </w:tc>
      </w:tr>
      <w:tr>
        <w:trPr>
          <w:trHeight w:val="1026" w:hRule="exact"/>
        </w:trPr>
        <w:tc>
          <w:tcPr>
            <w:tcW w:w="900" w:type="dxa"/>
            <w:vMerge/>
            <w:tcBorders>
              <w:left w:val="single" w:sz="4" w:space="0" w:color="000000"/>
              <w:right w:val="single" w:sz="4" w:space="0" w:color="000000"/>
            </w:tcBorders>
            <w:shd w:val="clear" w:color="auto" w:fill="D2D2D2"/>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5"/>
              <w:jc w:val="both"/>
              <w:rPr>
                <w:rFonts w:ascii="宋体" w:hAnsi="宋体" w:cs="宋体" w:eastAsia="宋体" w:hint="default"/>
                <w:sz w:val="18"/>
                <w:szCs w:val="18"/>
              </w:rPr>
            </w:pPr>
            <w:r>
              <w:rPr>
                <w:rFonts w:ascii="宋体" w:hAnsi="宋体" w:cs="宋体" w:eastAsia="宋体" w:hint="default"/>
                <w:sz w:val="18"/>
                <w:szCs w:val="18"/>
              </w:rPr>
              <w:t>茂硕电源 科技股份 有限公司</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45"/>
              <w:jc w:val="left"/>
              <w:rPr>
                <w:rFonts w:ascii="宋体" w:hAnsi="宋体" w:cs="宋体" w:eastAsia="宋体" w:hint="default"/>
                <w:sz w:val="18"/>
                <w:szCs w:val="18"/>
              </w:rPr>
            </w:pPr>
            <w:r>
              <w:rPr>
                <w:rFonts w:ascii="宋体" w:hAnsi="宋体" w:cs="宋体" w:eastAsia="宋体" w:hint="default"/>
                <w:sz w:val="18"/>
                <w:szCs w:val="18"/>
              </w:rPr>
              <w:t>分红 承诺</w:t>
            </w:r>
          </w:p>
        </w:tc>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现金分红的承诺</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45"/>
              <w:jc w:val="left"/>
              <w:rPr>
                <w:rFonts w:ascii="宋体" w:hAnsi="宋体" w:cs="宋体" w:eastAsia="宋体" w:hint="default"/>
                <w:sz w:val="18"/>
                <w:szCs w:val="18"/>
              </w:rPr>
            </w:pPr>
            <w:r>
              <w:rPr>
                <w:rFonts w:ascii="宋体" w:hAnsi="宋体" w:cs="宋体" w:eastAsia="宋体" w:hint="default"/>
                <w:sz w:val="18"/>
                <w:szCs w:val="18"/>
              </w:rPr>
              <w:t>长期 有效</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73"/>
              <w:jc w:val="left"/>
              <w:rPr>
                <w:rFonts w:ascii="宋体" w:hAnsi="宋体" w:cs="宋体" w:eastAsia="宋体" w:hint="default"/>
                <w:sz w:val="18"/>
                <w:szCs w:val="18"/>
              </w:rPr>
            </w:pPr>
            <w:r>
              <w:rPr>
                <w:rFonts w:ascii="宋体" w:hAnsi="宋体" w:cs="宋体" w:eastAsia="宋体" w:hint="default"/>
                <w:sz w:val="18"/>
                <w:szCs w:val="18"/>
              </w:rPr>
              <w:t>正常 履行</w:t>
            </w:r>
          </w:p>
        </w:tc>
      </w:tr>
      <w:tr>
        <w:trPr>
          <w:trHeight w:val="1650" w:hRule="exact"/>
        </w:trPr>
        <w:tc>
          <w:tcPr>
            <w:tcW w:w="900" w:type="dxa"/>
            <w:vMerge/>
            <w:tcBorders>
              <w:left w:val="single" w:sz="4" w:space="0" w:color="000000"/>
              <w:bottom w:val="single" w:sz="4" w:space="0" w:color="000000"/>
              <w:right w:val="single" w:sz="4" w:space="0" w:color="000000"/>
            </w:tcBorders>
            <w:shd w:val="clear" w:color="auto" w:fill="D2D2D2"/>
          </w:tcPr>
          <w:p>
            <w:pPr/>
          </w:p>
        </w:tc>
        <w:tc>
          <w:tcPr>
            <w:tcW w:w="900"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4"/>
              <w:jc w:val="left"/>
              <w:rPr>
                <w:rFonts w:ascii="宋体" w:hAnsi="宋体" w:cs="宋体" w:eastAsia="宋体" w:hint="default"/>
                <w:sz w:val="18"/>
                <w:szCs w:val="18"/>
              </w:rPr>
            </w:pPr>
            <w:r>
              <w:rPr>
                <w:rFonts w:ascii="宋体" w:hAnsi="宋体" w:cs="宋体" w:eastAsia="宋体" w:hint="default"/>
                <w:sz w:val="18"/>
                <w:szCs w:val="18"/>
              </w:rPr>
              <w:t>深圳德旺 投资发展 有限公司、 顾永德</w:t>
            </w:r>
          </w:p>
        </w:tc>
        <w:tc>
          <w:tcPr>
            <w:tcW w:w="540" w:type="dxa"/>
            <w:tcBorders>
              <w:top w:val="single" w:sz="4" w:space="0" w:color="000000"/>
              <w:left w:val="single" w:sz="13" w:space="0" w:color="FFFFFF"/>
              <w:bottom w:val="single" w:sz="4" w:space="0" w:color="000000"/>
              <w:right w:val="single" w:sz="4" w:space="0" w:color="000000"/>
            </w:tcBorders>
          </w:tcPr>
          <w:p>
            <w:pPr>
              <w:pStyle w:val="TableParagraph"/>
              <w:spacing w:line="319" w:lineRule="auto" w:before="51"/>
              <w:ind w:left="11" w:right="145"/>
              <w:jc w:val="both"/>
              <w:rPr>
                <w:rFonts w:ascii="宋体" w:hAnsi="宋体" w:cs="宋体" w:eastAsia="宋体" w:hint="default"/>
                <w:sz w:val="18"/>
                <w:szCs w:val="18"/>
              </w:rPr>
            </w:pPr>
            <w:r>
              <w:rPr>
                <w:rFonts w:ascii="宋体" w:hAnsi="宋体" w:cs="宋体" w:eastAsia="宋体" w:hint="default"/>
                <w:sz w:val="18"/>
                <w:szCs w:val="18"/>
              </w:rPr>
              <w:t>关于 同业 竞争 的承 诺</w:t>
            </w:r>
          </w:p>
        </w:tc>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21"/>
              <w:jc w:val="left"/>
              <w:rPr>
                <w:rFonts w:ascii="宋体" w:hAnsi="宋体" w:cs="宋体" w:eastAsia="宋体" w:hint="default"/>
                <w:sz w:val="18"/>
                <w:szCs w:val="18"/>
              </w:rPr>
            </w:pPr>
            <w:r>
              <w:rPr>
                <w:rFonts w:ascii="宋体" w:hAnsi="宋体" w:cs="宋体" w:eastAsia="宋体" w:hint="default"/>
                <w:spacing w:val="-2"/>
                <w:sz w:val="18"/>
                <w:szCs w:val="18"/>
              </w:rPr>
              <w:t>为避免未来可能存在的同业竞争，公司控股股东德旺投资、实际控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制人顾永德先生向本公司出具了《避免同业竞争承诺函》</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45"/>
              <w:jc w:val="left"/>
              <w:rPr>
                <w:rFonts w:ascii="宋体" w:hAnsi="宋体" w:cs="宋体" w:eastAsia="宋体" w:hint="default"/>
                <w:sz w:val="18"/>
                <w:szCs w:val="18"/>
              </w:rPr>
            </w:pPr>
            <w:r>
              <w:rPr>
                <w:rFonts w:ascii="宋体" w:hAnsi="宋体" w:cs="宋体" w:eastAsia="宋体" w:hint="default"/>
                <w:sz w:val="18"/>
                <w:szCs w:val="18"/>
              </w:rPr>
              <w:t>长期 有效</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73"/>
              <w:jc w:val="left"/>
              <w:rPr>
                <w:rFonts w:ascii="宋体" w:hAnsi="宋体" w:cs="宋体" w:eastAsia="宋体" w:hint="default"/>
                <w:sz w:val="18"/>
                <w:szCs w:val="18"/>
              </w:rPr>
            </w:pPr>
            <w:r>
              <w:rPr>
                <w:rFonts w:ascii="宋体" w:hAnsi="宋体" w:cs="宋体" w:eastAsia="宋体" w:hint="default"/>
                <w:sz w:val="18"/>
                <w:szCs w:val="18"/>
              </w:rPr>
              <w:t>正常 履行</w:t>
            </w:r>
          </w:p>
        </w:tc>
      </w:tr>
      <w:tr>
        <w:trPr>
          <w:trHeight w:val="714" w:hRule="exact"/>
        </w:trPr>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股权激励 承诺</w:t>
            </w: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22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22" w:right="147"/>
              <w:jc w:val="both"/>
              <w:rPr>
                <w:rFonts w:ascii="宋体" w:hAnsi="宋体" w:cs="宋体" w:eastAsia="宋体" w:hint="default"/>
                <w:sz w:val="18"/>
                <w:szCs w:val="18"/>
              </w:rPr>
            </w:pPr>
            <w:r>
              <w:rPr>
                <w:rFonts w:ascii="宋体" w:hAnsi="宋体" w:cs="宋体" w:eastAsia="宋体" w:hint="default"/>
                <w:sz w:val="18"/>
                <w:szCs w:val="18"/>
              </w:rPr>
              <w:t>其他对公 司中小股 东所作承</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5"/>
              <w:jc w:val="both"/>
              <w:rPr>
                <w:rFonts w:ascii="宋体" w:hAnsi="宋体" w:cs="宋体" w:eastAsia="宋体" w:hint="default"/>
                <w:sz w:val="18"/>
                <w:szCs w:val="18"/>
              </w:rPr>
            </w:pPr>
            <w:r>
              <w:rPr>
                <w:rFonts w:ascii="宋体" w:hAnsi="宋体" w:cs="宋体" w:eastAsia="宋体" w:hint="default"/>
                <w:sz w:val="18"/>
                <w:szCs w:val="18"/>
              </w:rPr>
              <w:t>茂硕电源 科技股份 有限公司</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45"/>
              <w:jc w:val="both"/>
              <w:rPr>
                <w:rFonts w:ascii="宋体" w:hAnsi="宋体" w:cs="宋体" w:eastAsia="宋体" w:hint="default"/>
                <w:sz w:val="18"/>
                <w:szCs w:val="18"/>
              </w:rPr>
            </w:pPr>
            <w:r>
              <w:rPr>
                <w:rFonts w:ascii="宋体" w:hAnsi="宋体" w:cs="宋体" w:eastAsia="宋体" w:hint="default"/>
                <w:sz w:val="18"/>
                <w:szCs w:val="18"/>
              </w:rPr>
              <w:t>茂硕 电源 科技</w:t>
            </w:r>
          </w:p>
        </w:tc>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公司承诺在按照实际需求补充流动资金后十二个月内不进行证券 </w:t>
            </w:r>
            <w:r>
              <w:rPr>
                <w:rFonts w:ascii="宋体" w:hAnsi="宋体" w:cs="宋体" w:eastAsia="宋体" w:hint="default"/>
                <w:spacing w:val="-2"/>
                <w:sz w:val="18"/>
                <w:szCs w:val="18"/>
              </w:rPr>
              <w:t>投资等高风险投资及为他人提供财务资助，且补充流动资金每十二</w:t>
            </w:r>
            <w:r>
              <w:rPr>
                <w:rFonts w:ascii="宋体" w:hAnsi="宋体" w:cs="宋体" w:eastAsia="宋体" w:hint="default"/>
                <w:sz w:val="18"/>
                <w:szCs w:val="18"/>
              </w:rPr>
              <w:t> 个月内累计金额不超过超募资金总额的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05-17</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73"/>
              <w:jc w:val="left"/>
              <w:rPr>
                <w:rFonts w:ascii="宋体" w:hAnsi="宋体" w:cs="宋体" w:eastAsia="宋体" w:hint="default"/>
                <w:sz w:val="18"/>
                <w:szCs w:val="18"/>
              </w:rPr>
            </w:pPr>
            <w:r>
              <w:rPr>
                <w:rFonts w:ascii="宋体" w:hAnsi="宋体" w:cs="宋体" w:eastAsia="宋体" w:hint="default"/>
                <w:sz w:val="18"/>
                <w:szCs w:val="18"/>
              </w:rPr>
              <w:t>履行 完毕</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00"/>
        <w:gridCol w:w="900"/>
        <w:gridCol w:w="540"/>
        <w:gridCol w:w="5221"/>
        <w:gridCol w:w="900"/>
        <w:gridCol w:w="540"/>
        <w:gridCol w:w="568"/>
      </w:tblGrid>
      <w:tr>
        <w:trPr>
          <w:trHeight w:val="986" w:hRule="exact"/>
        </w:trPr>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诺</w:t>
            </w: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45"/>
              <w:jc w:val="both"/>
              <w:rPr>
                <w:rFonts w:ascii="宋体" w:hAnsi="宋体" w:cs="宋体" w:eastAsia="宋体" w:hint="default"/>
                <w:sz w:val="18"/>
                <w:szCs w:val="18"/>
              </w:rPr>
            </w:pPr>
            <w:r>
              <w:rPr>
                <w:rFonts w:ascii="宋体" w:hAnsi="宋体" w:cs="宋体" w:eastAsia="宋体" w:hint="default"/>
                <w:sz w:val="18"/>
                <w:szCs w:val="18"/>
              </w:rPr>
              <w:t>股份 有限 公司</w:t>
            </w:r>
          </w:p>
        </w:tc>
        <w:tc>
          <w:tcPr>
            <w:tcW w:w="522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承诺是否 按时履行</w:t>
            </w:r>
          </w:p>
        </w:tc>
        <w:tc>
          <w:tcPr>
            <w:tcW w:w="866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0"/>
        <w:rPr>
          <w:rFonts w:ascii="Times New Roman" w:hAnsi="Times New Roman" w:cs="Times New Roman" w:eastAsia="Times New Roman" w:hint="default"/>
          <w:sz w:val="21"/>
          <w:szCs w:val="21"/>
        </w:rPr>
      </w:pPr>
    </w:p>
    <w:p>
      <w:pPr>
        <w:pStyle w:val="Heading4"/>
        <w:spacing w:line="259" w:lineRule="auto" w:before="35"/>
        <w:ind w:left="154" w:right="0"/>
        <w:jc w:val="left"/>
        <w:rPr>
          <w:b w:val="0"/>
          <w:bCs w:val="0"/>
        </w:rPr>
      </w:pPr>
      <w:bookmarkStart w:name="2、公司资产或项目存在盈利预测，且报告期仍处在盈利预测期间，公司就资产或项目达到" w:id="66"/>
      <w:bookmarkEnd w:id="66"/>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06"/>
        <w:gridCol w:w="1178"/>
        <w:gridCol w:w="1181"/>
        <w:gridCol w:w="1181"/>
        <w:gridCol w:w="1180"/>
        <w:gridCol w:w="1180"/>
        <w:gridCol w:w="1182"/>
        <w:gridCol w:w="1178"/>
      </w:tblGrid>
      <w:tr>
        <w:trPr>
          <w:trHeight w:val="71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96" w:right="107"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4" w:right="45"/>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95" w:right="44" w:hanging="450"/>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93" w:right="43" w:hanging="450"/>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4460"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湖南方正达</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743" w:right="0"/>
              <w:jc w:val="left"/>
              <w:rPr>
                <w:rFonts w:ascii="Times New Roman" w:hAnsi="Times New Roman" w:cs="Times New Roman" w:eastAsia="Times New Roman" w:hint="default"/>
                <w:sz w:val="18"/>
                <w:szCs w:val="18"/>
              </w:rPr>
            </w:pPr>
            <w:r>
              <w:rPr>
                <w:rFonts w:ascii="Times New Roman"/>
                <w:sz w:val="18"/>
              </w:rPr>
              <w:t>4,356</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517" w:right="0"/>
              <w:jc w:val="left"/>
              <w:rPr>
                <w:rFonts w:ascii="Times New Roman" w:hAnsi="Times New Roman" w:cs="Times New Roman" w:eastAsia="Times New Roman" w:hint="default"/>
                <w:sz w:val="18"/>
                <w:szCs w:val="18"/>
              </w:rPr>
            </w:pPr>
            <w:r>
              <w:rPr>
                <w:rFonts w:ascii="Times New Roman"/>
                <w:sz w:val="18"/>
              </w:rPr>
              <w:t>4,146.16</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 </w:t>
            </w:r>
            <w:r>
              <w:rPr>
                <w:rFonts w:ascii="宋体" w:hAnsi="宋体" w:cs="宋体" w:eastAsia="宋体" w:hint="default"/>
                <w:sz w:val="18"/>
                <w:szCs w:val="18"/>
              </w:rPr>
              <w:t>行业整体竞争 加剧，湖南方 正达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营业收入较预 测数下降的影 </w:t>
            </w:r>
            <w:r>
              <w:rPr>
                <w:rFonts w:ascii="宋体" w:hAnsi="宋体" w:cs="宋体" w:eastAsia="宋体" w:hint="default"/>
                <w:spacing w:val="-13"/>
                <w:sz w:val="18"/>
                <w:szCs w:val="18"/>
              </w:rPr>
              <w:t>响；（</w:t>
            </w: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）湖南</w:t>
            </w:r>
            <w:r>
              <w:rPr>
                <w:rFonts w:ascii="宋体" w:hAnsi="宋体" w:cs="宋体" w:eastAsia="宋体" w:hint="default"/>
                <w:sz w:val="18"/>
                <w:szCs w:val="18"/>
              </w:rPr>
              <w:t> 方正达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年度整体毛利 率不及收益法 预测毛利率的 </w:t>
            </w:r>
            <w:r>
              <w:rPr>
                <w:rFonts w:ascii="宋体" w:hAnsi="宋体" w:cs="宋体" w:eastAsia="宋体" w:hint="default"/>
                <w:spacing w:val="-13"/>
                <w:sz w:val="18"/>
                <w:szCs w:val="18"/>
              </w:rPr>
              <w:t>影响；（</w:t>
            </w:r>
            <w:r>
              <w:rPr>
                <w:rFonts w:ascii="Times New Roman" w:hAnsi="Times New Roman" w:cs="Times New Roman" w:eastAsia="Times New Roman" w:hint="default"/>
                <w:spacing w:val="-13"/>
                <w:sz w:val="18"/>
                <w:szCs w:val="18"/>
              </w:rPr>
              <w:t>3</w:t>
            </w:r>
            <w:r>
              <w:rPr>
                <w:rFonts w:ascii="宋体" w:hAnsi="宋体" w:cs="宋体" w:eastAsia="宋体" w:hint="default"/>
                <w:spacing w:val="-13"/>
                <w:sz w:val="18"/>
                <w:szCs w:val="18"/>
              </w:rPr>
              <w:t>）其</w:t>
            </w:r>
            <w:r>
              <w:rPr>
                <w:rFonts w:ascii="宋体" w:hAnsi="宋体" w:cs="宋体" w:eastAsia="宋体" w:hint="default"/>
                <w:sz w:val="18"/>
                <w:szCs w:val="18"/>
              </w:rPr>
              <w:t> 他因素的影 响。</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both"/>
              <w:rPr>
                <w:rFonts w:ascii="宋体" w:hAnsi="宋体" w:cs="宋体" w:eastAsia="宋体" w:hint="default"/>
                <w:sz w:val="18"/>
                <w:szCs w:val="18"/>
              </w:rPr>
            </w:pPr>
            <w:r>
              <w:rPr>
                <w:rFonts w:ascii="宋体" w:hAnsi="宋体" w:cs="宋体" w:eastAsia="宋体" w:hint="default"/>
                <w:sz w:val="18"/>
                <w:szCs w:val="18"/>
              </w:rPr>
              <w:t>参见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4" w:lineRule="auto" w:before="61"/>
              <w:ind w:left="22" w:right="65"/>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日刊 登的：公司与 方笑求、蓝顺 明盈利预测补 偿协议。巨潮 资讯网</w:t>
            </w:r>
          </w:p>
          <w:p>
            <w:pPr>
              <w:pStyle w:val="TableParagraph"/>
              <w:spacing w:line="302" w:lineRule="auto" w:before="21"/>
              <w:ind w:left="22" w:right="13"/>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 ninfo.com.cn</w:t>
            </w:r>
            <w:r>
              <w:rPr>
                <w:rFonts w:ascii="宋体" w:hAnsi="宋体" w:cs="宋体" w:eastAsia="宋体" w:hint="default"/>
                <w:sz w:val="18"/>
                <w:szCs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公司股东、交易对手方在报告年度经营业绩做出的承诺情况</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00" w:lineRule="auto" w:before="102"/>
        <w:ind w:left="153" w:right="1130" w:firstLine="42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2014</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11</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17</w:t>
      </w:r>
      <w:r>
        <w:rPr>
          <w:rFonts w:ascii="宋体" w:hAnsi="宋体" w:cs="宋体" w:eastAsia="宋体" w:hint="default"/>
          <w:spacing w:val="-1"/>
          <w:sz w:val="18"/>
          <w:szCs w:val="18"/>
        </w:rPr>
        <w:t>日和</w:t>
      </w:r>
      <w:r>
        <w:rPr>
          <w:rFonts w:ascii="Times New Roman" w:hAnsi="Times New Roman" w:cs="Times New Roman" w:eastAsia="Times New Roman" w:hint="default"/>
          <w:spacing w:val="-1"/>
          <w:sz w:val="18"/>
          <w:szCs w:val="18"/>
        </w:rPr>
        <w:t>2015</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13</w:t>
      </w:r>
      <w:r>
        <w:rPr>
          <w:rFonts w:ascii="宋体" w:hAnsi="宋体" w:cs="宋体" w:eastAsia="宋体" w:hint="default"/>
          <w:spacing w:val="-1"/>
          <w:sz w:val="18"/>
          <w:szCs w:val="18"/>
        </w:rPr>
        <w:t>日，上市公司与方笑求、蓝顺明签署了《盈利预测补偿协议》及补充协议。依据协议约</w:t>
      </w:r>
      <w:r>
        <w:rPr>
          <w:rFonts w:ascii="宋体" w:hAnsi="宋体" w:cs="宋体" w:eastAsia="宋体" w:hint="default"/>
          <w:sz w:val="18"/>
          <w:szCs w:val="18"/>
        </w:rPr>
        <w:t> </w:t>
      </w:r>
      <w:r>
        <w:rPr>
          <w:rFonts w:ascii="宋体" w:hAnsi="宋体" w:cs="宋体" w:eastAsia="宋体" w:hint="default"/>
          <w:spacing w:val="-2"/>
          <w:sz w:val="18"/>
          <w:szCs w:val="18"/>
        </w:rPr>
        <w:t>定，本次交易的业绩承诺期和利润补偿期为</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年和</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年，方笑求、蓝顺明承诺</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年度、</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年度和</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年度</w:t>
      </w:r>
      <w:r>
        <w:rPr>
          <w:rFonts w:ascii="宋体" w:hAnsi="宋体" w:cs="宋体" w:eastAsia="宋体" w:hint="default"/>
          <w:spacing w:val="-41"/>
          <w:sz w:val="18"/>
          <w:szCs w:val="18"/>
        </w:rPr>
        <w:t> </w:t>
      </w:r>
      <w:r>
        <w:rPr>
          <w:rFonts w:ascii="宋体" w:hAnsi="宋体" w:cs="宋体" w:eastAsia="宋体" w:hint="default"/>
          <w:sz w:val="18"/>
          <w:szCs w:val="18"/>
        </w:rPr>
        <w:t>方正达实现的扣非净利润分别不低于</w:t>
      </w:r>
      <w:r>
        <w:rPr>
          <w:rFonts w:ascii="Times New Roman" w:hAnsi="Times New Roman" w:cs="Times New Roman" w:eastAsia="Times New Roman" w:hint="default"/>
          <w:sz w:val="18"/>
          <w:szCs w:val="18"/>
        </w:rPr>
        <w:t>4,356.0</w:t>
      </w:r>
      <w:r>
        <w:rPr>
          <w:rFonts w:ascii="宋体" w:hAnsi="宋体" w:cs="宋体" w:eastAsia="宋体" w:hint="default"/>
          <w:sz w:val="18"/>
          <w:szCs w:val="18"/>
        </w:rPr>
        <w:t>万元、</w:t>
      </w:r>
      <w:r>
        <w:rPr>
          <w:rFonts w:ascii="Times New Roman" w:hAnsi="Times New Roman" w:cs="Times New Roman" w:eastAsia="Times New Roman" w:hint="default"/>
          <w:sz w:val="18"/>
          <w:szCs w:val="18"/>
        </w:rPr>
        <w:t>5,227.2</w:t>
      </w:r>
      <w:r>
        <w:rPr>
          <w:rFonts w:ascii="宋体" w:hAnsi="宋体" w:cs="宋体" w:eastAsia="宋体" w:hint="default"/>
          <w:sz w:val="18"/>
          <w:szCs w:val="18"/>
        </w:rPr>
        <w:t>万元和</w:t>
      </w:r>
      <w:r>
        <w:rPr>
          <w:rFonts w:ascii="Times New Roman" w:hAnsi="Times New Roman" w:cs="Times New Roman" w:eastAsia="Times New Roman" w:hint="default"/>
          <w:sz w:val="18"/>
          <w:szCs w:val="18"/>
        </w:rPr>
        <w:t>5,400.0</w:t>
      </w:r>
      <w:r>
        <w:rPr>
          <w:rFonts w:ascii="宋体" w:hAnsi="宋体" w:cs="宋体" w:eastAsia="宋体" w:hint="default"/>
          <w:sz w:val="18"/>
          <w:szCs w:val="18"/>
        </w:rPr>
        <w:t>万元。</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6"/>
          <w:szCs w:val="26"/>
        </w:rPr>
      </w:pPr>
    </w:p>
    <w:p>
      <w:pPr>
        <w:pStyle w:val="Heading2"/>
        <w:spacing w:line="240" w:lineRule="auto"/>
        <w:ind w:right="0"/>
        <w:jc w:val="left"/>
        <w:rPr>
          <w:b w:val="0"/>
          <w:bCs w:val="0"/>
        </w:rPr>
      </w:pPr>
      <w:bookmarkStart w:name="四、控股股东及其关联方对上市公司的非经营性占用资金情况" w:id="67"/>
      <w:bookmarkEnd w:id="67"/>
      <w:r>
        <w:rPr>
          <w:b w:val="0"/>
          <w:bCs w:val="0"/>
        </w:rPr>
      </w:r>
      <w:r>
        <w:rPr/>
        <w:t>四、控股股东及其关联方对上市公司的非经营性占用资金情况</w:t>
      </w:r>
      <w:r>
        <w:rPr>
          <w:b w:val="0"/>
          <w:bCs w:val="0"/>
        </w:rPr>
      </w:r>
    </w:p>
    <w:p>
      <w:pPr>
        <w:spacing w:line="240" w:lineRule="auto" w:before="7"/>
        <w:rPr>
          <w:rFonts w:ascii="宋体" w:hAnsi="宋体" w:cs="宋体" w:eastAsia="宋体" w:hint="default"/>
          <w:b/>
          <w:bCs/>
          <w:sz w:val="26"/>
          <w:szCs w:val="26"/>
        </w:rPr>
      </w:pPr>
    </w:p>
    <w:p>
      <w:pPr>
        <w:spacing w:line="357" w:lineRule="auto" w:before="0"/>
        <w:ind w:left="154" w:right="499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公司报告期不存在控股股东及其关联方对上市公司的非经营性占用资金。</w:t>
      </w:r>
    </w:p>
    <w:p>
      <w:pPr>
        <w:spacing w:line="240" w:lineRule="auto" w:before="3"/>
        <w:rPr>
          <w:rFonts w:ascii="宋体" w:hAnsi="宋体" w:cs="宋体" w:eastAsia="宋体" w:hint="default"/>
          <w:sz w:val="18"/>
          <w:szCs w:val="18"/>
        </w:rPr>
      </w:pPr>
    </w:p>
    <w:p>
      <w:pPr>
        <w:pStyle w:val="Heading2"/>
        <w:spacing w:line="240" w:lineRule="auto"/>
        <w:ind w:right="1392"/>
        <w:jc w:val="left"/>
        <w:rPr>
          <w:b w:val="0"/>
          <w:bCs w:val="0"/>
        </w:rPr>
      </w:pPr>
      <w:bookmarkStart w:name="五、董事会、监事会、独立董事（如有）对会计师事务所本报告期“非标准审计报告”的说" w:id="68"/>
      <w:bookmarkEnd w:id="68"/>
      <w:r>
        <w:rPr>
          <w:b w:val="0"/>
          <w:bCs w:val="0"/>
        </w:rPr>
      </w:r>
      <w:r>
        <w:rPr>
          <w:w w:val="95"/>
        </w:rPr>
        <w:t>五、董事会、监事会、独立董事（如有）对会计师事务所本报告期“非标准审计报告”的说  </w:t>
      </w:r>
      <w:r>
        <w:rPr>
          <w:spacing w:val="99"/>
          <w:w w:val="95"/>
        </w:rPr>
        <w:t> </w:t>
      </w:r>
      <w:r>
        <w:rPr/>
        <w:t>明</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六、与上年度财务报告相比，会计政策、会计估计和核算方法发生变化的情况说明" w:id="69"/>
      <w:bookmarkEnd w:id="69"/>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571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公司报告期无会计政策、会计估计和核算方法发生变化的情况。</w:t>
      </w:r>
    </w:p>
    <w:p>
      <w:pPr>
        <w:spacing w:line="240" w:lineRule="auto" w:before="5"/>
        <w:rPr>
          <w:rFonts w:ascii="宋体" w:hAnsi="宋体" w:cs="宋体" w:eastAsia="宋体" w:hint="default"/>
          <w:sz w:val="18"/>
          <w:szCs w:val="18"/>
        </w:rPr>
      </w:pPr>
    </w:p>
    <w:p>
      <w:pPr>
        <w:pStyle w:val="Heading2"/>
        <w:spacing w:line="240" w:lineRule="auto"/>
        <w:ind w:left="154" w:right="0"/>
        <w:jc w:val="left"/>
        <w:rPr>
          <w:b w:val="0"/>
          <w:bCs w:val="0"/>
        </w:rPr>
      </w:pPr>
      <w:bookmarkStart w:name="七、报告期内发生重大会计差错更正需追溯重述的情况说明" w:id="70"/>
      <w:bookmarkEnd w:id="70"/>
      <w:r>
        <w:rPr>
          <w:b w:val="0"/>
          <w:bCs w:val="0"/>
        </w:rPr>
      </w:r>
      <w:r>
        <w:rPr/>
        <w:t>七、报告期内发生重大会计差错更正需追溯重述的情况说明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spacing w:line="360" w:lineRule="auto" w:before="0"/>
        <w:ind w:left="154" w:right="661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公司报告期无重大会计差错更正需追溯重述的情况。</w:t>
      </w:r>
    </w:p>
    <w:p>
      <w:pPr>
        <w:spacing w:line="240" w:lineRule="auto" w:before="1"/>
        <w:rPr>
          <w:rFonts w:ascii="宋体" w:hAnsi="宋体" w:cs="宋体" w:eastAsia="宋体" w:hint="default"/>
          <w:sz w:val="18"/>
          <w:szCs w:val="18"/>
        </w:rPr>
      </w:pPr>
    </w:p>
    <w:p>
      <w:pPr>
        <w:pStyle w:val="Heading2"/>
        <w:spacing w:line="240" w:lineRule="auto"/>
        <w:ind w:left="154" w:right="0"/>
        <w:jc w:val="left"/>
        <w:rPr>
          <w:b w:val="0"/>
          <w:bCs w:val="0"/>
        </w:rPr>
      </w:pPr>
      <w:bookmarkStart w:name="八、与上年度财务报告相比，合并报表范围发生变化的情况说明" w:id="71"/>
      <w:bookmarkEnd w:id="71"/>
      <w:r>
        <w:rPr>
          <w:b w:val="0"/>
          <w:bCs w:val="0"/>
        </w:rPr>
      </w:r>
      <w:r>
        <w:rPr/>
        <w:t>八、与上年度财务报告相比，合并报表范围发生变化的情况说明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pStyle w:val="Heading3"/>
        <w:spacing w:line="240" w:lineRule="auto" w:before="65"/>
        <w:ind w:left="633" w:right="0"/>
        <w:jc w:val="left"/>
      </w:pPr>
      <w:r>
        <w:rPr>
          <w:rFonts w:ascii="Times New Roman" w:hAnsi="Times New Roman" w:cs="Times New Roman" w:eastAsia="Times New Roman" w:hint="default"/>
        </w:rPr>
        <w:t>2015</w:t>
      </w:r>
      <w:r>
        <w:rPr/>
        <w:t>年度，公司新设以下子公司，均纳入合并范围：</w:t>
      </w:r>
    </w:p>
    <w:tbl>
      <w:tblPr>
        <w:tblW w:w="0" w:type="auto"/>
        <w:jc w:val="left"/>
        <w:tblInd w:w="146" w:type="dxa"/>
        <w:tblLayout w:type="fixed"/>
        <w:tblCellMar>
          <w:top w:w="0" w:type="dxa"/>
          <w:left w:w="0" w:type="dxa"/>
          <w:bottom w:w="0" w:type="dxa"/>
          <w:right w:w="0" w:type="dxa"/>
        </w:tblCellMar>
        <w:tblLook w:val="01E0"/>
      </w:tblPr>
      <w:tblGrid>
        <w:gridCol w:w="4112"/>
        <w:gridCol w:w="2765"/>
        <w:gridCol w:w="2766"/>
      </w:tblGrid>
      <w:tr>
        <w:trPr>
          <w:trHeight w:val="355" w:hRule="exact"/>
        </w:trPr>
        <w:tc>
          <w:tcPr>
            <w:tcW w:w="4112"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2765"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953"/>
              <w:jc w:val="right"/>
              <w:rPr>
                <w:rFonts w:ascii="宋体" w:hAnsi="宋体" w:cs="宋体" w:eastAsia="宋体" w:hint="default"/>
                <w:sz w:val="21"/>
                <w:szCs w:val="21"/>
              </w:rPr>
            </w:pPr>
            <w:r>
              <w:rPr>
                <w:rFonts w:ascii="宋体" w:hAnsi="宋体" w:cs="宋体" w:eastAsia="宋体" w:hint="default"/>
                <w:sz w:val="21"/>
                <w:szCs w:val="21"/>
              </w:rPr>
              <w:t>成立日期</w:t>
            </w:r>
          </w:p>
        </w:tc>
        <w:tc>
          <w:tcPr>
            <w:tcW w:w="2766" w:type="dxa"/>
            <w:tcBorders>
              <w:top w:val="single" w:sz="6" w:space="0" w:color="000000"/>
              <w:left w:val="single" w:sz="6" w:space="0" w:color="000000"/>
              <w:bottom w:val="single" w:sz="12" w:space="0" w:color="000000"/>
              <w:right w:val="nil" w:sz="6" w:space="0" w:color="auto"/>
            </w:tcBorders>
          </w:tcPr>
          <w:p>
            <w:pPr>
              <w:pStyle w:val="TableParagraph"/>
              <w:spacing w:line="271" w:lineRule="exact"/>
              <w:ind w:right="7"/>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353" w:hRule="exact"/>
        </w:trPr>
        <w:tc>
          <w:tcPr>
            <w:tcW w:w="411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萍乡茂硕新能源科技有限公司</w:t>
            </w:r>
          </w:p>
        </w:tc>
        <w:tc>
          <w:tcPr>
            <w:tcW w:w="27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987"/>
              <w:jc w:val="right"/>
              <w:rPr>
                <w:rFonts w:ascii="Times New Roman" w:hAnsi="Times New Roman" w:cs="Times New Roman" w:eastAsia="Times New Roman" w:hint="default"/>
                <w:sz w:val="21"/>
                <w:szCs w:val="21"/>
              </w:rPr>
            </w:pPr>
            <w:r>
              <w:rPr>
                <w:rFonts w:ascii="Times New Roman"/>
                <w:spacing w:val="-1"/>
                <w:sz w:val="21"/>
              </w:rPr>
              <w:t>2015-2-4</w:t>
            </w:r>
          </w:p>
        </w:tc>
        <w:tc>
          <w:tcPr>
            <w:tcW w:w="276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52" w:hRule="exact"/>
        </w:trPr>
        <w:tc>
          <w:tcPr>
            <w:tcW w:w="411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海宁茂硕新能源科技有限公司</w:t>
            </w:r>
          </w:p>
        </w:tc>
        <w:tc>
          <w:tcPr>
            <w:tcW w:w="27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936"/>
              <w:jc w:val="right"/>
              <w:rPr>
                <w:rFonts w:ascii="Times New Roman" w:hAnsi="Times New Roman" w:cs="Times New Roman" w:eastAsia="Times New Roman" w:hint="default"/>
                <w:sz w:val="21"/>
                <w:szCs w:val="21"/>
              </w:rPr>
            </w:pPr>
            <w:r>
              <w:rPr>
                <w:rFonts w:ascii="Times New Roman"/>
                <w:spacing w:val="-1"/>
                <w:sz w:val="21"/>
              </w:rPr>
              <w:t>2015-2-13</w:t>
            </w:r>
            <w:r>
              <w:rPr>
                <w:rFonts w:ascii="Times New Roman"/>
                <w:sz w:val="21"/>
              </w:rPr>
            </w:r>
          </w:p>
        </w:tc>
        <w:tc>
          <w:tcPr>
            <w:tcW w:w="2766"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7"/>
              <w:jc w:val="center"/>
              <w:rPr>
                <w:rFonts w:ascii="宋体" w:hAnsi="宋体" w:cs="宋体" w:eastAsia="宋体" w:hint="default"/>
                <w:sz w:val="21"/>
                <w:szCs w:val="21"/>
              </w:rPr>
            </w:pPr>
            <w:r>
              <w:rPr>
                <w:rFonts w:ascii="宋体" w:hAnsi="宋体" w:cs="宋体" w:eastAsia="宋体" w:hint="default"/>
                <w:sz w:val="21"/>
                <w:szCs w:val="21"/>
              </w:rPr>
              <w:t>未开展业务</w:t>
            </w:r>
          </w:p>
        </w:tc>
      </w:tr>
      <w:tr>
        <w:trPr>
          <w:trHeight w:val="352" w:hRule="exact"/>
        </w:trPr>
        <w:tc>
          <w:tcPr>
            <w:tcW w:w="411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滕州茂硕新能源科技有限公司</w:t>
            </w:r>
          </w:p>
        </w:tc>
        <w:tc>
          <w:tcPr>
            <w:tcW w:w="27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936"/>
              <w:jc w:val="right"/>
              <w:rPr>
                <w:rFonts w:ascii="Times New Roman" w:hAnsi="Times New Roman" w:cs="Times New Roman" w:eastAsia="Times New Roman" w:hint="default"/>
                <w:sz w:val="21"/>
                <w:szCs w:val="21"/>
              </w:rPr>
            </w:pPr>
            <w:r>
              <w:rPr>
                <w:rFonts w:ascii="Times New Roman"/>
                <w:spacing w:val="-1"/>
                <w:sz w:val="21"/>
              </w:rPr>
              <w:t>2015-3-27</w:t>
            </w:r>
            <w:r>
              <w:rPr>
                <w:rFonts w:ascii="Times New Roman"/>
                <w:sz w:val="21"/>
              </w:rPr>
            </w:r>
          </w:p>
        </w:tc>
        <w:tc>
          <w:tcPr>
            <w:tcW w:w="276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53" w:hRule="exact"/>
        </w:trPr>
        <w:tc>
          <w:tcPr>
            <w:tcW w:w="411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浙江茂硕新能源科技有限公司</w:t>
            </w:r>
          </w:p>
        </w:tc>
        <w:tc>
          <w:tcPr>
            <w:tcW w:w="27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987"/>
              <w:jc w:val="right"/>
              <w:rPr>
                <w:rFonts w:ascii="Times New Roman" w:hAnsi="Times New Roman" w:cs="Times New Roman" w:eastAsia="Times New Roman" w:hint="default"/>
                <w:sz w:val="21"/>
                <w:szCs w:val="21"/>
              </w:rPr>
            </w:pPr>
            <w:r>
              <w:rPr>
                <w:rFonts w:ascii="Times New Roman"/>
                <w:spacing w:val="-1"/>
                <w:sz w:val="21"/>
              </w:rPr>
              <w:t>2015-5-4</w:t>
            </w:r>
          </w:p>
        </w:tc>
        <w:tc>
          <w:tcPr>
            <w:tcW w:w="276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52" w:hRule="exact"/>
        </w:trPr>
        <w:tc>
          <w:tcPr>
            <w:tcW w:w="411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同心县茂硕新能源科技有限公司</w:t>
            </w:r>
          </w:p>
        </w:tc>
        <w:tc>
          <w:tcPr>
            <w:tcW w:w="27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936"/>
              <w:jc w:val="right"/>
              <w:rPr>
                <w:rFonts w:ascii="Times New Roman" w:hAnsi="Times New Roman" w:cs="Times New Roman" w:eastAsia="Times New Roman" w:hint="default"/>
                <w:sz w:val="21"/>
                <w:szCs w:val="21"/>
              </w:rPr>
            </w:pPr>
            <w:r>
              <w:rPr>
                <w:rFonts w:ascii="Times New Roman"/>
                <w:spacing w:val="-1"/>
                <w:sz w:val="21"/>
              </w:rPr>
              <w:t>2015-5-15</w:t>
            </w:r>
            <w:r>
              <w:rPr>
                <w:rFonts w:ascii="Times New Roman"/>
                <w:sz w:val="21"/>
              </w:rPr>
            </w:r>
          </w:p>
        </w:tc>
        <w:tc>
          <w:tcPr>
            <w:tcW w:w="2766"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7"/>
              <w:jc w:val="center"/>
              <w:rPr>
                <w:rFonts w:ascii="宋体" w:hAnsi="宋体" w:cs="宋体" w:eastAsia="宋体" w:hint="default"/>
                <w:sz w:val="21"/>
                <w:szCs w:val="21"/>
              </w:rPr>
            </w:pPr>
            <w:r>
              <w:rPr>
                <w:rFonts w:ascii="宋体" w:hAnsi="宋体" w:cs="宋体" w:eastAsia="宋体" w:hint="default"/>
                <w:sz w:val="21"/>
                <w:szCs w:val="21"/>
              </w:rPr>
              <w:t>未开展业务</w:t>
            </w:r>
          </w:p>
        </w:tc>
      </w:tr>
      <w:tr>
        <w:trPr>
          <w:trHeight w:val="352" w:hRule="exact"/>
        </w:trPr>
        <w:tc>
          <w:tcPr>
            <w:tcW w:w="411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禹州茂硕新能源有限公司</w:t>
            </w:r>
          </w:p>
        </w:tc>
        <w:tc>
          <w:tcPr>
            <w:tcW w:w="27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882"/>
              <w:jc w:val="right"/>
              <w:rPr>
                <w:rFonts w:ascii="Times New Roman" w:hAnsi="Times New Roman" w:cs="Times New Roman" w:eastAsia="Times New Roman" w:hint="default"/>
                <w:sz w:val="21"/>
                <w:szCs w:val="21"/>
              </w:rPr>
            </w:pPr>
            <w:r>
              <w:rPr>
                <w:rFonts w:ascii="Times New Roman"/>
                <w:spacing w:val="-1"/>
                <w:sz w:val="21"/>
              </w:rPr>
              <w:t>2015-10-30</w:t>
            </w:r>
          </w:p>
        </w:tc>
        <w:tc>
          <w:tcPr>
            <w:tcW w:w="2766"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7"/>
              <w:jc w:val="center"/>
              <w:rPr>
                <w:rFonts w:ascii="宋体" w:hAnsi="宋体" w:cs="宋体" w:eastAsia="宋体" w:hint="default"/>
                <w:sz w:val="21"/>
                <w:szCs w:val="21"/>
              </w:rPr>
            </w:pPr>
            <w:r>
              <w:rPr>
                <w:rFonts w:ascii="宋体" w:hAnsi="宋体" w:cs="宋体" w:eastAsia="宋体" w:hint="default"/>
                <w:sz w:val="21"/>
                <w:szCs w:val="21"/>
              </w:rPr>
              <w:t>未开展业务</w:t>
            </w:r>
          </w:p>
        </w:tc>
      </w:tr>
      <w:tr>
        <w:trPr>
          <w:trHeight w:val="353" w:hRule="exact"/>
        </w:trPr>
        <w:tc>
          <w:tcPr>
            <w:tcW w:w="411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深圳前海茂硕新能源科技有限公司</w:t>
            </w:r>
          </w:p>
        </w:tc>
        <w:tc>
          <w:tcPr>
            <w:tcW w:w="27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935"/>
              <w:jc w:val="right"/>
              <w:rPr>
                <w:rFonts w:ascii="Times New Roman" w:hAnsi="Times New Roman" w:cs="Times New Roman" w:eastAsia="Times New Roman" w:hint="default"/>
                <w:sz w:val="21"/>
                <w:szCs w:val="21"/>
              </w:rPr>
            </w:pPr>
            <w:r>
              <w:rPr>
                <w:rFonts w:ascii="Times New Roman"/>
                <w:spacing w:val="-1"/>
                <w:sz w:val="21"/>
              </w:rPr>
              <w:t>2015-11-3</w:t>
            </w:r>
          </w:p>
        </w:tc>
        <w:tc>
          <w:tcPr>
            <w:tcW w:w="2766"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7"/>
              <w:jc w:val="center"/>
              <w:rPr>
                <w:rFonts w:ascii="宋体" w:hAnsi="宋体" w:cs="宋体" w:eastAsia="宋体" w:hint="default"/>
                <w:sz w:val="21"/>
                <w:szCs w:val="21"/>
              </w:rPr>
            </w:pPr>
            <w:r>
              <w:rPr>
                <w:rFonts w:ascii="宋体" w:hAnsi="宋体" w:cs="宋体" w:eastAsia="宋体" w:hint="default"/>
                <w:sz w:val="21"/>
                <w:szCs w:val="21"/>
              </w:rPr>
              <w:t>未开展业务</w:t>
            </w:r>
          </w:p>
        </w:tc>
      </w:tr>
      <w:tr>
        <w:trPr>
          <w:trHeight w:val="352" w:hRule="exact"/>
        </w:trPr>
        <w:tc>
          <w:tcPr>
            <w:tcW w:w="411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湖南茂硕新能源科技有限公司</w:t>
            </w:r>
          </w:p>
        </w:tc>
        <w:tc>
          <w:tcPr>
            <w:tcW w:w="27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935"/>
              <w:jc w:val="right"/>
              <w:rPr>
                <w:rFonts w:ascii="Times New Roman" w:hAnsi="Times New Roman" w:cs="Times New Roman" w:eastAsia="Times New Roman" w:hint="default"/>
                <w:sz w:val="21"/>
                <w:szCs w:val="21"/>
              </w:rPr>
            </w:pPr>
            <w:r>
              <w:rPr>
                <w:rFonts w:ascii="Times New Roman"/>
                <w:spacing w:val="-1"/>
                <w:sz w:val="21"/>
              </w:rPr>
              <w:t>2015-11-5</w:t>
            </w:r>
          </w:p>
        </w:tc>
        <w:tc>
          <w:tcPr>
            <w:tcW w:w="2766"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7"/>
              <w:jc w:val="center"/>
              <w:rPr>
                <w:rFonts w:ascii="宋体" w:hAnsi="宋体" w:cs="宋体" w:eastAsia="宋体" w:hint="default"/>
                <w:sz w:val="21"/>
                <w:szCs w:val="21"/>
              </w:rPr>
            </w:pPr>
            <w:r>
              <w:rPr>
                <w:rFonts w:ascii="宋体" w:hAnsi="宋体" w:cs="宋体" w:eastAsia="宋体" w:hint="default"/>
                <w:sz w:val="21"/>
                <w:szCs w:val="21"/>
              </w:rPr>
              <w:t>未开展业务</w:t>
            </w:r>
          </w:p>
        </w:tc>
      </w:tr>
      <w:tr>
        <w:trPr>
          <w:trHeight w:val="352" w:hRule="exact"/>
        </w:trPr>
        <w:tc>
          <w:tcPr>
            <w:tcW w:w="411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日照茂硕新能源科技有限公司</w:t>
            </w:r>
          </w:p>
        </w:tc>
        <w:tc>
          <w:tcPr>
            <w:tcW w:w="27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935"/>
              <w:jc w:val="right"/>
              <w:rPr>
                <w:rFonts w:ascii="Times New Roman" w:hAnsi="Times New Roman" w:cs="Times New Roman" w:eastAsia="Times New Roman" w:hint="default"/>
                <w:sz w:val="21"/>
                <w:szCs w:val="21"/>
              </w:rPr>
            </w:pPr>
            <w:r>
              <w:rPr>
                <w:rFonts w:ascii="Times New Roman"/>
                <w:spacing w:val="-1"/>
                <w:sz w:val="21"/>
              </w:rPr>
              <w:t>2015-12-2</w:t>
            </w:r>
          </w:p>
        </w:tc>
        <w:tc>
          <w:tcPr>
            <w:tcW w:w="2766"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7"/>
              <w:jc w:val="center"/>
              <w:rPr>
                <w:rFonts w:ascii="宋体" w:hAnsi="宋体" w:cs="宋体" w:eastAsia="宋体" w:hint="default"/>
                <w:sz w:val="21"/>
                <w:szCs w:val="21"/>
              </w:rPr>
            </w:pPr>
            <w:r>
              <w:rPr>
                <w:rFonts w:ascii="宋体" w:hAnsi="宋体" w:cs="宋体" w:eastAsia="宋体" w:hint="default"/>
                <w:sz w:val="21"/>
                <w:szCs w:val="21"/>
              </w:rPr>
              <w:t>未开展业务</w:t>
            </w:r>
          </w:p>
        </w:tc>
      </w:tr>
      <w:tr>
        <w:trPr>
          <w:trHeight w:val="353" w:hRule="exact"/>
        </w:trPr>
        <w:tc>
          <w:tcPr>
            <w:tcW w:w="411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灵武市茂硕新能源科技有限公司</w:t>
            </w:r>
          </w:p>
        </w:tc>
        <w:tc>
          <w:tcPr>
            <w:tcW w:w="27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882"/>
              <w:jc w:val="right"/>
              <w:rPr>
                <w:rFonts w:ascii="Times New Roman" w:hAnsi="Times New Roman" w:cs="Times New Roman" w:eastAsia="Times New Roman" w:hint="default"/>
                <w:sz w:val="21"/>
                <w:szCs w:val="21"/>
              </w:rPr>
            </w:pPr>
            <w:r>
              <w:rPr>
                <w:rFonts w:ascii="Times New Roman"/>
                <w:spacing w:val="-1"/>
                <w:sz w:val="21"/>
              </w:rPr>
              <w:t>2015-12-24</w:t>
            </w:r>
          </w:p>
        </w:tc>
        <w:tc>
          <w:tcPr>
            <w:tcW w:w="2766"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7"/>
              <w:jc w:val="center"/>
              <w:rPr>
                <w:rFonts w:ascii="宋体" w:hAnsi="宋体" w:cs="宋体" w:eastAsia="宋体" w:hint="default"/>
                <w:sz w:val="21"/>
                <w:szCs w:val="21"/>
              </w:rPr>
            </w:pPr>
            <w:r>
              <w:rPr>
                <w:rFonts w:ascii="宋体" w:hAnsi="宋体" w:cs="宋体" w:eastAsia="宋体" w:hint="default"/>
                <w:sz w:val="21"/>
                <w:szCs w:val="21"/>
              </w:rPr>
              <w:t>未开展业务</w:t>
            </w:r>
          </w:p>
        </w:tc>
      </w:tr>
      <w:tr>
        <w:trPr>
          <w:trHeight w:val="352" w:hRule="exact"/>
        </w:trPr>
        <w:tc>
          <w:tcPr>
            <w:tcW w:w="411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江苏茂硕新能源科技发展有限公司</w:t>
            </w:r>
          </w:p>
        </w:tc>
        <w:tc>
          <w:tcPr>
            <w:tcW w:w="27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882"/>
              <w:jc w:val="right"/>
              <w:rPr>
                <w:rFonts w:ascii="Times New Roman" w:hAnsi="Times New Roman" w:cs="Times New Roman" w:eastAsia="Times New Roman" w:hint="default"/>
                <w:sz w:val="21"/>
                <w:szCs w:val="21"/>
              </w:rPr>
            </w:pPr>
            <w:r>
              <w:rPr>
                <w:rFonts w:ascii="Times New Roman"/>
                <w:spacing w:val="-1"/>
                <w:sz w:val="21"/>
              </w:rPr>
              <w:t>2015-12-25</w:t>
            </w:r>
          </w:p>
        </w:tc>
        <w:tc>
          <w:tcPr>
            <w:tcW w:w="2766"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7"/>
              <w:jc w:val="center"/>
              <w:rPr>
                <w:rFonts w:ascii="宋体" w:hAnsi="宋体" w:cs="宋体" w:eastAsia="宋体" w:hint="default"/>
                <w:sz w:val="21"/>
                <w:szCs w:val="21"/>
              </w:rPr>
            </w:pPr>
            <w:r>
              <w:rPr>
                <w:rFonts w:ascii="宋体" w:hAnsi="宋体" w:cs="宋体" w:eastAsia="宋体" w:hint="default"/>
                <w:sz w:val="21"/>
                <w:szCs w:val="21"/>
              </w:rPr>
              <w:t>未开展业务</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Heading2"/>
        <w:spacing w:line="240" w:lineRule="auto" w:before="26"/>
        <w:ind w:left="154" w:right="0"/>
        <w:jc w:val="left"/>
        <w:rPr>
          <w:b w:val="0"/>
          <w:bCs w:val="0"/>
        </w:rPr>
      </w:pPr>
      <w:bookmarkStart w:name="九、聘任、解聘会计师事务所情况" w:id="72"/>
      <w:bookmarkEnd w:id="72"/>
      <w:r>
        <w:rPr>
          <w:b w:val="0"/>
          <w:bCs w:val="0"/>
        </w:rPr>
      </w:r>
      <w:r>
        <w:rPr/>
        <w:t>九、聘任、解聘会计师事务所情况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r>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李梅、杨轶彬</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40" w:lineRule="auto" w:before="116"/>
        <w:ind w:left="153" w:right="62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聘请内部控制审计会计师事务所、财务顾问或保荐人情况</w:t>
      </w:r>
    </w:p>
    <w:p>
      <w:pPr>
        <w:spacing w:before="4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年度报告披露后面临暂停上市和终止上市情况" w:id="73"/>
      <w:bookmarkEnd w:id="73"/>
      <w:r>
        <w:rPr>
          <w:b w:val="0"/>
          <w:bCs w:val="0"/>
        </w:rPr>
      </w:r>
      <w:r>
        <w:rPr/>
        <w:t>十、年度报告披露后面临暂停上市和终止上市情况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十一、破产重整相关事项" w:id="74"/>
      <w:bookmarkEnd w:id="74"/>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公司报告期未发生破产重整相关事项。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二、重大诉讼、仲裁事项" w:id="75"/>
      <w:bookmarkEnd w:id="75"/>
      <w:r>
        <w:rPr>
          <w:b w:val="0"/>
          <w:bCs w:val="0"/>
        </w:rPr>
      </w:r>
      <w:r>
        <w:rPr/>
        <w:t>十二、重大诉讼、仲裁事项</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560"/>
        <w:gridCol w:w="1072"/>
        <w:gridCol w:w="1248"/>
        <w:gridCol w:w="938"/>
        <w:gridCol w:w="1374"/>
        <w:gridCol w:w="1248"/>
        <w:gridCol w:w="1064"/>
        <w:gridCol w:w="1063"/>
      </w:tblGrid>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684" w:right="84" w:hanging="601"/>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p>
        </w:tc>
        <w:tc>
          <w:tcPr>
            <w:tcW w:w="10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50" w:right="23" w:hanging="328"/>
              <w:jc w:val="left"/>
              <w:rPr>
                <w:rFonts w:ascii="宋体" w:hAnsi="宋体" w:cs="宋体" w:eastAsia="宋体" w:hint="default"/>
                <w:sz w:val="18"/>
                <w:szCs w:val="18"/>
              </w:rPr>
            </w:pPr>
            <w:r>
              <w:rPr>
                <w:rFonts w:ascii="宋体" w:hAnsi="宋体" w:cs="宋体" w:eastAsia="宋体" w:hint="default"/>
                <w:spacing w:val="-11"/>
                <w:sz w:val="18"/>
                <w:szCs w:val="18"/>
              </w:rPr>
              <w:t>涉案金额（万</w:t>
            </w:r>
            <w:r>
              <w:rPr>
                <w:rFonts w:ascii="宋体" w:hAnsi="宋体" w:cs="宋体" w:eastAsia="宋体" w:hint="default"/>
                <w:sz w:val="18"/>
                <w:szCs w:val="18"/>
              </w:rPr>
              <w:t> 元）</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7" w:right="78" w:hanging="360"/>
              <w:jc w:val="left"/>
              <w:rPr>
                <w:rFonts w:ascii="宋体" w:hAnsi="宋体" w:cs="宋体" w:eastAsia="宋体" w:hint="default"/>
                <w:sz w:val="18"/>
                <w:szCs w:val="18"/>
              </w:rPr>
            </w:pPr>
            <w:r>
              <w:rPr>
                <w:rFonts w:ascii="宋体" w:hAnsi="宋体" w:cs="宋体" w:eastAsia="宋体" w:hint="default"/>
                <w:sz w:val="18"/>
                <w:szCs w:val="18"/>
              </w:rPr>
              <w:t>是否形成预计 负债</w:t>
            </w:r>
          </w:p>
        </w:tc>
        <w:tc>
          <w:tcPr>
            <w:tcW w:w="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84" w:right="42"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进展</w:t>
            </w:r>
          </w:p>
        </w:tc>
        <w:tc>
          <w:tcPr>
            <w:tcW w:w="1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31" w:right="80" w:hanging="15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 结果及影响</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67" w:right="108" w:hanging="6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 决执行情况</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58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87"/>
              <w:jc w:val="both"/>
              <w:rPr>
                <w:rFonts w:ascii="宋体" w:hAnsi="宋体" w:cs="宋体" w:eastAsia="宋体" w:hint="default"/>
                <w:sz w:val="18"/>
                <w:szCs w:val="18"/>
              </w:rPr>
            </w:pPr>
            <w:r>
              <w:rPr>
                <w:rFonts w:ascii="宋体" w:hAnsi="宋体" w:cs="宋体" w:eastAsia="宋体" w:hint="default"/>
                <w:sz w:val="18"/>
                <w:szCs w:val="18"/>
              </w:rPr>
              <w:t>公司起诉深圳中景 科创光电科技有限 公司拖延付款。广 东广晟光电科技有 限公司对所欠货款 承担连带责任。</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104.9</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22" w:right="185"/>
              <w:jc w:val="left"/>
              <w:rPr>
                <w:rFonts w:ascii="宋体" w:hAnsi="宋体" w:cs="宋体" w:eastAsia="宋体" w:hint="default"/>
                <w:sz w:val="18"/>
                <w:szCs w:val="18"/>
              </w:rPr>
            </w:pPr>
            <w:r>
              <w:rPr>
                <w:rFonts w:ascii="宋体" w:hAnsi="宋体" w:cs="宋体" w:eastAsia="宋体" w:hint="default"/>
                <w:sz w:val="18"/>
                <w:szCs w:val="18"/>
              </w:rPr>
              <w:t>法院已判 决</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2" w:right="79"/>
              <w:jc w:val="both"/>
              <w:rPr>
                <w:rFonts w:ascii="宋体" w:hAnsi="宋体" w:cs="宋体" w:eastAsia="宋体" w:hint="default"/>
                <w:sz w:val="18"/>
                <w:szCs w:val="18"/>
              </w:rPr>
            </w:pPr>
            <w:r>
              <w:rPr>
                <w:rFonts w:ascii="宋体" w:hAnsi="宋体" w:cs="宋体" w:eastAsia="宋体" w:hint="default"/>
                <w:sz w:val="18"/>
                <w:szCs w:val="18"/>
              </w:rPr>
              <w:t>完结，现公司正 申请进行财产诉 讼保全</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判决深圳中景 科创光电科技 有限公司支付 </w:t>
            </w:r>
            <w:r>
              <w:rPr>
                <w:rFonts w:ascii="宋体" w:hAnsi="宋体" w:cs="宋体" w:eastAsia="宋体" w:hint="default"/>
                <w:spacing w:val="-10"/>
                <w:sz w:val="18"/>
                <w:szCs w:val="18"/>
              </w:rPr>
              <w:t>拖延付款，广东</w:t>
            </w:r>
            <w:r>
              <w:rPr>
                <w:rFonts w:ascii="宋体" w:hAnsi="宋体" w:cs="宋体" w:eastAsia="宋体" w:hint="default"/>
                <w:sz w:val="18"/>
                <w:szCs w:val="18"/>
              </w:rPr>
              <w:t> 广晟光电科技 有限公司对所 欠货款承担连 带责任</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87"/>
              <w:jc w:val="both"/>
              <w:rPr>
                <w:rFonts w:ascii="宋体" w:hAnsi="宋体" w:cs="宋体" w:eastAsia="宋体" w:hint="default"/>
                <w:sz w:val="18"/>
                <w:szCs w:val="18"/>
              </w:rPr>
            </w:pPr>
            <w:r>
              <w:rPr>
                <w:rFonts w:ascii="宋体" w:hAnsi="宋体" w:cs="宋体" w:eastAsia="宋体" w:hint="default"/>
                <w:sz w:val="18"/>
                <w:szCs w:val="18"/>
              </w:rPr>
              <w:t>公司起诉福建省能 宝光电集团有限公 司拖延付款。</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189.66</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185"/>
              <w:jc w:val="left"/>
              <w:rPr>
                <w:rFonts w:ascii="宋体" w:hAnsi="宋体" w:cs="宋体" w:eastAsia="宋体" w:hint="default"/>
                <w:sz w:val="18"/>
                <w:szCs w:val="18"/>
              </w:rPr>
            </w:pPr>
            <w:r>
              <w:rPr>
                <w:rFonts w:ascii="宋体" w:hAnsi="宋体" w:cs="宋体" w:eastAsia="宋体" w:hint="default"/>
                <w:sz w:val="18"/>
                <w:szCs w:val="18"/>
              </w:rPr>
              <w:t>已向法院 起诉</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尚在审理中</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法院驳回福建 省能宝光电集 团有限公司对 本案管辖权提 </w:t>
            </w:r>
            <w:r>
              <w:rPr>
                <w:rFonts w:ascii="宋体" w:hAnsi="宋体" w:cs="宋体" w:eastAsia="宋体" w:hint="default"/>
                <w:spacing w:val="-10"/>
                <w:sz w:val="18"/>
                <w:szCs w:val="18"/>
              </w:rPr>
              <w:t>出的异议，诉讼</w:t>
            </w:r>
            <w:r>
              <w:rPr>
                <w:rFonts w:ascii="宋体" w:hAnsi="宋体" w:cs="宋体" w:eastAsia="宋体" w:hint="default"/>
                <w:sz w:val="18"/>
                <w:szCs w:val="18"/>
              </w:rPr>
              <w:t> 继续进行</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5"/>
              <w:jc w:val="left"/>
              <w:rPr>
                <w:rFonts w:ascii="宋体" w:hAnsi="宋体" w:cs="宋体" w:eastAsia="宋体" w:hint="default"/>
                <w:sz w:val="18"/>
                <w:szCs w:val="18"/>
              </w:rPr>
            </w:pPr>
            <w:r>
              <w:rPr>
                <w:rFonts w:ascii="宋体" w:hAnsi="宋体" w:cs="宋体" w:eastAsia="宋体" w:hint="default"/>
                <w:sz w:val="18"/>
                <w:szCs w:val="18"/>
              </w:rPr>
              <w:t>公司与美国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On-Q</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公司合作开发新式 整合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驱动器， 后因合作未果，根 据合同约定，公司 起诉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On-Q</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公司返 还预付的开发款和 年息成本。</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USD100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22" w:right="185"/>
              <w:jc w:val="left"/>
              <w:rPr>
                <w:rFonts w:ascii="宋体" w:hAnsi="宋体" w:cs="宋体" w:eastAsia="宋体" w:hint="default"/>
                <w:sz w:val="18"/>
                <w:szCs w:val="18"/>
              </w:rPr>
            </w:pPr>
            <w:r>
              <w:rPr>
                <w:rFonts w:ascii="宋体" w:hAnsi="宋体" w:cs="宋体" w:eastAsia="宋体" w:hint="default"/>
                <w:sz w:val="18"/>
                <w:szCs w:val="18"/>
              </w:rPr>
              <w:t>已向法院 起诉</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尚在审理中</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尚未判决</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3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91"/>
              <w:ind w:left="22" w:right="41"/>
              <w:jc w:val="both"/>
              <w:rPr>
                <w:rFonts w:ascii="宋体" w:hAnsi="宋体" w:cs="宋体" w:eastAsia="宋体" w:hint="default"/>
                <w:sz w:val="18"/>
                <w:szCs w:val="18"/>
              </w:rPr>
            </w:pPr>
            <w:r>
              <w:rPr>
                <w:rFonts w:ascii="Times New Roman" w:hAnsi="Times New Roman" w:cs="Times New Roman" w:eastAsia="Times New Roman" w:hint="default"/>
                <w:sz w:val="18"/>
                <w:szCs w:val="18"/>
              </w:rPr>
              <w:t>BRILLIANT</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INFO</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CORPORATION</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公</w:t>
            </w:r>
          </w:p>
          <w:p>
            <w:pPr>
              <w:pStyle w:val="TableParagraph"/>
              <w:spacing w:line="319" w:lineRule="auto"/>
              <w:ind w:left="22" w:right="85"/>
              <w:jc w:val="both"/>
              <w:rPr>
                <w:rFonts w:ascii="宋体" w:hAnsi="宋体" w:cs="宋体" w:eastAsia="宋体" w:hint="default"/>
                <w:sz w:val="18"/>
                <w:szCs w:val="18"/>
              </w:rPr>
            </w:pPr>
            <w:r>
              <w:rPr>
                <w:rFonts w:ascii="宋体" w:hAnsi="宋体" w:cs="宋体" w:eastAsia="宋体" w:hint="default"/>
                <w:sz w:val="18"/>
                <w:szCs w:val="18"/>
              </w:rPr>
              <w:t>司因合同纠纷起诉 香港茂硕和茂硕电 源（因协议中约定 在中国仲裁的相关 条款，待美国联邦</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USD320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319" w:lineRule="auto"/>
              <w:ind w:left="22" w:right="185"/>
              <w:jc w:val="both"/>
              <w:rPr>
                <w:rFonts w:ascii="宋体" w:hAnsi="宋体" w:cs="宋体" w:eastAsia="宋体" w:hint="default"/>
                <w:sz w:val="18"/>
                <w:szCs w:val="18"/>
              </w:rPr>
            </w:pPr>
            <w:r>
              <w:rPr>
                <w:rFonts w:ascii="宋体" w:hAnsi="宋体" w:cs="宋体" w:eastAsia="宋体" w:hint="default"/>
                <w:sz w:val="18"/>
                <w:szCs w:val="18"/>
              </w:rPr>
              <w:t>已被美国 法院驳回 起诉</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完结</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35"/>
              <w:jc w:val="left"/>
              <w:rPr>
                <w:rFonts w:ascii="宋体" w:hAnsi="宋体" w:cs="宋体" w:eastAsia="宋体" w:hint="default"/>
                <w:sz w:val="18"/>
                <w:szCs w:val="18"/>
              </w:rPr>
            </w:pPr>
            <w:r>
              <w:rPr>
                <w:rFonts w:ascii="宋体" w:hAnsi="宋体" w:cs="宋体" w:eastAsia="宋体" w:hint="default"/>
                <w:sz w:val="18"/>
                <w:szCs w:val="18"/>
              </w:rPr>
              <w:t>美国联邦地区 法院驳回了 </w:t>
            </w:r>
            <w:r>
              <w:rPr>
                <w:rFonts w:ascii="Times New Roman" w:hAnsi="Times New Roman" w:cs="Times New Roman" w:eastAsia="Times New Roman" w:hint="default"/>
                <w:sz w:val="18"/>
                <w:szCs w:val="18"/>
              </w:rPr>
              <w:t>BIC</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及其股东 在美国起诉茂 硕电源及香港 茂硕的裁决， 表示可按照协</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参见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4" w:lineRule="auto" w:before="63"/>
              <w:ind w:left="22" w:right="2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日刊 </w:t>
            </w:r>
            <w:r>
              <w:rPr>
                <w:rFonts w:ascii="宋体" w:hAnsi="宋体" w:cs="宋体" w:eastAsia="宋体" w:hint="default"/>
                <w:spacing w:val="-12"/>
                <w:sz w:val="18"/>
                <w:szCs w:val="18"/>
              </w:rPr>
              <w:t>登的：茂硕电</w:t>
            </w:r>
            <w:r>
              <w:rPr>
                <w:rFonts w:ascii="宋体" w:hAnsi="宋体" w:cs="宋体" w:eastAsia="宋体" w:hint="default"/>
                <w:sz w:val="18"/>
                <w:szCs w:val="18"/>
              </w:rPr>
              <w:t> 源关于诉讼 事项的进展 </w:t>
            </w:r>
            <w:r>
              <w:rPr>
                <w:rFonts w:ascii="宋体" w:hAnsi="宋体" w:cs="宋体" w:eastAsia="宋体" w:hint="default"/>
                <w:spacing w:val="-12"/>
                <w:sz w:val="18"/>
                <w:szCs w:val="18"/>
              </w:rPr>
              <w:t>公告。巨潮资</w:t>
            </w:r>
            <w:r>
              <w:rPr>
                <w:rFonts w:ascii="宋体" w:hAnsi="宋体" w:cs="宋体" w:eastAsia="宋体" w:hint="default"/>
                <w:sz w:val="18"/>
                <w:szCs w:val="18"/>
              </w:rPr>
              <w:t> 讯网</w:t>
            </w:r>
          </w:p>
        </w:tc>
      </w:tr>
    </w:tbl>
    <w:p>
      <w:pPr>
        <w:spacing w:after="0" w:line="314"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shape style="position:absolute;margin-left:74.757004pt;margin-top:72.47998pt;width:113.25pt;height:48.85pt;mso-position-horizontal-relative:page;mso-position-vertical-relative:page;z-index:-112516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移送中国仲裁）</w:t>
                  </w:r>
                </w:p>
              </w:txbxContent>
            </v:textbox>
            <w10:wrap type="none"/>
          </v:shape>
        </w:pict>
      </w:r>
      <w:r>
        <w:rPr/>
        <w:pict>
          <v:group style="position:absolute;margin-left:429pt;margin-top:72.47998pt;width:52.7pt;height:48.85pt;mso-position-horizontal-relative:page;mso-position-vertical-relative:page;z-index:-1125136" coordorigin="8580,1450" coordsize="1054,977">
            <v:shape style="position:absolute;left:8580;top:1450;width:1054;height:977" coordorigin="8580,1450" coordsize="1054,977" path="m8580,2426l9634,2426,9634,1450,8580,1450,8580,2426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1560"/>
        <w:gridCol w:w="1072"/>
        <w:gridCol w:w="1248"/>
        <w:gridCol w:w="938"/>
        <w:gridCol w:w="1374"/>
        <w:gridCol w:w="1248"/>
        <w:gridCol w:w="1064"/>
        <w:gridCol w:w="1063"/>
      </w:tblGrid>
      <w:tr>
        <w:trPr>
          <w:trHeight w:val="98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87"/>
              <w:jc w:val="both"/>
              <w:rPr>
                <w:rFonts w:ascii="宋体" w:hAnsi="宋体" w:cs="宋体" w:eastAsia="宋体" w:hint="default"/>
                <w:sz w:val="18"/>
                <w:szCs w:val="18"/>
              </w:rPr>
            </w:pPr>
            <w:r>
              <w:rPr>
                <w:rFonts w:ascii="宋体" w:hAnsi="宋体" w:cs="宋体" w:eastAsia="宋体" w:hint="default"/>
                <w:sz w:val="18"/>
                <w:szCs w:val="18"/>
              </w:rPr>
              <w:t>法院裁决是否驳回 </w:t>
            </w:r>
            <w:r>
              <w:rPr>
                <w:rFonts w:ascii="Times New Roman" w:hAnsi="Times New Roman" w:cs="Times New Roman" w:eastAsia="Times New Roman" w:hint="default"/>
                <w:sz w:val="18"/>
                <w:szCs w:val="18"/>
              </w:rPr>
              <w:t>BIC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公司在美国起 诉、</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976" w:lineRule="exact"/>
              <w:ind w:right="-49"/>
              <w:jc w:val="left"/>
              <w:rPr>
                <w:rFonts w:ascii="宋体" w:hAnsi="宋体" w:cs="宋体" w:eastAsia="宋体" w:hint="default"/>
                <w:sz w:val="20"/>
                <w:szCs w:val="20"/>
              </w:rPr>
            </w:pPr>
            <w:r>
              <w:rPr>
                <w:rFonts w:ascii="宋体" w:hAnsi="宋体" w:cs="宋体" w:eastAsia="宋体" w:hint="default"/>
                <w:position w:val="-19"/>
                <w:sz w:val="20"/>
                <w:szCs w:val="20"/>
              </w:rPr>
              <w:pict>
                <v:group style="width:53.05pt;height:48.85pt;mso-position-horizontal-relative:char;mso-position-vertical-relative:line" coordorigin="0,0" coordsize="1061,977">
                  <v:group style="position:absolute;left:0;top:0;width:1061;height:977" coordorigin="0,0" coordsize="1061,977">
                    <v:shape style="position:absolute;left:0;top:0;width:1061;height:977" coordorigin="0,0" coordsize="1061,977" path="m0,977l1061,977,1061,0,0,0,0,977xe" filled="true" fillcolor="#ffffff" stroked="false">
                      <v:path arrowok="t"/>
                      <v:fill type="solid"/>
                    </v:shape>
                  </v:group>
                </v:group>
              </w:pict>
            </w:r>
            <w:r>
              <w:rPr>
                <w:rFonts w:ascii="宋体" w:hAnsi="宋体" w:cs="宋体" w:eastAsia="宋体" w:hint="default"/>
                <w:position w:val="-19"/>
                <w:sz w:val="20"/>
                <w:szCs w:val="20"/>
              </w:rPr>
            </w:r>
          </w:p>
        </w:tc>
        <w:tc>
          <w:tcPr>
            <w:tcW w:w="1248"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35"/>
              <w:jc w:val="both"/>
              <w:rPr>
                <w:rFonts w:ascii="宋体" w:hAnsi="宋体" w:cs="宋体" w:eastAsia="宋体" w:hint="default"/>
                <w:sz w:val="18"/>
                <w:szCs w:val="18"/>
              </w:rPr>
            </w:pPr>
            <w:r>
              <w:rPr>
                <w:rFonts w:ascii="宋体" w:hAnsi="宋体" w:cs="宋体" w:eastAsia="宋体" w:hint="default"/>
                <w:sz w:val="18"/>
                <w:szCs w:val="18"/>
              </w:rPr>
              <w:t>议约定在中国 提起仲裁申请 无后续进展</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4">
              <w:r>
                <w:rPr>
                  <w:rFonts w:ascii="Times New Roman" w:hAnsi="Times New Roman" w:cs="Times New Roman" w:eastAsia="Times New Roman" w:hint="default"/>
                  <w:sz w:val="18"/>
                  <w:szCs w:val="18"/>
                </w:rPr>
                <w:t>http://www</w:t>
              </w:r>
            </w:hyperlink>
          </w:p>
          <w:p>
            <w:pPr>
              <w:pStyle w:val="TableParagraph"/>
              <w:spacing w:line="316" w:lineRule="auto" w:before="102"/>
              <w:ind w:left="22" w:right="43"/>
              <w:jc w:val="left"/>
              <w:rPr>
                <w:rFonts w:ascii="宋体" w:hAnsi="宋体" w:cs="宋体" w:eastAsia="宋体" w:hint="default"/>
                <w:sz w:val="18"/>
                <w:szCs w:val="18"/>
              </w:rPr>
            </w:pPr>
            <w:r>
              <w:rPr>
                <w:rFonts w:ascii="Times New Roman" w:hAnsi="Times New Roman" w:cs="Times New Roman" w:eastAsia="Times New Roman" w:hint="default"/>
                <w:sz w:val="18"/>
                <w:szCs w:val="18"/>
              </w:rPr>
              <w:t>.cninfo.com.c n</w:t>
            </w:r>
            <w:r>
              <w:rPr>
                <w:rFonts w:ascii="宋体" w:hAnsi="宋体" w:cs="宋体" w:eastAsia="宋体" w:hint="default"/>
                <w:sz w:val="18"/>
                <w:szCs w:val="18"/>
              </w:rPr>
              <w:t>）</w:t>
            </w:r>
          </w:p>
        </w:tc>
      </w:tr>
      <w:tr>
        <w:trPr>
          <w:trHeight w:val="357" w:hRule="exact"/>
        </w:trPr>
        <w:tc>
          <w:tcPr>
            <w:tcW w:w="15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深圳茂硕新能源科</w:t>
            </w:r>
          </w:p>
        </w:tc>
        <w:tc>
          <w:tcPr>
            <w:tcW w:w="1072" w:type="dxa"/>
            <w:tcBorders>
              <w:top w:val="single" w:sz="4" w:space="0" w:color="000000"/>
              <w:left w:val="single" w:sz="4" w:space="0" w:color="000000"/>
              <w:bottom w:val="nil" w:sz="6" w:space="0" w:color="auto"/>
              <w:right w:val="single" w:sz="4" w:space="0" w:color="000000"/>
            </w:tcBorders>
          </w:tcPr>
          <w:p>
            <w:pPr/>
          </w:p>
        </w:tc>
        <w:tc>
          <w:tcPr>
            <w:tcW w:w="1248" w:type="dxa"/>
            <w:tcBorders>
              <w:top w:val="single" w:sz="4" w:space="0" w:color="000000"/>
              <w:left w:val="single" w:sz="4" w:space="0" w:color="000000"/>
              <w:bottom w:val="nil" w:sz="6" w:space="0" w:color="auto"/>
              <w:right w:val="single" w:sz="4" w:space="0" w:color="000000"/>
            </w:tcBorders>
          </w:tcPr>
          <w:p>
            <w:pPr/>
          </w:p>
        </w:tc>
        <w:tc>
          <w:tcPr>
            <w:tcW w:w="938" w:type="dxa"/>
            <w:tcBorders>
              <w:top w:val="single" w:sz="4" w:space="0" w:color="000000"/>
              <w:left w:val="single" w:sz="4" w:space="0" w:color="000000"/>
              <w:bottom w:val="nil" w:sz="6" w:space="0" w:color="auto"/>
              <w:right w:val="single" w:sz="4" w:space="0" w:color="000000"/>
            </w:tcBorders>
          </w:tcPr>
          <w:p>
            <w:pPr/>
          </w:p>
        </w:tc>
        <w:tc>
          <w:tcPr>
            <w:tcW w:w="1374" w:type="dxa"/>
            <w:tcBorders>
              <w:top w:val="single" w:sz="4" w:space="0" w:color="000000"/>
              <w:left w:val="single" w:sz="4" w:space="0" w:color="000000"/>
              <w:bottom w:val="nil" w:sz="6" w:space="0" w:color="auto"/>
              <w:right w:val="single" w:sz="4" w:space="0" w:color="000000"/>
            </w:tcBorders>
          </w:tcPr>
          <w:p>
            <w:pPr/>
          </w:p>
        </w:tc>
        <w:tc>
          <w:tcPr>
            <w:tcW w:w="1248" w:type="dxa"/>
            <w:tcBorders>
              <w:top w:val="single" w:sz="4" w:space="0" w:color="000000"/>
              <w:left w:val="single" w:sz="4" w:space="0" w:color="000000"/>
              <w:bottom w:val="nil" w:sz="6" w:space="0" w:color="auto"/>
              <w:right w:val="single" w:sz="4" w:space="0" w:color="000000"/>
            </w:tcBorders>
          </w:tcPr>
          <w:p>
            <w:pPr/>
          </w:p>
        </w:tc>
        <w:tc>
          <w:tcPr>
            <w:tcW w:w="1064"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r>
      <w:tr>
        <w:trPr>
          <w:trHeight w:val="624"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87"/>
              <w:jc w:val="left"/>
              <w:rPr>
                <w:rFonts w:ascii="宋体" w:hAnsi="宋体" w:cs="宋体" w:eastAsia="宋体" w:hint="default"/>
                <w:sz w:val="18"/>
                <w:szCs w:val="18"/>
              </w:rPr>
            </w:pPr>
            <w:r>
              <w:rPr>
                <w:rFonts w:ascii="宋体" w:hAnsi="宋体" w:cs="宋体" w:eastAsia="宋体" w:hint="default"/>
                <w:sz w:val="18"/>
                <w:szCs w:val="18"/>
              </w:rPr>
              <w:t>技有限公司诉陕西 易兆通新能源科技</w:t>
            </w:r>
          </w:p>
        </w:tc>
        <w:tc>
          <w:tcPr>
            <w:tcW w:w="107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3"/>
                <w:sz w:val="18"/>
              </w:rPr>
              <w:t>111.65</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已开庭</w:t>
            </w:r>
          </w:p>
        </w:tc>
        <w:tc>
          <w:tcPr>
            <w:tcW w:w="13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尚在审理中</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尚未判决</w:t>
            </w: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57" w:hRule="exact"/>
        </w:trPr>
        <w:tc>
          <w:tcPr>
            <w:tcW w:w="15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有限公司拖延付款</w:t>
            </w:r>
          </w:p>
        </w:tc>
        <w:tc>
          <w:tcPr>
            <w:tcW w:w="1072" w:type="dxa"/>
            <w:tcBorders>
              <w:top w:val="nil" w:sz="6" w:space="0" w:color="auto"/>
              <w:left w:val="single" w:sz="4" w:space="0" w:color="000000"/>
              <w:bottom w:val="single" w:sz="4" w:space="0" w:color="000000"/>
              <w:right w:val="single" w:sz="4" w:space="0" w:color="000000"/>
            </w:tcBorders>
          </w:tcPr>
          <w:p>
            <w:pPr/>
          </w:p>
        </w:tc>
        <w:tc>
          <w:tcPr>
            <w:tcW w:w="1248" w:type="dxa"/>
            <w:tcBorders>
              <w:top w:val="nil" w:sz="6" w:space="0" w:color="auto"/>
              <w:left w:val="single" w:sz="4" w:space="0" w:color="000000"/>
              <w:bottom w:val="single" w:sz="4" w:space="0" w:color="000000"/>
              <w:right w:val="single" w:sz="4" w:space="0" w:color="000000"/>
            </w:tcBorders>
          </w:tcPr>
          <w:p>
            <w:pPr/>
          </w:p>
        </w:tc>
        <w:tc>
          <w:tcPr>
            <w:tcW w:w="938" w:type="dxa"/>
            <w:tcBorders>
              <w:top w:val="nil" w:sz="6" w:space="0" w:color="auto"/>
              <w:left w:val="single" w:sz="4" w:space="0" w:color="000000"/>
              <w:bottom w:val="single" w:sz="4" w:space="0" w:color="000000"/>
              <w:right w:val="single" w:sz="4" w:space="0" w:color="000000"/>
            </w:tcBorders>
          </w:tcPr>
          <w:p>
            <w:pPr/>
          </w:p>
        </w:tc>
        <w:tc>
          <w:tcPr>
            <w:tcW w:w="1374" w:type="dxa"/>
            <w:tcBorders>
              <w:top w:val="nil" w:sz="6" w:space="0" w:color="auto"/>
              <w:left w:val="single" w:sz="4" w:space="0" w:color="000000"/>
              <w:bottom w:val="single" w:sz="4" w:space="0" w:color="000000"/>
              <w:right w:val="single" w:sz="4" w:space="0" w:color="000000"/>
            </w:tcBorders>
          </w:tcPr>
          <w:p>
            <w:pPr/>
          </w:p>
        </w:tc>
        <w:tc>
          <w:tcPr>
            <w:tcW w:w="1248" w:type="dxa"/>
            <w:tcBorders>
              <w:top w:val="nil" w:sz="6" w:space="0" w:color="auto"/>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r>
      <w:tr>
        <w:trPr>
          <w:trHeight w:val="361" w:hRule="exact"/>
        </w:trPr>
        <w:tc>
          <w:tcPr>
            <w:tcW w:w="15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公司申请仲裁</w:t>
            </w:r>
          </w:p>
        </w:tc>
        <w:tc>
          <w:tcPr>
            <w:tcW w:w="1072" w:type="dxa"/>
            <w:tcBorders>
              <w:top w:val="single" w:sz="4" w:space="0" w:color="000000"/>
              <w:left w:val="single" w:sz="4" w:space="0" w:color="000000"/>
              <w:bottom w:val="nil" w:sz="6" w:space="0" w:color="auto"/>
              <w:right w:val="single" w:sz="4" w:space="0" w:color="000000"/>
            </w:tcBorders>
          </w:tcPr>
          <w:p>
            <w:pPr/>
          </w:p>
        </w:tc>
        <w:tc>
          <w:tcPr>
            <w:tcW w:w="1248" w:type="dxa"/>
            <w:tcBorders>
              <w:top w:val="single" w:sz="4" w:space="0" w:color="000000"/>
              <w:left w:val="single" w:sz="4" w:space="0" w:color="000000"/>
              <w:bottom w:val="nil" w:sz="6" w:space="0" w:color="auto"/>
              <w:right w:val="single" w:sz="4" w:space="0" w:color="000000"/>
            </w:tcBorders>
          </w:tcPr>
          <w:p>
            <w:pPr/>
          </w:p>
        </w:tc>
        <w:tc>
          <w:tcPr>
            <w:tcW w:w="938" w:type="dxa"/>
            <w:tcBorders>
              <w:top w:val="single" w:sz="4" w:space="0" w:color="000000"/>
              <w:left w:val="single" w:sz="4" w:space="0" w:color="000000"/>
              <w:bottom w:val="nil" w:sz="6" w:space="0" w:color="auto"/>
              <w:right w:val="single" w:sz="4" w:space="0" w:color="000000"/>
            </w:tcBorders>
          </w:tcPr>
          <w:p>
            <w:pPr/>
          </w:p>
        </w:tc>
        <w:tc>
          <w:tcPr>
            <w:tcW w:w="1374" w:type="dxa"/>
            <w:tcBorders>
              <w:top w:val="single" w:sz="4" w:space="0" w:color="000000"/>
              <w:left w:val="single" w:sz="4" w:space="0" w:color="000000"/>
              <w:bottom w:val="nil" w:sz="6" w:space="0" w:color="auto"/>
              <w:right w:val="single" w:sz="4" w:space="0" w:color="000000"/>
            </w:tcBorders>
          </w:tcPr>
          <w:p>
            <w:pPr/>
          </w:p>
        </w:tc>
        <w:tc>
          <w:tcPr>
            <w:tcW w:w="1248" w:type="dxa"/>
            <w:tcBorders>
              <w:top w:val="single" w:sz="4" w:space="0" w:color="000000"/>
              <w:left w:val="single" w:sz="4" w:space="0" w:color="000000"/>
              <w:bottom w:val="nil" w:sz="6" w:space="0" w:color="auto"/>
              <w:right w:val="single" w:sz="4" w:space="0" w:color="000000"/>
            </w:tcBorders>
          </w:tcPr>
          <w:p>
            <w:pPr/>
          </w:p>
        </w:tc>
        <w:tc>
          <w:tcPr>
            <w:tcW w:w="1064"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r>
      <w:tr>
        <w:trPr>
          <w:trHeight w:val="932"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316" w:lineRule="auto" w:before="46"/>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BRILLIANT</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INFO</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CORPORATION</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公</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司未支付货款的行</w:t>
            </w:r>
          </w:p>
        </w:tc>
        <w:tc>
          <w:tcPr>
            <w:tcW w:w="107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23"/>
              <w:jc w:val="right"/>
              <w:rPr>
                <w:rFonts w:ascii="Times New Roman" w:hAnsi="Times New Roman" w:cs="Times New Roman" w:eastAsia="Times New Roman" w:hint="default"/>
                <w:sz w:val="18"/>
                <w:szCs w:val="18"/>
              </w:rPr>
            </w:pPr>
            <w:r>
              <w:rPr>
                <w:rFonts w:ascii="Times New Roman"/>
                <w:spacing w:val="-1"/>
                <w:sz w:val="18"/>
              </w:rPr>
              <w:t>USD86.95</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22" w:right="185"/>
              <w:jc w:val="left"/>
              <w:rPr>
                <w:rFonts w:ascii="宋体" w:hAnsi="宋体" w:cs="宋体" w:eastAsia="宋体" w:hint="default"/>
                <w:sz w:val="18"/>
                <w:szCs w:val="18"/>
              </w:rPr>
            </w:pPr>
            <w:r>
              <w:rPr>
                <w:rFonts w:ascii="宋体" w:hAnsi="宋体" w:cs="宋体" w:eastAsia="宋体" w:hint="default"/>
                <w:sz w:val="18"/>
                <w:szCs w:val="18"/>
              </w:rPr>
              <w:t>提出仲裁 申请书</w:t>
            </w:r>
          </w:p>
        </w:tc>
        <w:tc>
          <w:tcPr>
            <w:tcW w:w="137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尚在审理中</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尚未判决</w:t>
            </w: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57" w:hRule="exact"/>
        </w:trPr>
        <w:tc>
          <w:tcPr>
            <w:tcW w:w="15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为</w:t>
            </w:r>
          </w:p>
        </w:tc>
        <w:tc>
          <w:tcPr>
            <w:tcW w:w="1072" w:type="dxa"/>
            <w:tcBorders>
              <w:top w:val="nil" w:sz="6" w:space="0" w:color="auto"/>
              <w:left w:val="single" w:sz="4" w:space="0" w:color="000000"/>
              <w:bottom w:val="single" w:sz="4" w:space="0" w:color="000000"/>
              <w:right w:val="single" w:sz="4" w:space="0" w:color="000000"/>
            </w:tcBorders>
          </w:tcPr>
          <w:p>
            <w:pPr/>
          </w:p>
        </w:tc>
        <w:tc>
          <w:tcPr>
            <w:tcW w:w="1248" w:type="dxa"/>
            <w:tcBorders>
              <w:top w:val="nil" w:sz="6" w:space="0" w:color="auto"/>
              <w:left w:val="single" w:sz="4" w:space="0" w:color="000000"/>
              <w:bottom w:val="single" w:sz="4" w:space="0" w:color="000000"/>
              <w:right w:val="single" w:sz="4" w:space="0" w:color="000000"/>
            </w:tcBorders>
          </w:tcPr>
          <w:p>
            <w:pPr/>
          </w:p>
        </w:tc>
        <w:tc>
          <w:tcPr>
            <w:tcW w:w="938" w:type="dxa"/>
            <w:tcBorders>
              <w:top w:val="nil" w:sz="6" w:space="0" w:color="auto"/>
              <w:left w:val="single" w:sz="4" w:space="0" w:color="000000"/>
              <w:bottom w:val="single" w:sz="4" w:space="0" w:color="000000"/>
              <w:right w:val="single" w:sz="4" w:space="0" w:color="000000"/>
            </w:tcBorders>
          </w:tcPr>
          <w:p>
            <w:pPr/>
          </w:p>
        </w:tc>
        <w:tc>
          <w:tcPr>
            <w:tcW w:w="1374" w:type="dxa"/>
            <w:tcBorders>
              <w:top w:val="nil" w:sz="6" w:space="0" w:color="auto"/>
              <w:left w:val="single" w:sz="4" w:space="0" w:color="000000"/>
              <w:bottom w:val="single" w:sz="4" w:space="0" w:color="000000"/>
              <w:right w:val="single" w:sz="4" w:space="0" w:color="000000"/>
            </w:tcBorders>
          </w:tcPr>
          <w:p>
            <w:pPr/>
          </w:p>
        </w:tc>
        <w:tc>
          <w:tcPr>
            <w:tcW w:w="1248" w:type="dxa"/>
            <w:tcBorders>
              <w:top w:val="nil" w:sz="6" w:space="0" w:color="auto"/>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r>
      <w:tr>
        <w:trPr>
          <w:trHeight w:val="357" w:hRule="exact"/>
        </w:trPr>
        <w:tc>
          <w:tcPr>
            <w:tcW w:w="15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深圳茂硕新能源科</w:t>
            </w:r>
          </w:p>
        </w:tc>
        <w:tc>
          <w:tcPr>
            <w:tcW w:w="1072" w:type="dxa"/>
            <w:tcBorders>
              <w:top w:val="single" w:sz="4" w:space="0" w:color="000000"/>
              <w:left w:val="single" w:sz="4" w:space="0" w:color="000000"/>
              <w:bottom w:val="nil" w:sz="6" w:space="0" w:color="auto"/>
              <w:right w:val="single" w:sz="4" w:space="0" w:color="000000"/>
            </w:tcBorders>
          </w:tcPr>
          <w:p>
            <w:pPr/>
          </w:p>
        </w:tc>
        <w:tc>
          <w:tcPr>
            <w:tcW w:w="1248" w:type="dxa"/>
            <w:tcBorders>
              <w:top w:val="single" w:sz="4" w:space="0" w:color="000000"/>
              <w:left w:val="single" w:sz="4" w:space="0" w:color="000000"/>
              <w:bottom w:val="nil" w:sz="6" w:space="0" w:color="auto"/>
              <w:right w:val="single" w:sz="4" w:space="0" w:color="000000"/>
            </w:tcBorders>
          </w:tcPr>
          <w:p>
            <w:pPr/>
          </w:p>
        </w:tc>
        <w:tc>
          <w:tcPr>
            <w:tcW w:w="938" w:type="dxa"/>
            <w:tcBorders>
              <w:top w:val="single" w:sz="4" w:space="0" w:color="000000"/>
              <w:left w:val="single" w:sz="4" w:space="0" w:color="000000"/>
              <w:bottom w:val="nil" w:sz="6" w:space="0" w:color="auto"/>
              <w:right w:val="single" w:sz="4" w:space="0" w:color="000000"/>
            </w:tcBorders>
          </w:tcPr>
          <w:p>
            <w:pPr/>
          </w:p>
        </w:tc>
        <w:tc>
          <w:tcPr>
            <w:tcW w:w="1374" w:type="dxa"/>
            <w:tcBorders>
              <w:top w:val="single" w:sz="4" w:space="0" w:color="000000"/>
              <w:left w:val="single" w:sz="4" w:space="0" w:color="000000"/>
              <w:bottom w:val="nil" w:sz="6" w:space="0" w:color="auto"/>
              <w:right w:val="single" w:sz="4" w:space="0" w:color="000000"/>
            </w:tcBorders>
          </w:tcPr>
          <w:p>
            <w:pPr/>
          </w:p>
        </w:tc>
        <w:tc>
          <w:tcPr>
            <w:tcW w:w="1248" w:type="dxa"/>
            <w:tcBorders>
              <w:top w:val="single" w:sz="4" w:space="0" w:color="000000"/>
              <w:left w:val="single" w:sz="4" w:space="0" w:color="000000"/>
              <w:bottom w:val="nil" w:sz="6" w:space="0" w:color="auto"/>
              <w:right w:val="single" w:sz="4" w:space="0" w:color="000000"/>
            </w:tcBorders>
          </w:tcPr>
          <w:p>
            <w:pPr/>
          </w:p>
        </w:tc>
        <w:tc>
          <w:tcPr>
            <w:tcW w:w="1064"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r>
      <w:tr>
        <w:trPr>
          <w:trHeight w:val="311"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技有限公司申请仲</w:t>
            </w:r>
          </w:p>
        </w:tc>
        <w:tc>
          <w:tcPr>
            <w:tcW w:w="1072"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
        </w:tc>
        <w:tc>
          <w:tcPr>
            <w:tcW w:w="1374"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1248"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307" w:lineRule="auto" w:before="10"/>
              <w:ind w:left="22" w:right="87"/>
              <w:jc w:val="left"/>
              <w:rPr>
                <w:rFonts w:ascii="宋体" w:hAnsi="宋体" w:cs="宋体" w:eastAsia="宋体" w:hint="default"/>
                <w:sz w:val="18"/>
                <w:szCs w:val="18"/>
              </w:rPr>
            </w:pPr>
            <w:r>
              <w:rPr>
                <w:rFonts w:ascii="宋体" w:hAnsi="宋体" w:cs="宋体" w:eastAsia="宋体" w:hint="default"/>
                <w:sz w:val="18"/>
                <w:szCs w:val="18"/>
              </w:rPr>
              <w:t>裁，要求</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Energy Solar Pty</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Ltd.</w:t>
            </w:r>
            <w:r>
              <w:rPr>
                <w:rFonts w:ascii="宋体" w:hAnsi="宋体" w:cs="宋体" w:eastAsia="宋体" w:hint="default"/>
                <w:sz w:val="18"/>
                <w:szCs w:val="18"/>
              </w:rPr>
              <w:t>支付</w:t>
            </w:r>
            <w:r>
              <w:rPr>
                <w:rFonts w:ascii="宋体" w:hAnsi="宋体" w:cs="宋体" w:eastAsia="宋体" w:hint="default"/>
                <w:spacing w:val="-2"/>
                <w:sz w:val="18"/>
                <w:szCs w:val="18"/>
              </w:rPr>
              <w:t> </w:t>
            </w:r>
            <w:r>
              <w:rPr>
                <w:rFonts w:ascii="宋体" w:hAnsi="宋体" w:cs="宋体" w:eastAsia="宋体" w:hint="default"/>
                <w:sz w:val="18"/>
                <w:szCs w:val="18"/>
              </w:rPr>
              <w:t>货款本金及相关费</w:t>
            </w:r>
            <w:r>
              <w:rPr>
                <w:rFonts w:ascii="宋体" w:hAnsi="宋体" w:cs="宋体" w:eastAsia="宋体" w:hint="default"/>
                <w:sz w:val="18"/>
                <w:szCs w:val="18"/>
              </w:rPr>
              <w:t> 用，并申请由</w:t>
            </w:r>
          </w:p>
        </w:tc>
        <w:tc>
          <w:tcPr>
            <w:tcW w:w="107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62" w:lineRule="auto" w:before="128"/>
              <w:ind w:left="93" w:right="21" w:firstLine="585"/>
              <w:jc w:val="left"/>
              <w:rPr>
                <w:rFonts w:ascii="Times New Roman" w:hAnsi="Times New Roman" w:cs="Times New Roman" w:eastAsia="Times New Roman" w:hint="default"/>
                <w:sz w:val="18"/>
                <w:szCs w:val="18"/>
              </w:rPr>
            </w:pPr>
            <w:r>
              <w:rPr>
                <w:rFonts w:ascii="Times New Roman"/>
                <w:sz w:val="18"/>
              </w:rPr>
              <w:t>USD</w:t>
            </w:r>
            <w:r>
              <w:rPr>
                <w:rFonts w:ascii="Times New Roman"/>
                <w:spacing w:val="-1"/>
                <w:w w:val="99"/>
                <w:sz w:val="18"/>
              </w:rPr>
              <w:t> </w:t>
            </w:r>
            <w:r>
              <w:rPr>
                <w:rFonts w:ascii="Times New Roman"/>
                <w:sz w:val="18"/>
              </w:rPr>
              <w:t>1,039,154.00</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2" w:right="185"/>
              <w:jc w:val="both"/>
              <w:rPr>
                <w:rFonts w:ascii="宋体" w:hAnsi="宋体" w:cs="宋体" w:eastAsia="宋体" w:hint="default"/>
                <w:sz w:val="18"/>
                <w:szCs w:val="18"/>
              </w:rPr>
            </w:pPr>
            <w:r>
              <w:rPr>
                <w:rFonts w:ascii="宋体" w:hAnsi="宋体" w:cs="宋体" w:eastAsia="宋体" w:hint="default"/>
                <w:sz w:val="18"/>
                <w:szCs w:val="18"/>
              </w:rPr>
              <w:t>已提交申 请仲裁的 材料</w:t>
            </w:r>
          </w:p>
        </w:tc>
        <w:tc>
          <w:tcPr>
            <w:tcW w:w="13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等待受理</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尚未仲裁</w:t>
            </w: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8"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Conrad Stath</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承担</w:t>
            </w:r>
          </w:p>
        </w:tc>
        <w:tc>
          <w:tcPr>
            <w:tcW w:w="1072"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
        </w:tc>
        <w:tc>
          <w:tcPr>
            <w:tcW w:w="1374"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52" w:hRule="exact"/>
        </w:trPr>
        <w:tc>
          <w:tcPr>
            <w:tcW w:w="15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连带清偿责任</w:t>
            </w:r>
          </w:p>
        </w:tc>
        <w:tc>
          <w:tcPr>
            <w:tcW w:w="1072" w:type="dxa"/>
            <w:tcBorders>
              <w:top w:val="nil" w:sz="6" w:space="0" w:color="auto"/>
              <w:left w:val="single" w:sz="4" w:space="0" w:color="000000"/>
              <w:bottom w:val="single" w:sz="4" w:space="0" w:color="000000"/>
              <w:right w:val="single" w:sz="4" w:space="0" w:color="000000"/>
            </w:tcBorders>
          </w:tcPr>
          <w:p>
            <w:pPr/>
          </w:p>
        </w:tc>
        <w:tc>
          <w:tcPr>
            <w:tcW w:w="1248" w:type="dxa"/>
            <w:tcBorders>
              <w:top w:val="nil" w:sz="6" w:space="0" w:color="auto"/>
              <w:left w:val="single" w:sz="4" w:space="0" w:color="000000"/>
              <w:bottom w:val="single" w:sz="4" w:space="0" w:color="000000"/>
              <w:right w:val="single" w:sz="4" w:space="0" w:color="000000"/>
            </w:tcBorders>
          </w:tcPr>
          <w:p>
            <w:pPr/>
          </w:p>
        </w:tc>
        <w:tc>
          <w:tcPr>
            <w:tcW w:w="938" w:type="dxa"/>
            <w:tcBorders>
              <w:top w:val="nil" w:sz="6" w:space="0" w:color="auto"/>
              <w:left w:val="single" w:sz="4" w:space="0" w:color="000000"/>
              <w:bottom w:val="single" w:sz="4" w:space="0" w:color="000000"/>
              <w:right w:val="single" w:sz="4" w:space="0" w:color="000000"/>
            </w:tcBorders>
          </w:tcPr>
          <w:p>
            <w:pPr/>
          </w:p>
        </w:tc>
        <w:tc>
          <w:tcPr>
            <w:tcW w:w="1374" w:type="dxa"/>
            <w:tcBorders>
              <w:top w:val="nil" w:sz="6" w:space="0" w:color="auto"/>
              <w:left w:val="single" w:sz="4" w:space="0" w:color="000000"/>
              <w:bottom w:val="single" w:sz="4" w:space="0" w:color="000000"/>
              <w:right w:val="single" w:sz="4" w:space="0" w:color="000000"/>
            </w:tcBorders>
          </w:tcPr>
          <w:p>
            <w:pPr/>
          </w:p>
        </w:tc>
        <w:tc>
          <w:tcPr>
            <w:tcW w:w="1248" w:type="dxa"/>
            <w:tcBorders>
              <w:top w:val="nil" w:sz="6" w:space="0" w:color="auto"/>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三、处罚及整改情况" w:id="76"/>
      <w:bookmarkEnd w:id="76"/>
      <w:r>
        <w:rPr>
          <w:b w:val="0"/>
          <w:bCs w:val="0"/>
        </w:rPr>
      </w:r>
      <w:r>
        <w:rPr/>
        <w:t>十三、处罚及整改情况</w:t>
      </w:r>
      <w:r>
        <w:rPr>
          <w:b w:val="0"/>
          <w:bCs w:val="0"/>
        </w:rPr>
      </w:r>
    </w:p>
    <w:p>
      <w:pPr>
        <w:spacing w:line="240" w:lineRule="auto" w:before="7"/>
        <w:rPr>
          <w:rFonts w:ascii="宋体" w:hAnsi="宋体" w:cs="宋体" w:eastAsia="宋体" w:hint="default"/>
          <w:b/>
          <w:bCs/>
          <w:sz w:val="26"/>
          <w:szCs w:val="26"/>
        </w:rPr>
      </w:pPr>
    </w:p>
    <w:p>
      <w:pPr>
        <w:spacing w:line="338" w:lineRule="auto" w:before="0"/>
        <w:ind w:left="153" w:right="78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四、公司及其控股股东、实际控制人的诚信状况" w:id="77"/>
      <w:bookmarkEnd w:id="77"/>
      <w:r>
        <w:rPr>
          <w:b w:val="0"/>
          <w:bCs w:val="0"/>
        </w:rPr>
      </w:r>
      <w:r>
        <w:rPr/>
        <w:t>十四、公司及其控股股东、实际控制人的诚信状况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292" w:lineRule="auto" w:before="0"/>
        <w:ind w:right="0"/>
        <w:jc w:val="left"/>
      </w:pPr>
      <w:r>
        <w:rPr>
          <w:rFonts w:ascii="Times New Roman" w:hAnsi="Times New Roman" w:cs="Times New Roman" w:eastAsia="Times New Roman" w:hint="default"/>
          <w:sz w:val="18"/>
          <w:szCs w:val="18"/>
        </w:rPr>
        <w:t>√ </w:t>
      </w:r>
      <w:r>
        <w:rPr>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sz w:val="18"/>
          <w:szCs w:val="18"/>
        </w:rPr>
        <w:t>不适用 </w:t>
      </w:r>
      <w:r>
        <w:rPr>
          <w:spacing w:val="-1"/>
        </w:rPr>
        <w:t>报告期内，公司控股股东、实际控制人不存在未履行法院生效判决，不存在数额较大债务到期未清偿等不</w:t>
      </w:r>
      <w:r>
        <w:rPr>
          <w:spacing w:val="-83"/>
        </w:rPr>
        <w:t> </w:t>
      </w:r>
      <w:r>
        <w:rPr>
          <w:spacing w:val="-83"/>
        </w:rPr>
      </w:r>
      <w:r>
        <w:rPr/>
        <w:t>良诚信状况。</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Heading2"/>
        <w:spacing w:line="240" w:lineRule="auto"/>
        <w:ind w:right="0"/>
        <w:jc w:val="left"/>
        <w:rPr>
          <w:b w:val="0"/>
          <w:bCs w:val="0"/>
        </w:rPr>
      </w:pPr>
      <w:bookmarkStart w:name="十五、公司股权激励计划、员工持股计划或其他员工激励措施的实施情况" w:id="78"/>
      <w:bookmarkEnd w:id="78"/>
      <w:r>
        <w:rPr>
          <w:b w:val="0"/>
          <w:bCs w:val="0"/>
        </w:rPr>
      </w:r>
      <w:r>
        <w:rPr/>
        <w:t>十五、公司股权激励计划、员工持股计划或其他员工激励措施的实施情况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300" w:lineRule="auto" w:before="115"/>
        <w:ind w:left="153" w:right="1033" w:firstLine="36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2015</w:t>
      </w:r>
      <w:r>
        <w:rPr>
          <w:rFonts w:ascii="宋体" w:hAnsi="宋体" w:cs="宋体" w:eastAsia="宋体" w:hint="default"/>
          <w:spacing w:val="-6"/>
          <w:sz w:val="18"/>
          <w:szCs w:val="18"/>
        </w:rPr>
        <w:t>年</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月</w:t>
      </w:r>
      <w:r>
        <w:rPr>
          <w:rFonts w:ascii="Times New Roman" w:hAnsi="Times New Roman" w:cs="Times New Roman" w:eastAsia="Times New Roman" w:hint="default"/>
          <w:spacing w:val="-6"/>
          <w:sz w:val="18"/>
          <w:szCs w:val="18"/>
        </w:rPr>
        <w:t>12</w:t>
      </w:r>
      <w:r>
        <w:rPr>
          <w:rFonts w:ascii="宋体" w:hAnsi="宋体" w:cs="宋体" w:eastAsia="宋体" w:hint="default"/>
          <w:spacing w:val="-6"/>
          <w:sz w:val="18"/>
          <w:szCs w:val="18"/>
        </w:rPr>
        <w:t>日，公司召开了第三届董事会</w:t>
      </w:r>
      <w:r>
        <w:rPr>
          <w:rFonts w:ascii="Times New Roman" w:hAnsi="Times New Roman" w:cs="Times New Roman" w:eastAsia="Times New Roman" w:hint="default"/>
          <w:spacing w:val="-6"/>
          <w:sz w:val="18"/>
          <w:szCs w:val="18"/>
        </w:rPr>
        <w:t>2015</w:t>
      </w:r>
      <w:r>
        <w:rPr>
          <w:rFonts w:ascii="宋体" w:hAnsi="宋体" w:cs="宋体" w:eastAsia="宋体" w:hint="default"/>
          <w:spacing w:val="-6"/>
          <w:sz w:val="18"/>
          <w:szCs w:val="18"/>
        </w:rPr>
        <w:t>年第</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次临时会议，审议通过了《关于向激励对象授予限制性股票的议案》。</w:t>
      </w:r>
      <w:r>
        <w:rPr>
          <w:rFonts w:ascii="宋体" w:hAnsi="宋体" w:cs="宋体" w:eastAsia="宋体" w:hint="default"/>
          <w:sz w:val="18"/>
          <w:szCs w:val="18"/>
        </w:rPr>
        <w:t> 公司独立董事对相关事项发表了独立意见。同日，公司召开了第三届监事会</w:t>
      </w:r>
      <w:r>
        <w:rPr>
          <w:rFonts w:ascii="Times New Roman" w:hAnsi="Times New Roman" w:cs="Times New Roman" w:eastAsia="Times New Roman" w:hint="default"/>
          <w:sz w:val="18"/>
          <w:szCs w:val="18"/>
        </w:rPr>
        <w:t>2015</w:t>
      </w:r>
      <w:r>
        <w:rPr>
          <w:rFonts w:ascii="宋体" w:hAnsi="宋体" w:cs="宋体" w:eastAsia="宋体" w:hint="default"/>
          <w:sz w:val="18"/>
          <w:szCs w:val="18"/>
        </w:rPr>
        <w:t>年第</w:t>
      </w:r>
      <w:r>
        <w:rPr>
          <w:rFonts w:ascii="Times New Roman" w:hAnsi="Times New Roman" w:cs="Times New Roman" w:eastAsia="Times New Roman" w:hint="default"/>
          <w:sz w:val="18"/>
          <w:szCs w:val="18"/>
        </w:rPr>
        <w:t>1</w:t>
      </w:r>
      <w:r>
        <w:rPr>
          <w:rFonts w:ascii="宋体" w:hAnsi="宋体" w:cs="宋体" w:eastAsia="宋体" w:hint="default"/>
          <w:sz w:val="18"/>
          <w:szCs w:val="18"/>
        </w:rPr>
        <w:t>次临时会议，审议通过了《关于向激 </w:t>
      </w:r>
      <w:r>
        <w:rPr>
          <w:rFonts w:ascii="宋体" w:hAnsi="宋体" w:cs="宋体" w:eastAsia="宋体" w:hint="default"/>
          <w:spacing w:val="-2"/>
          <w:sz w:val="18"/>
          <w:szCs w:val="18"/>
        </w:rPr>
        <w:t>励对象授予限制性股票的议案》。参见</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13</w:t>
      </w:r>
      <w:r>
        <w:rPr>
          <w:rFonts w:ascii="宋体" w:hAnsi="宋体" w:cs="宋体" w:eastAsia="宋体" w:hint="default"/>
          <w:spacing w:val="-2"/>
          <w:sz w:val="18"/>
          <w:szCs w:val="18"/>
        </w:rPr>
        <w:t>日在巨潮资讯网（</w:t>
      </w:r>
      <w:hyperlink r:id="rId13">
        <w:r>
          <w:rPr>
            <w:rFonts w:ascii="Times New Roman" w:hAnsi="Times New Roman" w:cs="Times New Roman" w:eastAsia="Times New Roman" w:hint="default"/>
            <w:spacing w:val="-2"/>
            <w:sz w:val="18"/>
            <w:szCs w:val="18"/>
          </w:rPr>
          <w:t>http://www.cninfo.com.cn</w:t>
        </w:r>
      </w:hyperlink>
      <w:r>
        <w:rPr>
          <w:rFonts w:ascii="宋体" w:hAnsi="宋体" w:cs="宋体" w:eastAsia="宋体" w:hint="default"/>
          <w:spacing w:val="-2"/>
          <w:sz w:val="18"/>
          <w:szCs w:val="18"/>
        </w:rPr>
        <w:t>）刊登的：茂硕电源第三届董</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z w:val="18"/>
          <w:szCs w:val="18"/>
        </w:rPr>
        <w:t>事会</w:t>
      </w:r>
      <w:r>
        <w:rPr>
          <w:rFonts w:ascii="Times New Roman" w:hAnsi="Times New Roman" w:cs="Times New Roman" w:eastAsia="Times New Roman" w:hint="default"/>
          <w:sz w:val="18"/>
          <w:szCs w:val="18"/>
        </w:rPr>
        <w:t>2015</w:t>
      </w:r>
      <w:r>
        <w:rPr>
          <w:rFonts w:ascii="宋体" w:hAnsi="宋体" w:cs="宋体" w:eastAsia="宋体" w:hint="default"/>
          <w:sz w:val="18"/>
          <w:szCs w:val="18"/>
        </w:rPr>
        <w:t>年第</w:t>
      </w:r>
      <w:r>
        <w:rPr>
          <w:rFonts w:ascii="Times New Roman" w:hAnsi="Times New Roman" w:cs="Times New Roman" w:eastAsia="Times New Roman" w:hint="default"/>
          <w:sz w:val="18"/>
          <w:szCs w:val="18"/>
        </w:rPr>
        <w:t>1</w:t>
      </w:r>
      <w:r>
        <w:rPr>
          <w:rFonts w:ascii="宋体" w:hAnsi="宋体" w:cs="宋体" w:eastAsia="宋体" w:hint="default"/>
          <w:sz w:val="18"/>
          <w:szCs w:val="18"/>
        </w:rPr>
        <w:t>次临时会议决议、第三届监事会</w:t>
      </w:r>
      <w:r>
        <w:rPr>
          <w:rFonts w:ascii="Times New Roman" w:hAnsi="Times New Roman" w:cs="Times New Roman" w:eastAsia="Times New Roman" w:hint="default"/>
          <w:sz w:val="18"/>
          <w:szCs w:val="18"/>
        </w:rPr>
        <w:t>2015</w:t>
      </w:r>
      <w:r>
        <w:rPr>
          <w:rFonts w:ascii="宋体" w:hAnsi="宋体" w:cs="宋体" w:eastAsia="宋体" w:hint="default"/>
          <w:sz w:val="18"/>
          <w:szCs w:val="18"/>
        </w:rPr>
        <w:t>年第</w:t>
      </w:r>
      <w:r>
        <w:rPr>
          <w:rFonts w:ascii="Times New Roman" w:hAnsi="Times New Roman" w:cs="Times New Roman" w:eastAsia="Times New Roman" w:hint="default"/>
          <w:sz w:val="18"/>
          <w:szCs w:val="18"/>
        </w:rPr>
        <w:t>1</w:t>
      </w:r>
      <w:r>
        <w:rPr>
          <w:rFonts w:ascii="宋体" w:hAnsi="宋体" w:cs="宋体" w:eastAsia="宋体" w:hint="default"/>
          <w:sz w:val="18"/>
          <w:szCs w:val="18"/>
        </w:rPr>
        <w:t>次临时会议决议、关于向激励对象授予限制性股票的公告。</w:t>
      </w:r>
    </w:p>
    <w:p>
      <w:pPr>
        <w:spacing w:line="309" w:lineRule="auto" w:before="13"/>
        <w:ind w:left="154" w:right="1130" w:firstLine="36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21</w:t>
      </w:r>
      <w:r>
        <w:rPr>
          <w:rFonts w:ascii="宋体" w:hAnsi="宋体" w:cs="宋体" w:eastAsia="宋体" w:hint="default"/>
          <w:spacing w:val="-2"/>
          <w:sz w:val="18"/>
          <w:szCs w:val="18"/>
        </w:rPr>
        <w:t>日召开了第三届董事会</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年第</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次定期会议，会议审议通过了《关于终止实施股权激励计划的公告》，由</w:t>
      </w:r>
      <w:r>
        <w:rPr>
          <w:rFonts w:ascii="宋体" w:hAnsi="宋体" w:cs="宋体" w:eastAsia="宋体" w:hint="default"/>
          <w:sz w:val="18"/>
          <w:szCs w:val="18"/>
        </w:rPr>
        <w:t> </w:t>
      </w:r>
      <w:r>
        <w:rPr>
          <w:rFonts w:ascii="宋体" w:hAnsi="宋体" w:cs="宋体" w:eastAsia="宋体" w:hint="default"/>
          <w:spacing w:val="-2"/>
          <w:sz w:val="18"/>
          <w:szCs w:val="18"/>
        </w:rPr>
        <w:t>于市场竞争激烈、产品毛利率有所下降，同时受到企业用工成本、制造成本上升、银行借款利息支出增加以及公司新投资的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子公司盈利尚未完全体现等因素的影响，公司经营业绩增长不如预期。在上述情况下，继续实施限制性股票激励计划已经无</w:t>
      </w:r>
    </w:p>
    <w:p>
      <w:pPr>
        <w:spacing w:after="0" w:line="309"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line="316" w:lineRule="auto" w:before="44"/>
        <w:ind w:left="153" w:right="1133" w:firstLine="0"/>
        <w:jc w:val="both"/>
        <w:rPr>
          <w:rFonts w:ascii="宋体" w:hAnsi="宋体" w:cs="宋体" w:eastAsia="宋体" w:hint="default"/>
          <w:sz w:val="18"/>
          <w:szCs w:val="18"/>
        </w:rPr>
      </w:pPr>
      <w:r>
        <w:rPr>
          <w:rFonts w:ascii="宋体" w:hAnsi="宋体" w:cs="宋体" w:eastAsia="宋体" w:hint="default"/>
          <w:spacing w:val="-2"/>
          <w:sz w:val="18"/>
          <w:szCs w:val="18"/>
        </w:rPr>
        <w:t>法达到预期的激励效果，为充分落实员工激励目的，经激励对象与公司管理层充分协商沟通，并综合考虑员工的出资成本负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担，除已离职不符合激励条件的激励对象外，其余激励对象均已签署《放弃认购函》，自愿放弃参与公司本次授予的限制性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股票认购，公司董事会决定终止本次限制性股票激励计划。</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2"/>
        <w:spacing w:line="240" w:lineRule="auto"/>
        <w:ind w:right="0"/>
        <w:jc w:val="both"/>
        <w:rPr>
          <w:b w:val="0"/>
          <w:bCs w:val="0"/>
        </w:rPr>
      </w:pPr>
      <w:bookmarkStart w:name="十六、重大关联交易" w:id="79"/>
      <w:bookmarkEnd w:id="79"/>
      <w:r>
        <w:rPr>
          <w:b w:val="0"/>
          <w:bCs w:val="0"/>
        </w:rPr>
      </w:r>
      <w:r>
        <w:rPr/>
        <w:t>十六、重大关联交易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与日常经营相关的关联交易" w:id="80"/>
      <w:bookmarkEnd w:id="80"/>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spacing w:line="338" w:lineRule="auto" w:before="0"/>
        <w:ind w:left="153" w:right="57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公司报告期未发生与日常经营相关的关联交易。</w:t>
      </w:r>
    </w:p>
    <w:p>
      <w:pPr>
        <w:spacing w:line="240" w:lineRule="auto" w:before="2"/>
        <w:rPr>
          <w:rFonts w:ascii="宋体" w:hAnsi="宋体" w:cs="宋体" w:eastAsia="宋体" w:hint="default"/>
          <w:sz w:val="21"/>
          <w:szCs w:val="21"/>
        </w:rPr>
      </w:pPr>
    </w:p>
    <w:p>
      <w:pPr>
        <w:pStyle w:val="Heading4"/>
        <w:spacing w:line="240" w:lineRule="auto"/>
        <w:ind w:right="0"/>
        <w:jc w:val="both"/>
        <w:rPr>
          <w:b w:val="0"/>
          <w:bCs w:val="0"/>
        </w:rPr>
      </w:pPr>
      <w:bookmarkStart w:name="2、资产或股权收购、出售发生的关联交易" w:id="81"/>
      <w:bookmarkEnd w:id="81"/>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64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公司报告期未发生资产或股权收购、出售的关联交易。</w:t>
      </w:r>
    </w:p>
    <w:p>
      <w:pPr>
        <w:spacing w:line="240" w:lineRule="auto" w:before="1"/>
        <w:rPr>
          <w:rFonts w:ascii="宋体" w:hAnsi="宋体" w:cs="宋体" w:eastAsia="宋体" w:hint="default"/>
          <w:sz w:val="21"/>
          <w:szCs w:val="21"/>
        </w:rPr>
      </w:pPr>
    </w:p>
    <w:p>
      <w:pPr>
        <w:pStyle w:val="Heading4"/>
        <w:spacing w:line="240" w:lineRule="auto"/>
        <w:ind w:left="154" w:right="0"/>
        <w:jc w:val="both"/>
        <w:rPr>
          <w:b w:val="0"/>
          <w:bCs w:val="0"/>
        </w:rPr>
      </w:pPr>
      <w:bookmarkStart w:name="3、共同对外投资的关联交易" w:id="82"/>
      <w:bookmarkEnd w:id="82"/>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7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公司报告期未发生共同对外投资的关联交易。</w:t>
      </w:r>
    </w:p>
    <w:p>
      <w:pPr>
        <w:spacing w:line="240" w:lineRule="auto" w:before="3"/>
        <w:rPr>
          <w:rFonts w:ascii="宋体" w:hAnsi="宋体" w:cs="宋体" w:eastAsia="宋体" w:hint="default"/>
          <w:sz w:val="21"/>
          <w:szCs w:val="21"/>
        </w:rPr>
      </w:pPr>
    </w:p>
    <w:p>
      <w:pPr>
        <w:pStyle w:val="Heading4"/>
        <w:spacing w:line="240" w:lineRule="auto"/>
        <w:ind w:right="0"/>
        <w:jc w:val="both"/>
        <w:rPr>
          <w:b w:val="0"/>
          <w:bCs w:val="0"/>
        </w:rPr>
      </w:pPr>
      <w:bookmarkStart w:name="4、关联债权债务往来" w:id="83"/>
      <w:bookmarkEnd w:id="83"/>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公司报告期不存在关联债权债务往来。</w:t>
      </w:r>
    </w:p>
    <w:p>
      <w:pPr>
        <w:spacing w:line="240" w:lineRule="auto" w:before="12"/>
        <w:rPr>
          <w:rFonts w:ascii="宋体" w:hAnsi="宋体" w:cs="宋体" w:eastAsia="宋体" w:hint="default"/>
          <w:sz w:val="20"/>
          <w:szCs w:val="20"/>
        </w:rPr>
      </w:pPr>
    </w:p>
    <w:p>
      <w:pPr>
        <w:pStyle w:val="Heading4"/>
        <w:spacing w:line="240" w:lineRule="auto"/>
        <w:ind w:right="0"/>
        <w:jc w:val="both"/>
        <w:rPr>
          <w:b w:val="0"/>
          <w:bCs w:val="0"/>
        </w:rPr>
      </w:pPr>
      <w:bookmarkStart w:name="5、其他重大关联交易" w:id="84"/>
      <w:bookmarkEnd w:id="84"/>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公司报告期无其他重大关联交易。</w:t>
      </w:r>
    </w:p>
    <w:p>
      <w:pPr>
        <w:spacing w:line="240" w:lineRule="auto" w:before="4"/>
        <w:rPr>
          <w:rFonts w:ascii="宋体" w:hAnsi="宋体" w:cs="宋体" w:eastAsia="宋体" w:hint="default"/>
          <w:sz w:val="19"/>
          <w:szCs w:val="19"/>
        </w:rPr>
      </w:pPr>
    </w:p>
    <w:p>
      <w:pPr>
        <w:pStyle w:val="Heading2"/>
        <w:spacing w:line="240" w:lineRule="auto"/>
        <w:ind w:right="0"/>
        <w:jc w:val="both"/>
        <w:rPr>
          <w:b w:val="0"/>
          <w:bCs w:val="0"/>
        </w:rPr>
      </w:pPr>
      <w:bookmarkStart w:name="十七、重大合同及其履行情况" w:id="85"/>
      <w:bookmarkEnd w:id="85"/>
      <w:r>
        <w:rPr>
          <w:b w:val="0"/>
          <w:bCs w:val="0"/>
        </w:rPr>
      </w:r>
      <w:r>
        <w:rPr/>
        <w:t>十七、重大合同及其履行情况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both"/>
        <w:rPr>
          <w:b w:val="0"/>
          <w:bCs w:val="0"/>
        </w:rPr>
      </w:pPr>
      <w:bookmarkStart w:name="1、托管、承包、租赁事项情况" w:id="86"/>
      <w:bookmarkEnd w:id="86"/>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托管情况" w:id="87"/>
      <w:bookmarkEnd w:id="87"/>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公司报告期不存在托管情况。</w:t>
      </w:r>
    </w:p>
    <w:p>
      <w:pPr>
        <w:spacing w:line="240" w:lineRule="auto" w:before="13"/>
        <w:rPr>
          <w:rFonts w:ascii="宋体" w:hAnsi="宋体" w:cs="宋体" w:eastAsia="宋体" w:hint="default"/>
          <w:sz w:val="20"/>
          <w:szCs w:val="20"/>
        </w:rPr>
      </w:pPr>
    </w:p>
    <w:p>
      <w:pPr>
        <w:pStyle w:val="Heading4"/>
        <w:spacing w:line="240" w:lineRule="auto"/>
        <w:ind w:right="0"/>
        <w:jc w:val="both"/>
        <w:rPr>
          <w:b w:val="0"/>
          <w:bCs w:val="0"/>
        </w:rPr>
      </w:pPr>
      <w:bookmarkStart w:name="（2）承包情况" w:id="88"/>
      <w:bookmarkEnd w:id="88"/>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公司报告期不存在承包情况。</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租赁情况" w:id="89"/>
      <w:bookmarkEnd w:id="89"/>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公司报告期不存在租赁情况。</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2、重大担保" w:id="90"/>
      <w:bookmarkEnd w:id="90"/>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1）担保情况" w:id="91"/>
      <w:bookmarkEnd w:id="91"/>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15"/>
        <w:gridCol w:w="914"/>
        <w:gridCol w:w="937"/>
        <w:gridCol w:w="1291"/>
        <w:gridCol w:w="1063"/>
        <w:gridCol w:w="1035"/>
        <w:gridCol w:w="1055"/>
        <w:gridCol w:w="787"/>
        <w:gridCol w:w="780"/>
      </w:tblGrid>
      <w:tr>
        <w:trPr>
          <w:trHeight w:val="397"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66" w:hRule="exact"/>
        </w:trPr>
        <w:tc>
          <w:tcPr>
            <w:tcW w:w="1715" w:type="dxa"/>
            <w:vMerge w:val="restart"/>
            <w:tcBorders>
              <w:top w:val="single" w:sz="4" w:space="0" w:color="000000"/>
              <w:left w:val="single" w:sz="4" w:space="0" w:color="000000"/>
              <w:right w:val="single" w:sz="4" w:space="0" w:color="000000"/>
            </w:tcBorders>
            <w:shd w:val="clear" w:color="auto" w:fill="D2D2D2"/>
          </w:tcPr>
          <w:p>
            <w:pPr/>
          </w:p>
        </w:tc>
        <w:tc>
          <w:tcPr>
            <w:tcW w:w="914" w:type="dxa"/>
            <w:vMerge w:val="restart"/>
            <w:tcBorders>
              <w:top w:val="single" w:sz="4" w:space="0" w:color="000000"/>
              <w:left w:val="single" w:sz="4" w:space="0" w:color="000000"/>
              <w:right w:val="single" w:sz="5" w:space="0" w:color="000000"/>
            </w:tcBorders>
            <w:shd w:val="clear" w:color="auto" w:fill="D2D2D2"/>
          </w:tcPr>
          <w:p>
            <w:pPr>
              <w:pStyle w:val="TableParagraph"/>
              <w:spacing w:line="319" w:lineRule="auto" w:before="56"/>
              <w:ind w:left="93" w:right="87"/>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7" w:type="dxa"/>
            <w:vMerge w:val="restart"/>
            <w:tcBorders>
              <w:top w:val="single" w:sz="4" w:space="0" w:color="000000"/>
              <w:left w:val="single" w:sz="5" w:space="0" w:color="000000"/>
              <w:right w:val="single" w:sz="4" w:space="0" w:color="000000"/>
            </w:tcBorders>
            <w:shd w:val="clear" w:color="auto" w:fill="D2D2D2"/>
          </w:tcPr>
          <w:p>
            <w:pPr/>
          </w:p>
        </w:tc>
        <w:tc>
          <w:tcPr>
            <w:tcW w:w="12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5" w:type="dxa"/>
            <w:vMerge w:val="restart"/>
            <w:tcBorders>
              <w:top w:val="single" w:sz="4" w:space="0" w:color="000000"/>
              <w:left w:val="single" w:sz="4" w:space="0" w:color="000000"/>
              <w:right w:val="single" w:sz="4" w:space="0" w:color="000000"/>
            </w:tcBorders>
            <w:shd w:val="clear" w:color="auto" w:fill="D2D2D2"/>
          </w:tcPr>
          <w:p>
            <w:pPr/>
          </w:p>
        </w:tc>
        <w:tc>
          <w:tcPr>
            <w:tcW w:w="1055" w:type="dxa"/>
            <w:vMerge w:val="restart"/>
            <w:tcBorders>
              <w:top w:val="single" w:sz="4" w:space="0" w:color="000000"/>
              <w:left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5" w:type="dxa"/>
            <w:vMerge/>
            <w:tcBorders>
              <w:left w:val="single" w:sz="4" w:space="0" w:color="000000"/>
              <w:bottom w:val="nil" w:sz="6" w:space="0" w:color="auto"/>
              <w:right w:val="single" w:sz="4" w:space="0" w:color="000000"/>
            </w:tcBorders>
            <w:shd w:val="clear" w:color="auto" w:fill="D2D2D2"/>
          </w:tcPr>
          <w:p>
            <w:pPr/>
          </w:p>
        </w:tc>
        <w:tc>
          <w:tcPr>
            <w:tcW w:w="914" w:type="dxa"/>
            <w:vMerge/>
            <w:tcBorders>
              <w:left w:val="single" w:sz="4" w:space="0" w:color="000000"/>
              <w:right w:val="single" w:sz="5" w:space="0" w:color="000000"/>
            </w:tcBorders>
            <w:shd w:val="clear" w:color="auto" w:fill="D2D2D2"/>
          </w:tcPr>
          <w:p>
            <w:pPr/>
          </w:p>
        </w:tc>
        <w:tc>
          <w:tcPr>
            <w:tcW w:w="937" w:type="dxa"/>
            <w:vMerge/>
            <w:tcBorders>
              <w:left w:val="single" w:sz="5" w:space="0" w:color="000000"/>
              <w:bottom w:val="nil" w:sz="6" w:space="0" w:color="auto"/>
              <w:right w:val="single" w:sz="4" w:space="0" w:color="000000"/>
            </w:tcBorders>
            <w:shd w:val="clear" w:color="auto" w:fill="D2D2D2"/>
          </w:tcPr>
          <w:p>
            <w:pPr/>
          </w:p>
        </w:tc>
        <w:tc>
          <w:tcPr>
            <w:tcW w:w="12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6"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7"/>
              <w:ind w:left="17"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5" w:right="75"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5" w:type="dxa"/>
            <w:vMerge/>
            <w:tcBorders>
              <w:left w:val="single" w:sz="4" w:space="0" w:color="000000"/>
              <w:bottom w:val="nil" w:sz="6" w:space="0" w:color="auto"/>
              <w:right w:val="single" w:sz="4" w:space="0" w:color="000000"/>
            </w:tcBorders>
            <w:shd w:val="clear" w:color="auto" w:fill="D2D2D2"/>
          </w:tcPr>
          <w:p>
            <w:pPr/>
          </w:p>
        </w:tc>
        <w:tc>
          <w:tcPr>
            <w:tcW w:w="1055" w:type="dxa"/>
            <w:vMerge/>
            <w:tcBorders>
              <w:left w:val="single" w:sz="4" w:space="0" w:color="000000"/>
              <w:bottom w:val="nil" w:sz="6" w:space="0" w:color="auto"/>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06" w:right="28"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4"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14" w:type="dxa"/>
            <w:vMerge/>
            <w:tcBorders>
              <w:left w:val="single" w:sz="4" w:space="0" w:color="000000"/>
              <w:right w:val="single" w:sz="5" w:space="0" w:color="000000"/>
            </w:tcBorders>
            <w:shd w:val="clear" w:color="auto" w:fill="D2D2D2"/>
          </w:tcPr>
          <w:p>
            <w:pPr/>
          </w:p>
        </w:tc>
        <w:tc>
          <w:tcPr>
            <w:tcW w:w="937" w:type="dxa"/>
            <w:tcBorders>
              <w:top w:val="nil" w:sz="6" w:space="0" w:color="auto"/>
              <w:left w:val="single" w:sz="5" w:space="0" w:color="000000"/>
              <w:bottom w:val="nil" w:sz="6" w:space="0" w:color="auto"/>
              <w:right w:val="single" w:sz="4" w:space="0" w:color="000000"/>
            </w:tcBorders>
            <w:shd w:val="clear" w:color="auto" w:fill="D2D2D2"/>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1" w:type="dxa"/>
            <w:vMerge/>
            <w:tcBorders>
              <w:left w:val="single" w:sz="4" w:space="0" w:color="000000"/>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52"/>
              <w:jc w:val="right"/>
              <w:rPr>
                <w:rFonts w:ascii="宋体" w:hAnsi="宋体" w:cs="宋体" w:eastAsia="宋体" w:hint="default"/>
                <w:sz w:val="18"/>
                <w:szCs w:val="18"/>
              </w:rPr>
            </w:pPr>
            <w:r>
              <w:rPr>
                <w:rFonts w:ascii="宋体" w:hAnsi="宋体" w:cs="宋体" w:eastAsia="宋体" w:hint="default"/>
                <w:sz w:val="18"/>
                <w:szCs w:val="18"/>
              </w:rPr>
              <w:t>担保期</w:t>
            </w:r>
          </w:p>
        </w:tc>
        <w:tc>
          <w:tcPr>
            <w:tcW w:w="78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56" w:hRule="exact"/>
        </w:trPr>
        <w:tc>
          <w:tcPr>
            <w:tcW w:w="1715" w:type="dxa"/>
            <w:vMerge w:val="restart"/>
            <w:tcBorders>
              <w:top w:val="nil" w:sz="6" w:space="0" w:color="auto"/>
              <w:left w:val="single" w:sz="4" w:space="0" w:color="000000"/>
              <w:right w:val="single" w:sz="4" w:space="0" w:color="000000"/>
            </w:tcBorders>
            <w:shd w:val="clear" w:color="auto" w:fill="D2D2D2"/>
          </w:tcPr>
          <w:p>
            <w:pPr/>
          </w:p>
        </w:tc>
        <w:tc>
          <w:tcPr>
            <w:tcW w:w="914" w:type="dxa"/>
            <w:vMerge/>
            <w:tcBorders>
              <w:left w:val="single" w:sz="4" w:space="0" w:color="000000"/>
              <w:right w:val="single" w:sz="5" w:space="0" w:color="000000"/>
            </w:tcBorders>
            <w:shd w:val="clear" w:color="auto" w:fill="D2D2D2"/>
          </w:tcPr>
          <w:p>
            <w:pPr/>
          </w:p>
        </w:tc>
        <w:tc>
          <w:tcPr>
            <w:tcW w:w="937" w:type="dxa"/>
            <w:vMerge w:val="restart"/>
            <w:tcBorders>
              <w:top w:val="nil" w:sz="6" w:space="0" w:color="auto"/>
              <w:left w:val="single" w:sz="5" w:space="0" w:color="000000"/>
              <w:right w:val="single" w:sz="4" w:space="0" w:color="000000"/>
            </w:tcBorders>
            <w:shd w:val="clear" w:color="auto" w:fill="D2D2D2"/>
          </w:tcPr>
          <w:p>
            <w:pPr/>
          </w:p>
        </w:tc>
        <w:tc>
          <w:tcPr>
            <w:tcW w:w="1291"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1035" w:type="dxa"/>
            <w:vMerge w:val="restart"/>
            <w:tcBorders>
              <w:top w:val="nil" w:sz="6" w:space="0" w:color="auto"/>
              <w:left w:val="single" w:sz="4" w:space="0" w:color="000000"/>
              <w:right w:val="single" w:sz="4" w:space="0" w:color="000000"/>
            </w:tcBorders>
            <w:shd w:val="clear" w:color="auto" w:fill="D2D2D2"/>
          </w:tcPr>
          <w:p>
            <w:pPr/>
          </w:p>
        </w:tc>
        <w:tc>
          <w:tcPr>
            <w:tcW w:w="1055" w:type="dxa"/>
            <w:vMerge w:val="restart"/>
            <w:tcBorders>
              <w:top w:val="nil" w:sz="6" w:space="0" w:color="auto"/>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780"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15" w:type="dxa"/>
            <w:vMerge/>
            <w:tcBorders>
              <w:left w:val="single" w:sz="4" w:space="0" w:color="000000"/>
              <w:bottom w:val="single" w:sz="4" w:space="0" w:color="000000"/>
              <w:right w:val="single" w:sz="4" w:space="0" w:color="000000"/>
            </w:tcBorders>
            <w:shd w:val="clear" w:color="auto" w:fill="D2D2D2"/>
          </w:tcPr>
          <w:p>
            <w:pPr/>
          </w:p>
        </w:tc>
        <w:tc>
          <w:tcPr>
            <w:tcW w:w="914" w:type="dxa"/>
            <w:vMerge/>
            <w:tcBorders>
              <w:left w:val="single" w:sz="4" w:space="0" w:color="000000"/>
              <w:bottom w:val="single" w:sz="4" w:space="0" w:color="000000"/>
              <w:right w:val="single" w:sz="5" w:space="0" w:color="000000"/>
            </w:tcBorders>
            <w:shd w:val="clear" w:color="auto" w:fill="D2D2D2"/>
          </w:tcPr>
          <w:p>
            <w:pPr/>
          </w:p>
        </w:tc>
        <w:tc>
          <w:tcPr>
            <w:tcW w:w="937" w:type="dxa"/>
            <w:vMerge/>
            <w:tcBorders>
              <w:left w:val="single" w:sz="5" w:space="0" w:color="000000"/>
              <w:bottom w:val="single" w:sz="4" w:space="0" w:color="000000"/>
              <w:right w:val="single" w:sz="4" w:space="0" w:color="000000"/>
            </w:tcBorders>
            <w:shd w:val="clear" w:color="auto" w:fill="D2D2D2"/>
          </w:tcPr>
          <w:p>
            <w:pPr/>
          </w:p>
        </w:tc>
        <w:tc>
          <w:tcPr>
            <w:tcW w:w="129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5" w:type="dxa"/>
            <w:vMerge/>
            <w:tcBorders>
              <w:left w:val="single" w:sz="4" w:space="0" w:color="000000"/>
              <w:bottom w:val="single" w:sz="4" w:space="0" w:color="000000"/>
              <w:right w:val="single" w:sz="4" w:space="0" w:color="000000"/>
            </w:tcBorders>
            <w:shd w:val="clear" w:color="auto" w:fill="D2D2D2"/>
          </w:tcPr>
          <w:p>
            <w:pPr/>
          </w:p>
        </w:tc>
        <w:tc>
          <w:tcPr>
            <w:tcW w:w="1055" w:type="dxa"/>
            <w:vMerge/>
            <w:tcBorders>
              <w:left w:val="single" w:sz="4" w:space="0" w:color="000000"/>
              <w:bottom w:val="single" w:sz="4" w:space="0" w:color="000000"/>
              <w:right w:val="single" w:sz="4" w:space="0" w:color="000000"/>
            </w:tcBorders>
            <w:shd w:val="clear" w:color="auto" w:fill="D2D2D2"/>
          </w:tcPr>
          <w:p>
            <w:pPr/>
          </w:p>
        </w:tc>
        <w:tc>
          <w:tcPr>
            <w:tcW w:w="787"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 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27"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报告期内对外担保实际发 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2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9"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 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227"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报告期末实际对外担保余 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2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公司与子公司之间担保情况</w:t>
            </w:r>
          </w:p>
        </w:tc>
      </w:tr>
      <w:tr>
        <w:trPr>
          <w:trHeight w:val="166" w:hRule="exact"/>
        </w:trPr>
        <w:tc>
          <w:tcPr>
            <w:tcW w:w="1715" w:type="dxa"/>
            <w:vMerge w:val="restart"/>
            <w:tcBorders>
              <w:top w:val="single" w:sz="4" w:space="0" w:color="000000"/>
              <w:left w:val="single" w:sz="4" w:space="0" w:color="000000"/>
              <w:right w:val="single" w:sz="4" w:space="0" w:color="000000"/>
            </w:tcBorders>
            <w:shd w:val="clear" w:color="auto" w:fill="D2D2D2"/>
          </w:tcPr>
          <w:p>
            <w:pPr/>
          </w:p>
        </w:tc>
        <w:tc>
          <w:tcPr>
            <w:tcW w:w="914" w:type="dxa"/>
            <w:vMerge w:val="restart"/>
            <w:tcBorders>
              <w:top w:val="single" w:sz="4" w:space="0" w:color="000000"/>
              <w:left w:val="single" w:sz="4" w:space="0" w:color="000000"/>
              <w:right w:val="single" w:sz="4" w:space="0" w:color="FFFFFF"/>
            </w:tcBorders>
            <w:shd w:val="clear" w:color="auto" w:fill="D2D2D2"/>
          </w:tcPr>
          <w:p>
            <w:pPr>
              <w:pStyle w:val="TableParagraph"/>
              <w:spacing w:line="319" w:lineRule="auto" w:before="56"/>
              <w:ind w:left="90" w:right="91"/>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7" w:type="dxa"/>
            <w:vMerge w:val="restart"/>
            <w:tcBorders>
              <w:top w:val="single" w:sz="4" w:space="0" w:color="000000"/>
              <w:left w:val="single" w:sz="4" w:space="0" w:color="FFFFFF"/>
              <w:right w:val="single" w:sz="4" w:space="0" w:color="000000"/>
            </w:tcBorders>
            <w:shd w:val="clear" w:color="auto" w:fill="D2D2D2"/>
          </w:tcPr>
          <w:p>
            <w:pPr/>
          </w:p>
        </w:tc>
        <w:tc>
          <w:tcPr>
            <w:tcW w:w="12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5" w:type="dxa"/>
            <w:vMerge w:val="restart"/>
            <w:tcBorders>
              <w:top w:val="single" w:sz="4" w:space="0" w:color="000000"/>
              <w:left w:val="single" w:sz="4" w:space="0" w:color="000000"/>
              <w:right w:val="single" w:sz="4" w:space="0" w:color="000000"/>
            </w:tcBorders>
            <w:shd w:val="clear" w:color="auto" w:fill="D2D2D2"/>
          </w:tcPr>
          <w:p>
            <w:pPr/>
          </w:p>
        </w:tc>
        <w:tc>
          <w:tcPr>
            <w:tcW w:w="1055" w:type="dxa"/>
            <w:vMerge w:val="restart"/>
            <w:tcBorders>
              <w:top w:val="single" w:sz="4" w:space="0" w:color="000000"/>
              <w:left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5" w:type="dxa"/>
            <w:vMerge/>
            <w:tcBorders>
              <w:left w:val="single" w:sz="4" w:space="0" w:color="000000"/>
              <w:bottom w:val="nil" w:sz="6" w:space="0" w:color="auto"/>
              <w:right w:val="single" w:sz="4" w:space="0" w:color="000000"/>
            </w:tcBorders>
            <w:shd w:val="clear" w:color="auto" w:fill="D2D2D2"/>
          </w:tcPr>
          <w:p>
            <w:pPr/>
          </w:p>
        </w:tc>
        <w:tc>
          <w:tcPr>
            <w:tcW w:w="914" w:type="dxa"/>
            <w:vMerge/>
            <w:tcBorders>
              <w:left w:val="single" w:sz="4" w:space="0" w:color="000000"/>
              <w:right w:val="single" w:sz="4" w:space="0" w:color="FFFFFF"/>
            </w:tcBorders>
            <w:shd w:val="clear" w:color="auto" w:fill="D2D2D2"/>
          </w:tcPr>
          <w:p>
            <w:pPr/>
          </w:p>
        </w:tc>
        <w:tc>
          <w:tcPr>
            <w:tcW w:w="937" w:type="dxa"/>
            <w:vMerge/>
            <w:tcBorders>
              <w:left w:val="single" w:sz="4" w:space="0" w:color="FFFFFF"/>
              <w:bottom w:val="nil" w:sz="6" w:space="0" w:color="auto"/>
              <w:right w:val="single" w:sz="4" w:space="0" w:color="000000"/>
            </w:tcBorders>
            <w:shd w:val="clear" w:color="auto" w:fill="D2D2D2"/>
          </w:tcPr>
          <w:p>
            <w:pPr/>
          </w:p>
        </w:tc>
        <w:tc>
          <w:tcPr>
            <w:tcW w:w="12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6"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7"/>
              <w:ind w:left="17"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5" w:right="75"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5" w:type="dxa"/>
            <w:vMerge/>
            <w:tcBorders>
              <w:left w:val="single" w:sz="4" w:space="0" w:color="000000"/>
              <w:bottom w:val="nil" w:sz="6" w:space="0" w:color="auto"/>
              <w:right w:val="single" w:sz="4" w:space="0" w:color="000000"/>
            </w:tcBorders>
            <w:shd w:val="clear" w:color="auto" w:fill="D2D2D2"/>
          </w:tcPr>
          <w:p>
            <w:pPr/>
          </w:p>
        </w:tc>
        <w:tc>
          <w:tcPr>
            <w:tcW w:w="1055" w:type="dxa"/>
            <w:vMerge/>
            <w:tcBorders>
              <w:left w:val="single" w:sz="4" w:space="0" w:color="000000"/>
              <w:bottom w:val="nil" w:sz="6" w:space="0" w:color="auto"/>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03"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4"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14" w:type="dxa"/>
            <w:vMerge/>
            <w:tcBorders>
              <w:left w:val="single" w:sz="4" w:space="0" w:color="000000"/>
              <w:right w:val="single" w:sz="4" w:space="0" w:color="FFFFFF"/>
            </w:tcBorders>
            <w:shd w:val="clear" w:color="auto" w:fill="D2D2D2"/>
          </w:tcPr>
          <w:p>
            <w:pPr/>
          </w:p>
        </w:tc>
        <w:tc>
          <w:tcPr>
            <w:tcW w:w="937" w:type="dxa"/>
            <w:tcBorders>
              <w:top w:val="nil" w:sz="6" w:space="0" w:color="auto"/>
              <w:left w:val="single" w:sz="4" w:space="0" w:color="FFFFFF"/>
              <w:bottom w:val="nil" w:sz="6" w:space="0" w:color="auto"/>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1" w:type="dxa"/>
            <w:vMerge/>
            <w:tcBorders>
              <w:left w:val="single" w:sz="4" w:space="0" w:color="000000"/>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55"/>
              <w:jc w:val="right"/>
              <w:rPr>
                <w:rFonts w:ascii="宋体" w:hAnsi="宋体" w:cs="宋体" w:eastAsia="宋体" w:hint="default"/>
                <w:sz w:val="18"/>
                <w:szCs w:val="18"/>
              </w:rPr>
            </w:pPr>
            <w:r>
              <w:rPr>
                <w:rFonts w:ascii="宋体" w:hAnsi="宋体" w:cs="宋体" w:eastAsia="宋体" w:hint="default"/>
                <w:sz w:val="18"/>
                <w:szCs w:val="18"/>
              </w:rPr>
              <w:t>担保期</w:t>
            </w:r>
          </w:p>
        </w:tc>
        <w:tc>
          <w:tcPr>
            <w:tcW w:w="78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56" w:hRule="exact"/>
        </w:trPr>
        <w:tc>
          <w:tcPr>
            <w:tcW w:w="1715" w:type="dxa"/>
            <w:vMerge w:val="restart"/>
            <w:tcBorders>
              <w:top w:val="nil" w:sz="6" w:space="0" w:color="auto"/>
              <w:left w:val="single" w:sz="4" w:space="0" w:color="000000"/>
              <w:right w:val="single" w:sz="4" w:space="0" w:color="000000"/>
            </w:tcBorders>
            <w:shd w:val="clear" w:color="auto" w:fill="D2D2D2"/>
          </w:tcPr>
          <w:p>
            <w:pPr/>
          </w:p>
        </w:tc>
        <w:tc>
          <w:tcPr>
            <w:tcW w:w="914" w:type="dxa"/>
            <w:vMerge/>
            <w:tcBorders>
              <w:left w:val="single" w:sz="4" w:space="0" w:color="000000"/>
              <w:right w:val="single" w:sz="4" w:space="0" w:color="FFFFFF"/>
            </w:tcBorders>
            <w:shd w:val="clear" w:color="auto" w:fill="D2D2D2"/>
          </w:tcPr>
          <w:p>
            <w:pPr/>
          </w:p>
        </w:tc>
        <w:tc>
          <w:tcPr>
            <w:tcW w:w="937" w:type="dxa"/>
            <w:vMerge w:val="restart"/>
            <w:tcBorders>
              <w:top w:val="nil" w:sz="6" w:space="0" w:color="auto"/>
              <w:left w:val="single" w:sz="4" w:space="0" w:color="FFFFFF"/>
              <w:right w:val="single" w:sz="4" w:space="0" w:color="000000"/>
            </w:tcBorders>
            <w:shd w:val="clear" w:color="auto" w:fill="D2D2D2"/>
          </w:tcPr>
          <w:p>
            <w:pPr/>
          </w:p>
        </w:tc>
        <w:tc>
          <w:tcPr>
            <w:tcW w:w="1291"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1035" w:type="dxa"/>
            <w:vMerge w:val="restart"/>
            <w:tcBorders>
              <w:top w:val="nil" w:sz="6" w:space="0" w:color="auto"/>
              <w:left w:val="single" w:sz="4" w:space="0" w:color="000000"/>
              <w:right w:val="single" w:sz="4" w:space="0" w:color="000000"/>
            </w:tcBorders>
            <w:shd w:val="clear" w:color="auto" w:fill="D2D2D2"/>
          </w:tcPr>
          <w:p>
            <w:pPr/>
          </w:p>
        </w:tc>
        <w:tc>
          <w:tcPr>
            <w:tcW w:w="1055" w:type="dxa"/>
            <w:vMerge w:val="restart"/>
            <w:tcBorders>
              <w:top w:val="nil" w:sz="6" w:space="0" w:color="auto"/>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780"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15" w:type="dxa"/>
            <w:vMerge/>
            <w:tcBorders>
              <w:left w:val="single" w:sz="4" w:space="0" w:color="000000"/>
              <w:bottom w:val="single" w:sz="4" w:space="0" w:color="000000"/>
              <w:right w:val="single" w:sz="4" w:space="0" w:color="000000"/>
            </w:tcBorders>
            <w:shd w:val="clear" w:color="auto" w:fill="D2D2D2"/>
          </w:tcPr>
          <w:p>
            <w:pPr/>
          </w:p>
        </w:tc>
        <w:tc>
          <w:tcPr>
            <w:tcW w:w="914" w:type="dxa"/>
            <w:vMerge/>
            <w:tcBorders>
              <w:left w:val="single" w:sz="4" w:space="0" w:color="000000"/>
              <w:bottom w:val="single" w:sz="4" w:space="0" w:color="000000"/>
              <w:right w:val="single" w:sz="4" w:space="0" w:color="FFFFFF"/>
            </w:tcBorders>
            <w:shd w:val="clear" w:color="auto" w:fill="D2D2D2"/>
          </w:tcPr>
          <w:p>
            <w:pPr/>
          </w:p>
        </w:tc>
        <w:tc>
          <w:tcPr>
            <w:tcW w:w="937" w:type="dxa"/>
            <w:vMerge/>
            <w:tcBorders>
              <w:left w:val="single" w:sz="4" w:space="0" w:color="FFFFFF"/>
              <w:bottom w:val="single" w:sz="4" w:space="0" w:color="000000"/>
              <w:right w:val="single" w:sz="4" w:space="0" w:color="000000"/>
            </w:tcBorders>
            <w:shd w:val="clear" w:color="auto" w:fill="D2D2D2"/>
          </w:tcPr>
          <w:p>
            <w:pPr/>
          </w:p>
        </w:tc>
        <w:tc>
          <w:tcPr>
            <w:tcW w:w="129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5" w:type="dxa"/>
            <w:vMerge/>
            <w:tcBorders>
              <w:left w:val="single" w:sz="4" w:space="0" w:color="000000"/>
              <w:bottom w:val="single" w:sz="4" w:space="0" w:color="000000"/>
              <w:right w:val="single" w:sz="4" w:space="0" w:color="000000"/>
            </w:tcBorders>
            <w:shd w:val="clear" w:color="auto" w:fill="D2D2D2"/>
          </w:tcPr>
          <w:p>
            <w:pPr/>
          </w:p>
        </w:tc>
        <w:tc>
          <w:tcPr>
            <w:tcW w:w="1055" w:type="dxa"/>
            <w:vMerge/>
            <w:tcBorders>
              <w:left w:val="single" w:sz="4" w:space="0" w:color="000000"/>
              <w:bottom w:val="single" w:sz="4" w:space="0" w:color="000000"/>
              <w:right w:val="single" w:sz="4" w:space="0" w:color="000000"/>
            </w:tcBorders>
            <w:shd w:val="clear" w:color="auto" w:fill="D2D2D2"/>
          </w:tcPr>
          <w:p>
            <w:pPr/>
          </w:p>
        </w:tc>
        <w:tc>
          <w:tcPr>
            <w:tcW w:w="787"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惠州茂硕能源科技有 限公司</w:t>
            </w:r>
          </w:p>
        </w:tc>
        <w:tc>
          <w:tcPr>
            <w:tcW w:w="91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7"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7,000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1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4,854.97</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惠州茂硕能源科技有 限公司</w:t>
            </w:r>
          </w:p>
        </w:tc>
        <w:tc>
          <w:tcPr>
            <w:tcW w:w="91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7"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1,800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1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696.28</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深圳茂硕电子科技有 限公司</w:t>
            </w:r>
          </w:p>
        </w:tc>
        <w:tc>
          <w:tcPr>
            <w:tcW w:w="91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7"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3,000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1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256.56</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深圳茂硕电子科技有 限公司</w:t>
            </w:r>
          </w:p>
        </w:tc>
        <w:tc>
          <w:tcPr>
            <w:tcW w:w="91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7"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6,700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1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141.08</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深圳茂硕新能源科技 有限公司</w:t>
            </w:r>
          </w:p>
        </w:tc>
        <w:tc>
          <w:tcPr>
            <w:tcW w:w="91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7"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1,000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1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深圳茂硕电气有限公 司</w:t>
            </w:r>
          </w:p>
        </w:tc>
        <w:tc>
          <w:tcPr>
            <w:tcW w:w="91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7"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600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深圳茂硕电气有限公 司</w:t>
            </w:r>
          </w:p>
        </w:tc>
        <w:tc>
          <w:tcPr>
            <w:tcW w:w="91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7"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840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584.33</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709"/>
        <w:gridCol w:w="898"/>
        <w:gridCol w:w="936"/>
        <w:gridCol w:w="1305"/>
        <w:gridCol w:w="1029"/>
        <w:gridCol w:w="1058"/>
        <w:gridCol w:w="1065"/>
        <w:gridCol w:w="775"/>
        <w:gridCol w:w="790"/>
      </w:tblGrid>
      <w:tr>
        <w:trPr>
          <w:trHeight w:val="714" w:hRule="exact"/>
        </w:trPr>
        <w:tc>
          <w:tcPr>
            <w:tcW w:w="260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5"/>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40"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20,940</w:t>
            </w:r>
          </w:p>
        </w:tc>
        <w:tc>
          <w:tcPr>
            <w:tcW w:w="20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0" w:right="75"/>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8,133.22</w:t>
            </w:r>
          </w:p>
        </w:tc>
      </w:tr>
      <w:tr>
        <w:trPr>
          <w:trHeight w:val="719" w:hRule="exact"/>
        </w:trPr>
        <w:tc>
          <w:tcPr>
            <w:tcW w:w="260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5"/>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40"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20,940</w:t>
            </w:r>
          </w:p>
        </w:tc>
        <w:tc>
          <w:tcPr>
            <w:tcW w:w="20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0" w:right="75"/>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12,806.78</w:t>
            </w:r>
          </w:p>
        </w:tc>
      </w:tr>
      <w:tr>
        <w:trPr>
          <w:trHeight w:val="392"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2"/>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709" w:type="dxa"/>
            <w:vMerge w:val="restart"/>
            <w:tcBorders>
              <w:top w:val="single" w:sz="4" w:space="0" w:color="000000"/>
              <w:left w:val="single" w:sz="4" w:space="0" w:color="000000"/>
              <w:right w:val="single" w:sz="4" w:space="0" w:color="000000"/>
            </w:tcBorders>
            <w:shd w:val="clear" w:color="auto" w:fill="D2D2D2"/>
          </w:tcPr>
          <w:p>
            <w:pPr/>
          </w:p>
        </w:tc>
        <w:tc>
          <w:tcPr>
            <w:tcW w:w="89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81" w:right="8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6" w:type="dxa"/>
            <w:vMerge w:val="restart"/>
            <w:tcBorders>
              <w:top w:val="single" w:sz="4" w:space="0" w:color="000000"/>
              <w:left w:val="single" w:sz="4" w:space="0" w:color="000000"/>
              <w:right w:val="single" w:sz="4" w:space="0" w:color="000000"/>
            </w:tcBorders>
            <w:shd w:val="clear" w:color="auto" w:fill="D2D2D2"/>
          </w:tcPr>
          <w:p>
            <w:pPr/>
          </w:p>
        </w:tc>
        <w:tc>
          <w:tcPr>
            <w:tcW w:w="130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2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8" w:type="dxa"/>
            <w:vMerge w:val="restart"/>
            <w:tcBorders>
              <w:top w:val="single" w:sz="4" w:space="0" w:color="000000"/>
              <w:left w:val="single" w:sz="4" w:space="0" w:color="000000"/>
              <w:right w:val="single" w:sz="4" w:space="0" w:color="000000"/>
            </w:tcBorders>
            <w:shd w:val="clear" w:color="auto" w:fill="D2D2D2"/>
          </w:tcPr>
          <w:p>
            <w:pPr/>
          </w:p>
        </w:tc>
        <w:tc>
          <w:tcPr>
            <w:tcW w:w="1065" w:type="dxa"/>
            <w:vMerge w:val="restart"/>
            <w:tcBorders>
              <w:top w:val="single" w:sz="4" w:space="0" w:color="000000"/>
              <w:left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09" w:type="dxa"/>
            <w:vMerge/>
            <w:tcBorders>
              <w:left w:val="single" w:sz="4" w:space="0" w:color="000000"/>
              <w:bottom w:val="nil" w:sz="6" w:space="0" w:color="auto"/>
              <w:right w:val="single" w:sz="4" w:space="0" w:color="000000"/>
            </w:tcBorders>
            <w:shd w:val="clear" w:color="auto" w:fill="D2D2D2"/>
          </w:tcPr>
          <w:p>
            <w:pPr/>
          </w:p>
        </w:tc>
        <w:tc>
          <w:tcPr>
            <w:tcW w:w="898" w:type="dxa"/>
            <w:vMerge/>
            <w:tcBorders>
              <w:left w:val="single" w:sz="4" w:space="0" w:color="000000"/>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130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2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23" w:right="54"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58" w:type="dxa"/>
            <w:vMerge/>
            <w:tcBorders>
              <w:left w:val="single" w:sz="4" w:space="0" w:color="000000"/>
              <w:bottom w:val="nil" w:sz="6" w:space="0" w:color="auto"/>
              <w:right w:val="single" w:sz="4" w:space="0" w:color="000000"/>
            </w:tcBorders>
            <w:shd w:val="clear" w:color="auto" w:fill="D2D2D2"/>
          </w:tcPr>
          <w:p>
            <w:pPr/>
          </w:p>
        </w:tc>
        <w:tc>
          <w:tcPr>
            <w:tcW w:w="1065" w:type="dxa"/>
            <w:vMerge/>
            <w:tcBorders>
              <w:left w:val="single" w:sz="4" w:space="0" w:color="000000"/>
              <w:bottom w:val="nil" w:sz="6" w:space="0" w:color="auto"/>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96" w:right="2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8"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97"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898" w:type="dxa"/>
            <w:vMerge/>
            <w:tcBorders>
              <w:left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5" w:type="dxa"/>
            <w:vMerge/>
            <w:tcBorders>
              <w:left w:val="single" w:sz="4" w:space="0" w:color="000000"/>
              <w:right w:val="single" w:sz="4" w:space="0" w:color="000000"/>
            </w:tcBorders>
            <w:shd w:val="clear" w:color="auto" w:fill="D2D2D2"/>
          </w:tcPr>
          <w:p>
            <w:pPr/>
          </w:p>
        </w:tc>
        <w:tc>
          <w:tcPr>
            <w:tcW w:w="1029" w:type="dxa"/>
            <w:vMerge/>
            <w:tcBorders>
              <w:left w:val="single" w:sz="4" w:space="0" w:color="000000"/>
              <w:right w:val="single" w:sz="4" w:space="0" w:color="000000"/>
            </w:tcBorders>
            <w:shd w:val="clear" w:color="auto" w:fill="D2D2D2"/>
          </w:tcPr>
          <w:p>
            <w:pPr/>
          </w:p>
        </w:tc>
        <w:tc>
          <w:tcPr>
            <w:tcW w:w="105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73"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5"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75" w:type="dxa"/>
            <w:vMerge/>
            <w:tcBorders>
              <w:left w:val="single" w:sz="4" w:space="0" w:color="000000"/>
              <w:right w:val="single" w:sz="4" w:space="0" w:color="000000"/>
            </w:tcBorders>
            <w:shd w:val="clear" w:color="auto" w:fill="D2D2D2"/>
          </w:tcPr>
          <w:p>
            <w:pPr/>
          </w:p>
        </w:tc>
        <w:tc>
          <w:tcPr>
            <w:tcW w:w="790" w:type="dxa"/>
            <w:vMerge/>
            <w:tcBorders>
              <w:left w:val="single" w:sz="4" w:space="0" w:color="000000"/>
              <w:right w:val="single" w:sz="4" w:space="0" w:color="000000"/>
            </w:tcBorders>
            <w:shd w:val="clear" w:color="auto" w:fill="D2D2D2"/>
          </w:tcPr>
          <w:p>
            <w:pPr/>
          </w:p>
        </w:tc>
      </w:tr>
      <w:tr>
        <w:trPr>
          <w:trHeight w:val="156" w:hRule="exact"/>
        </w:trPr>
        <w:tc>
          <w:tcPr>
            <w:tcW w:w="1709" w:type="dxa"/>
            <w:vMerge w:val="restart"/>
            <w:tcBorders>
              <w:top w:val="nil" w:sz="6" w:space="0" w:color="auto"/>
              <w:left w:val="single" w:sz="4" w:space="0" w:color="000000"/>
              <w:right w:val="single" w:sz="4" w:space="0" w:color="000000"/>
            </w:tcBorders>
            <w:shd w:val="clear" w:color="auto" w:fill="D2D2D2"/>
          </w:tcPr>
          <w:p>
            <w:pPr/>
          </w:p>
        </w:tc>
        <w:tc>
          <w:tcPr>
            <w:tcW w:w="898" w:type="dxa"/>
            <w:vMerge/>
            <w:tcBorders>
              <w:left w:val="single" w:sz="4" w:space="0" w:color="000000"/>
              <w:right w:val="single" w:sz="4" w:space="0" w:color="000000"/>
            </w:tcBorders>
            <w:shd w:val="clear" w:color="auto" w:fill="D2D2D2"/>
          </w:tcPr>
          <w:p>
            <w:pPr/>
          </w:p>
        </w:tc>
        <w:tc>
          <w:tcPr>
            <w:tcW w:w="936" w:type="dxa"/>
            <w:vMerge w:val="restart"/>
            <w:tcBorders>
              <w:top w:val="nil" w:sz="6" w:space="0" w:color="auto"/>
              <w:left w:val="single" w:sz="4" w:space="0" w:color="000000"/>
              <w:right w:val="single" w:sz="4" w:space="0" w:color="000000"/>
            </w:tcBorders>
            <w:shd w:val="clear" w:color="auto" w:fill="D2D2D2"/>
          </w:tcPr>
          <w:p>
            <w:pPr/>
          </w:p>
        </w:tc>
        <w:tc>
          <w:tcPr>
            <w:tcW w:w="1305" w:type="dxa"/>
            <w:vMerge/>
            <w:tcBorders>
              <w:left w:val="single" w:sz="4" w:space="0" w:color="000000"/>
              <w:bottom w:val="nil" w:sz="6" w:space="0" w:color="auto"/>
              <w:right w:val="single" w:sz="4" w:space="0" w:color="000000"/>
            </w:tcBorders>
            <w:shd w:val="clear" w:color="auto" w:fill="D2D2D2"/>
          </w:tcPr>
          <w:p>
            <w:pPr/>
          </w:p>
        </w:tc>
        <w:tc>
          <w:tcPr>
            <w:tcW w:w="1029" w:type="dxa"/>
            <w:vMerge/>
            <w:tcBorders>
              <w:left w:val="single" w:sz="4" w:space="0" w:color="000000"/>
              <w:bottom w:val="nil" w:sz="6" w:space="0" w:color="auto"/>
              <w:right w:val="single" w:sz="4" w:space="0" w:color="000000"/>
            </w:tcBorders>
            <w:shd w:val="clear" w:color="auto" w:fill="D2D2D2"/>
          </w:tcPr>
          <w:p>
            <w:pPr/>
          </w:p>
        </w:tc>
        <w:tc>
          <w:tcPr>
            <w:tcW w:w="1058" w:type="dxa"/>
            <w:vMerge w:val="restart"/>
            <w:tcBorders>
              <w:top w:val="nil" w:sz="6" w:space="0" w:color="auto"/>
              <w:left w:val="single" w:sz="4" w:space="0" w:color="000000"/>
              <w:right w:val="single" w:sz="4" w:space="0" w:color="000000"/>
            </w:tcBorders>
            <w:shd w:val="clear" w:color="auto" w:fill="D2D2D2"/>
          </w:tcPr>
          <w:p>
            <w:pPr/>
          </w:p>
        </w:tc>
        <w:tc>
          <w:tcPr>
            <w:tcW w:w="1065" w:type="dxa"/>
            <w:vMerge w:val="restart"/>
            <w:tcBorders>
              <w:top w:val="nil" w:sz="6" w:space="0" w:color="auto"/>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09" w:type="dxa"/>
            <w:vMerge/>
            <w:tcBorders>
              <w:left w:val="single" w:sz="4" w:space="0" w:color="000000"/>
              <w:bottom w:val="single" w:sz="4" w:space="0" w:color="000000"/>
              <w:right w:val="single" w:sz="4" w:space="0" w:color="000000"/>
            </w:tcBorders>
            <w:shd w:val="clear" w:color="auto" w:fill="D2D2D2"/>
          </w:tcPr>
          <w:p>
            <w:pPr/>
          </w:p>
        </w:tc>
        <w:tc>
          <w:tcPr>
            <w:tcW w:w="898" w:type="dxa"/>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130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2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8" w:type="dxa"/>
            <w:vMerge/>
            <w:tcBorders>
              <w:left w:val="single" w:sz="4" w:space="0" w:color="000000"/>
              <w:bottom w:val="single" w:sz="4" w:space="0" w:color="000000"/>
              <w:right w:val="single" w:sz="4" w:space="0" w:color="000000"/>
            </w:tcBorders>
            <w:shd w:val="clear" w:color="auto" w:fill="D2D2D2"/>
          </w:tcPr>
          <w:p>
            <w:pPr/>
          </w:p>
        </w:tc>
        <w:tc>
          <w:tcPr>
            <w:tcW w:w="1065"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260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3"/>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240"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w:t>
            </w:r>
          </w:p>
        </w:tc>
        <w:tc>
          <w:tcPr>
            <w:tcW w:w="20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0" w:right="75"/>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62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9" w:hRule="exact"/>
        </w:trPr>
        <w:tc>
          <w:tcPr>
            <w:tcW w:w="260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5"/>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240"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w:t>
            </w:r>
          </w:p>
        </w:tc>
        <w:tc>
          <w:tcPr>
            <w:tcW w:w="20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0" w:right="75"/>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62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0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40"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20,940</w:t>
            </w:r>
          </w:p>
        </w:tc>
        <w:tc>
          <w:tcPr>
            <w:tcW w:w="20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20" w:right="75"/>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8,133.22</w:t>
            </w:r>
          </w:p>
        </w:tc>
      </w:tr>
      <w:tr>
        <w:trPr>
          <w:trHeight w:val="714" w:hRule="exact"/>
        </w:trPr>
        <w:tc>
          <w:tcPr>
            <w:tcW w:w="260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40"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20,940</w:t>
            </w:r>
          </w:p>
        </w:tc>
        <w:tc>
          <w:tcPr>
            <w:tcW w:w="20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0" w:right="75"/>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12,806.78</w:t>
            </w:r>
          </w:p>
        </w:tc>
      </w:tr>
      <w:tr>
        <w:trPr>
          <w:trHeight w:val="407" w:hRule="exact"/>
        </w:trPr>
        <w:tc>
          <w:tcPr>
            <w:tcW w:w="484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6"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14.68%</w:t>
            </w:r>
          </w:p>
        </w:tc>
      </w:tr>
      <w:tr>
        <w:trPr>
          <w:trHeight w:val="392"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84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6"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4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29"/>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6"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2,581.96</w:t>
            </w:r>
          </w:p>
        </w:tc>
      </w:tr>
      <w:tr>
        <w:trPr>
          <w:trHeight w:val="402" w:hRule="exact"/>
        </w:trPr>
        <w:tc>
          <w:tcPr>
            <w:tcW w:w="484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6"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4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6"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2,581.96</w:t>
            </w:r>
          </w:p>
        </w:tc>
      </w:tr>
      <w:tr>
        <w:trPr>
          <w:trHeight w:val="714" w:hRule="exact"/>
        </w:trPr>
        <w:tc>
          <w:tcPr>
            <w:tcW w:w="484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5"/>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责任的情况说明（如有）</w:t>
            </w:r>
          </w:p>
        </w:tc>
        <w:tc>
          <w:tcPr>
            <w:tcW w:w="4716"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84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6"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8"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采用复合方式担保的具体情况说明</w:t>
      </w:r>
    </w:p>
    <w:p>
      <w:pPr>
        <w:spacing w:line="240" w:lineRule="auto" w:before="11"/>
        <w:rPr>
          <w:rFonts w:ascii="宋体" w:hAnsi="宋体" w:cs="宋体" w:eastAsia="宋体" w:hint="default"/>
          <w:sz w:val="26"/>
          <w:szCs w:val="26"/>
        </w:rPr>
      </w:pPr>
    </w:p>
    <w:p>
      <w:pPr>
        <w:pStyle w:val="Heading4"/>
        <w:spacing w:line="240" w:lineRule="auto"/>
        <w:ind w:left="154" w:right="0"/>
        <w:jc w:val="left"/>
        <w:rPr>
          <w:b w:val="0"/>
          <w:bCs w:val="0"/>
        </w:rPr>
      </w:pPr>
      <w:bookmarkStart w:name="（2）违规对外担保情况" w:id="92"/>
      <w:bookmarkEnd w:id="92"/>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73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公司报告期无违规对外担保情况。</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bookmarkStart w:name="3、委托他人进行现金资产管理情况" w:id="93"/>
      <w:bookmarkEnd w:id="93"/>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委托理财情况" w:id="94"/>
      <w:bookmarkEnd w:id="94"/>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01"/>
        <w:gridCol w:w="832"/>
        <w:gridCol w:w="838"/>
        <w:gridCol w:w="876"/>
        <w:gridCol w:w="804"/>
        <w:gridCol w:w="804"/>
        <w:gridCol w:w="803"/>
        <w:gridCol w:w="804"/>
        <w:gridCol w:w="804"/>
        <w:gridCol w:w="802"/>
        <w:gridCol w:w="804"/>
        <w:gridCol w:w="599"/>
      </w:tblGrid>
      <w:tr>
        <w:trPr>
          <w:trHeight w:val="1338"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4" w:right="34" w:hanging="270"/>
              <w:jc w:val="left"/>
              <w:rPr>
                <w:rFonts w:ascii="宋体" w:hAnsi="宋体" w:cs="宋体" w:eastAsia="宋体" w:hint="default"/>
                <w:sz w:val="18"/>
                <w:szCs w:val="18"/>
              </w:rPr>
            </w:pPr>
            <w:r>
              <w:rPr>
                <w:rFonts w:ascii="宋体" w:hAnsi="宋体" w:cs="宋体" w:eastAsia="宋体" w:hint="default"/>
                <w:sz w:val="18"/>
                <w:szCs w:val="18"/>
              </w:rPr>
              <w:t>受托人名 称</w:t>
            </w:r>
          </w:p>
        </w:tc>
        <w:tc>
          <w:tcPr>
            <w:tcW w:w="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0" w:right="49"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产品类型</w:t>
            </w:r>
          </w:p>
        </w:tc>
        <w:tc>
          <w:tcPr>
            <w:tcW w:w="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3" w:right="71" w:hanging="180"/>
              <w:jc w:val="left"/>
              <w:rPr>
                <w:rFonts w:ascii="宋体" w:hAnsi="宋体" w:cs="宋体" w:eastAsia="宋体" w:hint="default"/>
                <w:sz w:val="18"/>
                <w:szCs w:val="18"/>
              </w:rPr>
            </w:pPr>
            <w:r>
              <w:rPr>
                <w:rFonts w:ascii="宋体" w:hAnsi="宋体" w:cs="宋体" w:eastAsia="宋体" w:hint="default"/>
                <w:sz w:val="18"/>
                <w:szCs w:val="18"/>
              </w:rPr>
              <w:t>委托理财 金额</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起始日期</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终止日期</w:t>
            </w:r>
          </w:p>
        </w:tc>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17" w:right="35" w:hanging="180"/>
              <w:jc w:val="left"/>
              <w:rPr>
                <w:rFonts w:ascii="宋体" w:hAnsi="宋体" w:cs="宋体" w:eastAsia="宋体" w:hint="default"/>
                <w:sz w:val="18"/>
                <w:szCs w:val="18"/>
              </w:rPr>
            </w:pPr>
            <w:r>
              <w:rPr>
                <w:rFonts w:ascii="宋体" w:hAnsi="宋体" w:cs="宋体" w:eastAsia="宋体" w:hint="default"/>
                <w:sz w:val="18"/>
                <w:szCs w:val="18"/>
              </w:rPr>
              <w:t>报酬确定 方式</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36" w:right="36"/>
              <w:jc w:val="center"/>
              <w:rPr>
                <w:rFonts w:ascii="宋体" w:hAnsi="宋体" w:cs="宋体" w:eastAsia="宋体" w:hint="default"/>
                <w:sz w:val="18"/>
                <w:szCs w:val="18"/>
              </w:rPr>
            </w:pPr>
            <w:r>
              <w:rPr>
                <w:rFonts w:ascii="宋体" w:hAnsi="宋体" w:cs="宋体" w:eastAsia="宋体" w:hint="default"/>
                <w:sz w:val="18"/>
                <w:szCs w:val="18"/>
              </w:rPr>
              <w:t>本期实际 收回本金 金额</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6" w:right="36"/>
              <w:jc w:val="left"/>
              <w:rPr>
                <w:rFonts w:ascii="宋体" w:hAnsi="宋体" w:cs="宋体" w:eastAsia="宋体" w:hint="default"/>
                <w:sz w:val="18"/>
                <w:szCs w:val="18"/>
              </w:rPr>
            </w:pPr>
            <w:r>
              <w:rPr>
                <w:rFonts w:ascii="宋体" w:hAnsi="宋体" w:cs="宋体" w:eastAsia="宋体" w:hint="default"/>
                <w:sz w:val="18"/>
                <w:szCs w:val="18"/>
              </w:rPr>
              <w:t>计提减值 准备金额</w:t>
            </w:r>
          </w:p>
          <w:p>
            <w:pPr>
              <w:pStyle w:val="TableParagraph"/>
              <w:spacing w:line="240" w:lineRule="auto" w:before="20"/>
              <w:ind w:left="36"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35"/>
              <w:jc w:val="right"/>
              <w:rPr>
                <w:rFonts w:ascii="宋体" w:hAnsi="宋体" w:cs="宋体" w:eastAsia="宋体" w:hint="default"/>
                <w:sz w:val="18"/>
                <w:szCs w:val="18"/>
              </w:rPr>
            </w:pPr>
            <w:r>
              <w:rPr>
                <w:rFonts w:ascii="宋体" w:hAnsi="宋体" w:cs="宋体" w:eastAsia="宋体" w:hint="default"/>
                <w:sz w:val="18"/>
                <w:szCs w:val="18"/>
              </w:rPr>
              <w:t>预计收益</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36" w:right="36"/>
              <w:jc w:val="center"/>
              <w:rPr>
                <w:rFonts w:ascii="宋体" w:hAnsi="宋体" w:cs="宋体" w:eastAsia="宋体" w:hint="default"/>
                <w:sz w:val="18"/>
                <w:szCs w:val="18"/>
              </w:rPr>
            </w:pPr>
            <w:r>
              <w:rPr>
                <w:rFonts w:ascii="宋体" w:hAnsi="宋体" w:cs="宋体" w:eastAsia="宋体" w:hint="default"/>
                <w:sz w:val="18"/>
                <w:szCs w:val="18"/>
              </w:rPr>
              <w:t>报告期实 际损益金 额</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3" w:right="23"/>
              <w:jc w:val="both"/>
              <w:rPr>
                <w:rFonts w:ascii="宋体" w:hAnsi="宋体" w:cs="宋体" w:eastAsia="宋体" w:hint="default"/>
                <w:sz w:val="18"/>
                <w:szCs w:val="18"/>
              </w:rPr>
            </w:pPr>
            <w:r>
              <w:rPr>
                <w:rFonts w:ascii="宋体" w:hAnsi="宋体" w:cs="宋体" w:eastAsia="宋体" w:hint="default"/>
                <w:sz w:val="18"/>
                <w:szCs w:val="18"/>
              </w:rPr>
              <w:t>报告期 损益实 际收回 情况</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6"/>
              <w:jc w:val="both"/>
              <w:rPr>
                <w:rFonts w:ascii="宋体" w:hAnsi="宋体" w:cs="宋体" w:eastAsia="宋体" w:hint="default"/>
                <w:sz w:val="18"/>
                <w:szCs w:val="18"/>
              </w:rPr>
            </w:pPr>
            <w:r>
              <w:rPr>
                <w:rFonts w:ascii="宋体" w:hAnsi="宋体" w:cs="宋体" w:eastAsia="宋体" w:hint="default"/>
                <w:sz w:val="18"/>
                <w:szCs w:val="18"/>
              </w:rPr>
              <w:t>兴业银行 股份有限 公司深圳 分行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83"/>
              <w:jc w:val="left"/>
              <w:rPr>
                <w:rFonts w:ascii="宋体" w:hAnsi="宋体" w:cs="宋体" w:eastAsia="宋体" w:hint="default"/>
                <w:sz w:val="18"/>
                <w:szCs w:val="18"/>
              </w:rPr>
            </w:pPr>
            <w:r>
              <w:rPr>
                <w:rFonts w:ascii="宋体" w:hAnsi="宋体" w:cs="宋体" w:eastAsia="宋体" w:hint="default"/>
                <w:sz w:val="18"/>
                <w:szCs w:val="18"/>
              </w:rPr>
              <w:t>结构性存 款</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47"/>
              <w:jc w:val="left"/>
              <w:rPr>
                <w:rFonts w:ascii="宋体" w:hAnsi="宋体" w:cs="宋体" w:eastAsia="宋体" w:hint="default"/>
                <w:sz w:val="18"/>
                <w:szCs w:val="18"/>
              </w:rPr>
            </w:pPr>
            <w:r>
              <w:rPr>
                <w:rFonts w:ascii="宋体" w:hAnsi="宋体" w:cs="宋体" w:eastAsia="宋体" w:hint="default"/>
                <w:sz w:val="18"/>
                <w:szCs w:val="18"/>
              </w:rPr>
              <w:t>固定年化 收益率 </w:t>
            </w:r>
            <w:r>
              <w:rPr>
                <w:rFonts w:ascii="Times New Roman" w:hAnsi="Times New Roman" w:cs="Times New Roman" w:eastAsia="Times New Roman" w:hint="default"/>
                <w:sz w:val="18"/>
                <w:szCs w:val="18"/>
              </w:rPr>
              <w:t>2.7%+</w:t>
            </w:r>
            <w:r>
              <w:rPr>
                <w:rFonts w:ascii="宋体" w:hAnsi="宋体" w:cs="宋体" w:eastAsia="宋体" w:hint="default"/>
                <w:sz w:val="18"/>
                <w:szCs w:val="18"/>
              </w:rPr>
              <w:t>浮</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动收益</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38.94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37.38</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38.94</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6"/>
              <w:jc w:val="both"/>
              <w:rPr>
                <w:rFonts w:ascii="宋体" w:hAnsi="宋体" w:cs="宋体" w:eastAsia="宋体" w:hint="default"/>
                <w:sz w:val="18"/>
                <w:szCs w:val="18"/>
              </w:rPr>
            </w:pPr>
            <w:r>
              <w:rPr>
                <w:rFonts w:ascii="宋体" w:hAnsi="宋体" w:cs="宋体" w:eastAsia="宋体" w:hint="default"/>
                <w:sz w:val="18"/>
                <w:szCs w:val="18"/>
              </w:rPr>
              <w:t>兴业银行 股份有限 公司深圳 分行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83"/>
              <w:jc w:val="left"/>
              <w:rPr>
                <w:rFonts w:ascii="宋体" w:hAnsi="宋体" w:cs="宋体" w:eastAsia="宋体" w:hint="default"/>
                <w:sz w:val="18"/>
                <w:szCs w:val="18"/>
              </w:rPr>
            </w:pPr>
            <w:r>
              <w:rPr>
                <w:rFonts w:ascii="宋体" w:hAnsi="宋体" w:cs="宋体" w:eastAsia="宋体" w:hint="default"/>
                <w:sz w:val="18"/>
                <w:szCs w:val="18"/>
              </w:rPr>
              <w:t>结构性存 款</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47"/>
              <w:jc w:val="left"/>
              <w:rPr>
                <w:rFonts w:ascii="宋体" w:hAnsi="宋体" w:cs="宋体" w:eastAsia="宋体" w:hint="default"/>
                <w:sz w:val="18"/>
                <w:szCs w:val="18"/>
              </w:rPr>
            </w:pPr>
            <w:r>
              <w:rPr>
                <w:rFonts w:ascii="宋体" w:hAnsi="宋体" w:cs="宋体" w:eastAsia="宋体" w:hint="default"/>
                <w:sz w:val="18"/>
                <w:szCs w:val="18"/>
              </w:rPr>
              <w:t>固定年化 收益率 </w:t>
            </w:r>
            <w:r>
              <w:rPr>
                <w:rFonts w:ascii="Times New Roman" w:hAnsi="Times New Roman" w:cs="Times New Roman" w:eastAsia="Times New Roman" w:hint="default"/>
                <w:sz w:val="18"/>
                <w:szCs w:val="18"/>
              </w:rPr>
              <w:t>2.5%+</w:t>
            </w:r>
            <w:r>
              <w:rPr>
                <w:rFonts w:ascii="宋体" w:hAnsi="宋体" w:cs="宋体" w:eastAsia="宋体" w:hint="default"/>
                <w:sz w:val="18"/>
                <w:szCs w:val="18"/>
              </w:rPr>
              <w:t>浮</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动收益</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4.86</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5.97</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6"/>
              <w:jc w:val="both"/>
              <w:rPr>
                <w:rFonts w:ascii="宋体" w:hAnsi="宋体" w:cs="宋体" w:eastAsia="宋体" w:hint="default"/>
                <w:sz w:val="18"/>
                <w:szCs w:val="18"/>
              </w:rPr>
            </w:pPr>
            <w:r>
              <w:rPr>
                <w:rFonts w:ascii="宋体" w:hAnsi="宋体" w:cs="宋体" w:eastAsia="宋体" w:hint="default"/>
                <w:sz w:val="18"/>
                <w:szCs w:val="18"/>
              </w:rPr>
              <w:t>兴业银行 股份有限 公司深圳 分行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年化收益</w:t>
            </w:r>
          </w:p>
          <w:p>
            <w:pPr>
              <w:pStyle w:val="TableParagraph"/>
              <w:spacing w:line="240" w:lineRule="auto" w:before="116"/>
              <w:ind w:left="23" w:right="0"/>
              <w:jc w:val="left"/>
              <w:rPr>
                <w:rFonts w:ascii="Times New Roman" w:hAnsi="Times New Roman" w:cs="Times New Roman" w:eastAsia="Times New Roman" w:hint="default"/>
                <w:sz w:val="18"/>
                <w:szCs w:val="18"/>
              </w:rPr>
            </w:pPr>
            <w:r>
              <w:rPr>
                <w:rFonts w:ascii="Times New Roman"/>
                <w:sz w:val="18"/>
              </w:rPr>
              <w:t>4.8%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35.5</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35.5</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6"/>
              <w:jc w:val="both"/>
              <w:rPr>
                <w:rFonts w:ascii="宋体" w:hAnsi="宋体" w:cs="宋体" w:eastAsia="宋体" w:hint="default"/>
                <w:sz w:val="18"/>
                <w:szCs w:val="18"/>
              </w:rPr>
            </w:pPr>
            <w:r>
              <w:rPr>
                <w:rFonts w:ascii="宋体" w:hAnsi="宋体" w:cs="宋体" w:eastAsia="宋体" w:hint="default"/>
                <w:sz w:val="18"/>
                <w:szCs w:val="18"/>
              </w:rPr>
              <w:t>平安银行 股份有限 公司深圳 分行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83"/>
              <w:jc w:val="left"/>
              <w:rPr>
                <w:rFonts w:ascii="宋体" w:hAnsi="宋体" w:cs="宋体" w:eastAsia="宋体" w:hint="default"/>
                <w:sz w:val="18"/>
                <w:szCs w:val="18"/>
              </w:rPr>
            </w:pPr>
            <w:r>
              <w:rPr>
                <w:rFonts w:ascii="宋体" w:hAnsi="宋体" w:cs="宋体" w:eastAsia="宋体" w:hint="default"/>
                <w:sz w:val="18"/>
                <w:szCs w:val="18"/>
              </w:rPr>
              <w:t>结构性存 款</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年化收益</w:t>
            </w:r>
          </w:p>
          <w:p>
            <w:pPr>
              <w:pStyle w:val="TableParagraph"/>
              <w:spacing w:line="240" w:lineRule="auto" w:before="116"/>
              <w:ind w:left="23" w:right="0"/>
              <w:jc w:val="left"/>
              <w:rPr>
                <w:rFonts w:ascii="Times New Roman" w:hAnsi="Times New Roman" w:cs="Times New Roman" w:eastAsia="Times New Roman" w:hint="default"/>
                <w:sz w:val="18"/>
                <w:szCs w:val="18"/>
              </w:rPr>
            </w:pPr>
            <w:r>
              <w:rPr>
                <w:rFonts w:ascii="Times New Roman"/>
                <w:sz w:val="18"/>
              </w:rPr>
              <w:t>3.95%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9.74</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9.74</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6"/>
              <w:jc w:val="both"/>
              <w:rPr>
                <w:rFonts w:ascii="宋体" w:hAnsi="宋体" w:cs="宋体" w:eastAsia="宋体" w:hint="default"/>
                <w:sz w:val="18"/>
                <w:szCs w:val="18"/>
              </w:rPr>
            </w:pPr>
            <w:r>
              <w:rPr>
                <w:rFonts w:ascii="宋体" w:hAnsi="宋体" w:cs="宋体" w:eastAsia="宋体" w:hint="default"/>
                <w:sz w:val="18"/>
                <w:szCs w:val="18"/>
              </w:rPr>
              <w:t>平安银行 股份有限 公司深圳 分行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83"/>
              <w:jc w:val="left"/>
              <w:rPr>
                <w:rFonts w:ascii="宋体" w:hAnsi="宋体" w:cs="宋体" w:eastAsia="宋体" w:hint="default"/>
                <w:sz w:val="18"/>
                <w:szCs w:val="18"/>
              </w:rPr>
            </w:pPr>
            <w:r>
              <w:rPr>
                <w:rFonts w:ascii="宋体" w:hAnsi="宋体" w:cs="宋体" w:eastAsia="宋体" w:hint="default"/>
                <w:sz w:val="18"/>
                <w:szCs w:val="18"/>
              </w:rPr>
              <w:t>结构性存 款</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年化收益</w:t>
            </w:r>
          </w:p>
          <w:p>
            <w:pPr>
              <w:pStyle w:val="TableParagraph"/>
              <w:spacing w:line="240" w:lineRule="auto" w:before="116"/>
              <w:ind w:left="23" w:right="0"/>
              <w:jc w:val="left"/>
              <w:rPr>
                <w:rFonts w:ascii="Times New Roman" w:hAnsi="Times New Roman" w:cs="Times New Roman" w:eastAsia="Times New Roman" w:hint="default"/>
                <w:sz w:val="18"/>
                <w:szCs w:val="18"/>
              </w:rPr>
            </w:pPr>
            <w:r>
              <w:rPr>
                <w:rFonts w:ascii="Times New Roman"/>
                <w:sz w:val="18"/>
              </w:rPr>
              <w:t>3.60%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8.88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8.88</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8.8767</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6"/>
              <w:jc w:val="both"/>
              <w:rPr>
                <w:rFonts w:ascii="宋体" w:hAnsi="宋体" w:cs="宋体" w:eastAsia="宋体" w:hint="default"/>
                <w:sz w:val="18"/>
                <w:szCs w:val="18"/>
              </w:rPr>
            </w:pPr>
            <w:r>
              <w:rPr>
                <w:rFonts w:ascii="宋体" w:hAnsi="宋体" w:cs="宋体" w:eastAsia="宋体" w:hint="default"/>
                <w:sz w:val="18"/>
                <w:szCs w:val="18"/>
              </w:rPr>
              <w:t>厦门国际 银行有限 公司珠海 分行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83"/>
              <w:jc w:val="left"/>
              <w:rPr>
                <w:rFonts w:ascii="宋体" w:hAnsi="宋体" w:cs="宋体" w:eastAsia="宋体" w:hint="default"/>
                <w:sz w:val="18"/>
                <w:szCs w:val="18"/>
              </w:rPr>
            </w:pPr>
            <w:r>
              <w:rPr>
                <w:rFonts w:ascii="宋体" w:hAnsi="宋体" w:cs="宋体" w:eastAsia="宋体" w:hint="default"/>
                <w:sz w:val="18"/>
                <w:szCs w:val="18"/>
              </w:rPr>
              <w:t>结构性存 款</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年化收益</w:t>
            </w:r>
          </w:p>
          <w:p>
            <w:pPr>
              <w:pStyle w:val="TableParagraph"/>
              <w:spacing w:line="240" w:lineRule="auto" w:before="116"/>
              <w:ind w:left="23" w:right="0"/>
              <w:jc w:val="left"/>
              <w:rPr>
                <w:rFonts w:ascii="Times New Roman" w:hAnsi="Times New Roman" w:cs="Times New Roman" w:eastAsia="Times New Roman" w:hint="default"/>
                <w:sz w:val="18"/>
                <w:szCs w:val="18"/>
              </w:rPr>
            </w:pPr>
            <w:r>
              <w:rPr>
                <w:rFonts w:ascii="Times New Roman"/>
                <w:sz w:val="18"/>
              </w:rPr>
              <w:t>3.75%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29.38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29.38</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29.375</w:t>
            </w:r>
          </w:p>
        </w:tc>
      </w:tr>
      <w:tr>
        <w:trPr>
          <w:trHeight w:val="402"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12,200</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12,200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128.41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125.74</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委托理财资金来源</w:t>
            </w:r>
          </w:p>
        </w:tc>
        <w:tc>
          <w:tcPr>
            <w:tcW w:w="710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暂时闲置募集资金</w:t>
            </w:r>
          </w:p>
        </w:tc>
      </w:tr>
      <w:tr>
        <w:trPr>
          <w:trHeight w:val="714"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95"/>
              <w:jc w:val="left"/>
              <w:rPr>
                <w:rFonts w:ascii="宋体" w:hAnsi="宋体" w:cs="宋体" w:eastAsia="宋体" w:hint="default"/>
                <w:sz w:val="18"/>
                <w:szCs w:val="18"/>
              </w:rPr>
            </w:pPr>
            <w:r>
              <w:rPr>
                <w:rFonts w:ascii="宋体" w:hAnsi="宋体" w:cs="宋体" w:eastAsia="宋体" w:hint="default"/>
                <w:sz w:val="18"/>
                <w:szCs w:val="18"/>
              </w:rPr>
              <w:t>逾期未收回的本金和收益累计 金额</w:t>
            </w:r>
          </w:p>
        </w:tc>
        <w:tc>
          <w:tcPr>
            <w:tcW w:w="710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涉诉情况（如适用）</w:t>
            </w:r>
          </w:p>
        </w:tc>
        <w:tc>
          <w:tcPr>
            <w:tcW w:w="710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95"/>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委托理财审批董事会公告披露 日期（如有</w:t>
            </w:r>
            <w:r>
              <w:rPr>
                <w:rFonts w:ascii="Times New Roman" w:hAnsi="Times New Roman" w:cs="Times New Roman" w:eastAsia="Times New Roman" w:hint="default"/>
                <w:sz w:val="18"/>
                <w:szCs w:val="18"/>
              </w:rPr>
              <w:t>)</w:t>
            </w:r>
          </w:p>
        </w:tc>
        <w:tc>
          <w:tcPr>
            <w:tcW w:w="7100" w:type="dxa"/>
            <w:gridSpan w:val="9"/>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 w:right="95"/>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委托理财审批股东会公告披露 日期（如有</w:t>
            </w:r>
            <w:r>
              <w:rPr>
                <w:rFonts w:ascii="Times New Roman" w:hAnsi="Times New Roman" w:cs="Times New Roman" w:eastAsia="Times New Roman" w:hint="default"/>
                <w:sz w:val="18"/>
                <w:szCs w:val="18"/>
              </w:rPr>
              <w:t>)</w:t>
            </w:r>
          </w:p>
        </w:tc>
        <w:tc>
          <w:tcPr>
            <w:tcW w:w="7100" w:type="dxa"/>
            <w:gridSpan w:val="9"/>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未来是否还有委托理财计划</w:t>
            </w:r>
          </w:p>
        </w:tc>
        <w:tc>
          <w:tcPr>
            <w:tcW w:w="710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视公司业务发展情况而定。</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委托贷款情况" w:id="95"/>
      <w:bookmarkEnd w:id="95"/>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3"/>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6"/>
        <w:gridCol w:w="864"/>
        <w:gridCol w:w="982"/>
        <w:gridCol w:w="852"/>
        <w:gridCol w:w="868"/>
        <w:gridCol w:w="869"/>
        <w:gridCol w:w="869"/>
        <w:gridCol w:w="869"/>
        <w:gridCol w:w="868"/>
        <w:gridCol w:w="869"/>
        <w:gridCol w:w="792"/>
      </w:tblGrid>
      <w:tr>
        <w:trPr>
          <w:trHeight w:val="1026"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7" w:right="0"/>
              <w:jc w:val="left"/>
              <w:rPr>
                <w:rFonts w:ascii="宋体" w:hAnsi="宋体" w:cs="宋体" w:eastAsia="宋体" w:hint="default"/>
                <w:sz w:val="18"/>
                <w:szCs w:val="18"/>
              </w:rPr>
            </w:pPr>
            <w:r>
              <w:rPr>
                <w:rFonts w:ascii="宋体" w:hAnsi="宋体" w:cs="宋体" w:eastAsia="宋体" w:hint="default"/>
                <w:sz w:val="18"/>
                <w:szCs w:val="18"/>
              </w:rPr>
              <w:t>贷款对象</w:t>
            </w:r>
          </w:p>
        </w:tc>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5" w:right="66"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25" w:right="0"/>
              <w:jc w:val="left"/>
              <w:rPr>
                <w:rFonts w:ascii="宋体" w:hAnsi="宋体" w:cs="宋体" w:eastAsia="宋体" w:hint="default"/>
                <w:sz w:val="18"/>
                <w:szCs w:val="18"/>
              </w:rPr>
            </w:pPr>
            <w:r>
              <w:rPr>
                <w:rFonts w:ascii="宋体" w:hAnsi="宋体" w:cs="宋体" w:eastAsia="宋体" w:hint="default"/>
                <w:sz w:val="18"/>
                <w:szCs w:val="18"/>
              </w:rPr>
              <w:t>贷款利率</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60"/>
              <w:jc w:val="right"/>
              <w:rPr>
                <w:rFonts w:ascii="宋体" w:hAnsi="宋体" w:cs="宋体" w:eastAsia="宋体" w:hint="default"/>
                <w:sz w:val="18"/>
                <w:szCs w:val="18"/>
              </w:rPr>
            </w:pPr>
            <w:r>
              <w:rPr>
                <w:rFonts w:ascii="宋体" w:hAnsi="宋体" w:cs="宋体" w:eastAsia="宋体" w:hint="default"/>
                <w:sz w:val="18"/>
                <w:szCs w:val="18"/>
              </w:rPr>
              <w:t>贷款金额</w:t>
            </w:r>
          </w:p>
        </w:tc>
        <w:tc>
          <w:tcPr>
            <w:tcW w:w="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起始日期</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终止日期</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 w:right="68"/>
              <w:jc w:val="center"/>
              <w:rPr>
                <w:rFonts w:ascii="宋体" w:hAnsi="宋体" w:cs="宋体" w:eastAsia="宋体" w:hint="default"/>
                <w:sz w:val="18"/>
                <w:szCs w:val="18"/>
              </w:rPr>
            </w:pPr>
            <w:r>
              <w:rPr>
                <w:rFonts w:ascii="宋体" w:hAnsi="宋体" w:cs="宋体" w:eastAsia="宋体" w:hint="default"/>
                <w:sz w:val="18"/>
                <w:szCs w:val="18"/>
              </w:rPr>
              <w:t>本期实际 收回本金 金额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 w:right="69"/>
              <w:jc w:val="left"/>
              <w:rPr>
                <w:rFonts w:ascii="宋体" w:hAnsi="宋体" w:cs="宋体" w:eastAsia="宋体" w:hint="default"/>
                <w:sz w:val="18"/>
                <w:szCs w:val="18"/>
              </w:rPr>
            </w:pPr>
            <w:r>
              <w:rPr>
                <w:rFonts w:ascii="宋体" w:hAnsi="宋体" w:cs="宋体" w:eastAsia="宋体" w:hint="default"/>
                <w:sz w:val="18"/>
                <w:szCs w:val="18"/>
              </w:rPr>
              <w:t>计提减值 准备金额</w:t>
            </w:r>
          </w:p>
          <w:p>
            <w:pPr>
              <w:pStyle w:val="TableParagraph"/>
              <w:spacing w:line="240" w:lineRule="auto" w:before="20"/>
              <w:ind w:left="68"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67"/>
              <w:jc w:val="right"/>
              <w:rPr>
                <w:rFonts w:ascii="宋体" w:hAnsi="宋体" w:cs="宋体" w:eastAsia="宋体" w:hint="default"/>
                <w:sz w:val="18"/>
                <w:szCs w:val="18"/>
              </w:rPr>
            </w:pPr>
            <w:r>
              <w:rPr>
                <w:rFonts w:ascii="宋体" w:hAnsi="宋体" w:cs="宋体" w:eastAsia="宋体" w:hint="default"/>
                <w:sz w:val="18"/>
                <w:szCs w:val="18"/>
              </w:rPr>
              <w:t>预计收益</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 w:right="68"/>
              <w:jc w:val="center"/>
              <w:rPr>
                <w:rFonts w:ascii="宋体" w:hAnsi="宋体" w:cs="宋体" w:eastAsia="宋体" w:hint="default"/>
                <w:sz w:val="18"/>
                <w:szCs w:val="18"/>
              </w:rPr>
            </w:pPr>
            <w:r>
              <w:rPr>
                <w:rFonts w:ascii="宋体" w:hAnsi="宋体" w:cs="宋体" w:eastAsia="宋体" w:hint="default"/>
                <w:sz w:val="18"/>
                <w:szCs w:val="18"/>
              </w:rPr>
              <w:t>报告期实 际损益金 额</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0" w:right="30"/>
              <w:jc w:val="both"/>
              <w:rPr>
                <w:rFonts w:ascii="宋体" w:hAnsi="宋体" w:cs="宋体" w:eastAsia="宋体" w:hint="default"/>
                <w:sz w:val="18"/>
                <w:szCs w:val="18"/>
              </w:rPr>
            </w:pPr>
            <w:r>
              <w:rPr>
                <w:rFonts w:ascii="宋体" w:hAnsi="宋体" w:cs="宋体" w:eastAsia="宋体" w:hint="default"/>
                <w:sz w:val="18"/>
                <w:szCs w:val="18"/>
              </w:rPr>
              <w:t>报告期损 益实际收 回情况</w:t>
            </w:r>
          </w:p>
        </w:tc>
      </w:tr>
      <w:tr>
        <w:trPr>
          <w:trHeight w:val="1026"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1"/>
              <w:jc w:val="both"/>
              <w:rPr>
                <w:rFonts w:ascii="宋体" w:hAnsi="宋体" w:cs="宋体" w:eastAsia="宋体" w:hint="default"/>
                <w:sz w:val="18"/>
                <w:szCs w:val="18"/>
              </w:rPr>
            </w:pPr>
            <w:r>
              <w:rPr>
                <w:rFonts w:ascii="宋体" w:hAnsi="宋体" w:cs="宋体" w:eastAsia="宋体" w:hint="default"/>
                <w:sz w:val="18"/>
                <w:szCs w:val="18"/>
              </w:rPr>
              <w:t>海宁茂硕 诺华能源 有限公司</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216.8</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352"/>
              <w:jc w:val="right"/>
              <w:rPr>
                <w:rFonts w:ascii="Times New Roman" w:hAnsi="Times New Roman" w:cs="Times New Roman" w:eastAsia="Times New Roman" w:hint="default"/>
                <w:sz w:val="18"/>
                <w:szCs w:val="18"/>
              </w:rPr>
            </w:pPr>
            <w:r>
              <w:rPr>
                <w:rFonts w:ascii="Times New Roman"/>
                <w:sz w:val="18"/>
              </w:rPr>
              <w:t>216.8</w:t>
            </w:r>
          </w:p>
        </w:tc>
      </w:tr>
      <w:tr>
        <w:trPr>
          <w:trHeight w:val="1026"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1"/>
              <w:jc w:val="both"/>
              <w:rPr>
                <w:rFonts w:ascii="宋体" w:hAnsi="宋体" w:cs="宋体" w:eastAsia="宋体" w:hint="default"/>
                <w:sz w:val="18"/>
                <w:szCs w:val="18"/>
              </w:rPr>
            </w:pPr>
            <w:r>
              <w:rPr>
                <w:rFonts w:ascii="宋体" w:hAnsi="宋体" w:cs="宋体" w:eastAsia="宋体" w:hint="default"/>
                <w:sz w:val="18"/>
                <w:szCs w:val="18"/>
              </w:rPr>
              <w:t>海宁茂硕 诺华能源 有限公司</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350.7</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352"/>
              <w:jc w:val="right"/>
              <w:rPr>
                <w:rFonts w:ascii="Times New Roman" w:hAnsi="Times New Roman" w:cs="Times New Roman" w:eastAsia="Times New Roman" w:hint="default"/>
                <w:sz w:val="18"/>
                <w:szCs w:val="18"/>
              </w:rPr>
            </w:pPr>
            <w:r>
              <w:rPr>
                <w:rFonts w:ascii="Times New Roman"/>
                <w:sz w:val="18"/>
              </w:rPr>
              <w:t>350.7</w:t>
            </w:r>
          </w:p>
        </w:tc>
      </w:tr>
      <w:tr>
        <w:trPr>
          <w:trHeight w:val="402" w:hRule="exact"/>
        </w:trPr>
        <w:tc>
          <w:tcPr>
            <w:tcW w:w="17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6,500</w:t>
            </w:r>
          </w:p>
        </w:tc>
        <w:tc>
          <w:tcPr>
            <w:tcW w:w="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720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567.5</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30"/>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56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委托贷款资金来源</w:t>
            </w:r>
          </w:p>
        </w:tc>
        <w:tc>
          <w:tcPr>
            <w:tcW w:w="6003" w:type="dxa"/>
            <w:gridSpan w:val="7"/>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402" w:hRule="exact"/>
        </w:trPr>
        <w:tc>
          <w:tcPr>
            <w:tcW w:w="356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逾期未收回的本金和收益累计金额</w:t>
            </w:r>
          </w:p>
        </w:tc>
        <w:tc>
          <w:tcPr>
            <w:tcW w:w="6003" w:type="dxa"/>
            <w:gridSpan w:val="7"/>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56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涉诉情况（如适用）</w:t>
            </w:r>
          </w:p>
        </w:tc>
        <w:tc>
          <w:tcPr>
            <w:tcW w:w="6003" w:type="dxa"/>
            <w:gridSpan w:val="7"/>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56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委托贷款审批董事会公告披露日期（如有</w:t>
            </w:r>
            <w:r>
              <w:rPr>
                <w:rFonts w:ascii="Times New Roman" w:hAnsi="Times New Roman" w:cs="Times New Roman" w:eastAsia="Times New Roman" w:hint="default"/>
                <w:sz w:val="18"/>
                <w:szCs w:val="18"/>
              </w:rPr>
              <w:t>)</w:t>
            </w:r>
          </w:p>
        </w:tc>
        <w:tc>
          <w:tcPr>
            <w:tcW w:w="6003" w:type="dxa"/>
            <w:gridSpan w:val="7"/>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6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委托贷款审批股东会公告披露日期（如有</w:t>
            </w:r>
            <w:r>
              <w:rPr>
                <w:rFonts w:ascii="Times New Roman" w:hAnsi="Times New Roman" w:cs="Times New Roman" w:eastAsia="Times New Roman" w:hint="default"/>
                <w:sz w:val="18"/>
                <w:szCs w:val="18"/>
              </w:rPr>
              <w:t>)</w:t>
            </w:r>
          </w:p>
        </w:tc>
        <w:tc>
          <w:tcPr>
            <w:tcW w:w="6003" w:type="dxa"/>
            <w:gridSpan w:val="7"/>
            <w:tcBorders>
              <w:top w:val="single" w:sz="4" w:space="0" w:color="000000"/>
              <w:left w:val="single" w:sz="13" w:space="0" w:color="D2D2D2"/>
              <w:bottom w:val="single" w:sz="4" w:space="0" w:color="000000"/>
              <w:right w:val="single" w:sz="4" w:space="0" w:color="000000"/>
            </w:tcBorders>
          </w:tcPr>
          <w:p>
            <w:pPr/>
          </w:p>
        </w:tc>
      </w:tr>
      <w:tr>
        <w:trPr>
          <w:trHeight w:val="402" w:hRule="exact"/>
        </w:trPr>
        <w:tc>
          <w:tcPr>
            <w:tcW w:w="356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未来是否还有委托贷款计划</w:t>
            </w:r>
          </w:p>
        </w:tc>
        <w:tc>
          <w:tcPr>
            <w:tcW w:w="6003" w:type="dxa"/>
            <w:gridSpan w:val="7"/>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4、其他重大合同" w:id="96"/>
      <w:bookmarkEnd w:id="96"/>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8"/>
        <w:rPr>
          <w:rFonts w:ascii="宋体" w:hAnsi="宋体" w:cs="宋体" w:eastAsia="宋体" w:hint="default"/>
          <w:b/>
          <w:bCs/>
          <w:sz w:val="26"/>
          <w:szCs w:val="26"/>
        </w:rPr>
      </w:pPr>
    </w:p>
    <w:p>
      <w:pPr>
        <w:spacing w:line="338" w:lineRule="auto" w:before="0"/>
        <w:ind w:left="15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公司报告期不存在其他重大合同。</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八、其他重大事项的说明" w:id="97"/>
      <w:bookmarkEnd w:id="97"/>
      <w:r>
        <w:rPr>
          <w:b w:val="0"/>
          <w:bCs w:val="0"/>
        </w:rPr>
      </w:r>
      <w:r>
        <w:rPr/>
        <w:t>十八、其他重大事项的说明</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00" w:lineRule="auto" w:before="101"/>
        <w:ind w:left="153" w:right="1129" w:firstLine="270"/>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2015</w:t>
      </w: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月</w:t>
      </w:r>
      <w:r>
        <w:rPr>
          <w:rFonts w:ascii="Times New Roman" w:hAnsi="Times New Roman" w:cs="Times New Roman" w:eastAsia="Times New Roman" w:hint="default"/>
          <w:spacing w:val="-5"/>
          <w:sz w:val="18"/>
          <w:szCs w:val="18"/>
        </w:rPr>
        <w:t>9</w:t>
      </w:r>
      <w:r>
        <w:rPr>
          <w:rFonts w:ascii="宋体" w:hAnsi="宋体" w:cs="宋体" w:eastAsia="宋体" w:hint="default"/>
          <w:spacing w:val="-5"/>
          <w:sz w:val="18"/>
          <w:szCs w:val="18"/>
        </w:rPr>
        <w:t>日，公司董事会审议通过了《关于筹划重大资产重组事项的议案》，同意公司筹划重大资产重组事项。</w:t>
      </w:r>
      <w:r>
        <w:rPr>
          <w:rFonts w:ascii="Times New Roman" w:hAnsi="Times New Roman" w:cs="Times New Roman" w:eastAsia="Times New Roman" w:hint="default"/>
          <w:spacing w:val="-5"/>
          <w:sz w:val="18"/>
          <w:szCs w:val="18"/>
        </w:rPr>
        <w:t>2015</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日，公司经与中介机构进行详细论证分析、并与交易对方进行多次协商后，认为本次筹划重大资产重组的条件尚不</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成熟，经慎重考虑，公司决定终止本次重大资产重组，详见公司于</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日在巨潮咨询网发布的《关于终止重大资产</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重组暨筹划非公开发行股票继续停牌的公告》。并于</w:t>
      </w:r>
      <w:r>
        <w:rPr>
          <w:rFonts w:ascii="Times New Roman" w:hAnsi="Times New Roman" w:cs="Times New Roman" w:eastAsia="Times New Roman" w:hint="default"/>
          <w:spacing w:val="-3"/>
          <w:sz w:val="18"/>
          <w:szCs w:val="18"/>
        </w:rPr>
        <w:t>2015</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20</w:t>
      </w:r>
      <w:r>
        <w:rPr>
          <w:rFonts w:ascii="宋体" w:hAnsi="宋体" w:cs="宋体" w:eastAsia="宋体" w:hint="default"/>
          <w:spacing w:val="-3"/>
          <w:sz w:val="18"/>
          <w:szCs w:val="18"/>
        </w:rPr>
        <w:t>日，收到重大资产重组交易对方终止补偿款</w:t>
      </w:r>
      <w:r>
        <w:rPr>
          <w:rFonts w:ascii="Times New Roman" w:hAnsi="Times New Roman" w:cs="Times New Roman" w:eastAsia="Times New Roman" w:hint="default"/>
          <w:spacing w:val="-3"/>
          <w:sz w:val="18"/>
          <w:szCs w:val="18"/>
        </w:rPr>
        <w:t>3500</w:t>
      </w:r>
      <w:r>
        <w:rPr>
          <w:rFonts w:ascii="宋体" w:hAnsi="宋体" w:cs="宋体" w:eastAsia="宋体" w:hint="default"/>
          <w:spacing w:val="-3"/>
          <w:sz w:val="18"/>
          <w:szCs w:val="18"/>
        </w:rPr>
        <w:t>万元。</w:t>
      </w:r>
      <w:r>
        <w:rPr>
          <w:rFonts w:ascii="Times New Roman" w:hAnsi="Times New Roman" w:cs="Times New Roman" w:eastAsia="Times New Roman" w:hint="default"/>
          <w:spacing w:val="-3"/>
          <w:sz w:val="18"/>
          <w:szCs w:val="18"/>
        </w:rPr>
        <w:t>2015</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日，公司第三届董事会</w:t>
      </w:r>
      <w:r>
        <w:rPr>
          <w:rFonts w:ascii="Times New Roman" w:hAnsi="Times New Roman" w:cs="Times New Roman" w:eastAsia="Times New Roman" w:hint="default"/>
          <w:sz w:val="18"/>
          <w:szCs w:val="18"/>
        </w:rPr>
        <w:t>2015</w:t>
      </w:r>
      <w:r>
        <w:rPr>
          <w:rFonts w:ascii="宋体" w:hAnsi="宋体" w:cs="宋体" w:eastAsia="宋体" w:hint="default"/>
          <w:sz w:val="18"/>
          <w:szCs w:val="18"/>
        </w:rPr>
        <w:t>年第</w:t>
      </w:r>
      <w:r>
        <w:rPr>
          <w:rFonts w:ascii="Times New Roman" w:hAnsi="Times New Roman" w:cs="Times New Roman" w:eastAsia="Times New Roman" w:hint="default"/>
          <w:sz w:val="18"/>
          <w:szCs w:val="18"/>
        </w:rPr>
        <w:t>4</w:t>
      </w:r>
      <w:r>
        <w:rPr>
          <w:rFonts w:ascii="宋体" w:hAnsi="宋体" w:cs="宋体" w:eastAsia="宋体" w:hint="default"/>
          <w:sz w:val="18"/>
          <w:szCs w:val="18"/>
        </w:rPr>
        <w:t>次临时会议审议通过了《关于公司</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年非公开发行</w:t>
      </w:r>
      <w:r>
        <w:rPr>
          <w:rFonts w:ascii="Times New Roman" w:hAnsi="Times New Roman" w:cs="Times New Roman" w:eastAsia="Times New Roman" w:hint="default"/>
          <w:sz w:val="18"/>
          <w:szCs w:val="18"/>
        </w:rPr>
        <w:t>A</w:t>
      </w:r>
      <w:r>
        <w:rPr>
          <w:rFonts w:ascii="宋体" w:hAnsi="宋体" w:cs="宋体" w:eastAsia="宋体" w:hint="default"/>
          <w:sz w:val="18"/>
          <w:szCs w:val="18"/>
        </w:rPr>
        <w:t>股股票方案的议案》，并</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于</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2</w:t>
      </w:r>
      <w:r>
        <w:rPr>
          <w:rFonts w:ascii="Times New Roman" w:hAnsi="Times New Roman" w:cs="Times New Roman" w:eastAsia="Times New Roman" w:hint="default"/>
          <w:sz w:val="18"/>
          <w:szCs w:val="18"/>
        </w:rPr>
        <w:t>6</w:t>
      </w:r>
      <w:r>
        <w:rPr>
          <w:rFonts w:ascii="宋体" w:hAnsi="宋体" w:cs="宋体" w:eastAsia="宋体" w:hint="default"/>
          <w:sz w:val="18"/>
          <w:szCs w:val="18"/>
        </w:rPr>
        <w:t>日在巨潮资讯网上发布了《</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年度非公开发行股票预案》并复牌。</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8"/>
          <w:szCs w:val="18"/>
        </w:rPr>
      </w:pPr>
    </w:p>
    <w:p>
      <w:pPr>
        <w:spacing w:line="307" w:lineRule="auto" w:before="0"/>
        <w:ind w:left="153" w:right="1131" w:firstLine="27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、茂硕电源科技股份有限公司（以下简称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或</w:t>
      </w:r>
      <w:r>
        <w:rPr>
          <w:rFonts w:ascii="Times New Roman" w:hAnsi="Times New Roman" w:cs="Times New Roman" w:eastAsia="Times New Roman" w:hint="default"/>
          <w:sz w:val="18"/>
          <w:szCs w:val="18"/>
        </w:rPr>
        <w:t>“</w:t>
      </w:r>
      <w:r>
        <w:rPr>
          <w:rFonts w:ascii="宋体" w:hAnsi="宋体" w:cs="宋体" w:eastAsia="宋体" w:hint="default"/>
          <w:sz w:val="18"/>
          <w:szCs w:val="18"/>
        </w:rPr>
        <w:t>茂硕电源</w:t>
      </w:r>
      <w:r>
        <w:rPr>
          <w:rFonts w:ascii="Times New Roman" w:hAnsi="Times New Roman" w:cs="Times New Roman" w:eastAsia="Times New Roman" w:hint="default"/>
          <w:sz w:val="18"/>
          <w:szCs w:val="18"/>
        </w:rPr>
        <w:t>”</w:t>
      </w:r>
      <w:r>
        <w:rPr>
          <w:rFonts w:ascii="宋体" w:hAnsi="宋体" w:cs="宋体" w:eastAsia="宋体" w:hint="default"/>
          <w:sz w:val="18"/>
          <w:szCs w:val="18"/>
        </w:rPr>
        <w:t>）于</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日收到中国证券监督管理委员会（以 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中国证监会</w:t>
      </w:r>
      <w:r>
        <w:rPr>
          <w:rFonts w:ascii="Times New Roman" w:hAnsi="Times New Roman" w:cs="Times New Roman" w:eastAsia="Times New Roman" w:hint="default"/>
          <w:sz w:val="18"/>
          <w:szCs w:val="18"/>
        </w:rPr>
        <w:t>”</w:t>
      </w:r>
      <w:r>
        <w:rPr>
          <w:rFonts w:ascii="宋体" w:hAnsi="宋体" w:cs="宋体" w:eastAsia="宋体" w:hint="default"/>
          <w:sz w:val="18"/>
          <w:szCs w:val="18"/>
        </w:rPr>
        <w:t>）证监许可［</w:t>
      </w:r>
      <w:r>
        <w:rPr>
          <w:rFonts w:ascii="Times New Roman" w:hAnsi="Times New Roman" w:cs="Times New Roman" w:eastAsia="Times New Roman" w:hint="default"/>
          <w:sz w:val="18"/>
          <w:szCs w:val="18"/>
        </w:rPr>
        <w:t>2015</w:t>
      </w:r>
      <w:r>
        <w:rPr>
          <w:rFonts w:ascii="宋体" w:hAnsi="宋体" w:cs="宋体" w:eastAsia="宋体" w:hint="default"/>
          <w:sz w:val="18"/>
          <w:szCs w:val="18"/>
        </w:rPr>
        <w:t>］</w:t>
      </w:r>
      <w:r>
        <w:rPr>
          <w:rFonts w:ascii="Times New Roman" w:hAnsi="Times New Roman" w:cs="Times New Roman" w:eastAsia="Times New Roman" w:hint="default"/>
          <w:sz w:val="18"/>
          <w:szCs w:val="18"/>
        </w:rPr>
        <w:t>233</w:t>
      </w:r>
      <w:r>
        <w:rPr>
          <w:rFonts w:ascii="宋体" w:hAnsi="宋体" w:cs="宋体" w:eastAsia="宋体" w:hint="default"/>
          <w:sz w:val="18"/>
          <w:szCs w:val="18"/>
        </w:rPr>
        <w:t>号《关于核准茂硕电源科技股份有限公司向方笑求等发行股份购买资产并募集 </w:t>
      </w:r>
      <w:r>
        <w:rPr>
          <w:rFonts w:ascii="宋体" w:hAnsi="宋体" w:cs="宋体" w:eastAsia="宋体" w:hint="default"/>
          <w:spacing w:val="-2"/>
          <w:sz w:val="18"/>
          <w:szCs w:val="18"/>
        </w:rPr>
        <w:t>配套资金的批复》后，本公司依据该批复文件展开本次交易实施工作，向工商登记部门申请办理湖南省方正达电子科技有限</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公司（湖南方正达）</w:t>
      </w:r>
      <w:r>
        <w:rPr>
          <w:rFonts w:ascii="Times New Roman" w:hAnsi="Times New Roman" w:cs="Times New Roman" w:eastAsia="Times New Roman" w:hint="default"/>
          <w:sz w:val="18"/>
          <w:szCs w:val="18"/>
        </w:rPr>
        <w:t>55%</w:t>
      </w:r>
      <w:r>
        <w:rPr>
          <w:rFonts w:ascii="宋体" w:hAnsi="宋体" w:cs="宋体" w:eastAsia="宋体" w:hint="default"/>
          <w:sz w:val="18"/>
          <w:szCs w:val="18"/>
        </w:rPr>
        <w:t>股权资产过户手续。</w:t>
      </w:r>
    </w:p>
    <w:p>
      <w:pPr>
        <w:spacing w:after="0" w:line="307"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line="300" w:lineRule="auto" w:before="44"/>
        <w:ind w:left="153" w:right="1139" w:firstLine="480"/>
        <w:jc w:val="both"/>
        <w:rPr>
          <w:rFonts w:ascii="宋体" w:hAnsi="宋体" w:cs="宋体" w:eastAsia="宋体" w:hint="default"/>
          <w:sz w:val="18"/>
          <w:szCs w:val="18"/>
        </w:rPr>
      </w:pPr>
      <w:r>
        <w:rPr>
          <w:rFonts w:ascii="宋体" w:hAnsi="宋体" w:cs="宋体" w:eastAsia="宋体" w:hint="default"/>
          <w:sz w:val="18"/>
          <w:szCs w:val="18"/>
        </w:rPr>
        <w:t>按照本次交易方案，本公司将以非公开发行股份及支付现金相结合的方式购买方笑求、蓝顺明合计持有的方正达</w:t>
      </w:r>
      <w:r>
        <w:rPr>
          <w:rFonts w:ascii="Times New Roman" w:hAnsi="Times New Roman" w:cs="Times New Roman" w:eastAsia="Times New Roman" w:hint="default"/>
          <w:sz w:val="18"/>
          <w:szCs w:val="18"/>
        </w:rPr>
        <w:t>55% </w:t>
      </w:r>
      <w:r>
        <w:rPr>
          <w:rFonts w:ascii="宋体" w:hAnsi="宋体" w:cs="宋体" w:eastAsia="宋体" w:hint="default"/>
          <w:sz w:val="18"/>
          <w:szCs w:val="18"/>
        </w:rPr>
        <w:t>股权（包括方笑求持有的方正达的</w:t>
      </w:r>
      <w:r>
        <w:rPr>
          <w:rFonts w:ascii="Times New Roman" w:hAnsi="Times New Roman" w:cs="Times New Roman" w:eastAsia="Times New Roman" w:hint="default"/>
          <w:sz w:val="18"/>
          <w:szCs w:val="18"/>
        </w:rPr>
        <w:t>27.5%</w:t>
      </w:r>
      <w:r>
        <w:rPr>
          <w:rFonts w:ascii="宋体" w:hAnsi="宋体" w:cs="宋体" w:eastAsia="宋体" w:hint="default"/>
          <w:sz w:val="18"/>
          <w:szCs w:val="18"/>
        </w:rPr>
        <w:t>股权，蓝顺明持有的方正达的</w:t>
      </w:r>
      <w:r>
        <w:rPr>
          <w:rFonts w:ascii="Times New Roman" w:hAnsi="Times New Roman" w:cs="Times New Roman" w:eastAsia="Times New Roman" w:hint="default"/>
          <w:sz w:val="18"/>
          <w:szCs w:val="18"/>
        </w:rPr>
        <w:t>27.5%</w:t>
      </w:r>
      <w:r>
        <w:rPr>
          <w:rFonts w:ascii="宋体" w:hAnsi="宋体" w:cs="宋体" w:eastAsia="宋体" w:hint="default"/>
          <w:sz w:val="18"/>
          <w:szCs w:val="18"/>
        </w:rPr>
        <w:t>股权），同时向特定对象宗佩民、曹国熊非公 开发行股份募集配套资金。</w:t>
      </w:r>
    </w:p>
    <w:p>
      <w:pPr>
        <w:spacing w:line="240" w:lineRule="auto" w:before="4"/>
        <w:rPr>
          <w:rFonts w:ascii="宋体" w:hAnsi="宋体" w:cs="宋体" w:eastAsia="宋体" w:hint="default"/>
          <w:sz w:val="14"/>
          <w:szCs w:val="14"/>
        </w:rPr>
      </w:pPr>
    </w:p>
    <w:p>
      <w:pPr>
        <w:spacing w:line="300" w:lineRule="auto" w:before="0"/>
        <w:ind w:left="153" w:right="1131" w:firstLine="48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2015</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月经平江县工商行政管理局换发新《营业执照》（注册号为</w:t>
      </w:r>
      <w:r>
        <w:rPr>
          <w:rFonts w:ascii="Times New Roman" w:hAnsi="Times New Roman" w:cs="Times New Roman" w:eastAsia="Times New Roman" w:hint="default"/>
          <w:spacing w:val="-1"/>
          <w:sz w:val="18"/>
          <w:szCs w:val="18"/>
        </w:rPr>
        <w:t>430626000010328</w:t>
      </w:r>
      <w:r>
        <w:rPr>
          <w:rFonts w:ascii="宋体" w:hAnsi="宋体" w:cs="宋体" w:eastAsia="宋体" w:hint="default"/>
          <w:spacing w:val="-1"/>
          <w:sz w:val="18"/>
          <w:szCs w:val="18"/>
        </w:rPr>
        <w:t>），并查询湖南省企业信用信息</w:t>
      </w:r>
      <w:r>
        <w:rPr>
          <w:rFonts w:ascii="宋体" w:hAnsi="宋体" w:cs="宋体" w:eastAsia="宋体" w:hint="default"/>
          <w:sz w:val="18"/>
          <w:szCs w:val="18"/>
        </w:rPr>
        <w:t> 公示系统（网址</w:t>
      </w:r>
      <w:r>
        <w:rPr>
          <w:rFonts w:ascii="Times New Roman" w:hAnsi="Times New Roman" w:cs="Times New Roman" w:eastAsia="Times New Roman" w:hint="default"/>
          <w:color w:val="ACA899"/>
          <w:sz w:val="18"/>
          <w:szCs w:val="18"/>
        </w:rPr>
      </w:r>
      <w:hyperlink r:id="rId15">
        <w:r>
          <w:rPr>
            <w:rFonts w:ascii="Times New Roman" w:hAnsi="Times New Roman" w:cs="Times New Roman" w:eastAsia="Times New Roman" w:hint="default"/>
            <w:color w:val="ACA899"/>
            <w:sz w:val="18"/>
            <w:szCs w:val="18"/>
            <w:u w:val="single" w:color="ACA899"/>
          </w:rPr>
          <w:t>http://gsxt.hnaic.gov.cn</w:t>
        </w:r>
        <w:r>
          <w:rPr>
            <w:rFonts w:ascii="Times New Roman" w:hAnsi="Times New Roman" w:cs="Times New Roman" w:eastAsia="Times New Roman" w:hint="default"/>
            <w:color w:val="ACA899"/>
            <w:sz w:val="18"/>
            <w:szCs w:val="18"/>
          </w:rPr>
        </w:r>
      </w:hyperlink>
      <w:r>
        <w:rPr>
          <w:rFonts w:ascii="宋体" w:hAnsi="宋体" w:cs="宋体" w:eastAsia="宋体" w:hint="default"/>
          <w:sz w:val="18"/>
          <w:szCs w:val="18"/>
        </w:rPr>
        <w:t>），目前，本次交易购买的资产即湖南方正达</w:t>
      </w:r>
      <w:r>
        <w:rPr>
          <w:rFonts w:ascii="Times New Roman" w:hAnsi="Times New Roman" w:cs="Times New Roman" w:eastAsia="Times New Roman" w:hint="default"/>
          <w:sz w:val="18"/>
          <w:szCs w:val="18"/>
        </w:rPr>
        <w:t>55%</w:t>
      </w:r>
      <w:r>
        <w:rPr>
          <w:rFonts w:ascii="宋体" w:hAnsi="宋体" w:cs="宋体" w:eastAsia="宋体" w:hint="default"/>
          <w:sz w:val="18"/>
          <w:szCs w:val="18"/>
        </w:rPr>
        <w:t>的股权已过户至本公司名下，股东</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变更的工商登记已经完成。</w:t>
      </w:r>
    </w:p>
    <w:p>
      <w:pPr>
        <w:spacing w:line="240" w:lineRule="auto" w:before="3"/>
        <w:rPr>
          <w:rFonts w:ascii="宋体" w:hAnsi="宋体" w:cs="宋体" w:eastAsia="宋体" w:hint="default"/>
          <w:sz w:val="26"/>
          <w:szCs w:val="26"/>
        </w:rPr>
      </w:pPr>
    </w:p>
    <w:p>
      <w:pPr>
        <w:spacing w:line="302" w:lineRule="auto" w:before="0"/>
        <w:ind w:left="153" w:right="1033" w:firstLine="36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日公司原控股股东深圳德旺投资发展有限公司（以下简称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德旺投资</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）与顾永德先生签署了《股权转让</w:t>
      </w:r>
      <w:r>
        <w:rPr>
          <w:rFonts w:ascii="宋体" w:hAnsi="宋体" w:cs="宋体" w:eastAsia="宋体" w:hint="default"/>
          <w:sz w:val="18"/>
          <w:szCs w:val="18"/>
        </w:rPr>
        <w:t> </w:t>
      </w:r>
      <w:r>
        <w:rPr>
          <w:rFonts w:ascii="宋体" w:hAnsi="宋体" w:cs="宋体" w:eastAsia="宋体" w:hint="default"/>
          <w:spacing w:val="-2"/>
          <w:sz w:val="18"/>
          <w:szCs w:val="18"/>
        </w:rPr>
        <w:t>合同》，德旺投资将其持有的茂硕电源无限售流通股</w:t>
      </w:r>
      <w:r>
        <w:rPr>
          <w:rFonts w:ascii="Times New Roman" w:hAnsi="Times New Roman" w:cs="Times New Roman" w:eastAsia="Times New Roman" w:hint="default"/>
          <w:spacing w:val="-2"/>
          <w:sz w:val="18"/>
          <w:szCs w:val="18"/>
        </w:rPr>
        <w:t>49,200,347</w:t>
      </w:r>
      <w:r>
        <w:rPr>
          <w:rFonts w:ascii="宋体" w:hAnsi="宋体" w:cs="宋体" w:eastAsia="宋体" w:hint="default"/>
          <w:spacing w:val="-2"/>
          <w:sz w:val="18"/>
          <w:szCs w:val="18"/>
        </w:rPr>
        <w:t>股协议转让给顾永德先生。详见公司于</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14</w:t>
      </w:r>
      <w:r>
        <w:rPr>
          <w:rFonts w:ascii="宋体" w:hAnsi="宋体" w:cs="宋体" w:eastAsia="宋体" w:hint="default"/>
          <w:spacing w:val="-2"/>
          <w:sz w:val="18"/>
          <w:szCs w:val="18"/>
        </w:rPr>
        <w:t>日在巨潮</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咨询网发布的《关于控股股东拟协议转让公司股份的提示性公告》、《简式权益变动报告书》和《详式权益变动报告书》。 </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日，中国证券登记结算有限责任公司深圳分公司出具了《证券过户登记确认书》，本次股份转让已完成过户登</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记手续。本次股份转让过户完成本次股份转让完成后，顾永德先生将直接持有公司股份</w:t>
      </w:r>
      <w:r>
        <w:rPr>
          <w:rFonts w:ascii="Times New Roman" w:hAnsi="Times New Roman" w:cs="Times New Roman" w:eastAsia="Times New Roman" w:hint="default"/>
          <w:sz w:val="18"/>
          <w:szCs w:val="18"/>
        </w:rPr>
        <w:t>83,145,947</w:t>
      </w:r>
      <w:r>
        <w:rPr>
          <w:rFonts w:ascii="宋体" w:hAnsi="宋体" w:cs="宋体" w:eastAsia="宋体" w:hint="default"/>
          <w:sz w:val="18"/>
          <w:szCs w:val="18"/>
        </w:rPr>
        <w:t>股，占公司目前总股本的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29.98%</w:t>
      </w:r>
      <w:r>
        <w:rPr>
          <w:rFonts w:ascii="宋体" w:hAnsi="宋体" w:cs="宋体" w:eastAsia="宋体" w:hint="default"/>
          <w:sz w:val="18"/>
          <w:szCs w:val="18"/>
        </w:rPr>
        <w:t>，其中</w:t>
      </w:r>
      <w:r>
        <w:rPr>
          <w:rFonts w:ascii="Times New Roman" w:hAnsi="Times New Roman" w:cs="Times New Roman" w:eastAsia="Times New Roman" w:hint="default"/>
          <w:sz w:val="18"/>
          <w:szCs w:val="18"/>
        </w:rPr>
        <w:t>33,945,600</w:t>
      </w:r>
      <w:r>
        <w:rPr>
          <w:rFonts w:ascii="宋体" w:hAnsi="宋体" w:cs="宋体" w:eastAsia="宋体" w:hint="default"/>
          <w:sz w:val="18"/>
          <w:szCs w:val="18"/>
        </w:rPr>
        <w:t>股处于质押状态，通过德旺投资间接持有公司股份</w:t>
      </w:r>
      <w:r>
        <w:rPr>
          <w:rFonts w:ascii="Times New Roman" w:hAnsi="Times New Roman" w:cs="Times New Roman" w:eastAsia="Times New Roman" w:hint="default"/>
          <w:sz w:val="18"/>
          <w:szCs w:val="18"/>
        </w:rPr>
        <w:t>11,639,653</w:t>
      </w:r>
      <w:r>
        <w:rPr>
          <w:rFonts w:ascii="宋体" w:hAnsi="宋体" w:cs="宋体" w:eastAsia="宋体" w:hint="default"/>
          <w:sz w:val="18"/>
          <w:szCs w:val="18"/>
        </w:rPr>
        <w:t>股，占公司目前总股本的</w:t>
      </w:r>
      <w:r>
        <w:rPr>
          <w:rFonts w:ascii="Times New Roman" w:hAnsi="Times New Roman" w:cs="Times New Roman" w:eastAsia="Times New Roman" w:hint="default"/>
          <w:sz w:val="18"/>
          <w:szCs w:val="18"/>
        </w:rPr>
        <w:t>4.20%</w:t>
      </w:r>
      <w:r>
        <w:rPr>
          <w:rFonts w:ascii="宋体" w:hAnsi="宋体" w:cs="宋体" w:eastAsia="宋体" w:hint="default"/>
          <w:sz w:val="18"/>
          <w:szCs w:val="18"/>
        </w:rPr>
        <w:t>，公司 控股股东将由德旺投资变更为顾永德先生，但本公司实际控制人不会因本次股权转让行为而发生变化。</w:t>
      </w:r>
    </w:p>
    <w:p>
      <w:pPr>
        <w:spacing w:line="240" w:lineRule="auto" w:before="1"/>
        <w:rPr>
          <w:rFonts w:ascii="宋体" w:hAnsi="宋体" w:cs="宋体" w:eastAsia="宋体" w:hint="default"/>
          <w:sz w:val="26"/>
          <w:szCs w:val="26"/>
        </w:rPr>
      </w:pPr>
    </w:p>
    <w:p>
      <w:pPr>
        <w:spacing w:line="300" w:lineRule="auto" w:before="0"/>
        <w:ind w:left="153" w:right="103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日，公司第三届董事会</w:t>
      </w:r>
      <w:r>
        <w:rPr>
          <w:rFonts w:ascii="Times New Roman" w:hAnsi="Times New Roman" w:cs="Times New Roman" w:eastAsia="Times New Roman" w:hint="default"/>
          <w:sz w:val="18"/>
          <w:szCs w:val="18"/>
        </w:rPr>
        <w:t>2015</w:t>
      </w:r>
      <w:r>
        <w:rPr>
          <w:rFonts w:ascii="宋体" w:hAnsi="宋体" w:cs="宋体" w:eastAsia="宋体" w:hint="default"/>
          <w:sz w:val="18"/>
          <w:szCs w:val="18"/>
        </w:rPr>
        <w:t>年第</w:t>
      </w:r>
      <w:r>
        <w:rPr>
          <w:rFonts w:ascii="Times New Roman" w:hAnsi="Times New Roman" w:cs="Times New Roman" w:eastAsia="Times New Roman" w:hint="default"/>
          <w:sz w:val="18"/>
          <w:szCs w:val="18"/>
        </w:rPr>
        <w:t>4</w:t>
      </w:r>
      <w:r>
        <w:rPr>
          <w:rFonts w:ascii="宋体" w:hAnsi="宋体" w:cs="宋体" w:eastAsia="宋体" w:hint="default"/>
          <w:sz w:val="18"/>
          <w:szCs w:val="18"/>
        </w:rPr>
        <w:t>次临时会议审议并通过了非公开发行股票相关议案；</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 因公司非公开发行募集资金投资项目发生变化，公司第三届董事会</w:t>
      </w:r>
      <w:r>
        <w:rPr>
          <w:rFonts w:ascii="Times New Roman" w:hAnsi="Times New Roman" w:cs="Times New Roman" w:eastAsia="Times New Roman" w:hint="default"/>
          <w:sz w:val="18"/>
          <w:szCs w:val="18"/>
        </w:rPr>
        <w:t>2015</w:t>
      </w:r>
      <w:r>
        <w:rPr>
          <w:rFonts w:ascii="宋体" w:hAnsi="宋体" w:cs="宋体" w:eastAsia="宋体" w:hint="default"/>
          <w:sz w:val="18"/>
          <w:szCs w:val="18"/>
        </w:rPr>
        <w:t>年第</w:t>
      </w:r>
      <w:r>
        <w:rPr>
          <w:rFonts w:ascii="Times New Roman" w:hAnsi="Times New Roman" w:cs="Times New Roman" w:eastAsia="Times New Roman" w:hint="default"/>
          <w:sz w:val="18"/>
          <w:szCs w:val="18"/>
        </w:rPr>
        <w:t>6</w:t>
      </w:r>
      <w:r>
        <w:rPr>
          <w:rFonts w:ascii="宋体" w:hAnsi="宋体" w:cs="宋体" w:eastAsia="宋体" w:hint="default"/>
          <w:sz w:val="18"/>
          <w:szCs w:val="18"/>
        </w:rPr>
        <w:t>次临时会议对非公开发行方案进行了修订并重</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新审议通过了相关议案；</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日，公司</w:t>
      </w:r>
      <w:r>
        <w:rPr>
          <w:rFonts w:ascii="Times New Roman" w:hAnsi="Times New Roman" w:cs="Times New Roman" w:eastAsia="Times New Roman" w:hint="default"/>
          <w:sz w:val="18"/>
          <w:szCs w:val="18"/>
        </w:rPr>
        <w:t>2015</w:t>
      </w:r>
      <w:r>
        <w:rPr>
          <w:rFonts w:ascii="宋体" w:hAnsi="宋体" w:cs="宋体" w:eastAsia="宋体" w:hint="default"/>
          <w:sz w:val="18"/>
          <w:szCs w:val="18"/>
        </w:rPr>
        <w:t>年第</w:t>
      </w:r>
      <w:r>
        <w:rPr>
          <w:rFonts w:ascii="Times New Roman" w:hAnsi="Times New Roman" w:cs="Times New Roman" w:eastAsia="Times New Roman" w:hint="default"/>
          <w:sz w:val="18"/>
          <w:szCs w:val="18"/>
        </w:rPr>
        <w:t>2</w:t>
      </w:r>
      <w:r>
        <w:rPr>
          <w:rFonts w:ascii="宋体" w:hAnsi="宋体" w:cs="宋体" w:eastAsia="宋体" w:hint="default"/>
          <w:sz w:val="18"/>
          <w:szCs w:val="18"/>
        </w:rPr>
        <w:t>次临时股东大会审议并通过了上述相关事项。公司本次拟非公开</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发行股票数量不超过</w:t>
      </w:r>
      <w:r>
        <w:rPr>
          <w:rFonts w:ascii="Times New Roman" w:hAnsi="Times New Roman" w:cs="Times New Roman" w:eastAsia="Times New Roman" w:hint="default"/>
          <w:sz w:val="18"/>
          <w:szCs w:val="18"/>
        </w:rPr>
        <w:t>8,508.00</w:t>
      </w:r>
      <w:r>
        <w:rPr>
          <w:rFonts w:ascii="宋体" w:hAnsi="宋体" w:cs="宋体" w:eastAsia="宋体" w:hint="default"/>
          <w:sz w:val="18"/>
          <w:szCs w:val="18"/>
        </w:rPr>
        <w:t>万股（含本数），发行股票的价格为</w:t>
      </w:r>
      <w:r>
        <w:rPr>
          <w:rFonts w:ascii="Times New Roman" w:hAnsi="Times New Roman" w:cs="Times New Roman" w:eastAsia="Times New Roman" w:hint="default"/>
          <w:sz w:val="18"/>
          <w:szCs w:val="18"/>
        </w:rPr>
        <w:t>7.97</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股，募集资金总额为</w:t>
      </w:r>
      <w:r>
        <w:rPr>
          <w:rFonts w:ascii="Times New Roman" w:hAnsi="Times New Roman" w:cs="Times New Roman" w:eastAsia="Times New Roman" w:hint="default"/>
          <w:sz w:val="18"/>
          <w:szCs w:val="18"/>
        </w:rPr>
        <w:t>67,808.76</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2"/>
          <w:sz w:val="18"/>
          <w:szCs w:val="18"/>
        </w:rPr>
        <w:t>日，公司召开了第三届董事会</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年第十次临时会议，公司对非公开发行方案作了进一步修订，并经公司</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年第一次临时</w:t>
      </w:r>
      <w:r>
        <w:rPr>
          <w:rFonts w:ascii="宋体" w:hAnsi="宋体" w:cs="宋体" w:eastAsia="宋体" w:hint="default"/>
          <w:spacing w:val="-58"/>
          <w:sz w:val="18"/>
          <w:szCs w:val="18"/>
        </w:rPr>
        <w:t> </w:t>
      </w:r>
      <w:r>
        <w:rPr>
          <w:rFonts w:ascii="宋体" w:hAnsi="宋体" w:cs="宋体" w:eastAsia="宋体" w:hint="default"/>
          <w:spacing w:val="-4"/>
          <w:sz w:val="18"/>
          <w:szCs w:val="18"/>
        </w:rPr>
        <w:t>股东大会审议通过，方案主要调整内容为：（</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）发行股份价格由</w:t>
      </w:r>
      <w:r>
        <w:rPr>
          <w:rFonts w:ascii="Times New Roman" w:hAnsi="Times New Roman" w:cs="Times New Roman" w:eastAsia="Times New Roman" w:hint="default"/>
          <w:spacing w:val="-4"/>
          <w:sz w:val="18"/>
          <w:szCs w:val="18"/>
        </w:rPr>
        <w:t>7.97</w:t>
      </w:r>
      <w:r>
        <w:rPr>
          <w:rFonts w:ascii="宋体" w:hAnsi="宋体" w:cs="宋体" w:eastAsia="宋体" w:hint="default"/>
          <w:spacing w:val="-4"/>
          <w:sz w:val="18"/>
          <w:szCs w:val="18"/>
        </w:rPr>
        <w:t>元</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股调增为</w:t>
      </w:r>
      <w:r>
        <w:rPr>
          <w:rFonts w:ascii="Times New Roman" w:hAnsi="Times New Roman" w:cs="Times New Roman" w:eastAsia="Times New Roman" w:hint="default"/>
          <w:spacing w:val="-4"/>
          <w:sz w:val="18"/>
          <w:szCs w:val="18"/>
        </w:rPr>
        <w:t>8.16</w:t>
      </w:r>
      <w:r>
        <w:rPr>
          <w:rFonts w:ascii="宋体" w:hAnsi="宋体" w:cs="宋体" w:eastAsia="宋体" w:hint="default"/>
          <w:spacing w:val="-4"/>
          <w:sz w:val="18"/>
          <w:szCs w:val="18"/>
        </w:rPr>
        <w:t>元</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股；（</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）补充流动资金规模由</w:t>
      </w:r>
      <w:r>
        <w:rPr>
          <w:rFonts w:ascii="Times New Roman" w:hAnsi="Times New Roman" w:cs="Times New Roman" w:eastAsia="Times New Roman" w:hint="default"/>
          <w:spacing w:val="-4"/>
          <w:sz w:val="18"/>
          <w:szCs w:val="18"/>
        </w:rPr>
        <w:t>11,680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万元缩减为</w:t>
      </w:r>
      <w:r>
        <w:rPr>
          <w:rFonts w:ascii="Times New Roman" w:hAnsi="Times New Roman" w:cs="Times New Roman" w:eastAsia="Times New Roman" w:hint="default"/>
          <w:sz w:val="18"/>
          <w:szCs w:val="18"/>
        </w:rPr>
        <w:t>7,094.92</w:t>
      </w:r>
      <w:r>
        <w:rPr>
          <w:rFonts w:ascii="宋体" w:hAnsi="宋体" w:cs="宋体" w:eastAsia="宋体" w:hint="default"/>
          <w:sz w:val="18"/>
          <w:szCs w:val="18"/>
        </w:rPr>
        <w:t>万元，对应募集资金总规模由</w:t>
      </w:r>
      <w:r>
        <w:rPr>
          <w:rFonts w:ascii="Times New Roman" w:hAnsi="Times New Roman" w:cs="Times New Roman" w:eastAsia="Times New Roman" w:hint="default"/>
          <w:sz w:val="18"/>
          <w:szCs w:val="18"/>
        </w:rPr>
        <w:t>67,808.76</w:t>
      </w:r>
      <w:r>
        <w:rPr>
          <w:rFonts w:ascii="宋体" w:hAnsi="宋体" w:cs="宋体" w:eastAsia="宋体" w:hint="default"/>
          <w:sz w:val="18"/>
          <w:szCs w:val="18"/>
        </w:rPr>
        <w:t>万元缩减为</w:t>
      </w:r>
      <w:r>
        <w:rPr>
          <w:rFonts w:ascii="Times New Roman" w:hAnsi="Times New Roman" w:cs="Times New Roman" w:eastAsia="Times New Roman" w:hint="default"/>
          <w:sz w:val="18"/>
          <w:szCs w:val="18"/>
        </w:rPr>
        <w:t>63,223.68</w:t>
      </w:r>
      <w:r>
        <w:rPr>
          <w:rFonts w:ascii="宋体" w:hAnsi="宋体" w:cs="宋体" w:eastAsia="宋体" w:hint="default"/>
          <w:sz w:val="18"/>
          <w:szCs w:val="18"/>
        </w:rPr>
        <w:t>万元；（</w:t>
      </w:r>
      <w:r>
        <w:rPr>
          <w:rFonts w:ascii="Times New Roman" w:hAnsi="Times New Roman" w:cs="Times New Roman" w:eastAsia="Times New Roman" w:hint="default"/>
          <w:sz w:val="18"/>
          <w:szCs w:val="18"/>
        </w:rPr>
        <w:t>3</w:t>
      </w:r>
      <w:r>
        <w:rPr>
          <w:rFonts w:ascii="宋体" w:hAnsi="宋体" w:cs="宋体" w:eastAsia="宋体" w:hint="default"/>
          <w:sz w:val="18"/>
          <w:szCs w:val="18"/>
        </w:rPr>
        <w:t>）发行股份数量由</w:t>
      </w:r>
      <w:r>
        <w:rPr>
          <w:rFonts w:ascii="Times New Roman" w:hAnsi="Times New Roman" w:cs="Times New Roman" w:eastAsia="Times New Roman" w:hint="default"/>
          <w:sz w:val="18"/>
          <w:szCs w:val="18"/>
        </w:rPr>
        <w:t>8,508.00</w:t>
      </w:r>
      <w:r>
        <w:rPr>
          <w:rFonts w:ascii="宋体" w:hAnsi="宋体" w:cs="宋体" w:eastAsia="宋体" w:hint="default"/>
          <w:sz w:val="18"/>
          <w:szCs w:val="18"/>
        </w:rPr>
        <w:t>万股缩 </w:t>
      </w:r>
      <w:r>
        <w:rPr>
          <w:rFonts w:ascii="宋体" w:hAnsi="宋体" w:cs="宋体" w:eastAsia="宋体" w:hint="default"/>
          <w:spacing w:val="-2"/>
          <w:sz w:val="18"/>
          <w:szCs w:val="18"/>
        </w:rPr>
        <w:t>减为</w:t>
      </w:r>
      <w:r>
        <w:rPr>
          <w:rFonts w:ascii="Times New Roman" w:hAnsi="Times New Roman" w:cs="Times New Roman" w:eastAsia="Times New Roman" w:hint="default"/>
          <w:spacing w:val="-2"/>
          <w:sz w:val="18"/>
          <w:szCs w:val="18"/>
        </w:rPr>
        <w:t>7,748.00</w:t>
      </w:r>
      <w:r>
        <w:rPr>
          <w:rFonts w:ascii="宋体" w:hAnsi="宋体" w:cs="宋体" w:eastAsia="宋体" w:hint="default"/>
          <w:spacing w:val="-2"/>
          <w:sz w:val="18"/>
          <w:szCs w:val="18"/>
        </w:rPr>
        <w:t>万股；（</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）各认购对象认购股份的数量根据调整后的总股份数量进行了相应缩减，各认购对象的认购比例保持</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不变。原发行方案的其他内容保持不变。本次非公开发行尚需取得中国证监会的批复或核准。</w:t>
      </w:r>
    </w:p>
    <w:p>
      <w:pPr>
        <w:spacing w:line="240" w:lineRule="auto" w:before="3"/>
        <w:rPr>
          <w:rFonts w:ascii="宋体" w:hAnsi="宋体" w:cs="宋体" w:eastAsia="宋体" w:hint="default"/>
          <w:sz w:val="26"/>
          <w:szCs w:val="26"/>
        </w:rPr>
      </w:pPr>
    </w:p>
    <w:p>
      <w:pPr>
        <w:spacing w:before="0"/>
        <w:ind w:left="42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、公司于</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日分别与上海飞乐音响股份有限公司（以下简称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飞乐音响</w:t>
      </w:r>
      <w:r>
        <w:rPr>
          <w:rFonts w:ascii="Times New Roman" w:hAnsi="Times New Roman" w:cs="Times New Roman" w:eastAsia="Times New Roman" w:hint="default"/>
          <w:sz w:val="18"/>
          <w:szCs w:val="18"/>
        </w:rPr>
        <w:t>”</w:t>
      </w:r>
      <w:r>
        <w:rPr>
          <w:rFonts w:ascii="宋体" w:hAnsi="宋体" w:cs="宋体" w:eastAsia="宋体" w:hint="default"/>
          <w:sz w:val="18"/>
          <w:szCs w:val="18"/>
        </w:rPr>
        <w:t>）和杭州华普永明光电股份有限公司</w:t>
      </w:r>
    </w:p>
    <w:p>
      <w:pPr>
        <w:spacing w:line="304" w:lineRule="auto" w:before="63"/>
        <w:ind w:left="153" w:right="1130" w:firstLine="0"/>
        <w:jc w:val="both"/>
        <w:rPr>
          <w:rFonts w:ascii="宋体" w:hAnsi="宋体" w:cs="宋体" w:eastAsia="宋体" w:hint="default"/>
          <w:sz w:val="18"/>
          <w:szCs w:val="18"/>
        </w:rPr>
      </w:pPr>
      <w:r>
        <w:rPr>
          <w:rFonts w:ascii="宋体" w:hAnsi="宋体" w:cs="宋体" w:eastAsia="宋体" w:hint="default"/>
          <w:spacing w:val="-2"/>
          <w:sz w:val="18"/>
          <w:szCs w:val="18"/>
        </w:rPr>
        <w:t>（以下简称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华普永明</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）签订了《战略合作协议书》，为维持与深化各方长期战略合作关系，联手打造可靠性强、高性价比</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2"/>
          <w:sz w:val="18"/>
          <w:szCs w:val="18"/>
        </w:rPr>
        <w:t>的</w:t>
      </w:r>
      <w:r>
        <w:rPr>
          <w:rFonts w:ascii="Times New Roman" w:hAnsi="Times New Roman" w:cs="Times New Roman" w:eastAsia="Times New Roman" w:hint="default"/>
          <w:spacing w:val="-2"/>
          <w:sz w:val="18"/>
          <w:szCs w:val="18"/>
        </w:rPr>
        <w:t>LED</w:t>
      </w:r>
      <w:r>
        <w:rPr>
          <w:rFonts w:ascii="宋体" w:hAnsi="宋体" w:cs="宋体" w:eastAsia="宋体" w:hint="default"/>
          <w:spacing w:val="-2"/>
          <w:sz w:val="18"/>
          <w:szCs w:val="18"/>
        </w:rPr>
        <w:t>绿色照明产品与品牌服务，秉承互利双赢的合作原则，经协议各方友好协商，达成战略合作协议，相互确定为合作伙</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1"/>
          <w:sz w:val="18"/>
          <w:szCs w:val="18"/>
        </w:rPr>
        <w:t>伴关系，</w:t>
      </w:r>
      <w:r>
        <w:rPr>
          <w:rFonts w:ascii="Times New Roman" w:hAnsi="Times New Roman" w:cs="Times New Roman" w:eastAsia="Times New Roman" w:hint="default"/>
          <w:spacing w:val="-1"/>
          <w:sz w:val="18"/>
          <w:szCs w:val="18"/>
        </w:rPr>
        <w:t>2015</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-2016</w:t>
      </w:r>
      <w:r>
        <w:rPr>
          <w:rFonts w:ascii="宋体" w:hAnsi="宋体" w:cs="宋体" w:eastAsia="宋体" w:hint="default"/>
          <w:spacing w:val="-1"/>
          <w:sz w:val="18"/>
          <w:szCs w:val="18"/>
        </w:rPr>
        <w:t>年期间，飞乐音响计划向公司战略采购</w:t>
      </w:r>
      <w:r>
        <w:rPr>
          <w:rFonts w:ascii="Times New Roman" w:hAnsi="Times New Roman" w:cs="Times New Roman" w:eastAsia="Times New Roman" w:hint="default"/>
          <w:spacing w:val="-1"/>
          <w:sz w:val="18"/>
          <w:szCs w:val="18"/>
        </w:rPr>
        <w:t>LED</w:t>
      </w:r>
      <w:r>
        <w:rPr>
          <w:rFonts w:ascii="宋体" w:hAnsi="宋体" w:cs="宋体" w:eastAsia="宋体" w:hint="default"/>
          <w:spacing w:val="-1"/>
          <w:sz w:val="18"/>
          <w:szCs w:val="18"/>
        </w:rPr>
        <w:t>驱动电源</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亿元人民币，华普永明计划向公司战略采购</w:t>
      </w:r>
      <w:r>
        <w:rPr>
          <w:rFonts w:ascii="Times New Roman" w:hAnsi="Times New Roman" w:cs="Times New Roman" w:eastAsia="Times New Roman" w:hint="default"/>
          <w:spacing w:val="-1"/>
          <w:sz w:val="18"/>
          <w:szCs w:val="18"/>
        </w:rPr>
        <w:t>LED</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户外驱动电源</w:t>
      </w:r>
      <w:r>
        <w:rPr>
          <w:rFonts w:ascii="Times New Roman" w:hAnsi="Times New Roman" w:cs="Times New Roman" w:eastAsia="Times New Roman" w:hint="default"/>
          <w:sz w:val="18"/>
          <w:szCs w:val="18"/>
        </w:rPr>
        <w:t>1</w:t>
      </w:r>
      <w:r>
        <w:rPr>
          <w:rFonts w:ascii="宋体" w:hAnsi="宋体" w:cs="宋体" w:eastAsia="宋体" w:hint="default"/>
          <w:sz w:val="18"/>
          <w:szCs w:val="18"/>
        </w:rPr>
        <w:t>亿元人民币。报告期内，华普永明及其子公司与公司的合作金额为</w:t>
      </w:r>
      <w:r>
        <w:rPr>
          <w:rFonts w:ascii="Times New Roman" w:hAnsi="Times New Roman" w:cs="Times New Roman" w:eastAsia="Times New Roman" w:hint="default"/>
          <w:sz w:val="18"/>
          <w:szCs w:val="18"/>
        </w:rPr>
        <w:t>15,211,735.59</w:t>
      </w:r>
      <w:r>
        <w:rPr>
          <w:rFonts w:ascii="宋体" w:hAnsi="宋体" w:cs="宋体" w:eastAsia="宋体" w:hint="default"/>
          <w:sz w:val="18"/>
          <w:szCs w:val="18"/>
        </w:rPr>
        <w:t>元，飞乐音响及其子公司与</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公司的合作金额为</w:t>
      </w:r>
      <w:r>
        <w:rPr>
          <w:rFonts w:ascii="Times New Roman" w:hAnsi="Times New Roman" w:cs="Times New Roman" w:eastAsia="Times New Roman" w:hint="default"/>
          <w:sz w:val="18"/>
          <w:szCs w:val="18"/>
        </w:rPr>
        <w:t>526,803.18</w:t>
      </w:r>
      <w:r>
        <w:rPr>
          <w:rFonts w:ascii="宋体" w:hAnsi="宋体" w:cs="宋体" w:eastAsia="宋体" w:hint="default"/>
          <w:sz w:val="18"/>
          <w:szCs w:val="18"/>
        </w:rPr>
        <w:t>元。截止目前，公司与飞乐音响的《战略合作协议书》虽已经对方代表签字，但至今仍未取得</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对方盖章，鉴于《战略合作协议书》仅为双方意向性协议，未对具体采购产品、采购价格、采购数量以及付款安排等商务条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款进行详细约定，协议约束力较低，且考虑到协议生效条件未满足以及目前双方的合作金额较少，对方按原协议约定完成战</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略采购的可能性较小，请广大投资者注意投资风险。</w:t>
      </w:r>
    </w:p>
    <w:p>
      <w:pPr>
        <w:spacing w:line="240" w:lineRule="auto" w:before="13"/>
        <w:rPr>
          <w:rFonts w:ascii="宋体" w:hAnsi="宋体" w:cs="宋体" w:eastAsia="宋体" w:hint="default"/>
          <w:sz w:val="25"/>
          <w:szCs w:val="25"/>
        </w:rPr>
      </w:pPr>
    </w:p>
    <w:p>
      <w:pPr>
        <w:spacing w:before="0"/>
        <w:ind w:left="42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、光伏发电项目进展情况</w:t>
      </w:r>
    </w:p>
    <w:p>
      <w:pPr>
        <w:spacing w:before="63"/>
        <w:ind w:left="154" w:right="0" w:firstLine="0"/>
        <w:jc w:val="both"/>
        <w:rPr>
          <w:rFonts w:ascii="宋体" w:hAnsi="宋体" w:cs="宋体" w:eastAsia="宋体" w:hint="default"/>
          <w:sz w:val="18"/>
          <w:szCs w:val="18"/>
        </w:rPr>
      </w:pPr>
      <w:r>
        <w:rPr>
          <w:rFonts w:ascii="宋体" w:hAnsi="宋体" w:cs="宋体" w:eastAsia="宋体" w:hint="default"/>
          <w:sz w:val="18"/>
          <w:szCs w:val="18"/>
        </w:rPr>
        <w:t>（一）已并网发电的光伏电站情况：</w:t>
      </w:r>
    </w:p>
    <w:p>
      <w:pPr>
        <w:spacing w:before="76"/>
        <w:ind w:left="154" w:right="0" w:firstLine="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）浙江海宁茂硕诺华能源有限公司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我司占比</w:t>
      </w:r>
      <w:r>
        <w:rPr>
          <w:rFonts w:ascii="Times New Roman" w:hAnsi="Times New Roman" w:cs="Times New Roman" w:eastAsia="Times New Roman" w:hint="default"/>
          <w:sz w:val="18"/>
          <w:szCs w:val="18"/>
        </w:rPr>
        <w:t>70.6%,</w:t>
      </w:r>
      <w:r>
        <w:rPr>
          <w:rFonts w:ascii="宋体" w:hAnsi="宋体" w:cs="宋体" w:eastAsia="宋体" w:hint="default"/>
          <w:sz w:val="18"/>
          <w:szCs w:val="18"/>
        </w:rPr>
        <w:t>投资建设</w:t>
      </w:r>
      <w:r>
        <w:rPr>
          <w:rFonts w:ascii="Times New Roman" w:hAnsi="Times New Roman" w:cs="Times New Roman" w:eastAsia="Times New Roman" w:hint="default"/>
          <w:sz w:val="18"/>
          <w:szCs w:val="18"/>
        </w:rPr>
        <w:t>15MW</w:t>
      </w:r>
      <w:r>
        <w:rPr>
          <w:rFonts w:ascii="宋体" w:hAnsi="宋体" w:cs="宋体" w:eastAsia="宋体" w:hint="default"/>
          <w:sz w:val="18"/>
          <w:szCs w:val="18"/>
        </w:rPr>
        <w:t>光伏项目</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年底已正常并网发电。</w:t>
      </w:r>
    </w:p>
    <w:p>
      <w:pPr>
        <w:spacing w:before="63"/>
        <w:ind w:left="153" w:right="0" w:firstLine="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）台州南瑞污水处理厂项目，我司占比</w:t>
      </w:r>
      <w:r>
        <w:rPr>
          <w:rFonts w:ascii="Times New Roman" w:hAnsi="Times New Roman" w:cs="Times New Roman" w:eastAsia="Times New Roman" w:hint="default"/>
          <w:sz w:val="18"/>
          <w:szCs w:val="18"/>
        </w:rPr>
        <w:t>93.2388%,</w:t>
      </w:r>
      <w:r>
        <w:rPr>
          <w:rFonts w:ascii="宋体" w:hAnsi="宋体" w:cs="宋体" w:eastAsia="宋体" w:hint="default"/>
          <w:sz w:val="18"/>
          <w:szCs w:val="18"/>
        </w:rPr>
        <w:t>已投资建设完成</w:t>
      </w:r>
      <w:r>
        <w:rPr>
          <w:rFonts w:ascii="Times New Roman" w:hAnsi="Times New Roman" w:cs="Times New Roman" w:eastAsia="Times New Roman" w:hint="default"/>
          <w:sz w:val="18"/>
          <w:szCs w:val="18"/>
        </w:rPr>
        <w:t>4.39MW,</w:t>
      </w:r>
      <w:r>
        <w:rPr>
          <w:rFonts w:ascii="宋体" w:hAnsi="宋体" w:cs="宋体" w:eastAsia="宋体" w:hint="default"/>
          <w:sz w:val="18"/>
          <w:szCs w:val="18"/>
        </w:rPr>
        <w:t>，</w:t>
      </w:r>
      <w:r>
        <w:rPr>
          <w:rFonts w:ascii="宋体" w:hAnsi="宋体" w:cs="宋体" w:eastAsia="宋体" w:hint="default"/>
          <w:spacing w:val="-23"/>
          <w:sz w:val="18"/>
          <w:szCs w:val="18"/>
        </w:rPr>
        <w:t> </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月底可正常并网发电。</w:t>
      </w:r>
    </w:p>
    <w:p>
      <w:pPr>
        <w:spacing w:line="240" w:lineRule="auto" w:before="0"/>
        <w:rPr>
          <w:rFonts w:ascii="宋体" w:hAnsi="宋体" w:cs="宋体" w:eastAsia="宋体" w:hint="default"/>
          <w:sz w:val="18"/>
          <w:szCs w:val="18"/>
        </w:rPr>
      </w:pPr>
    </w:p>
    <w:p>
      <w:pPr>
        <w:spacing w:before="139"/>
        <w:ind w:left="153" w:right="0" w:firstLine="0"/>
        <w:jc w:val="both"/>
        <w:rPr>
          <w:rFonts w:ascii="宋体" w:hAnsi="宋体" w:cs="宋体" w:eastAsia="宋体" w:hint="default"/>
          <w:sz w:val="18"/>
          <w:szCs w:val="18"/>
        </w:rPr>
      </w:pPr>
      <w:r>
        <w:rPr>
          <w:rFonts w:ascii="宋体" w:hAnsi="宋体" w:cs="宋体" w:eastAsia="宋体" w:hint="default"/>
          <w:sz w:val="18"/>
          <w:szCs w:val="18"/>
        </w:rPr>
        <w:t>（二）未并网发电的光伏电站进展情况：</w:t>
      </w:r>
    </w:p>
    <w:p>
      <w:pPr>
        <w:spacing w:line="340" w:lineRule="auto" w:before="76"/>
        <w:ind w:left="514" w:right="0" w:hanging="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）萍乡安源区光伏发电项目 </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月签订</w:t>
      </w:r>
      <w:r>
        <w:rPr>
          <w:rFonts w:ascii="宋体" w:hAnsi="宋体" w:cs="宋体" w:eastAsia="宋体" w:hint="default"/>
          <w:spacing w:val="-53"/>
          <w:sz w:val="18"/>
          <w:szCs w:val="18"/>
        </w:rPr>
        <w:t> </w:t>
      </w:r>
      <w:r>
        <w:rPr>
          <w:rFonts w:ascii="宋体" w:hAnsi="宋体" w:cs="宋体" w:eastAsia="宋体" w:hint="default"/>
          <w:sz w:val="18"/>
          <w:szCs w:val="18"/>
        </w:rPr>
        <w:t>有效期</w:t>
      </w:r>
      <w:r>
        <w:rPr>
          <w:rFonts w:ascii="Times New Roman" w:hAnsi="Times New Roman" w:cs="Times New Roman" w:eastAsia="Times New Roman" w:hint="default"/>
          <w:sz w:val="18"/>
          <w:szCs w:val="18"/>
        </w:rPr>
        <w:t>1</w:t>
      </w:r>
      <w:r>
        <w:rPr>
          <w:rFonts w:ascii="宋体" w:hAnsi="宋体" w:cs="宋体" w:eastAsia="宋体" w:hint="default"/>
          <w:sz w:val="18"/>
          <w:szCs w:val="18"/>
        </w:rPr>
        <w:t>年 拟投资</w:t>
      </w:r>
      <w:r>
        <w:rPr>
          <w:rFonts w:ascii="Times New Roman" w:hAnsi="Times New Roman" w:cs="Times New Roman" w:eastAsia="Times New Roman" w:hint="default"/>
          <w:sz w:val="18"/>
          <w:szCs w:val="18"/>
        </w:rPr>
        <w:t>5</w:t>
      </w:r>
      <w:r>
        <w:rPr>
          <w:rFonts w:ascii="宋体" w:hAnsi="宋体" w:cs="宋体" w:eastAsia="宋体" w:hint="default"/>
          <w:sz w:val="18"/>
          <w:szCs w:val="18"/>
        </w:rPr>
        <w:t>亿建设</w:t>
      </w:r>
      <w:r>
        <w:rPr>
          <w:rFonts w:ascii="Times New Roman" w:hAnsi="Times New Roman" w:cs="Times New Roman" w:eastAsia="Times New Roman" w:hint="default"/>
          <w:sz w:val="18"/>
          <w:szCs w:val="18"/>
        </w:rPr>
        <w:t>50MW</w:t>
      </w:r>
      <w:r>
        <w:rPr>
          <w:rFonts w:ascii="宋体" w:hAnsi="宋体" w:cs="宋体" w:eastAsia="宋体" w:hint="default"/>
          <w:sz w:val="18"/>
          <w:szCs w:val="18"/>
        </w:rPr>
        <w:t>光伏并网发电项目。分两期建设，目前一期中</w:t>
      </w:r>
      <w:r>
        <w:rPr>
          <w:rFonts w:ascii="Times New Roman" w:hAnsi="Times New Roman" w:cs="Times New Roman" w:eastAsia="Times New Roman" w:hint="default"/>
          <w:sz w:val="18"/>
          <w:szCs w:val="18"/>
        </w:rPr>
        <w:t>11.5MW</w:t>
      </w:r>
      <w:r>
        <w:rPr>
          <w:rFonts w:ascii="宋体" w:hAnsi="宋体" w:cs="宋体" w:eastAsia="宋体" w:hint="default"/>
          <w:sz w:val="18"/>
          <w:szCs w:val="18"/>
        </w:rPr>
        <w:t>在建，预计</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日前并网发电。其</w:t>
      </w:r>
    </w:p>
    <w:p>
      <w:pPr>
        <w:spacing w:line="228" w:lineRule="exact" w:before="0"/>
        <w:ind w:left="153" w:right="0" w:firstLine="0"/>
        <w:jc w:val="both"/>
        <w:rPr>
          <w:rFonts w:ascii="Times New Roman" w:hAnsi="Times New Roman" w:cs="Times New Roman" w:eastAsia="Times New Roman" w:hint="default"/>
          <w:sz w:val="18"/>
          <w:szCs w:val="18"/>
        </w:rPr>
      </w:pPr>
      <w:r>
        <w:rPr>
          <w:rFonts w:ascii="宋体" w:hAnsi="宋体" w:cs="宋体" w:eastAsia="宋体" w:hint="default"/>
          <w:sz w:val="18"/>
          <w:szCs w:val="18"/>
        </w:rPr>
        <w:t>他光伏电站项目在积极推进过程中</w:t>
      </w:r>
      <w:r>
        <w:rPr>
          <w:rFonts w:ascii="Times New Roman" w:hAnsi="Times New Roman" w:cs="Times New Roman" w:eastAsia="Times New Roman" w:hint="default"/>
          <w:sz w:val="18"/>
          <w:szCs w:val="18"/>
        </w:rPr>
        <w:t>.</w:t>
      </w:r>
    </w:p>
    <w:p>
      <w:pPr>
        <w:spacing w:after="0" w:line="228" w:lineRule="exact"/>
        <w:jc w:val="both"/>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7"/>
        <w:rPr>
          <w:rFonts w:ascii="Times New Roman" w:hAnsi="Times New Roman" w:cs="Times New Roman" w:eastAsia="Times New Roman" w:hint="default"/>
          <w:sz w:val="29"/>
          <w:szCs w:val="29"/>
        </w:rPr>
      </w:pPr>
    </w:p>
    <w:p>
      <w:pPr>
        <w:tabs>
          <w:tab w:pos="2693" w:val="left" w:leader="none"/>
        </w:tabs>
        <w:spacing w:line="338" w:lineRule="auto" w:before="44"/>
        <w:ind w:left="513" w:right="1132" w:hanging="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）湖北孝昌光伏发电项目</w:t>
        <w:tab/>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月签订</w:t>
      </w:r>
      <w:r>
        <w:rPr>
          <w:rFonts w:ascii="宋体" w:hAnsi="宋体" w:cs="宋体" w:eastAsia="宋体" w:hint="default"/>
          <w:spacing w:val="53"/>
          <w:sz w:val="18"/>
          <w:szCs w:val="18"/>
        </w:rPr>
        <w:t> </w:t>
      </w:r>
      <w:r>
        <w:rPr>
          <w:rFonts w:ascii="宋体" w:hAnsi="宋体" w:cs="宋体" w:eastAsia="宋体" w:hint="default"/>
          <w:sz w:val="18"/>
          <w:szCs w:val="18"/>
        </w:rPr>
        <w:t>有效期</w:t>
      </w:r>
      <w:r>
        <w:rPr>
          <w:rFonts w:ascii="Times New Roman" w:hAnsi="Times New Roman" w:cs="Times New Roman" w:eastAsia="Times New Roman" w:hint="default"/>
          <w:sz w:val="18"/>
          <w:szCs w:val="18"/>
        </w:rPr>
        <w:t>2</w:t>
      </w:r>
      <w:r>
        <w:rPr>
          <w:rFonts w:ascii="宋体" w:hAnsi="宋体" w:cs="宋体" w:eastAsia="宋体" w:hint="default"/>
          <w:sz w:val="18"/>
          <w:szCs w:val="18"/>
        </w:rPr>
        <w:t>年 茂硕新能源拟在孝昌县投资建设光伏发电站总装机容量约</w:t>
      </w:r>
      <w:r>
        <w:rPr>
          <w:rFonts w:ascii="Times New Roman" w:hAnsi="Times New Roman" w:cs="Times New Roman" w:eastAsia="Times New Roman" w:hint="default"/>
          <w:sz w:val="18"/>
          <w:szCs w:val="18"/>
        </w:rPr>
        <w:t>50MW,</w:t>
      </w:r>
      <w:r>
        <w:rPr>
          <w:rFonts w:ascii="宋体" w:hAnsi="宋体" w:cs="宋体" w:eastAsia="宋体" w:hint="default"/>
          <w:sz w:val="18"/>
          <w:szCs w:val="18"/>
        </w:rPr>
        <w:t>预计总投资额</w:t>
      </w:r>
      <w:r>
        <w:rPr>
          <w:rFonts w:ascii="Times New Roman" w:hAnsi="Times New Roman" w:cs="Times New Roman" w:eastAsia="Times New Roman" w:hint="default"/>
          <w:sz w:val="18"/>
          <w:szCs w:val="18"/>
        </w:rPr>
        <w:t>4.5</w:t>
      </w:r>
      <w:r>
        <w:rPr>
          <w:rFonts w:ascii="宋体" w:hAnsi="宋体" w:cs="宋体" w:eastAsia="宋体" w:hint="default"/>
          <w:sz w:val="18"/>
          <w:szCs w:val="18"/>
        </w:rPr>
        <w:t>亿元人民币，现正在积极与当地政府</w:t>
      </w:r>
    </w:p>
    <w:p>
      <w:pPr>
        <w:spacing w:line="218" w:lineRule="exact"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相关部门办理项目指标批核过程中。</w:t>
      </w:r>
    </w:p>
    <w:p>
      <w:pPr>
        <w:spacing w:line="338" w:lineRule="auto" w:before="117"/>
        <w:ind w:left="513" w:right="0" w:hanging="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）宁夏同心县光伏发电项目 </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月签订</w:t>
      </w:r>
      <w:r>
        <w:rPr>
          <w:rFonts w:ascii="宋体" w:hAnsi="宋体" w:cs="宋体" w:eastAsia="宋体" w:hint="default"/>
          <w:spacing w:val="19"/>
          <w:sz w:val="18"/>
          <w:szCs w:val="18"/>
        </w:rPr>
        <w:t> </w:t>
      </w:r>
      <w:r>
        <w:rPr>
          <w:rFonts w:ascii="宋体" w:hAnsi="宋体" w:cs="宋体" w:eastAsia="宋体" w:hint="default"/>
          <w:sz w:val="18"/>
          <w:szCs w:val="18"/>
        </w:rPr>
        <w:t>有效期</w:t>
      </w:r>
      <w:r>
        <w:rPr>
          <w:rFonts w:ascii="Times New Roman" w:hAnsi="Times New Roman" w:cs="Times New Roman" w:eastAsia="Times New Roman" w:hint="default"/>
          <w:sz w:val="18"/>
          <w:szCs w:val="18"/>
        </w:rPr>
        <w:t>2</w:t>
      </w:r>
      <w:r>
        <w:rPr>
          <w:rFonts w:ascii="宋体" w:hAnsi="宋体" w:cs="宋体" w:eastAsia="宋体" w:hint="default"/>
          <w:sz w:val="18"/>
          <w:szCs w:val="18"/>
        </w:rPr>
        <w:t>年 茂硕新能源拟在同心县境内投资开发光伏发电项目，计划总投资</w:t>
      </w:r>
      <w:r>
        <w:rPr>
          <w:rFonts w:ascii="Times New Roman" w:hAnsi="Times New Roman" w:cs="Times New Roman" w:eastAsia="Times New Roman" w:hint="default"/>
          <w:sz w:val="18"/>
          <w:szCs w:val="18"/>
        </w:rPr>
        <w:t>10</w:t>
      </w:r>
      <w:r>
        <w:rPr>
          <w:rFonts w:ascii="宋体" w:hAnsi="宋体" w:cs="宋体" w:eastAsia="宋体" w:hint="default"/>
          <w:sz w:val="18"/>
          <w:szCs w:val="18"/>
        </w:rPr>
        <w:t>亿元，电站建设规模</w:t>
      </w:r>
      <w:r>
        <w:rPr>
          <w:rFonts w:ascii="Times New Roman" w:hAnsi="Times New Roman" w:cs="Times New Roman" w:eastAsia="Times New Roman" w:hint="default"/>
          <w:sz w:val="18"/>
          <w:szCs w:val="18"/>
        </w:rPr>
        <w:t>100MW</w:t>
      </w:r>
      <w:r>
        <w:rPr>
          <w:rFonts w:ascii="宋体" w:hAnsi="宋体" w:cs="宋体" w:eastAsia="宋体" w:hint="default"/>
          <w:sz w:val="18"/>
          <w:szCs w:val="18"/>
        </w:rPr>
        <w:t>。目前，国土局已经提</w:t>
      </w:r>
    </w:p>
    <w:p>
      <w:pPr>
        <w:spacing w:line="231" w:lineRule="exact"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供备案的坐标图，投资</w:t>
      </w:r>
      <w:r>
        <w:rPr>
          <w:rFonts w:ascii="Times New Roman" w:hAnsi="Times New Roman" w:cs="Times New Roman" w:eastAsia="Times New Roman" w:hint="default"/>
          <w:sz w:val="18"/>
          <w:szCs w:val="18"/>
        </w:rPr>
        <w:t>100</w:t>
      </w:r>
      <w:r>
        <w:rPr>
          <w:rFonts w:ascii="宋体" w:hAnsi="宋体" w:cs="宋体" w:eastAsia="宋体" w:hint="default"/>
          <w:sz w:val="18"/>
          <w:szCs w:val="18"/>
        </w:rPr>
        <w:t>兆瓦光伏电站项目承诺函和可研报告报送银川发改委和区政府办审核、审批。</w:t>
      </w:r>
    </w:p>
    <w:p>
      <w:pPr>
        <w:spacing w:line="340" w:lineRule="auto" w:before="101"/>
        <w:ind w:left="513" w:right="0" w:hanging="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）新余渝水区光伏发电项目 </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月签订</w:t>
      </w:r>
      <w:r>
        <w:rPr>
          <w:rFonts w:ascii="宋体" w:hAnsi="宋体" w:cs="宋体" w:eastAsia="宋体" w:hint="default"/>
          <w:spacing w:val="19"/>
          <w:sz w:val="18"/>
          <w:szCs w:val="18"/>
        </w:rPr>
        <w:t> </w:t>
      </w:r>
      <w:r>
        <w:rPr>
          <w:rFonts w:ascii="宋体" w:hAnsi="宋体" w:cs="宋体" w:eastAsia="宋体" w:hint="default"/>
          <w:sz w:val="18"/>
          <w:szCs w:val="18"/>
        </w:rPr>
        <w:t>有效期</w:t>
      </w:r>
      <w:r>
        <w:rPr>
          <w:rFonts w:ascii="Times New Roman" w:hAnsi="Times New Roman" w:cs="Times New Roman" w:eastAsia="Times New Roman" w:hint="default"/>
          <w:sz w:val="18"/>
          <w:szCs w:val="18"/>
        </w:rPr>
        <w:t>1</w:t>
      </w:r>
      <w:r>
        <w:rPr>
          <w:rFonts w:ascii="宋体" w:hAnsi="宋体" w:cs="宋体" w:eastAsia="宋体" w:hint="default"/>
          <w:sz w:val="18"/>
          <w:szCs w:val="18"/>
        </w:rPr>
        <w:t>年 </w:t>
      </w:r>
      <w:r>
        <w:rPr>
          <w:rFonts w:ascii="宋体" w:hAnsi="宋体" w:cs="宋体" w:eastAsia="宋体" w:hint="default"/>
          <w:spacing w:val="-2"/>
          <w:sz w:val="18"/>
          <w:szCs w:val="18"/>
        </w:rPr>
        <w:t>新余茂硕拟在新余市渝水区投资</w:t>
      </w:r>
      <w:r>
        <w:rPr>
          <w:rFonts w:ascii="Times New Roman" w:hAnsi="Times New Roman" w:cs="Times New Roman" w:eastAsia="Times New Roman" w:hint="default"/>
          <w:spacing w:val="-2"/>
          <w:sz w:val="18"/>
          <w:szCs w:val="18"/>
        </w:rPr>
        <w:t>100MW</w:t>
      </w:r>
      <w:r>
        <w:rPr>
          <w:rFonts w:ascii="宋体" w:hAnsi="宋体" w:cs="宋体" w:eastAsia="宋体" w:hint="default"/>
          <w:spacing w:val="-2"/>
          <w:sz w:val="18"/>
          <w:szCs w:val="18"/>
        </w:rPr>
        <w:t>光伏并网发电项目，总投资预计</w:t>
      </w: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亿元人民币。截至目前</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何家边</w:t>
      </w:r>
      <w:r>
        <w:rPr>
          <w:rFonts w:ascii="Times New Roman" w:hAnsi="Times New Roman" w:cs="Times New Roman" w:eastAsia="Times New Roman" w:hint="default"/>
          <w:spacing w:val="-2"/>
          <w:sz w:val="18"/>
          <w:szCs w:val="18"/>
        </w:rPr>
        <w:t>20MW</w:t>
      </w:r>
      <w:r>
        <w:rPr>
          <w:rFonts w:ascii="宋体" w:hAnsi="宋体" w:cs="宋体" w:eastAsia="宋体" w:hint="default"/>
          <w:spacing w:val="-2"/>
          <w:sz w:val="18"/>
          <w:szCs w:val="18"/>
        </w:rPr>
        <w:t>光伏电站</w:t>
      </w:r>
    </w:p>
    <w:p>
      <w:pPr>
        <w:spacing w:line="228" w:lineRule="exact" w:before="0"/>
        <w:ind w:left="153"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项目在建</w:t>
      </w:r>
      <w:r>
        <w:rPr>
          <w:rFonts w:ascii="Times New Roman" w:hAnsi="Times New Roman" w:cs="Times New Roman" w:eastAsia="Times New Roman" w:hint="default"/>
          <w:sz w:val="18"/>
          <w:szCs w:val="18"/>
        </w:rPr>
        <w:t>,</w:t>
      </w:r>
      <w:r>
        <w:rPr>
          <w:rFonts w:ascii="宋体" w:hAnsi="宋体" w:cs="宋体" w:eastAsia="宋体" w:hint="default"/>
          <w:sz w:val="18"/>
          <w:szCs w:val="18"/>
        </w:rPr>
        <w:t>预计</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日前并网。罗家边</w:t>
      </w:r>
      <w:r>
        <w:rPr>
          <w:rFonts w:ascii="Times New Roman" w:hAnsi="Times New Roman" w:cs="Times New Roman" w:eastAsia="Times New Roman" w:hint="default"/>
          <w:sz w:val="18"/>
          <w:szCs w:val="18"/>
        </w:rPr>
        <w:t>20MW</w:t>
      </w:r>
      <w:r>
        <w:rPr>
          <w:rFonts w:ascii="宋体" w:hAnsi="宋体" w:cs="宋体" w:eastAsia="宋体" w:hint="default"/>
          <w:sz w:val="18"/>
          <w:szCs w:val="18"/>
        </w:rPr>
        <w:t>光伏电站项目、仙女湖</w:t>
      </w:r>
      <w:r>
        <w:rPr>
          <w:rFonts w:ascii="Times New Roman" w:hAnsi="Times New Roman" w:cs="Times New Roman" w:eastAsia="Times New Roman" w:hint="default"/>
          <w:sz w:val="18"/>
          <w:szCs w:val="18"/>
        </w:rPr>
        <w:t>15MW</w:t>
      </w:r>
      <w:r>
        <w:rPr>
          <w:rFonts w:ascii="宋体" w:hAnsi="宋体" w:cs="宋体" w:eastAsia="宋体" w:hint="default"/>
          <w:sz w:val="18"/>
          <w:szCs w:val="18"/>
        </w:rPr>
        <w:t>光伏电站项目指标均已获批</w:t>
      </w:r>
      <w:r>
        <w:rPr>
          <w:rFonts w:ascii="Times New Roman" w:hAnsi="Times New Roman" w:cs="Times New Roman" w:eastAsia="Times New Roman" w:hint="default"/>
          <w:sz w:val="18"/>
          <w:szCs w:val="18"/>
        </w:rPr>
        <w:t>,</w:t>
      </w:r>
      <w:r>
        <w:rPr>
          <w:rFonts w:ascii="宋体" w:hAnsi="宋体" w:cs="宋体" w:eastAsia="宋体" w:hint="default"/>
          <w:sz w:val="18"/>
          <w:szCs w:val="18"/>
        </w:rPr>
        <w:t>预计</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p>
    <w:p>
      <w:pPr>
        <w:spacing w:before="64"/>
        <w:ind w:left="153" w:right="0" w:firstLine="0"/>
        <w:jc w:val="left"/>
        <w:rPr>
          <w:rFonts w:ascii="宋体" w:hAnsi="宋体" w:cs="宋体" w:eastAsia="宋体" w:hint="default"/>
          <w:sz w:val="18"/>
          <w:szCs w:val="18"/>
        </w:rPr>
      </w:pP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日前并网。剩余的</w:t>
      </w:r>
      <w:r>
        <w:rPr>
          <w:rFonts w:ascii="Times New Roman" w:hAnsi="Times New Roman" w:cs="Times New Roman" w:eastAsia="Times New Roman" w:hint="default"/>
          <w:sz w:val="18"/>
          <w:szCs w:val="18"/>
        </w:rPr>
        <w:t>45MW</w:t>
      </w:r>
      <w:r>
        <w:rPr>
          <w:rFonts w:ascii="宋体" w:hAnsi="宋体" w:cs="宋体" w:eastAsia="宋体" w:hint="default"/>
          <w:sz w:val="18"/>
          <w:szCs w:val="18"/>
        </w:rPr>
        <w:t>光伏电站项目在办理土地租赁和使用手续。</w:t>
      </w:r>
    </w:p>
    <w:p>
      <w:pPr>
        <w:tabs>
          <w:tab w:pos="2765" w:val="left" w:leader="none"/>
        </w:tabs>
        <w:spacing w:line="338" w:lineRule="auto" w:before="102"/>
        <w:ind w:left="513" w:right="1132" w:hanging="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）湖北赤壁光伏发电项目</w:t>
        <w:tab/>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月签订</w:t>
      </w:r>
      <w:r>
        <w:rPr>
          <w:rFonts w:ascii="宋体" w:hAnsi="宋体" w:cs="宋体" w:eastAsia="宋体" w:hint="default"/>
          <w:spacing w:val="51"/>
          <w:sz w:val="18"/>
          <w:szCs w:val="18"/>
        </w:rPr>
        <w:t> </w:t>
      </w:r>
      <w:r>
        <w:rPr>
          <w:rFonts w:ascii="宋体" w:hAnsi="宋体" w:cs="宋体" w:eastAsia="宋体" w:hint="default"/>
          <w:sz w:val="18"/>
          <w:szCs w:val="18"/>
        </w:rPr>
        <w:t>有效期</w:t>
      </w:r>
      <w:r>
        <w:rPr>
          <w:rFonts w:ascii="Times New Roman" w:hAnsi="Times New Roman" w:cs="Times New Roman" w:eastAsia="Times New Roman" w:hint="default"/>
          <w:sz w:val="18"/>
          <w:szCs w:val="18"/>
        </w:rPr>
        <w:t>2</w:t>
      </w:r>
      <w:r>
        <w:rPr>
          <w:rFonts w:ascii="宋体" w:hAnsi="宋体" w:cs="宋体" w:eastAsia="宋体" w:hint="default"/>
          <w:sz w:val="18"/>
          <w:szCs w:val="18"/>
        </w:rPr>
        <w:t>年 </w:t>
      </w:r>
      <w:r>
        <w:rPr>
          <w:rFonts w:ascii="宋体" w:hAnsi="宋体" w:cs="宋体" w:eastAsia="宋体" w:hint="default"/>
          <w:spacing w:val="-1"/>
          <w:sz w:val="18"/>
          <w:szCs w:val="18"/>
        </w:rPr>
        <w:t>茂硕新能源拟在湖北省赤壁市范围内投资建设总装机容量</w:t>
      </w:r>
      <w:r>
        <w:rPr>
          <w:rFonts w:ascii="Times New Roman" w:hAnsi="Times New Roman" w:cs="Times New Roman" w:eastAsia="Times New Roman" w:hint="default"/>
          <w:spacing w:val="-1"/>
          <w:sz w:val="18"/>
          <w:szCs w:val="18"/>
        </w:rPr>
        <w:t>100MW</w:t>
      </w:r>
      <w:r>
        <w:rPr>
          <w:rFonts w:ascii="宋体" w:hAnsi="宋体" w:cs="宋体" w:eastAsia="宋体" w:hint="default"/>
          <w:spacing w:val="-1"/>
          <w:sz w:val="18"/>
          <w:szCs w:val="18"/>
        </w:rPr>
        <w:t>的光伏发电项目，项目计划总投资额度</w:t>
      </w:r>
      <w:r>
        <w:rPr>
          <w:rFonts w:ascii="Times New Roman" w:hAnsi="Times New Roman" w:cs="Times New Roman" w:eastAsia="Times New Roman" w:hint="default"/>
          <w:spacing w:val="-1"/>
          <w:sz w:val="18"/>
          <w:szCs w:val="18"/>
        </w:rPr>
        <w:t>8</w:t>
      </w:r>
      <w:r>
        <w:rPr>
          <w:rFonts w:ascii="宋体" w:hAnsi="宋体" w:cs="宋体" w:eastAsia="宋体" w:hint="default"/>
          <w:spacing w:val="-1"/>
          <w:sz w:val="18"/>
          <w:szCs w:val="18"/>
        </w:rPr>
        <w:t>亿元。截至目</w:t>
      </w:r>
    </w:p>
    <w:p>
      <w:pPr>
        <w:spacing w:line="218" w:lineRule="exact"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前，正在积极与当地政府相关部门办理项目指标批核过程中。</w:t>
      </w:r>
    </w:p>
    <w:p>
      <w:pPr>
        <w:spacing w:line="338" w:lineRule="auto" w:before="117"/>
        <w:ind w:left="513" w:right="1123"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）宁夏灵武郝家桥光伏发电项目 </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月签订</w:t>
      </w:r>
      <w:r>
        <w:rPr>
          <w:rFonts w:ascii="宋体" w:hAnsi="宋体" w:cs="宋体" w:eastAsia="宋体" w:hint="default"/>
          <w:spacing w:val="19"/>
          <w:sz w:val="18"/>
          <w:szCs w:val="18"/>
        </w:rPr>
        <w:t> </w:t>
      </w:r>
      <w:r>
        <w:rPr>
          <w:rFonts w:ascii="宋体" w:hAnsi="宋体" w:cs="宋体" w:eastAsia="宋体" w:hint="default"/>
          <w:sz w:val="18"/>
          <w:szCs w:val="18"/>
        </w:rPr>
        <w:t>有效期</w:t>
      </w:r>
      <w:r>
        <w:rPr>
          <w:rFonts w:ascii="Times New Roman" w:hAnsi="Times New Roman" w:cs="Times New Roman" w:eastAsia="Times New Roman" w:hint="default"/>
          <w:sz w:val="18"/>
          <w:szCs w:val="18"/>
        </w:rPr>
        <w:t>1</w:t>
      </w:r>
      <w:r>
        <w:rPr>
          <w:rFonts w:ascii="宋体" w:hAnsi="宋体" w:cs="宋体" w:eastAsia="宋体" w:hint="default"/>
          <w:sz w:val="18"/>
          <w:szCs w:val="18"/>
        </w:rPr>
        <w:t>年 茂硕新能源拟在灵武郝家桥投资建设</w:t>
      </w:r>
      <w:r>
        <w:rPr>
          <w:rFonts w:ascii="Times New Roman" w:hAnsi="Times New Roman" w:cs="Times New Roman" w:eastAsia="Times New Roman" w:hint="default"/>
          <w:sz w:val="18"/>
          <w:szCs w:val="18"/>
        </w:rPr>
        <w:t>60MW</w:t>
      </w:r>
      <w:r>
        <w:rPr>
          <w:rFonts w:ascii="宋体" w:hAnsi="宋体" w:cs="宋体" w:eastAsia="宋体" w:hint="default"/>
          <w:sz w:val="18"/>
          <w:szCs w:val="18"/>
        </w:rPr>
        <w:t>的光伏并网发电项目；细分为三个项目：</w:t>
      </w:r>
      <w:r>
        <w:rPr>
          <w:rFonts w:ascii="Times New Roman" w:hAnsi="Times New Roman" w:cs="Times New Roman" w:eastAsia="Times New Roman" w:hint="default"/>
          <w:sz w:val="18"/>
          <w:szCs w:val="18"/>
        </w:rPr>
        <w:t>20MW</w:t>
      </w:r>
      <w:r>
        <w:rPr>
          <w:rFonts w:ascii="宋体" w:hAnsi="宋体" w:cs="宋体" w:eastAsia="宋体" w:hint="default"/>
          <w:sz w:val="18"/>
          <w:szCs w:val="18"/>
        </w:rPr>
        <w:t>光伏农业大棚项目、</w:t>
      </w:r>
      <w:r>
        <w:rPr>
          <w:rFonts w:ascii="Times New Roman" w:hAnsi="Times New Roman" w:cs="Times New Roman" w:eastAsia="Times New Roman" w:hint="default"/>
          <w:sz w:val="18"/>
          <w:szCs w:val="18"/>
        </w:rPr>
        <w:t>20MW</w:t>
      </w:r>
    </w:p>
    <w:p>
      <w:pPr>
        <w:spacing w:line="230" w:lineRule="exact"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民用屋顶光伏项目和</w:t>
      </w:r>
      <w:r>
        <w:rPr>
          <w:rFonts w:ascii="Times New Roman" w:hAnsi="Times New Roman" w:cs="Times New Roman" w:eastAsia="Times New Roman" w:hint="default"/>
          <w:sz w:val="18"/>
          <w:szCs w:val="18"/>
        </w:rPr>
        <w:t>20MW</w:t>
      </w:r>
      <w:r>
        <w:rPr>
          <w:rFonts w:ascii="宋体" w:hAnsi="宋体" w:cs="宋体" w:eastAsia="宋体" w:hint="default"/>
          <w:sz w:val="18"/>
          <w:szCs w:val="18"/>
        </w:rPr>
        <w:t>水库光伏项目；预计总投资</w:t>
      </w:r>
      <w:r>
        <w:rPr>
          <w:rFonts w:ascii="Times New Roman" w:hAnsi="Times New Roman" w:cs="Times New Roman" w:eastAsia="Times New Roman" w:hint="default"/>
          <w:sz w:val="18"/>
          <w:szCs w:val="18"/>
        </w:rPr>
        <w:t>4.8</w:t>
      </w:r>
      <w:r>
        <w:rPr>
          <w:rFonts w:ascii="宋体" w:hAnsi="宋体" w:cs="宋体" w:eastAsia="宋体" w:hint="default"/>
          <w:sz w:val="18"/>
          <w:szCs w:val="18"/>
        </w:rPr>
        <w:t>亿元人民币。截至目前，</w:t>
      </w:r>
      <w:r>
        <w:rPr>
          <w:rFonts w:ascii="Times New Roman" w:hAnsi="Times New Roman" w:cs="Times New Roman" w:eastAsia="Times New Roman" w:hint="default"/>
          <w:sz w:val="18"/>
          <w:szCs w:val="18"/>
        </w:rPr>
        <w:t>20</w:t>
      </w:r>
      <w:r>
        <w:rPr>
          <w:rFonts w:ascii="宋体" w:hAnsi="宋体" w:cs="宋体" w:eastAsia="宋体" w:hint="default"/>
          <w:sz w:val="18"/>
          <w:szCs w:val="18"/>
        </w:rPr>
        <w:t>兆瓦屋顶电站项目在宁夏区发改委网</w:t>
      </w:r>
    </w:p>
    <w:p>
      <w:pPr>
        <w:spacing w:before="64"/>
        <w:ind w:left="153" w:right="0" w:firstLine="0"/>
        <w:jc w:val="left"/>
        <w:rPr>
          <w:rFonts w:ascii="宋体" w:hAnsi="宋体" w:cs="宋体" w:eastAsia="宋体" w:hint="default"/>
          <w:sz w:val="18"/>
          <w:szCs w:val="18"/>
        </w:rPr>
      </w:pPr>
      <w:r>
        <w:rPr>
          <w:rFonts w:ascii="宋体" w:hAnsi="宋体" w:cs="宋体" w:eastAsia="宋体" w:hint="default"/>
          <w:sz w:val="18"/>
          <w:szCs w:val="18"/>
        </w:rPr>
        <w:t>上审核已通过，可研报告已报送灵武发改委备案，后续工作进行中。</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0"/>
          <w:szCs w:val="20"/>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上述信息披露文件均已披露在巨潮资讯网</w:t>
      </w:r>
      <w:hyperlink r:id="rId13">
        <w:r>
          <w:rPr>
            <w:rFonts w:ascii="Times New Roman" w:hAnsi="Times New Roman" w:cs="Times New Roman" w:eastAsia="Times New Roman" w:hint="default"/>
            <w:sz w:val="18"/>
            <w:szCs w:val="18"/>
          </w:rPr>
          <w:t>(www.cninfo.co</w:t>
        </w:r>
      </w:hyperlink>
      <w:r>
        <w:rPr>
          <w:rFonts w:ascii="Times New Roman" w:hAnsi="Times New Roman" w:cs="Times New Roman" w:eastAsia="Times New Roman" w:hint="default"/>
          <w:sz w:val="18"/>
          <w:szCs w:val="18"/>
        </w:rPr>
        <w:t>m</w:t>
      </w:r>
      <w:hyperlink r:id="rId13">
        <w:r>
          <w:rPr>
            <w:rFonts w:ascii="Times New Roman" w:hAnsi="Times New Roman" w:cs="Times New Roman" w:eastAsia="Times New Roman" w:hint="default"/>
            <w:sz w:val="18"/>
            <w:szCs w:val="18"/>
          </w:rPr>
          <w:t>.cn</w:t>
        </w:r>
      </w:hyperlink>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7"/>
        <w:ind w:right="0"/>
        <w:jc w:val="left"/>
        <w:rPr>
          <w:b w:val="0"/>
          <w:bCs w:val="0"/>
        </w:rPr>
      </w:pPr>
      <w:bookmarkStart w:name="十九、公司子公司重大事项" w:id="98"/>
      <w:bookmarkEnd w:id="98"/>
      <w:r>
        <w:rPr>
          <w:b w:val="0"/>
          <w:bCs w:val="0"/>
        </w:rPr>
      </w:r>
      <w:r>
        <w:rPr/>
        <w:t>十九、公司子公司重大事项</w:t>
      </w:r>
      <w:r>
        <w:rPr>
          <w:b w:val="0"/>
          <w:bCs w:val="0"/>
        </w:rPr>
      </w:r>
    </w:p>
    <w:p>
      <w:pPr>
        <w:spacing w:line="240" w:lineRule="auto" w:before="7"/>
        <w:rPr>
          <w:rFonts w:ascii="宋体" w:hAnsi="宋体" w:cs="宋体" w:eastAsia="宋体" w:hint="default"/>
          <w:b/>
          <w:bCs/>
          <w:sz w:val="26"/>
          <w:szCs w:val="26"/>
        </w:rPr>
      </w:pPr>
    </w:p>
    <w:p>
      <w:pPr>
        <w:spacing w:line="319" w:lineRule="auto" w:before="0"/>
        <w:ind w:left="153"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月，公司全资子公司香港茂硕与瑞盈信融（深圳）融资租赁有限公司（以下简称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瑞盈信融</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）签订《合资成立公</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z w:val="18"/>
          <w:szCs w:val="18"/>
        </w:rPr>
        <w:t>司合作协议》，投资设立瑞盈茂硕融资租赁（深圳）有限公司，注册资本为</w:t>
      </w:r>
      <w:r>
        <w:rPr>
          <w:rFonts w:ascii="Times New Roman" w:hAnsi="Times New Roman" w:cs="Times New Roman" w:eastAsia="Times New Roman" w:hint="default"/>
          <w:sz w:val="18"/>
          <w:szCs w:val="18"/>
        </w:rPr>
        <w:t>2</w:t>
      </w:r>
      <w:r>
        <w:rPr>
          <w:rFonts w:ascii="宋体" w:hAnsi="宋体" w:cs="宋体" w:eastAsia="宋体" w:hint="default"/>
          <w:sz w:val="18"/>
          <w:szCs w:val="18"/>
        </w:rPr>
        <w:t>亿元人民币（第一期实收资金</w:t>
      </w:r>
      <w:r>
        <w:rPr>
          <w:rFonts w:ascii="Times New Roman" w:hAnsi="Times New Roman" w:cs="Times New Roman" w:eastAsia="Times New Roman" w:hint="default"/>
          <w:sz w:val="18"/>
          <w:szCs w:val="18"/>
        </w:rPr>
        <w:t>2000</w:t>
      </w:r>
      <w:r>
        <w:rPr>
          <w:rFonts w:ascii="宋体" w:hAnsi="宋体" w:cs="宋体" w:eastAsia="宋体" w:hint="default"/>
          <w:sz w:val="18"/>
          <w:szCs w:val="18"/>
        </w:rPr>
        <w:t>万元），瑞</w:t>
      </w:r>
    </w:p>
    <w:p>
      <w:pPr>
        <w:spacing w:line="300" w:lineRule="auto" w:before="0"/>
        <w:ind w:left="153" w:right="1130" w:firstLine="0"/>
        <w:jc w:val="both"/>
        <w:rPr>
          <w:rFonts w:ascii="宋体" w:hAnsi="宋体" w:cs="宋体" w:eastAsia="宋体" w:hint="default"/>
          <w:sz w:val="18"/>
          <w:szCs w:val="18"/>
        </w:rPr>
      </w:pPr>
      <w:r>
        <w:rPr>
          <w:rFonts w:ascii="宋体" w:hAnsi="宋体" w:cs="宋体" w:eastAsia="宋体" w:hint="default"/>
          <w:spacing w:val="-2"/>
          <w:sz w:val="18"/>
          <w:szCs w:val="18"/>
        </w:rPr>
        <w:t>盈信融以现金形式认缴出资人民币</w:t>
      </w:r>
      <w:r>
        <w:rPr>
          <w:rFonts w:ascii="Times New Roman" w:hAnsi="Times New Roman" w:cs="Times New Roman" w:eastAsia="Times New Roman" w:hint="default"/>
          <w:spacing w:val="-2"/>
          <w:sz w:val="18"/>
          <w:szCs w:val="18"/>
        </w:rPr>
        <w:t>11,000</w:t>
      </w:r>
      <w:r>
        <w:rPr>
          <w:rFonts w:ascii="宋体" w:hAnsi="宋体" w:cs="宋体" w:eastAsia="宋体" w:hint="default"/>
          <w:spacing w:val="-2"/>
          <w:sz w:val="18"/>
          <w:szCs w:val="18"/>
        </w:rPr>
        <w:t>万元，第一期在成立时实际出资人民币</w:t>
      </w:r>
      <w:r>
        <w:rPr>
          <w:rFonts w:ascii="Times New Roman" w:hAnsi="Times New Roman" w:cs="Times New Roman" w:eastAsia="Times New Roman" w:hint="default"/>
          <w:spacing w:val="-2"/>
          <w:sz w:val="18"/>
          <w:szCs w:val="18"/>
        </w:rPr>
        <w:t>1,100</w:t>
      </w:r>
      <w:r>
        <w:rPr>
          <w:rFonts w:ascii="宋体" w:hAnsi="宋体" w:cs="宋体" w:eastAsia="宋体" w:hint="default"/>
          <w:spacing w:val="-2"/>
          <w:sz w:val="18"/>
          <w:szCs w:val="18"/>
        </w:rPr>
        <w:t>万元，占公司注册资本比例为</w:t>
      </w:r>
      <w:r>
        <w:rPr>
          <w:rFonts w:ascii="Times New Roman" w:hAnsi="Times New Roman" w:cs="Times New Roman" w:eastAsia="Times New Roman" w:hint="default"/>
          <w:spacing w:val="-2"/>
          <w:sz w:val="18"/>
          <w:szCs w:val="18"/>
        </w:rPr>
        <w:t>55%</w:t>
      </w:r>
      <w:r>
        <w:rPr>
          <w:rFonts w:ascii="宋体" w:hAnsi="宋体" w:cs="宋体" w:eastAsia="宋体" w:hint="default"/>
          <w:spacing w:val="-2"/>
          <w:sz w:val="18"/>
          <w:szCs w:val="18"/>
        </w:rPr>
        <w:t>，香</w:t>
      </w:r>
      <w:r>
        <w:rPr>
          <w:rFonts w:ascii="宋体" w:hAnsi="宋体" w:cs="宋体" w:eastAsia="宋体" w:hint="default"/>
          <w:spacing w:val="-40"/>
          <w:sz w:val="18"/>
          <w:szCs w:val="18"/>
        </w:rPr>
        <w:t> </w:t>
      </w:r>
      <w:r>
        <w:rPr>
          <w:rFonts w:ascii="宋体" w:hAnsi="宋体" w:cs="宋体" w:eastAsia="宋体" w:hint="default"/>
          <w:spacing w:val="-1"/>
          <w:sz w:val="18"/>
          <w:szCs w:val="18"/>
        </w:rPr>
        <w:t>港茂硕以现金形式认缴出资人民币</w:t>
      </w:r>
      <w:r>
        <w:rPr>
          <w:rFonts w:ascii="Times New Roman" w:hAnsi="Times New Roman" w:cs="Times New Roman" w:eastAsia="Times New Roman" w:hint="default"/>
          <w:spacing w:val="-1"/>
          <w:sz w:val="18"/>
          <w:szCs w:val="18"/>
        </w:rPr>
        <w:t>9,000</w:t>
      </w:r>
      <w:r>
        <w:rPr>
          <w:rFonts w:ascii="宋体" w:hAnsi="宋体" w:cs="宋体" w:eastAsia="宋体" w:hint="default"/>
          <w:spacing w:val="-1"/>
          <w:sz w:val="18"/>
          <w:szCs w:val="18"/>
        </w:rPr>
        <w:t>万元，第一期在成立时实际出资人民币</w:t>
      </w:r>
      <w:r>
        <w:rPr>
          <w:rFonts w:ascii="Times New Roman" w:hAnsi="Times New Roman" w:cs="Times New Roman" w:eastAsia="Times New Roman" w:hint="default"/>
          <w:spacing w:val="-1"/>
          <w:sz w:val="18"/>
          <w:szCs w:val="18"/>
        </w:rPr>
        <w:t>900</w:t>
      </w:r>
      <w:r>
        <w:rPr>
          <w:rFonts w:ascii="宋体" w:hAnsi="宋体" w:cs="宋体" w:eastAsia="宋体" w:hint="default"/>
          <w:spacing w:val="-1"/>
          <w:sz w:val="18"/>
          <w:szCs w:val="18"/>
        </w:rPr>
        <w:t>万元，占公司注册资本比例为</w:t>
      </w:r>
      <w:r>
        <w:rPr>
          <w:rFonts w:ascii="Times New Roman" w:hAnsi="Times New Roman" w:cs="Times New Roman" w:eastAsia="Times New Roman" w:hint="default"/>
          <w:spacing w:val="-1"/>
          <w:sz w:val="18"/>
          <w:szCs w:val="18"/>
        </w:rPr>
        <w:t>45%</w:t>
      </w:r>
      <w:r>
        <w:rPr>
          <w:rFonts w:ascii="宋体" w:hAnsi="宋体" w:cs="宋体" w:eastAsia="宋体" w:hint="default"/>
          <w:spacing w:val="-1"/>
          <w:sz w:val="18"/>
          <w:szCs w:val="18"/>
        </w:rPr>
        <w:t>，该公</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z w:val="18"/>
          <w:szCs w:val="18"/>
        </w:rPr>
        <w:t>司于</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月正式成立。</w:t>
      </w:r>
    </w:p>
    <w:p>
      <w:pPr>
        <w:spacing w:line="304" w:lineRule="auto" w:before="51"/>
        <w:ind w:left="153" w:right="1129"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日，公司召开第三届董事会</w:t>
      </w:r>
      <w:r>
        <w:rPr>
          <w:rFonts w:ascii="Times New Roman" w:hAnsi="Times New Roman" w:cs="Times New Roman" w:eastAsia="Times New Roman" w:hint="default"/>
          <w:sz w:val="18"/>
          <w:szCs w:val="18"/>
        </w:rPr>
        <w:t>2015</w:t>
      </w:r>
      <w:r>
        <w:rPr>
          <w:rFonts w:ascii="宋体" w:hAnsi="宋体" w:cs="宋体" w:eastAsia="宋体" w:hint="default"/>
          <w:sz w:val="18"/>
          <w:szCs w:val="18"/>
        </w:rPr>
        <w:t>年第</w:t>
      </w:r>
      <w:r>
        <w:rPr>
          <w:rFonts w:ascii="Times New Roman" w:hAnsi="Times New Roman" w:cs="Times New Roman" w:eastAsia="Times New Roman" w:hint="default"/>
          <w:sz w:val="18"/>
          <w:szCs w:val="18"/>
        </w:rPr>
        <w:t>9</w:t>
      </w:r>
      <w:r>
        <w:rPr>
          <w:rFonts w:ascii="宋体" w:hAnsi="宋体" w:cs="宋体" w:eastAsia="宋体" w:hint="default"/>
          <w:sz w:val="18"/>
          <w:szCs w:val="18"/>
        </w:rPr>
        <w:t>次临时会议审议通过了《关于瑞盈茂硕融资租赁（深圳）有限公司股权</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调整的议案》，茂硕电源与香港茂硕、瑞盈信融签订《股权转让协议》，瑞盈信融将持有的瑞盈茂硕</w:t>
      </w:r>
      <w:r>
        <w:rPr>
          <w:rFonts w:ascii="Times New Roman" w:hAnsi="Times New Roman" w:cs="Times New Roman" w:eastAsia="Times New Roman" w:hint="default"/>
          <w:spacing w:val="-1"/>
          <w:sz w:val="18"/>
          <w:szCs w:val="18"/>
        </w:rPr>
        <w:t>25%</w:t>
      </w:r>
      <w:r>
        <w:rPr>
          <w:rFonts w:ascii="宋体" w:hAnsi="宋体" w:cs="宋体" w:eastAsia="宋体" w:hint="default"/>
          <w:spacing w:val="-1"/>
          <w:sz w:val="18"/>
          <w:szCs w:val="18"/>
        </w:rPr>
        <w:t>股权（未实际出资</w:t>
      </w:r>
      <w:r>
        <w:rPr>
          <w:rFonts w:ascii="宋体" w:hAnsi="宋体" w:cs="宋体" w:eastAsia="宋体" w:hint="default"/>
          <w:sz w:val="18"/>
          <w:szCs w:val="18"/>
        </w:rPr>
        <w:t> </w:t>
      </w:r>
      <w:r>
        <w:rPr>
          <w:rFonts w:ascii="宋体" w:hAnsi="宋体" w:cs="宋体" w:eastAsia="宋体" w:hint="default"/>
          <w:spacing w:val="-1"/>
          <w:sz w:val="18"/>
          <w:szCs w:val="18"/>
        </w:rPr>
        <w:t>部分）以人民币</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元的价格转让给茂硕电源；香港茂硕将持有的瑞盈茂硕</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股权（未实际出资部分）以人民币</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元的价格转</w:t>
      </w:r>
      <w:r>
        <w:rPr>
          <w:rFonts w:ascii="宋体" w:hAnsi="宋体" w:cs="宋体" w:eastAsia="宋体" w:hint="default"/>
          <w:sz w:val="18"/>
          <w:szCs w:val="18"/>
        </w:rPr>
        <w:t> </w:t>
      </w:r>
      <w:r>
        <w:rPr>
          <w:rFonts w:ascii="宋体" w:hAnsi="宋体" w:cs="宋体" w:eastAsia="宋体" w:hint="default"/>
          <w:spacing w:val="-2"/>
          <w:sz w:val="18"/>
          <w:szCs w:val="18"/>
        </w:rPr>
        <w:t>让给茂硕电源，茂硕电源同意受让。瑞盈茂硕原股东同意放弃优先购买权，本次股权转让完成后茂硕电源合计持有瑞盈茂硕</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Times New Roman" w:hAnsi="Times New Roman" w:cs="Times New Roman" w:eastAsia="Times New Roman" w:hint="default"/>
          <w:sz w:val="18"/>
          <w:szCs w:val="18"/>
        </w:rPr>
        <w:t>45%</w:t>
      </w:r>
      <w:r>
        <w:rPr>
          <w:rFonts w:ascii="宋体" w:hAnsi="宋体" w:cs="宋体" w:eastAsia="宋体" w:hint="default"/>
          <w:sz w:val="18"/>
          <w:szCs w:val="18"/>
        </w:rPr>
        <w:t>股权比例。</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月完成以上工商变更。</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spacing w:line="300" w:lineRule="auto" w:before="0"/>
        <w:ind w:left="153" w:right="1128" w:firstLine="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、公司的全资子公司深圳茂硕新能源技术研究院有限公司（以下简称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研究院</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）于</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14</w:t>
      </w:r>
      <w:r>
        <w:rPr>
          <w:rFonts w:ascii="宋体" w:hAnsi="宋体" w:cs="宋体" w:eastAsia="宋体" w:hint="default"/>
          <w:spacing w:val="-2"/>
          <w:sz w:val="18"/>
          <w:szCs w:val="18"/>
        </w:rPr>
        <w:t>日与深圳海量资本管理有限</w:t>
      </w:r>
      <w:r>
        <w:rPr>
          <w:rFonts w:ascii="宋体" w:hAnsi="宋体" w:cs="宋体" w:eastAsia="宋体" w:hint="default"/>
          <w:spacing w:val="-38"/>
          <w:sz w:val="18"/>
          <w:szCs w:val="18"/>
        </w:rPr>
        <w:t> </w:t>
      </w:r>
      <w:r>
        <w:rPr>
          <w:rFonts w:ascii="宋体" w:hAnsi="宋体" w:cs="宋体" w:eastAsia="宋体" w:hint="default"/>
          <w:sz w:val="18"/>
          <w:szCs w:val="18"/>
        </w:rPr>
        <w:t>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海量资本</w:t>
      </w:r>
      <w:r>
        <w:rPr>
          <w:rFonts w:ascii="Times New Roman" w:hAnsi="Times New Roman" w:cs="Times New Roman" w:eastAsia="Times New Roman" w:hint="default"/>
          <w:sz w:val="18"/>
          <w:szCs w:val="18"/>
        </w:rPr>
        <w:t>”</w:t>
      </w:r>
      <w:r>
        <w:rPr>
          <w:rFonts w:ascii="宋体" w:hAnsi="宋体" w:cs="宋体" w:eastAsia="宋体" w:hint="default"/>
          <w:sz w:val="18"/>
          <w:szCs w:val="18"/>
        </w:rPr>
        <w:t>）以及其他投资人共同出资设立完成了新余市茂硕海量投资企业（有限合伙）（以下简称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茂硕</w:t>
      </w:r>
      <w:r>
        <w:rPr>
          <w:rFonts w:ascii="宋体" w:hAnsi="宋体" w:cs="宋体" w:eastAsia="宋体" w:hint="default"/>
          <w:spacing w:val="-54"/>
          <w:sz w:val="18"/>
          <w:szCs w:val="18"/>
        </w:rPr>
        <w:t> </w:t>
      </w:r>
      <w:r>
        <w:rPr>
          <w:rFonts w:ascii="宋体" w:hAnsi="宋体" w:cs="宋体" w:eastAsia="宋体" w:hint="default"/>
          <w:spacing w:val="-2"/>
          <w:sz w:val="18"/>
          <w:szCs w:val="18"/>
        </w:rPr>
        <w:t>海量</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），其出资规模为</w:t>
      </w:r>
      <w:r>
        <w:rPr>
          <w:rFonts w:ascii="Times New Roman" w:hAnsi="Times New Roman" w:cs="Times New Roman" w:eastAsia="Times New Roman" w:hint="default"/>
          <w:spacing w:val="-2"/>
          <w:sz w:val="18"/>
          <w:szCs w:val="18"/>
        </w:rPr>
        <w:t>5000</w:t>
      </w:r>
      <w:r>
        <w:rPr>
          <w:rFonts w:ascii="宋体" w:hAnsi="宋体" w:cs="宋体" w:eastAsia="宋体" w:hint="default"/>
          <w:spacing w:val="-2"/>
          <w:sz w:val="18"/>
          <w:szCs w:val="18"/>
        </w:rPr>
        <w:t>万元人民币，研究院以现金形式认缴出资人民币</w:t>
      </w:r>
      <w:r>
        <w:rPr>
          <w:rFonts w:ascii="Times New Roman" w:hAnsi="Times New Roman" w:cs="Times New Roman" w:eastAsia="Times New Roman" w:hint="default"/>
          <w:spacing w:val="-2"/>
          <w:sz w:val="18"/>
          <w:szCs w:val="18"/>
        </w:rPr>
        <w:t>1000</w:t>
      </w:r>
      <w:r>
        <w:rPr>
          <w:rFonts w:ascii="宋体" w:hAnsi="宋体" w:cs="宋体" w:eastAsia="宋体" w:hint="default"/>
          <w:spacing w:val="-2"/>
          <w:sz w:val="18"/>
          <w:szCs w:val="18"/>
        </w:rPr>
        <w:t>万元，首期出资</w:t>
      </w:r>
      <w:r>
        <w:rPr>
          <w:rFonts w:ascii="Times New Roman" w:hAnsi="Times New Roman" w:cs="Times New Roman" w:eastAsia="Times New Roman" w:hint="default"/>
          <w:spacing w:val="-2"/>
          <w:sz w:val="18"/>
          <w:szCs w:val="18"/>
        </w:rPr>
        <w:t>500</w:t>
      </w:r>
      <w:r>
        <w:rPr>
          <w:rFonts w:ascii="宋体" w:hAnsi="宋体" w:cs="宋体" w:eastAsia="宋体" w:hint="default"/>
          <w:spacing w:val="-2"/>
          <w:sz w:val="18"/>
          <w:szCs w:val="18"/>
        </w:rPr>
        <w:t>万元，茂硕海量于</w:t>
      </w:r>
      <w:r>
        <w:rPr>
          <w:rFonts w:ascii="Times New Roman" w:hAnsi="Times New Roman" w:cs="Times New Roman" w:eastAsia="Times New Roman" w:hint="default"/>
          <w:spacing w:val="-2"/>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月正式成立。截至目前茂硕海量已完成投资如下：</w:t>
      </w:r>
    </w:p>
    <w:p>
      <w:pPr>
        <w:tabs>
          <w:tab w:pos="3198" w:val="left" w:leader="none"/>
        </w:tabs>
        <w:spacing w:before="52"/>
        <w:ind w:left="15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①深圳市神云科技有限公司</w:t>
        <w:tab/>
        <w:t>占比</w:t>
      </w:r>
      <w:r>
        <w:rPr>
          <w:rFonts w:ascii="Times New Roman" w:hAnsi="Times New Roman" w:cs="Times New Roman" w:eastAsia="Times New Roman" w:hint="default"/>
          <w:sz w:val="18"/>
          <w:szCs w:val="18"/>
        </w:rPr>
        <w:t>4%</w:t>
      </w:r>
    </w:p>
    <w:p>
      <w:pPr>
        <w:tabs>
          <w:tab w:pos="3216" w:val="left" w:leader="none"/>
        </w:tabs>
        <w:spacing w:before="102"/>
        <w:ind w:left="153"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②深圳市乐途宝网络科技有限公司</w:t>
        <w:tab/>
        <w:t>占比</w:t>
      </w:r>
      <w:r>
        <w:rPr>
          <w:rFonts w:ascii="Times New Roman" w:hAnsi="Times New Roman" w:cs="Times New Roman" w:eastAsia="Times New Roman" w:hint="default"/>
          <w:sz w:val="18"/>
          <w:szCs w:val="18"/>
        </w:rPr>
        <w:t>2.5%</w:t>
      </w:r>
    </w:p>
    <w:p>
      <w:pPr>
        <w:spacing w:after="0"/>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7"/>
        <w:rPr>
          <w:rFonts w:ascii="Times New Roman" w:hAnsi="Times New Roman" w:cs="Times New Roman" w:eastAsia="Times New Roman" w:hint="default"/>
          <w:sz w:val="29"/>
          <w:szCs w:val="29"/>
        </w:rPr>
      </w:pPr>
    </w:p>
    <w:p>
      <w:pPr>
        <w:tabs>
          <w:tab w:pos="3198" w:val="left" w:leader="none"/>
        </w:tabs>
        <w:spacing w:before="44"/>
        <w:ind w:left="153"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③湖南小而美科技有限公司</w:t>
        <w:tab/>
        <w:t>占比</w:t>
      </w:r>
      <w:r>
        <w:rPr>
          <w:rFonts w:ascii="Times New Roman" w:hAnsi="Times New Roman" w:cs="Times New Roman" w:eastAsia="Times New Roman" w:hint="default"/>
          <w:sz w:val="18"/>
          <w:szCs w:val="18"/>
        </w:rPr>
        <w:t>4.3%</w:t>
      </w:r>
    </w:p>
    <w:p>
      <w:pPr>
        <w:tabs>
          <w:tab w:pos="3216" w:val="left" w:leader="none"/>
        </w:tabs>
        <w:spacing w:before="102"/>
        <w:ind w:left="153"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④深圳市多有米网络技术有限公司</w:t>
        <w:tab/>
        <w:t>占比</w:t>
      </w:r>
      <w:r>
        <w:rPr>
          <w:rFonts w:ascii="Times New Roman" w:hAnsi="Times New Roman" w:cs="Times New Roman" w:eastAsia="Times New Roman" w:hint="default"/>
          <w:sz w:val="18"/>
          <w:szCs w:val="18"/>
        </w:rPr>
        <w:t>7.5%</w:t>
      </w:r>
    </w:p>
    <w:p>
      <w:pPr>
        <w:tabs>
          <w:tab w:pos="3216" w:val="left" w:leader="none"/>
        </w:tabs>
        <w:spacing w:before="103"/>
        <w:ind w:left="153"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⑤深圳市科纳能薄膜科技有限公司</w:t>
        <w:tab/>
        <w:t>占比</w:t>
      </w:r>
      <w:r>
        <w:rPr>
          <w:rFonts w:ascii="Times New Roman" w:hAnsi="Times New Roman" w:cs="Times New Roman" w:eastAsia="Times New Roman" w:hint="default"/>
          <w:sz w:val="18"/>
          <w:szCs w:val="18"/>
        </w:rPr>
        <w:t>3.33%</w:t>
      </w:r>
    </w:p>
    <w:p>
      <w:pPr>
        <w:tabs>
          <w:tab w:pos="3234" w:val="left" w:leader="none"/>
        </w:tabs>
        <w:spacing w:before="102"/>
        <w:ind w:left="153"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⑥西安拓达农业科技有限公司</w:t>
        <w:tab/>
        <w:t>占比</w:t>
      </w:r>
      <w:r>
        <w:rPr>
          <w:rFonts w:ascii="Times New Roman" w:hAnsi="Times New Roman" w:cs="Times New Roman" w:eastAsia="Times New Roman" w:hint="default"/>
          <w:sz w:val="18"/>
          <w:szCs w:val="18"/>
        </w:rPr>
        <w:t>5.88%</w:t>
      </w:r>
    </w:p>
    <w:p>
      <w:pPr>
        <w:tabs>
          <w:tab w:pos="3251" w:val="left" w:leader="none"/>
        </w:tabs>
        <w:spacing w:before="103"/>
        <w:ind w:left="153"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⑦深圳天鹰兄弟无人机创新有限公司</w:t>
        <w:tab/>
        <w:t>占比</w:t>
      </w:r>
      <w:r>
        <w:rPr>
          <w:rFonts w:ascii="Times New Roman" w:hAnsi="Times New Roman" w:cs="Times New Roman" w:eastAsia="Times New Roman" w:hint="default"/>
          <w:sz w:val="18"/>
          <w:szCs w:val="18"/>
        </w:rPr>
        <w:t>3.23%</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22"/>
          <w:szCs w:val="22"/>
        </w:rPr>
      </w:pPr>
    </w:p>
    <w:p>
      <w:pPr>
        <w:pStyle w:val="Heading2"/>
        <w:spacing w:line="240" w:lineRule="auto"/>
        <w:ind w:right="0"/>
        <w:jc w:val="left"/>
        <w:rPr>
          <w:b w:val="0"/>
          <w:bCs w:val="0"/>
        </w:rPr>
      </w:pPr>
      <w:bookmarkStart w:name="二十、社会责任情况" w:id="99"/>
      <w:bookmarkEnd w:id="99"/>
      <w:r>
        <w:rPr>
          <w:b w:val="0"/>
          <w:bCs w:val="0"/>
        </w:rPr>
      </w:r>
      <w:r>
        <w:rPr/>
        <w:t>二十、社会责任情况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24"/>
          <w:szCs w:val="24"/>
        </w:rPr>
      </w:pPr>
    </w:p>
    <w:p>
      <w:pPr>
        <w:pStyle w:val="Heading2"/>
        <w:spacing w:line="240" w:lineRule="auto"/>
        <w:ind w:left="154" w:right="0"/>
        <w:jc w:val="left"/>
        <w:rPr>
          <w:b w:val="0"/>
          <w:bCs w:val="0"/>
        </w:rPr>
      </w:pPr>
      <w:bookmarkStart w:name="二十一、公司债券相关情况" w:id="100"/>
      <w:bookmarkEnd w:id="100"/>
      <w:r>
        <w:rPr>
          <w:b w:val="0"/>
          <w:bCs w:val="0"/>
        </w:rPr>
      </w:r>
      <w:r>
        <w:rPr/>
        <w:t>二十一、公司债券相关情况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53" w:right="2113"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57"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5" w:right="0"/>
        <w:jc w:val="left"/>
        <w:rPr>
          <w:b w:val="0"/>
          <w:bCs w:val="0"/>
        </w:rPr>
      </w:pPr>
      <w:bookmarkStart w:name="第六节 股份变动及股东情况" w:id="101"/>
      <w:bookmarkEnd w:id="101"/>
      <w:r>
        <w:rPr>
          <w:b w:val="0"/>
          <w:bCs w:val="0"/>
        </w:rPr>
      </w:r>
      <w:bookmarkStart w:name="_bookmark4" w:id="102"/>
      <w:bookmarkEnd w:id="102"/>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3"/>
      <w:bookmarkEnd w:id="103"/>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股份变动情况" w:id="104"/>
      <w:bookmarkEnd w:id="104"/>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97,294,24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38.55%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24,933,30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-25,753,4</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33</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-820,133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96,474,11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34.79%</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97,294,24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38.55%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24,933,30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-25,753,4</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33</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-820,133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96,474,11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34.79%</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60,840,00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24.10%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-60,840,0</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-60,840,0</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36,454,24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14.44%</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24,933,30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35,086,56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60,019,86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96,474,11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34.79%</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155,113,7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57</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61.45%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25,753,43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25,753,43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180,867,1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65.21%</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155,113,7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57</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61.45%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25,753,43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25,753,43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180,867,1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65.21%</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252,408,0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24,933,30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24,933,30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277,341,3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7"/>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300" w:lineRule="auto" w:before="115"/>
        <w:ind w:left="153" w:right="112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w:t>
      </w:r>
      <w:r>
        <w:rPr>
          <w:rFonts w:ascii="宋体" w:hAnsi="宋体" w:cs="宋体" w:eastAsia="宋体" w:hint="default"/>
          <w:sz w:val="18"/>
          <w:szCs w:val="18"/>
        </w:rPr>
        <w:t>因公司发行股份及支付现金购买资产并向特定对象募集配套资金事项</w:t>
      </w:r>
      <w:r>
        <w:rPr>
          <w:rFonts w:ascii="Times New Roman" w:hAnsi="Times New Roman" w:cs="Times New Roman" w:eastAsia="Times New Roman" w:hint="default"/>
          <w:sz w:val="18"/>
          <w:szCs w:val="18"/>
        </w:rPr>
        <w:t>,</w:t>
      </w:r>
      <w:r>
        <w:rPr>
          <w:rFonts w:ascii="宋体" w:hAnsi="宋体" w:cs="宋体" w:eastAsia="宋体" w:hint="default"/>
          <w:sz w:val="18"/>
          <w:szCs w:val="18"/>
        </w:rPr>
        <w:t>公司向购买资产交易对方方笑求、 蓝顺明发行股份数量为</w:t>
      </w:r>
      <w:r>
        <w:rPr>
          <w:rFonts w:ascii="Times New Roman" w:hAnsi="Times New Roman" w:cs="Times New Roman" w:eastAsia="Times New Roman" w:hint="default"/>
          <w:sz w:val="18"/>
          <w:szCs w:val="18"/>
        </w:rPr>
        <w:t>18,700,000</w:t>
      </w:r>
      <w:r>
        <w:rPr>
          <w:rFonts w:ascii="宋体" w:hAnsi="宋体" w:cs="宋体" w:eastAsia="宋体" w:hint="default"/>
          <w:sz w:val="18"/>
          <w:szCs w:val="18"/>
        </w:rPr>
        <w:t>股，向特定对象宗佩民、曹国熊非公开发行股份数量为</w:t>
      </w:r>
      <w:r>
        <w:rPr>
          <w:rFonts w:ascii="Times New Roman" w:hAnsi="Times New Roman" w:cs="Times New Roman" w:eastAsia="Times New Roman" w:hint="default"/>
          <w:sz w:val="18"/>
          <w:szCs w:val="18"/>
        </w:rPr>
        <w:t>6,233,300</w:t>
      </w:r>
      <w:r>
        <w:rPr>
          <w:rFonts w:ascii="宋体" w:hAnsi="宋体" w:cs="宋体" w:eastAsia="宋体" w:hint="default"/>
          <w:sz w:val="18"/>
          <w:szCs w:val="18"/>
        </w:rPr>
        <w:t>股，新增股份数量合计 </w:t>
      </w:r>
      <w:r>
        <w:rPr>
          <w:rFonts w:ascii="Times New Roman" w:hAnsi="Times New Roman" w:cs="Times New Roman" w:eastAsia="Times New Roman" w:hint="default"/>
          <w:sz w:val="18"/>
          <w:szCs w:val="18"/>
        </w:rPr>
        <w:t>24,933,300</w:t>
      </w:r>
      <w:r>
        <w:rPr>
          <w:rFonts w:ascii="宋体" w:hAnsi="宋体" w:cs="宋体" w:eastAsia="宋体" w:hint="default"/>
          <w:sz w:val="18"/>
          <w:szCs w:val="18"/>
        </w:rPr>
        <w:t>股，公司总股本由</w:t>
      </w:r>
      <w:r>
        <w:rPr>
          <w:rFonts w:ascii="Times New Roman" w:hAnsi="Times New Roman" w:cs="Times New Roman" w:eastAsia="Times New Roman" w:hint="default"/>
          <w:sz w:val="18"/>
          <w:szCs w:val="18"/>
        </w:rPr>
        <w:t>25,240.8</w:t>
      </w:r>
      <w:r>
        <w:rPr>
          <w:rFonts w:ascii="宋体" w:hAnsi="宋体" w:cs="宋体" w:eastAsia="宋体" w:hint="default"/>
          <w:sz w:val="18"/>
          <w:szCs w:val="18"/>
        </w:rPr>
        <w:t>万股变更为</w:t>
      </w:r>
      <w:r>
        <w:rPr>
          <w:rFonts w:ascii="Times New Roman" w:hAnsi="Times New Roman" w:cs="Times New Roman" w:eastAsia="Times New Roman" w:hint="default"/>
          <w:sz w:val="18"/>
          <w:szCs w:val="18"/>
        </w:rPr>
        <w:t>27,734.13</w:t>
      </w:r>
      <w:r>
        <w:rPr>
          <w:rFonts w:ascii="宋体" w:hAnsi="宋体" w:cs="宋体" w:eastAsia="宋体" w:hint="default"/>
          <w:sz w:val="18"/>
          <w:szCs w:val="18"/>
        </w:rPr>
        <w:t>万股。</w:t>
      </w:r>
    </w:p>
    <w:p>
      <w:pPr>
        <w:spacing w:after="0" w:line="30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44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、公司部分股东满足解禁条件，股份相应解除限售。</w:t>
      </w:r>
    </w:p>
    <w:p>
      <w:pPr>
        <w:spacing w:before="102"/>
        <w:ind w:left="44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、公司董监高增持公司股份，按照相关规定部分股份为有限售条件股份。</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before="116"/>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300" w:lineRule="auto" w:before="116"/>
        <w:ind w:left="153" w:right="1123" w:firstLine="0"/>
        <w:jc w:val="left"/>
        <w:rPr>
          <w:rFonts w:ascii="宋体" w:hAnsi="宋体" w:cs="宋体" w:eastAsia="宋体" w:hint="default"/>
          <w:sz w:val="18"/>
          <w:szCs w:val="18"/>
        </w:rPr>
      </w:pPr>
      <w:r>
        <w:rPr>
          <w:rFonts w:ascii="宋体" w:hAnsi="宋体" w:cs="宋体" w:eastAsia="宋体" w:hint="default"/>
          <w:sz w:val="18"/>
          <w:szCs w:val="18"/>
        </w:rPr>
        <w:t>公司于</w:t>
      </w:r>
      <w:r>
        <w:rPr>
          <w:rFonts w:ascii="Times New Roman" w:hAnsi="Times New Roman" w:cs="Times New Roman" w:eastAsia="Times New Roman" w:hint="default"/>
          <w:sz w:val="18"/>
          <w:szCs w:val="18"/>
        </w:rPr>
        <w:t>2014</w:t>
      </w:r>
      <w:r>
        <w:rPr>
          <w:rFonts w:ascii="宋体" w:hAnsi="宋体" w:cs="宋体" w:eastAsia="宋体" w:hint="default"/>
          <w:sz w:val="18"/>
          <w:szCs w:val="18"/>
        </w:rPr>
        <w:t>的</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日开始筹划发行股份购买资产。于</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日签署《发行股份及支付现金购买资产协议》，茂硕电 </w:t>
      </w:r>
      <w:r>
        <w:rPr>
          <w:rFonts w:ascii="宋体" w:hAnsi="宋体" w:cs="宋体" w:eastAsia="宋体" w:hint="default"/>
          <w:spacing w:val="-1"/>
          <w:sz w:val="18"/>
          <w:szCs w:val="18"/>
        </w:rPr>
        <w:t>源拟向湖南省方正达电子科技有限公司发行</w:t>
      </w:r>
      <w:r>
        <w:rPr>
          <w:rFonts w:ascii="Times New Roman" w:hAnsi="Times New Roman" w:cs="Times New Roman" w:eastAsia="Times New Roman" w:hint="default"/>
          <w:spacing w:val="-1"/>
          <w:sz w:val="18"/>
          <w:szCs w:val="18"/>
        </w:rPr>
        <w:t>1,870</w:t>
      </w:r>
      <w:r>
        <w:rPr>
          <w:rFonts w:ascii="宋体" w:hAnsi="宋体" w:cs="宋体" w:eastAsia="宋体" w:hint="default"/>
          <w:spacing w:val="-1"/>
          <w:sz w:val="18"/>
          <w:szCs w:val="18"/>
        </w:rPr>
        <w:t>万股股份及支付</w:t>
      </w:r>
      <w:r>
        <w:rPr>
          <w:rFonts w:ascii="Times New Roman" w:hAnsi="Times New Roman" w:cs="Times New Roman" w:eastAsia="Times New Roman" w:hint="default"/>
          <w:spacing w:val="-1"/>
          <w:sz w:val="18"/>
          <w:szCs w:val="18"/>
        </w:rPr>
        <w:t>3,009.60</w:t>
      </w:r>
      <w:r>
        <w:rPr>
          <w:rFonts w:ascii="宋体" w:hAnsi="宋体" w:cs="宋体" w:eastAsia="宋体" w:hint="default"/>
          <w:spacing w:val="-1"/>
          <w:sz w:val="18"/>
          <w:szCs w:val="18"/>
        </w:rPr>
        <w:t>万元现金收购方笑求、蓝顺明合计持有的湖南方正</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达的</w:t>
      </w:r>
      <w:r>
        <w:rPr>
          <w:rFonts w:ascii="Times New Roman" w:hAnsi="Times New Roman" w:cs="Times New Roman" w:eastAsia="Times New Roman" w:hint="default"/>
          <w:sz w:val="18"/>
          <w:szCs w:val="18"/>
        </w:rPr>
        <w:t>55%</w:t>
      </w:r>
      <w:r>
        <w:rPr>
          <w:rFonts w:ascii="宋体" w:hAnsi="宋体" w:cs="宋体" w:eastAsia="宋体" w:hint="default"/>
          <w:sz w:val="18"/>
          <w:szCs w:val="18"/>
        </w:rPr>
        <w:t>股权（各</w:t>
      </w:r>
      <w:r>
        <w:rPr>
          <w:rFonts w:ascii="Times New Roman" w:hAnsi="Times New Roman" w:cs="Times New Roman" w:eastAsia="Times New Roman" w:hint="default"/>
          <w:sz w:val="18"/>
          <w:szCs w:val="18"/>
        </w:rPr>
        <w:t>27.5%</w:t>
      </w:r>
      <w:r>
        <w:rPr>
          <w:rFonts w:ascii="宋体" w:hAnsi="宋体" w:cs="宋体" w:eastAsia="宋体" w:hint="default"/>
          <w:sz w:val="18"/>
          <w:szCs w:val="18"/>
        </w:rPr>
        <w:t>股权）。 公司第三届董事会</w:t>
      </w:r>
      <w:r>
        <w:rPr>
          <w:rFonts w:ascii="Times New Roman" w:hAnsi="Times New Roman" w:cs="Times New Roman" w:eastAsia="Times New Roman" w:hint="default"/>
          <w:sz w:val="18"/>
          <w:szCs w:val="18"/>
        </w:rPr>
        <w:t>2014</w:t>
      </w:r>
      <w:r>
        <w:rPr>
          <w:rFonts w:ascii="宋体" w:hAnsi="宋体" w:cs="宋体" w:eastAsia="宋体" w:hint="default"/>
          <w:sz w:val="18"/>
          <w:szCs w:val="18"/>
        </w:rPr>
        <w:t>年第</w:t>
      </w:r>
      <w:r>
        <w:rPr>
          <w:rFonts w:ascii="Times New Roman" w:hAnsi="Times New Roman" w:cs="Times New Roman" w:eastAsia="Times New Roman" w:hint="default"/>
          <w:sz w:val="18"/>
          <w:szCs w:val="18"/>
        </w:rPr>
        <w:t>10</w:t>
      </w:r>
      <w:r>
        <w:rPr>
          <w:rFonts w:ascii="宋体" w:hAnsi="宋体" w:cs="宋体" w:eastAsia="宋体" w:hint="default"/>
          <w:sz w:val="18"/>
          <w:szCs w:val="18"/>
        </w:rPr>
        <w:t>次临时会议及</w:t>
      </w:r>
      <w:r>
        <w:rPr>
          <w:rFonts w:ascii="Times New Roman" w:hAnsi="Times New Roman" w:cs="Times New Roman" w:eastAsia="Times New Roman" w:hint="default"/>
          <w:sz w:val="18"/>
          <w:szCs w:val="18"/>
        </w:rPr>
        <w:t>2014</w:t>
      </w:r>
      <w:r>
        <w:rPr>
          <w:rFonts w:ascii="宋体" w:hAnsi="宋体" w:cs="宋体" w:eastAsia="宋体" w:hint="default"/>
          <w:sz w:val="18"/>
          <w:szCs w:val="18"/>
        </w:rPr>
        <w:t>年第</w:t>
      </w:r>
      <w:r>
        <w:rPr>
          <w:rFonts w:ascii="Times New Roman" w:hAnsi="Times New Roman" w:cs="Times New Roman" w:eastAsia="Times New Roman" w:hint="default"/>
          <w:sz w:val="18"/>
          <w:szCs w:val="18"/>
        </w:rPr>
        <w:t>3</w:t>
      </w:r>
      <w:r>
        <w:rPr>
          <w:rFonts w:ascii="宋体" w:hAnsi="宋体" w:cs="宋体" w:eastAsia="宋体" w:hint="default"/>
          <w:sz w:val="18"/>
          <w:szCs w:val="18"/>
        </w:rPr>
        <w:t>次临时股东大会审议通过《关于公司发行股份及支付现金购买资产并 </w:t>
      </w:r>
      <w:r>
        <w:rPr>
          <w:rFonts w:ascii="宋体" w:hAnsi="宋体" w:cs="宋体" w:eastAsia="宋体" w:hint="default"/>
          <w:spacing w:val="-1"/>
          <w:sz w:val="18"/>
          <w:szCs w:val="18"/>
        </w:rPr>
        <w:t>募集配套资金方案的议案》等相关议案，公司向宗佩民、曹国熊分别发行</w:t>
      </w:r>
      <w:r>
        <w:rPr>
          <w:rFonts w:ascii="Times New Roman" w:hAnsi="Times New Roman" w:cs="Times New Roman" w:eastAsia="Times New Roman" w:hint="default"/>
          <w:spacing w:val="-1"/>
          <w:sz w:val="18"/>
          <w:szCs w:val="18"/>
        </w:rPr>
        <w:t>311.665</w:t>
      </w:r>
      <w:r>
        <w:rPr>
          <w:rFonts w:ascii="宋体" w:hAnsi="宋体" w:cs="宋体" w:eastAsia="宋体" w:hint="default"/>
          <w:spacing w:val="-1"/>
          <w:sz w:val="18"/>
          <w:szCs w:val="18"/>
        </w:rPr>
        <w:t>万股股份募集配套资金</w:t>
      </w:r>
      <w:r>
        <w:rPr>
          <w:rFonts w:ascii="Times New Roman" w:hAnsi="Times New Roman" w:cs="Times New Roman" w:eastAsia="Times New Roman" w:hint="default"/>
          <w:spacing w:val="-1"/>
          <w:sz w:val="18"/>
          <w:szCs w:val="18"/>
        </w:rPr>
        <w:t>5,385.5712</w:t>
      </w:r>
      <w:r>
        <w:rPr>
          <w:rFonts w:ascii="宋体" w:hAnsi="宋体" w:cs="宋体" w:eastAsia="宋体" w:hint="default"/>
          <w:spacing w:val="-1"/>
          <w:sz w:val="18"/>
          <w:szCs w:val="18"/>
        </w:rPr>
        <w:t>万元，发</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行股份募集的配套资金用于向方笑求、蓝顺明支付</w:t>
      </w:r>
      <w:r>
        <w:rPr>
          <w:rFonts w:ascii="Times New Roman" w:hAnsi="Times New Roman" w:cs="Times New Roman" w:eastAsia="Times New Roman" w:hint="default"/>
          <w:sz w:val="18"/>
          <w:szCs w:val="18"/>
        </w:rPr>
        <w:t>3,009.60</w:t>
      </w:r>
      <w:r>
        <w:rPr>
          <w:rFonts w:ascii="宋体" w:hAnsi="宋体" w:cs="宋体" w:eastAsia="宋体" w:hint="default"/>
          <w:sz w:val="18"/>
          <w:szCs w:val="18"/>
        </w:rPr>
        <w:t>万元现金对价及支付与本次发行股份及支付现金购买资产并募集 配套资金事宜相关的中介机构费用、交易税费等并购费用，剩余部分已用于向湖南方正达增资。</w:t>
      </w:r>
    </w:p>
    <w:p>
      <w:pPr>
        <w:spacing w:line="240" w:lineRule="auto" w:before="0"/>
        <w:rPr>
          <w:rFonts w:ascii="宋体" w:hAnsi="宋体" w:cs="宋体" w:eastAsia="宋体" w:hint="default"/>
          <w:sz w:val="18"/>
          <w:szCs w:val="18"/>
        </w:rPr>
      </w:pPr>
    </w:p>
    <w:p>
      <w:pPr>
        <w:spacing w:before="148"/>
        <w:ind w:left="153" w:right="0" w:firstLine="0"/>
        <w:jc w:val="left"/>
        <w:rPr>
          <w:rFonts w:ascii="宋体" w:hAnsi="宋体" w:cs="宋体" w:eastAsia="宋体" w:hint="default"/>
          <w:sz w:val="18"/>
          <w:szCs w:val="18"/>
        </w:rPr>
      </w:pPr>
      <w:r>
        <w:rPr>
          <w:rFonts w:ascii="宋体" w:hAnsi="宋体" w:cs="宋体" w:eastAsia="宋体" w:hint="default"/>
          <w:sz w:val="18"/>
          <w:szCs w:val="18"/>
        </w:rPr>
        <w:t>股份变动的过户情况</w:t>
      </w:r>
    </w:p>
    <w:p>
      <w:pPr>
        <w:spacing w:line="319" w:lineRule="auto" w:before="116"/>
        <w:ind w:left="153"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w:t>
      </w:r>
      <w:r>
        <w:rPr>
          <w:rFonts w:ascii="宋体" w:hAnsi="宋体" w:cs="宋体" w:eastAsia="宋体" w:hint="default"/>
          <w:sz w:val="18"/>
          <w:szCs w:val="18"/>
        </w:rPr>
        <w:t>因公司发行股份及支付现金购买资产并向特定对象募集配套资金事项</w:t>
      </w:r>
      <w:r>
        <w:rPr>
          <w:rFonts w:ascii="Times New Roman" w:hAnsi="Times New Roman" w:cs="Times New Roman" w:eastAsia="Times New Roman" w:hint="default"/>
          <w:sz w:val="18"/>
          <w:szCs w:val="18"/>
        </w:rPr>
        <w:t>,</w:t>
      </w:r>
      <w:r>
        <w:rPr>
          <w:rFonts w:ascii="宋体" w:hAnsi="宋体" w:cs="宋体" w:eastAsia="宋体" w:hint="default"/>
          <w:sz w:val="18"/>
          <w:szCs w:val="18"/>
        </w:rPr>
        <w:t>公司向购买资产交易对方方笑求、蓝顺明 </w:t>
      </w:r>
      <w:r>
        <w:rPr>
          <w:rFonts w:ascii="宋体" w:hAnsi="宋体" w:cs="宋体" w:eastAsia="宋体" w:hint="default"/>
          <w:spacing w:val="-2"/>
          <w:sz w:val="18"/>
          <w:szCs w:val="18"/>
        </w:rPr>
        <w:t>发行股份数量为</w:t>
      </w:r>
      <w:r>
        <w:rPr>
          <w:rFonts w:ascii="Times New Roman" w:hAnsi="Times New Roman" w:cs="Times New Roman" w:eastAsia="Times New Roman" w:hint="default"/>
          <w:spacing w:val="-2"/>
          <w:sz w:val="18"/>
          <w:szCs w:val="18"/>
        </w:rPr>
        <w:t>18,700,000</w:t>
      </w:r>
      <w:r>
        <w:rPr>
          <w:rFonts w:ascii="宋体" w:hAnsi="宋体" w:cs="宋体" w:eastAsia="宋体" w:hint="default"/>
          <w:spacing w:val="-2"/>
          <w:sz w:val="18"/>
          <w:szCs w:val="18"/>
        </w:rPr>
        <w:t>股，向特定对象宗佩民、曹国熊非公开发行股份数量为</w:t>
      </w:r>
      <w:r>
        <w:rPr>
          <w:rFonts w:ascii="Times New Roman" w:hAnsi="Times New Roman" w:cs="Times New Roman" w:eastAsia="Times New Roman" w:hint="default"/>
          <w:spacing w:val="-2"/>
          <w:sz w:val="18"/>
          <w:szCs w:val="18"/>
        </w:rPr>
        <w:t>6,233,300</w:t>
      </w:r>
      <w:r>
        <w:rPr>
          <w:rFonts w:ascii="宋体" w:hAnsi="宋体" w:cs="宋体" w:eastAsia="宋体" w:hint="default"/>
          <w:spacing w:val="-2"/>
          <w:sz w:val="18"/>
          <w:szCs w:val="18"/>
        </w:rPr>
        <w:t>股，新增股份数量合计</w:t>
      </w:r>
      <w:r>
        <w:rPr>
          <w:rFonts w:ascii="Times New Roman" w:hAnsi="Times New Roman" w:cs="Times New Roman" w:eastAsia="Times New Roman" w:hint="default"/>
          <w:spacing w:val="-2"/>
          <w:sz w:val="18"/>
          <w:szCs w:val="18"/>
        </w:rPr>
        <w:t>24,933,300</w:t>
      </w:r>
    </w:p>
    <w:p>
      <w:pPr>
        <w:spacing w:line="340" w:lineRule="auto" w:before="0"/>
        <w:ind w:left="154" w:right="1392" w:firstLine="0"/>
        <w:jc w:val="left"/>
        <w:rPr>
          <w:rFonts w:ascii="宋体" w:hAnsi="宋体" w:cs="宋体" w:eastAsia="宋体" w:hint="default"/>
          <w:sz w:val="18"/>
          <w:szCs w:val="18"/>
        </w:rPr>
      </w:pPr>
      <w:r>
        <w:rPr>
          <w:rFonts w:ascii="宋体" w:hAnsi="宋体" w:cs="宋体" w:eastAsia="宋体" w:hint="default"/>
          <w:sz w:val="18"/>
          <w:szCs w:val="18"/>
        </w:rPr>
        <w:t>股，公司公司总股本由</w:t>
      </w:r>
      <w:r>
        <w:rPr>
          <w:rFonts w:ascii="Times New Roman" w:hAnsi="Times New Roman" w:cs="Times New Roman" w:eastAsia="Times New Roman" w:hint="default"/>
          <w:sz w:val="18"/>
          <w:szCs w:val="18"/>
        </w:rPr>
        <w:t>25,240.8</w:t>
      </w:r>
      <w:r>
        <w:rPr>
          <w:rFonts w:ascii="宋体" w:hAnsi="宋体" w:cs="宋体" w:eastAsia="宋体" w:hint="default"/>
          <w:sz w:val="18"/>
          <w:szCs w:val="18"/>
        </w:rPr>
        <w:t>万股变更为</w:t>
      </w:r>
      <w:r>
        <w:rPr>
          <w:rFonts w:ascii="Times New Roman" w:hAnsi="Times New Roman" w:cs="Times New Roman" w:eastAsia="Times New Roman" w:hint="default"/>
          <w:sz w:val="18"/>
          <w:szCs w:val="18"/>
        </w:rPr>
        <w:t>27,734.13</w:t>
      </w:r>
      <w:r>
        <w:rPr>
          <w:rFonts w:ascii="宋体" w:hAnsi="宋体" w:cs="宋体" w:eastAsia="宋体" w:hint="default"/>
          <w:sz w:val="18"/>
          <w:szCs w:val="18"/>
        </w:rPr>
        <w:t>万股。 股份变动对最近一年和最近一期基本每股收益和稀释每股收益、归属于公司普通股股东的每股净资产等财务指标的影响</w:t>
      </w:r>
    </w:p>
    <w:p>
      <w:pPr>
        <w:spacing w:line="340" w:lineRule="auto" w:before="40"/>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公司认为必要或证券监管机构要求披露的其他内容</w:t>
      </w:r>
    </w:p>
    <w:p>
      <w:pPr>
        <w:spacing w:before="41"/>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限售股份变动情况" w:id="105"/>
      <w:bookmarkEnd w:id="105"/>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spacing w:before="44"/>
        <w:ind w:left="0" w:right="1136" w:firstLine="0"/>
        <w:jc w:val="right"/>
        <w:rPr>
          <w:rFonts w:ascii="宋体" w:hAnsi="宋体" w:cs="宋体" w:eastAsia="宋体" w:hint="default"/>
          <w:sz w:val="18"/>
          <w:szCs w:val="18"/>
        </w:rPr>
      </w:pPr>
      <w:r>
        <w:rPr/>
        <w:pict>
          <v:shape style="position:absolute;margin-left:56.459999pt;margin-top:-52.08828pt;width:479.35pt;height:241.4pt;mso-position-horizontal-relative:page;mso-position-vertical-relative:paragraph;z-index:1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7" w:right="4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227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蓝顺明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72"/>
                          <w:jc w:val="left"/>
                          <w:rPr>
                            <w:rFonts w:ascii="宋体" w:hAnsi="宋体" w:cs="宋体" w:eastAsia="宋体" w:hint="default"/>
                            <w:sz w:val="18"/>
                            <w:szCs w:val="18"/>
                          </w:rPr>
                        </w:pPr>
                        <w:r>
                          <w:rPr>
                            <w:rFonts w:ascii="宋体" w:hAnsi="宋体" w:cs="宋体" w:eastAsia="宋体" w:hint="default"/>
                            <w:sz w:val="18"/>
                            <w:szCs w:val="18"/>
                          </w:rPr>
                          <w:t>首发后个人类限 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日解锁</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日解锁</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日后解锁</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方笑求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首发后个人类限 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宗佩民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3,116,650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3,116,650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首发后个人类限 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3,116,650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3,116,650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1"/>
                          <w:jc w:val="center"/>
                          <w:rPr>
                            <w:rFonts w:ascii="宋体" w:hAnsi="宋体" w:cs="宋体" w:eastAsia="宋体" w:hint="default"/>
                            <w:sz w:val="18"/>
                            <w:szCs w:val="18"/>
                          </w:rPr>
                        </w:pPr>
                        <w:r>
                          <w:rPr>
                            <w:rFonts w:ascii="宋体" w:hAnsi="宋体" w:cs="宋体" w:eastAsia="宋体" w:hint="default"/>
                            <w:sz w:val="18"/>
                            <w:szCs w:val="18"/>
                          </w:rPr>
                          <w:t>首发后个人类限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w:t>
                        </w:r>
                      </w:p>
                    </w:tc>
                  </w:tr>
                </w:tbl>
                <w:p>
                  <w:pPr/>
                </w:p>
              </w:txbxContent>
            </v:textbox>
            <w10:wrap type="none"/>
          </v:shape>
        </w:pict>
      </w:r>
      <w:r>
        <w:rPr>
          <w:rFonts w:ascii="宋体" w:hAnsi="宋体" w:cs="宋体" w:eastAsia="宋体" w:hint="default"/>
          <w:sz w:val="18"/>
          <w:szCs w:val="18"/>
        </w:rPr>
        <w:t>；</w:t>
      </w:r>
    </w:p>
    <w:p>
      <w:pPr>
        <w:spacing w:line="240" w:lineRule="auto" w:before="4"/>
        <w:rPr>
          <w:rFonts w:ascii="宋体" w:hAnsi="宋体" w:cs="宋体" w:eastAsia="宋体" w:hint="default"/>
          <w:sz w:val="26"/>
          <w:szCs w:val="26"/>
        </w:rPr>
      </w:pPr>
    </w:p>
    <w:p>
      <w:pPr>
        <w:spacing w:before="44"/>
        <w:ind w:left="0" w:right="1136"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362"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售股</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罗宏健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方吉槟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33,945,600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33,945,600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37,576,460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71,522,060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33,945,600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33,945,600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62,528,510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96,474,110</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二、证券发行与上市情况" w:id="106"/>
      <w:bookmarkEnd w:id="106"/>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报告期内证券发行（不含优先股）情况" w:id="107"/>
      <w:bookmarkEnd w:id="107"/>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413"/>
        <w:gridCol w:w="1292"/>
        <w:gridCol w:w="1295"/>
        <w:gridCol w:w="1296"/>
        <w:gridCol w:w="1296"/>
        <w:gridCol w:w="1295"/>
        <w:gridCol w:w="1682"/>
      </w:tblGrid>
      <w:tr>
        <w:trPr>
          <w:trHeight w:val="714" w:hRule="exact"/>
        </w:trPr>
        <w:tc>
          <w:tcPr>
            <w:tcW w:w="1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0" w:right="70"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62" w:right="22" w:hanging="440"/>
              <w:jc w:val="left"/>
              <w:rPr>
                <w:rFonts w:ascii="宋体" w:hAnsi="宋体" w:cs="宋体" w:eastAsia="宋体" w:hint="default"/>
                <w:sz w:val="18"/>
                <w:szCs w:val="18"/>
              </w:rPr>
            </w:pPr>
            <w:r>
              <w:rPr>
                <w:rFonts w:ascii="宋体" w:hAnsi="宋体" w:cs="宋体" w:eastAsia="宋体" w:hint="default"/>
                <w:spacing w:val="-4"/>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2"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62" w:right="101" w:hanging="361"/>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1"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5"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非公开发行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股 股票</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8.64</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2" w:right="0"/>
              <w:jc w:val="left"/>
              <w:rPr>
                <w:rFonts w:ascii="Times New Roman" w:hAnsi="Times New Roman" w:cs="Times New Roman" w:eastAsia="Times New Roman" w:hint="default"/>
                <w:sz w:val="18"/>
                <w:szCs w:val="18"/>
              </w:rPr>
            </w:pPr>
            <w:r>
              <w:rPr>
                <w:rFonts w:ascii="Times New Roman"/>
                <w:sz w:val="18"/>
              </w:rPr>
              <w:t>24,933,300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24,933,300</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报告期内证券发行（不含优先股）情况的说明</w:t>
      </w:r>
    </w:p>
    <w:p>
      <w:pPr>
        <w:spacing w:line="300" w:lineRule="auto"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因公司发行股份及支付现金购买资产并向特定对象募集配套资金事项</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公司向购买资产交易对方方笑求、蓝顺明发</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行股份数量为</w:t>
      </w:r>
      <w:r>
        <w:rPr>
          <w:rFonts w:ascii="Times New Roman" w:hAnsi="Times New Roman" w:cs="Times New Roman" w:eastAsia="Times New Roman" w:hint="default"/>
          <w:sz w:val="18"/>
          <w:szCs w:val="18"/>
        </w:rPr>
        <w:t>18,700,000</w:t>
      </w:r>
      <w:r>
        <w:rPr>
          <w:rFonts w:ascii="宋体" w:hAnsi="宋体" w:cs="宋体" w:eastAsia="宋体" w:hint="default"/>
          <w:sz w:val="18"/>
          <w:szCs w:val="18"/>
        </w:rPr>
        <w:t>股，向特定对象宗佩民、曹国熊非公开发行股份数量为</w:t>
      </w:r>
      <w:r>
        <w:rPr>
          <w:rFonts w:ascii="Times New Roman" w:hAnsi="Times New Roman" w:cs="Times New Roman" w:eastAsia="Times New Roman" w:hint="default"/>
          <w:sz w:val="18"/>
          <w:szCs w:val="18"/>
        </w:rPr>
        <w:t>6,233,300</w:t>
      </w:r>
      <w:r>
        <w:rPr>
          <w:rFonts w:ascii="宋体" w:hAnsi="宋体" w:cs="宋体" w:eastAsia="宋体" w:hint="default"/>
          <w:sz w:val="18"/>
          <w:szCs w:val="18"/>
        </w:rPr>
        <w:t>股，新增股份数量合计</w:t>
      </w:r>
      <w:r>
        <w:rPr>
          <w:rFonts w:ascii="Times New Roman" w:hAnsi="Times New Roman" w:cs="Times New Roman" w:eastAsia="Times New Roman" w:hint="default"/>
          <w:sz w:val="18"/>
          <w:szCs w:val="18"/>
        </w:rPr>
        <w:t>24,933,300 </w:t>
      </w:r>
      <w:r>
        <w:rPr>
          <w:rFonts w:ascii="宋体" w:hAnsi="宋体" w:cs="宋体" w:eastAsia="宋体" w:hint="default"/>
          <w:sz w:val="18"/>
          <w:szCs w:val="18"/>
        </w:rPr>
        <w:t>股，公司总股本由</w:t>
      </w:r>
      <w:r>
        <w:rPr>
          <w:rFonts w:ascii="Times New Roman" w:hAnsi="Times New Roman" w:cs="Times New Roman" w:eastAsia="Times New Roman" w:hint="default"/>
          <w:sz w:val="18"/>
          <w:szCs w:val="18"/>
        </w:rPr>
        <w:t>25,240.8</w:t>
      </w:r>
      <w:r>
        <w:rPr>
          <w:rFonts w:ascii="宋体" w:hAnsi="宋体" w:cs="宋体" w:eastAsia="宋体" w:hint="default"/>
          <w:sz w:val="18"/>
          <w:szCs w:val="18"/>
        </w:rPr>
        <w:t>万股变更为</w:t>
      </w:r>
      <w:r>
        <w:rPr>
          <w:rFonts w:ascii="Times New Roman" w:hAnsi="Times New Roman" w:cs="Times New Roman" w:eastAsia="Times New Roman" w:hint="default"/>
          <w:sz w:val="18"/>
          <w:szCs w:val="18"/>
        </w:rPr>
        <w:t>27,734.13</w:t>
      </w:r>
      <w:r>
        <w:rPr>
          <w:rFonts w:ascii="宋体" w:hAnsi="宋体" w:cs="宋体" w:eastAsia="宋体" w:hint="default"/>
          <w:sz w:val="18"/>
          <w:szCs w:val="18"/>
        </w:rPr>
        <w:t>万股。</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bookmarkStart w:name="2、公司股份总数及股东结构的变动、公司资产和负债结构的变动情况说明" w:id="108"/>
      <w:bookmarkEnd w:id="108"/>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spacing w:line="319" w:lineRule="auto" w:before="0"/>
        <w:ind w:left="153"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w:t>
      </w:r>
      <w:r>
        <w:rPr>
          <w:rFonts w:ascii="宋体" w:hAnsi="宋体" w:cs="宋体" w:eastAsia="宋体" w:hint="default"/>
          <w:sz w:val="18"/>
          <w:szCs w:val="18"/>
        </w:rPr>
        <w:t>因公司发行股份及支付现金购买资产并向特定对象募集配套资金事项</w:t>
      </w:r>
      <w:r>
        <w:rPr>
          <w:rFonts w:ascii="Times New Roman" w:hAnsi="Times New Roman" w:cs="Times New Roman" w:eastAsia="Times New Roman" w:hint="default"/>
          <w:sz w:val="18"/>
          <w:szCs w:val="18"/>
        </w:rPr>
        <w:t>,</w:t>
      </w:r>
      <w:r>
        <w:rPr>
          <w:rFonts w:ascii="宋体" w:hAnsi="宋体" w:cs="宋体" w:eastAsia="宋体" w:hint="default"/>
          <w:sz w:val="18"/>
          <w:szCs w:val="18"/>
        </w:rPr>
        <w:t>公司向购买资产交易对方方笑求、蓝顺明 </w:t>
      </w:r>
      <w:r>
        <w:rPr>
          <w:rFonts w:ascii="宋体" w:hAnsi="宋体" w:cs="宋体" w:eastAsia="宋体" w:hint="default"/>
          <w:spacing w:val="-2"/>
          <w:sz w:val="18"/>
          <w:szCs w:val="18"/>
        </w:rPr>
        <w:t>发行股份数量为</w:t>
      </w:r>
      <w:r>
        <w:rPr>
          <w:rFonts w:ascii="Times New Roman" w:hAnsi="Times New Roman" w:cs="Times New Roman" w:eastAsia="Times New Roman" w:hint="default"/>
          <w:spacing w:val="-2"/>
          <w:sz w:val="18"/>
          <w:szCs w:val="18"/>
        </w:rPr>
        <w:t>18,700,000</w:t>
      </w:r>
      <w:r>
        <w:rPr>
          <w:rFonts w:ascii="宋体" w:hAnsi="宋体" w:cs="宋体" w:eastAsia="宋体" w:hint="default"/>
          <w:spacing w:val="-2"/>
          <w:sz w:val="18"/>
          <w:szCs w:val="18"/>
        </w:rPr>
        <w:t>股，向特定对象宗佩民、曹国熊非公开发行股份数量为</w:t>
      </w:r>
      <w:r>
        <w:rPr>
          <w:rFonts w:ascii="Times New Roman" w:hAnsi="Times New Roman" w:cs="Times New Roman" w:eastAsia="Times New Roman" w:hint="default"/>
          <w:spacing w:val="-2"/>
          <w:sz w:val="18"/>
          <w:szCs w:val="18"/>
        </w:rPr>
        <w:t>6,233,300</w:t>
      </w:r>
      <w:r>
        <w:rPr>
          <w:rFonts w:ascii="宋体" w:hAnsi="宋体" w:cs="宋体" w:eastAsia="宋体" w:hint="default"/>
          <w:spacing w:val="-2"/>
          <w:sz w:val="18"/>
          <w:szCs w:val="18"/>
        </w:rPr>
        <w:t>股，新增股份数量合计</w:t>
      </w:r>
      <w:r>
        <w:rPr>
          <w:rFonts w:ascii="Times New Roman" w:hAnsi="Times New Roman" w:cs="Times New Roman" w:eastAsia="Times New Roman" w:hint="default"/>
          <w:spacing w:val="-2"/>
          <w:sz w:val="18"/>
          <w:szCs w:val="18"/>
        </w:rPr>
        <w:t>24,933,300</w:t>
      </w:r>
    </w:p>
    <w:p>
      <w:pPr>
        <w:spacing w:line="246" w:lineRule="exact"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股，公司公司总股本由</w:t>
      </w:r>
      <w:r>
        <w:rPr>
          <w:rFonts w:ascii="Times New Roman" w:hAnsi="Times New Roman" w:cs="Times New Roman" w:eastAsia="Times New Roman" w:hint="default"/>
          <w:sz w:val="18"/>
          <w:szCs w:val="18"/>
        </w:rPr>
        <w:t>25,240.8</w:t>
      </w:r>
      <w:r>
        <w:rPr>
          <w:rFonts w:ascii="宋体" w:hAnsi="宋体" w:cs="宋体" w:eastAsia="宋体" w:hint="default"/>
          <w:sz w:val="18"/>
          <w:szCs w:val="18"/>
        </w:rPr>
        <w:t>万股变更为</w:t>
      </w:r>
      <w:r>
        <w:rPr>
          <w:rFonts w:ascii="Times New Roman" w:hAnsi="Times New Roman" w:cs="Times New Roman" w:eastAsia="Times New Roman" w:hint="default"/>
          <w:sz w:val="18"/>
          <w:szCs w:val="18"/>
        </w:rPr>
        <w:t>27,734.13</w:t>
      </w:r>
      <w:r>
        <w:rPr>
          <w:rFonts w:ascii="宋体" w:hAnsi="宋体" w:cs="宋体" w:eastAsia="宋体" w:hint="default"/>
          <w:sz w:val="18"/>
          <w:szCs w:val="18"/>
        </w:rPr>
        <w:t>万股。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4"/>
        <w:spacing w:line="240" w:lineRule="auto"/>
        <w:ind w:left="154" w:right="0"/>
        <w:jc w:val="left"/>
        <w:rPr>
          <w:b w:val="0"/>
          <w:bCs w:val="0"/>
        </w:rPr>
      </w:pPr>
      <w:bookmarkStart w:name="3、现存的内部职工股情况" w:id="109"/>
      <w:bookmarkEnd w:id="109"/>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24"/>
          <w:szCs w:val="24"/>
        </w:rPr>
      </w:pPr>
    </w:p>
    <w:p>
      <w:pPr>
        <w:pStyle w:val="Heading2"/>
        <w:spacing w:line="240" w:lineRule="auto"/>
        <w:ind w:left="154" w:right="0"/>
        <w:jc w:val="left"/>
        <w:rPr>
          <w:b w:val="0"/>
          <w:bCs w:val="0"/>
        </w:rPr>
      </w:pPr>
      <w:bookmarkStart w:name="三、股东和实际控制人情况" w:id="110"/>
      <w:bookmarkEnd w:id="110"/>
      <w:r>
        <w:rPr>
          <w:b w:val="0"/>
          <w:bCs w:val="0"/>
        </w:rPr>
      </w:r>
      <w:r>
        <w:rPr/>
        <w:t>三、股东和实际控制人情况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公司股东数量及持股情况" w:id="111"/>
      <w:bookmarkEnd w:id="111"/>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84"/>
        <w:gridCol w:w="1220"/>
        <w:gridCol w:w="1185"/>
        <w:gridCol w:w="1196"/>
        <w:gridCol w:w="1196"/>
        <w:gridCol w:w="1197"/>
        <w:gridCol w:w="1196"/>
        <w:gridCol w:w="1195"/>
      </w:tblGrid>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报告期末普通</w:t>
            </w:r>
          </w:p>
        </w:tc>
        <w:tc>
          <w:tcPr>
            <w:tcW w:w="1220" w:type="dxa"/>
            <w:tcBorders>
              <w:top w:val="single" w:sz="4" w:space="0" w:color="000000"/>
              <w:left w:val="single" w:sz="10" w:space="0" w:color="D2D2D2"/>
              <w:bottom w:val="single" w:sz="4" w:space="0" w:color="000000"/>
              <w:right w:val="single" w:sz="9" w:space="0" w:color="D2D2D2"/>
            </w:tcBorders>
          </w:tcPr>
          <w:p>
            <w:pPr>
              <w:pStyle w:val="TableParagraph"/>
              <w:spacing w:line="240" w:lineRule="auto" w:before="92"/>
              <w:ind w:left="673" w:right="0"/>
              <w:jc w:val="left"/>
              <w:rPr>
                <w:rFonts w:ascii="Times New Roman" w:hAnsi="Times New Roman" w:cs="Times New Roman" w:eastAsia="Times New Roman" w:hint="default"/>
                <w:sz w:val="18"/>
                <w:szCs w:val="18"/>
              </w:rPr>
            </w:pPr>
            <w:r>
              <w:rPr>
                <w:rFonts w:ascii="Times New Roman"/>
                <w:sz w:val="18"/>
              </w:rPr>
              <w:t>39,497</w:t>
            </w:r>
          </w:p>
        </w:tc>
        <w:tc>
          <w:tcPr>
            <w:tcW w:w="1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年度报告披露</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67" w:right="0"/>
              <w:jc w:val="left"/>
              <w:rPr>
                <w:rFonts w:ascii="Times New Roman" w:hAnsi="Times New Roman" w:cs="Times New Roman" w:eastAsia="Times New Roman" w:hint="default"/>
                <w:sz w:val="18"/>
                <w:szCs w:val="18"/>
              </w:rPr>
            </w:pPr>
            <w:r>
              <w:rPr>
                <w:rFonts w:ascii="Times New Roman"/>
                <w:sz w:val="18"/>
              </w:rPr>
              <w:t>36,444</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报告期末表决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年度报告披露</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96"/>
        <w:gridCol w:w="274"/>
        <w:gridCol w:w="934"/>
        <w:gridCol w:w="478"/>
        <w:gridCol w:w="695"/>
        <w:gridCol w:w="93"/>
        <w:gridCol w:w="786"/>
        <w:gridCol w:w="339"/>
        <w:gridCol w:w="449"/>
        <w:gridCol w:w="755"/>
        <w:gridCol w:w="872"/>
        <w:gridCol w:w="317"/>
        <w:gridCol w:w="1033"/>
        <w:gridCol w:w="140"/>
        <w:gridCol w:w="1207"/>
      </w:tblGrid>
      <w:tr>
        <w:trPr>
          <w:trHeight w:val="358" w:hRule="exact"/>
        </w:trPr>
        <w:tc>
          <w:tcPr>
            <w:tcW w:w="119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股股东总数</w:t>
            </w:r>
          </w:p>
        </w:tc>
        <w:tc>
          <w:tcPr>
            <w:tcW w:w="1208" w:type="dxa"/>
            <w:gridSpan w:val="2"/>
            <w:vMerge w:val="restart"/>
            <w:tcBorders>
              <w:top w:val="single" w:sz="4" w:space="0" w:color="000000"/>
              <w:left w:val="single" w:sz="10" w:space="0" w:color="D2D2D2"/>
              <w:right w:val="single" w:sz="9" w:space="0" w:color="D2D2D2"/>
            </w:tcBorders>
          </w:tcPr>
          <w:p>
            <w:pPr/>
          </w:p>
        </w:tc>
        <w:tc>
          <w:tcPr>
            <w:tcW w:w="117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
              <w:ind w:left="11" w:right="70"/>
              <w:jc w:val="both"/>
              <w:rPr>
                <w:rFonts w:ascii="宋体" w:hAnsi="宋体" w:cs="宋体" w:eastAsia="宋体" w:hint="default"/>
                <w:sz w:val="18"/>
                <w:szCs w:val="18"/>
              </w:rPr>
            </w:pPr>
            <w:r>
              <w:rPr>
                <w:rFonts w:ascii="宋体" w:hAnsi="宋体" w:cs="宋体" w:eastAsia="宋体" w:hint="default"/>
                <w:sz w:val="18"/>
                <w:szCs w:val="18"/>
              </w:rPr>
              <w:t>日前上一月末 普通股股东总 数</w:t>
            </w:r>
          </w:p>
        </w:tc>
        <w:tc>
          <w:tcPr>
            <w:tcW w:w="1218" w:type="dxa"/>
            <w:gridSpan w:val="3"/>
            <w:vMerge w:val="restart"/>
            <w:tcBorders>
              <w:top w:val="single" w:sz="4" w:space="0" w:color="000000"/>
              <w:left w:val="single" w:sz="9" w:space="0" w:color="D2D2D2"/>
              <w:right w:val="single" w:sz="9" w:space="0" w:color="D2D2D2"/>
            </w:tcBorders>
          </w:tcPr>
          <w:p>
            <w:pPr/>
          </w:p>
        </w:tc>
        <w:tc>
          <w:tcPr>
            <w:tcW w:w="120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
              <w:ind w:left="11" w:right="101"/>
              <w:jc w:val="left"/>
              <w:rPr>
                <w:rFonts w:ascii="宋体" w:hAnsi="宋体" w:cs="宋体" w:eastAsia="宋体" w:hint="default"/>
                <w:sz w:val="18"/>
                <w:szCs w:val="18"/>
              </w:rPr>
            </w:pPr>
            <w:r>
              <w:rPr>
                <w:rFonts w:ascii="宋体" w:hAnsi="宋体" w:cs="宋体" w:eastAsia="宋体" w:hint="default"/>
                <w:sz w:val="18"/>
                <w:szCs w:val="18"/>
              </w:rPr>
              <w:t>权恢复的优先 股股东总数</w:t>
            </w:r>
          </w:p>
          <w:p>
            <w:pPr>
              <w:pStyle w:val="TableParagraph"/>
              <w:spacing w:line="319" w:lineRule="auto" w:before="19"/>
              <w:ind w:left="11" w:right="41"/>
              <w:jc w:val="left"/>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88" w:type="dxa"/>
            <w:gridSpan w:val="2"/>
            <w:vMerge w:val="restart"/>
            <w:tcBorders>
              <w:top w:val="single" w:sz="4" w:space="0" w:color="000000"/>
              <w:left w:val="single" w:sz="9" w:space="0" w:color="D2D2D2"/>
              <w:right w:val="single" w:sz="13" w:space="0" w:color="D2D2D2"/>
            </w:tcBorders>
          </w:tcPr>
          <w:p>
            <w:pPr/>
          </w:p>
        </w:tc>
        <w:tc>
          <w:tcPr>
            <w:tcW w:w="11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
              <w:ind w:left="11" w:right="8"/>
              <w:jc w:val="left"/>
              <w:rPr>
                <w:rFonts w:ascii="宋体" w:hAnsi="宋体" w:cs="宋体" w:eastAsia="宋体" w:hint="default"/>
                <w:sz w:val="18"/>
                <w:szCs w:val="18"/>
              </w:rPr>
            </w:pPr>
            <w:r>
              <w:rPr>
                <w:rFonts w:ascii="宋体" w:hAnsi="宋体" w:cs="宋体" w:eastAsia="宋体" w:hint="default"/>
                <w:sz w:val="18"/>
                <w:szCs w:val="18"/>
              </w:rPr>
              <w:t>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7" w:type="dxa"/>
            <w:vMerge w:val="restart"/>
            <w:tcBorders>
              <w:top w:val="single" w:sz="4" w:space="0" w:color="000000"/>
              <w:left w:val="single" w:sz="13" w:space="0" w:color="D2D2D2"/>
              <w:right w:val="single" w:sz="4" w:space="0" w:color="000000"/>
            </w:tcBorders>
          </w:tcPr>
          <w:p>
            <w:pPr/>
          </w:p>
        </w:tc>
      </w:tr>
      <w:tr>
        <w:trPr>
          <w:trHeight w:val="624"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312"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val="restart"/>
            <w:tcBorders>
              <w:top w:val="nil" w:sz="6" w:space="0" w:color="auto"/>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bottom w:val="nil" w:sz="6" w:space="0" w:color="auto"/>
              <w:right w:val="single" w:sz="4" w:space="0" w:color="000000"/>
            </w:tcBorders>
            <w:shd w:val="clear" w:color="auto" w:fill="D2D2D2"/>
          </w:tcPr>
          <w:p>
            <w:pP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322"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08" w:type="dxa"/>
            <w:gridSpan w:val="2"/>
            <w:vMerge/>
            <w:tcBorders>
              <w:left w:val="single" w:sz="10" w:space="0" w:color="D2D2D2"/>
              <w:bottom w:val="single" w:sz="4" w:space="0" w:color="000000"/>
              <w:right w:val="single" w:sz="9" w:space="0" w:color="D2D2D2"/>
            </w:tcBorders>
          </w:tcPr>
          <w:p>
            <w:pPr/>
          </w:p>
        </w:tc>
        <w:tc>
          <w:tcPr>
            <w:tcW w:w="1174" w:type="dxa"/>
            <w:gridSpan w:val="2"/>
            <w:vMerge/>
            <w:tcBorders>
              <w:left w:val="single" w:sz="4" w:space="0" w:color="000000"/>
              <w:bottom w:val="single" w:sz="4" w:space="0" w:color="000000"/>
              <w:right w:val="single" w:sz="4" w:space="0" w:color="000000"/>
            </w:tcBorders>
            <w:shd w:val="clear" w:color="auto" w:fill="D2D2D2"/>
          </w:tcPr>
          <w:p>
            <w:pPr/>
          </w:p>
        </w:tc>
        <w:tc>
          <w:tcPr>
            <w:tcW w:w="1218" w:type="dxa"/>
            <w:gridSpan w:val="3"/>
            <w:vMerge/>
            <w:tcBorders>
              <w:left w:val="single" w:sz="9" w:space="0" w:color="D2D2D2"/>
              <w:bottom w:val="single" w:sz="4" w:space="0" w:color="000000"/>
              <w:right w:val="single" w:sz="9" w:space="0" w:color="D2D2D2"/>
            </w:tcBorders>
          </w:tcPr>
          <w:p>
            <w:pPr/>
          </w:p>
        </w:tc>
        <w:tc>
          <w:tcPr>
            <w:tcW w:w="12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88" w:type="dxa"/>
            <w:gridSpan w:val="2"/>
            <w:vMerge/>
            <w:tcBorders>
              <w:left w:val="single" w:sz="9" w:space="0" w:color="D2D2D2"/>
              <w:bottom w:val="single" w:sz="4" w:space="0" w:color="000000"/>
              <w:right w:val="single" w:sz="13" w:space="0" w:color="D2D2D2"/>
            </w:tcBorders>
          </w:tcPr>
          <w:p>
            <w:pPr/>
          </w:p>
        </w:tc>
        <w:tc>
          <w:tcPr>
            <w:tcW w:w="1173" w:type="dxa"/>
            <w:gridSpan w:val="2"/>
            <w:vMerge/>
            <w:tcBorders>
              <w:left w:val="single" w:sz="4" w:space="0" w:color="000000"/>
              <w:bottom w:val="single" w:sz="4" w:space="0" w:color="000000"/>
              <w:right w:val="single" w:sz="4" w:space="0" w:color="000000"/>
            </w:tcBorders>
            <w:shd w:val="clear" w:color="auto" w:fill="D2D2D2"/>
          </w:tcPr>
          <w:p>
            <w:pPr/>
          </w:p>
        </w:tc>
        <w:tc>
          <w:tcPr>
            <w:tcW w:w="1207" w:type="dxa"/>
            <w:vMerge/>
            <w:tcBorders>
              <w:left w:val="single" w:sz="13" w:space="0" w:color="D2D2D2"/>
              <w:bottom w:val="single" w:sz="4" w:space="0" w:color="000000"/>
              <w:right w:val="single" w:sz="4" w:space="0" w:color="000000"/>
            </w:tcBorders>
          </w:tcPr>
          <w:p>
            <w:pPr/>
          </w:p>
        </w:tc>
      </w:tr>
      <w:tr>
        <w:trPr>
          <w:trHeight w:val="392"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
        </w:tc>
        <w:tc>
          <w:tcPr>
            <w:tcW w:w="7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5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7" w:right="-2"/>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85"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7"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1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bottom w:val="nil" w:sz="6" w:space="0" w:color="auto"/>
              <w:right w:val="single" w:sz="4" w:space="0" w:color="000000"/>
            </w:tcBorders>
            <w:shd w:val="clear" w:color="auto" w:fill="D2D2D2"/>
          </w:tcPr>
          <w:p>
            <w:pPr/>
          </w:p>
        </w:tc>
        <w:tc>
          <w:tcPr>
            <w:tcW w:w="7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7"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7" w:type="dxa"/>
            <w:gridSpan w:val="4"/>
            <w:vMerge/>
            <w:tcBorders>
              <w:left w:val="single" w:sz="4" w:space="0" w:color="000000"/>
              <w:right w:val="single" w:sz="4" w:space="0" w:color="000000"/>
            </w:tcBorders>
            <w:shd w:val="clear" w:color="auto" w:fill="D2D2D2"/>
          </w:tcPr>
          <w:p>
            <w:pPr/>
          </w:p>
        </w:tc>
      </w:tr>
      <w:tr>
        <w:trPr>
          <w:trHeight w:val="140"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8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86"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7" w:type="dxa"/>
            <w:gridSpan w:val="4"/>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bottom w:val="nil" w:sz="6" w:space="0" w:color="auto"/>
              <w:right w:val="single" w:sz="4" w:space="0" w:color="000000"/>
            </w:tcBorders>
            <w:shd w:val="clear" w:color="auto" w:fill="D2D2D2"/>
          </w:tcPr>
          <w:p>
            <w:pPr/>
          </w:p>
        </w:tc>
        <w:tc>
          <w:tcPr>
            <w:tcW w:w="786"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2" w:type="dxa"/>
            <w:gridSpan w:val="2"/>
            <w:vMerge w:val="restart"/>
            <w:tcBorders>
              <w:top w:val="nil" w:sz="6" w:space="0" w:color="auto"/>
              <w:left w:val="single" w:sz="4" w:space="0" w:color="000000"/>
              <w:right w:val="single" w:sz="4" w:space="0" w:color="000000"/>
            </w:tcBorders>
            <w:shd w:val="clear" w:color="auto" w:fill="D2D2D2"/>
          </w:tcPr>
          <w:p>
            <w:pPr/>
          </w:p>
        </w:tc>
        <w:tc>
          <w:tcPr>
            <w:tcW w:w="788" w:type="dxa"/>
            <w:gridSpan w:val="2"/>
            <w:vMerge w:val="restart"/>
            <w:tcBorders>
              <w:top w:val="nil" w:sz="6" w:space="0" w:color="auto"/>
              <w:left w:val="single" w:sz="4" w:space="0" w:color="000000"/>
              <w:right w:val="single" w:sz="4" w:space="0" w:color="000000"/>
            </w:tcBorders>
            <w:shd w:val="clear" w:color="auto" w:fill="D2D2D2"/>
          </w:tcPr>
          <w:p>
            <w:pPr/>
          </w:p>
        </w:tc>
        <w:tc>
          <w:tcPr>
            <w:tcW w:w="786" w:type="dxa"/>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48" w:type="dxa"/>
            <w:gridSpan w:val="2"/>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7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755" w:type="dxa"/>
            <w:vMerge/>
            <w:tcBorders>
              <w:left w:val="single" w:sz="4" w:space="0" w:color="000000"/>
              <w:bottom w:val="single" w:sz="4" w:space="0" w:color="000000"/>
              <w:right w:val="single" w:sz="4" w:space="0" w:color="000000"/>
            </w:tcBorders>
            <w:shd w:val="clear" w:color="auto" w:fill="D2D2D2"/>
          </w:tcPr>
          <w:p>
            <w:pPr/>
          </w:p>
        </w:tc>
        <w:tc>
          <w:tcPr>
            <w:tcW w:w="872"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8" w:type="dxa"/>
            <w:gridSpan w:val="2"/>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Times New Roman"/>
                <w:sz w:val="18"/>
              </w:rPr>
              <w:t>30.30%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84,047,54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50,101,94</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7</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71,522,06</w:t>
            </w:r>
          </w:p>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12,525,48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349"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37,199,600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深圳德旺投资发 展有限公司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4.20%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11,639,65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-49,200,3</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47</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11,639,65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蓝顺明</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3.37%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9,350,000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9,350,000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9,350,000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5" w:right="0"/>
              <w:jc w:val="left"/>
              <w:rPr>
                <w:rFonts w:ascii="Times New Roman" w:hAnsi="Times New Roman" w:cs="Times New Roman" w:eastAsia="Times New Roman" w:hint="default"/>
                <w:sz w:val="18"/>
                <w:szCs w:val="18"/>
              </w:rPr>
            </w:pPr>
            <w:r>
              <w:rPr>
                <w:rFonts w:ascii="Times New Roman"/>
                <w:sz w:val="18"/>
              </w:rPr>
              <w:t>5,000,000</w:t>
            </w: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方笑求</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3.37%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9,350,000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9,350,000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9,350,000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宗佩民</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1.12%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3,116,650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3,116,650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3,116,650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1.12%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3,116,650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3,116,650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3,116,650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中山证券－广发 证券－中山证券 金砖</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号主题精选 集合资产管理计 划</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0.96%</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2,669,967</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2,669,967</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2,669,967</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中央汇金资产管 理有限责任公司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0.62%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1,725,900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1,725,900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1,725,900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皮远军</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0.47%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1,294,300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-105,150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1,294,300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赵妍君</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0.45%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1,249,690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1,249,690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1,249,690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882"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687" w:type="dxa"/>
            <w:gridSpan w:val="11"/>
            <w:vMerge w:val="restart"/>
            <w:tcBorders>
              <w:top w:val="single" w:sz="4" w:space="0" w:color="000000"/>
              <w:left w:val="single" w:sz="10" w:space="0" w:color="D2D2D2"/>
              <w:right w:val="single" w:sz="4" w:space="0" w:color="000000"/>
            </w:tcBorders>
          </w:tcPr>
          <w:p>
            <w:pPr>
              <w:pStyle w:val="TableParagraph"/>
              <w:spacing w:line="300" w:lineRule="auto" w:before="51"/>
              <w:ind w:left="15"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、顾永德先生直接持有深圳德旺投资发展有限公司的股权比例为</w:t>
            </w:r>
            <w:r>
              <w:rPr>
                <w:rFonts w:ascii="宋体" w:hAnsi="宋体" w:cs="宋体" w:eastAsia="宋体" w:hint="default"/>
                <w:spacing w:val="-55"/>
                <w:sz w:val="18"/>
                <w:szCs w:val="18"/>
              </w:rPr>
              <w:t> </w:t>
            </w:r>
            <w:r>
              <w:rPr>
                <w:rFonts w:ascii="Times New Roman" w:hAnsi="Times New Roman" w:cs="Times New Roman" w:eastAsia="Times New Roman" w:hint="default"/>
                <w:spacing w:val="-3"/>
                <w:sz w:val="18"/>
                <w:szCs w:val="18"/>
              </w:rPr>
              <w:t>100%</w:t>
            </w:r>
            <w:r>
              <w:rPr>
                <w:rFonts w:ascii="宋体" w:hAnsi="宋体" w:cs="宋体" w:eastAsia="宋体" w:hint="default"/>
                <w:spacing w:val="-3"/>
                <w:sz w:val="18"/>
                <w:szCs w:val="18"/>
              </w:rPr>
              <w:t>，为茂硕电源</w:t>
            </w:r>
            <w:r>
              <w:rPr>
                <w:rFonts w:ascii="宋体" w:hAnsi="宋体" w:cs="宋体" w:eastAsia="宋体" w:hint="default"/>
                <w:sz w:val="18"/>
                <w:szCs w:val="18"/>
              </w:rPr>
              <w:t> 科技股份有限公司的控股股东和实际控制人。</w:t>
            </w:r>
            <w:r>
              <w:rPr>
                <w:rFonts w:ascii="Times New Roman" w:hAnsi="Times New Roman" w:cs="Times New Roman" w:eastAsia="Times New Roman" w:hint="default"/>
                <w:sz w:val="18"/>
                <w:szCs w:val="18"/>
              </w:rPr>
              <w:t>2</w:t>
            </w:r>
            <w:r>
              <w:rPr>
                <w:rFonts w:ascii="宋体" w:hAnsi="宋体" w:cs="宋体" w:eastAsia="宋体" w:hint="default"/>
                <w:sz w:val="18"/>
                <w:szCs w:val="18"/>
              </w:rPr>
              <w:t>、方笑求先生与蓝顺明女士为配偶关 系。</w:t>
            </w:r>
          </w:p>
        </w:tc>
      </w:tr>
      <w:tr>
        <w:trPr>
          <w:trHeight w:val="704" w:hRule="exact"/>
        </w:trPr>
        <w:tc>
          <w:tcPr>
            <w:tcW w:w="2882"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7" w:type="dxa"/>
            <w:gridSpan w:val="11"/>
            <w:vMerge/>
            <w:tcBorders>
              <w:left w:val="single" w:sz="10" w:space="0" w:color="D2D2D2"/>
              <w:right w:val="single" w:sz="4" w:space="0" w:color="000000"/>
            </w:tcBorders>
          </w:tcPr>
          <w:p>
            <w:pPr/>
          </w:p>
        </w:tc>
      </w:tr>
      <w:tr>
        <w:trPr>
          <w:trHeight w:val="161" w:hRule="exact"/>
        </w:trPr>
        <w:tc>
          <w:tcPr>
            <w:tcW w:w="2882"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687" w:type="dxa"/>
            <w:gridSpan w:val="11"/>
            <w:vMerge/>
            <w:tcBorders>
              <w:left w:val="single" w:sz="10" w:space="0" w:color="D2D2D2"/>
              <w:bottom w:val="single" w:sz="4" w:space="0" w:color="000000"/>
              <w:right w:val="single" w:sz="4" w:space="0" w:color="000000"/>
            </w:tcBorders>
          </w:tcPr>
          <w:p>
            <w:pPr/>
          </w:p>
        </w:tc>
      </w:tr>
      <w:tr>
        <w:trPr>
          <w:trHeight w:val="402"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882"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3990" w:type="dxa"/>
            <w:gridSpan w:val="7"/>
            <w:tcBorders>
              <w:top w:val="single" w:sz="4" w:space="0" w:color="000000"/>
              <w:left w:val="single" w:sz="4" w:space="0" w:color="000000"/>
              <w:bottom w:val="nil" w:sz="6" w:space="0" w:color="auto"/>
              <w:right w:val="single" w:sz="4" w:space="0" w:color="000000"/>
            </w:tcBorders>
            <w:shd w:val="clear" w:color="auto" w:fill="D2D2D2"/>
          </w:tcPr>
          <w:p>
            <w:pPr/>
          </w:p>
        </w:tc>
        <w:tc>
          <w:tcPr>
            <w:tcW w:w="2697"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882"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0" w:type="dxa"/>
            <w:gridSpan w:val="7"/>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7" w:type="dxa"/>
            <w:gridSpan w:val="4"/>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82" w:type="dxa"/>
            <w:gridSpan w:val="4"/>
            <w:vMerge/>
            <w:tcBorders>
              <w:left w:val="single" w:sz="4" w:space="0" w:color="000000"/>
              <w:bottom w:val="nil" w:sz="6" w:space="0" w:color="auto"/>
              <w:right w:val="single" w:sz="4" w:space="0" w:color="000000"/>
            </w:tcBorders>
            <w:shd w:val="clear" w:color="auto" w:fill="D2D2D2"/>
          </w:tcPr>
          <w:p>
            <w:pPr/>
          </w:p>
        </w:tc>
        <w:tc>
          <w:tcPr>
            <w:tcW w:w="3990" w:type="dxa"/>
            <w:gridSpan w:val="7"/>
            <w:vMerge/>
            <w:tcBorders>
              <w:left w:val="single" w:sz="4" w:space="0" w:color="000000"/>
              <w:bottom w:val="nil" w:sz="6" w:space="0" w:color="auto"/>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2"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3990" w:type="dxa"/>
            <w:gridSpan w:val="7"/>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8" w:type="dxa"/>
            <w:gridSpan w:val="2"/>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8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399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12,525,487</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5" w:right="0"/>
              <w:jc w:val="left"/>
              <w:rPr>
                <w:rFonts w:ascii="Times New Roman" w:hAnsi="Times New Roman" w:cs="Times New Roman" w:eastAsia="Times New Roman" w:hint="default"/>
                <w:sz w:val="18"/>
                <w:szCs w:val="18"/>
              </w:rPr>
            </w:pPr>
            <w:r>
              <w:rPr>
                <w:rFonts w:ascii="Times New Roman"/>
                <w:sz w:val="18"/>
              </w:rPr>
              <w:t>12,525,487</w:t>
            </w:r>
          </w:p>
        </w:tc>
      </w:tr>
      <w:tr>
        <w:trPr>
          <w:trHeight w:val="402" w:hRule="exact"/>
        </w:trPr>
        <w:tc>
          <w:tcPr>
            <w:tcW w:w="288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深圳德旺投资发展有限公司</w:t>
            </w:r>
          </w:p>
        </w:tc>
        <w:tc>
          <w:tcPr>
            <w:tcW w:w="399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11,639,653</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2" w:right="0"/>
              <w:jc w:val="left"/>
              <w:rPr>
                <w:rFonts w:ascii="Times New Roman" w:hAnsi="Times New Roman" w:cs="Times New Roman" w:eastAsia="Times New Roman" w:hint="default"/>
                <w:sz w:val="18"/>
                <w:szCs w:val="18"/>
              </w:rPr>
            </w:pPr>
            <w:r>
              <w:rPr>
                <w:rFonts w:ascii="Times New Roman"/>
                <w:sz w:val="18"/>
              </w:rPr>
              <w:t>11,639,653</w:t>
            </w:r>
          </w:p>
        </w:tc>
      </w:tr>
      <w:tr>
        <w:trPr>
          <w:trHeight w:val="714" w:hRule="exact"/>
        </w:trPr>
        <w:tc>
          <w:tcPr>
            <w:tcW w:w="2882" w:type="dxa"/>
            <w:gridSpan w:val="4"/>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6"/>
              <w:jc w:val="left"/>
              <w:rPr>
                <w:rFonts w:ascii="宋体" w:hAnsi="宋体" w:cs="宋体" w:eastAsia="宋体" w:hint="default"/>
                <w:sz w:val="18"/>
                <w:szCs w:val="18"/>
              </w:rPr>
            </w:pPr>
            <w:r>
              <w:rPr>
                <w:rFonts w:ascii="宋体" w:hAnsi="宋体" w:cs="宋体" w:eastAsia="宋体" w:hint="default"/>
                <w:sz w:val="18"/>
                <w:szCs w:val="18"/>
              </w:rPr>
              <w:t>中山证券－广发证券－中山证券金 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号主题精选集合资产管理计划</w:t>
            </w:r>
          </w:p>
        </w:tc>
        <w:tc>
          <w:tcPr>
            <w:tcW w:w="399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2,669,967</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5" w:right="0"/>
              <w:jc w:val="left"/>
              <w:rPr>
                <w:rFonts w:ascii="Times New Roman" w:hAnsi="Times New Roman" w:cs="Times New Roman" w:eastAsia="Times New Roman" w:hint="default"/>
                <w:sz w:val="18"/>
                <w:szCs w:val="18"/>
              </w:rPr>
            </w:pPr>
            <w:r>
              <w:rPr>
                <w:rFonts w:ascii="Times New Roman"/>
                <w:sz w:val="18"/>
              </w:rPr>
              <w:t>2,669,967</w:t>
            </w:r>
          </w:p>
        </w:tc>
      </w:tr>
      <w:tr>
        <w:trPr>
          <w:trHeight w:val="402" w:hRule="exact"/>
        </w:trPr>
        <w:tc>
          <w:tcPr>
            <w:tcW w:w="288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399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1,725,900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5" w:right="0"/>
              <w:jc w:val="left"/>
              <w:rPr>
                <w:rFonts w:ascii="Times New Roman" w:hAnsi="Times New Roman" w:cs="Times New Roman" w:eastAsia="Times New Roman" w:hint="default"/>
                <w:sz w:val="18"/>
                <w:szCs w:val="18"/>
              </w:rPr>
            </w:pPr>
            <w:r>
              <w:rPr>
                <w:rFonts w:ascii="Times New Roman"/>
                <w:sz w:val="18"/>
              </w:rPr>
              <w:t>1,725,900</w:t>
            </w:r>
          </w:p>
        </w:tc>
      </w:tr>
      <w:tr>
        <w:trPr>
          <w:trHeight w:val="402" w:hRule="exact"/>
        </w:trPr>
        <w:tc>
          <w:tcPr>
            <w:tcW w:w="288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皮远军</w:t>
            </w:r>
          </w:p>
        </w:tc>
        <w:tc>
          <w:tcPr>
            <w:tcW w:w="399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1,294,300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5" w:right="0"/>
              <w:jc w:val="left"/>
              <w:rPr>
                <w:rFonts w:ascii="Times New Roman" w:hAnsi="Times New Roman" w:cs="Times New Roman" w:eastAsia="Times New Roman" w:hint="default"/>
                <w:sz w:val="18"/>
                <w:szCs w:val="18"/>
              </w:rPr>
            </w:pPr>
            <w:r>
              <w:rPr>
                <w:rFonts w:ascii="Times New Roman"/>
                <w:sz w:val="18"/>
              </w:rPr>
              <w:t>1,294,300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82"/>
        <w:gridCol w:w="3990"/>
        <w:gridCol w:w="1349"/>
        <w:gridCol w:w="1348"/>
      </w:tblGrid>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赵妍君</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1,249,690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1,249,690</w:t>
            </w:r>
          </w:p>
        </w:tc>
      </w:tr>
      <w:tr>
        <w:trPr>
          <w:trHeight w:val="1026"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47"/>
              <w:jc w:val="both"/>
              <w:rPr>
                <w:rFonts w:ascii="宋体" w:hAnsi="宋体" w:cs="宋体" w:eastAsia="宋体" w:hint="default"/>
                <w:sz w:val="18"/>
                <w:szCs w:val="18"/>
              </w:rPr>
            </w:pPr>
            <w:r>
              <w:rPr>
                <w:rFonts w:ascii="宋体" w:hAnsi="宋体" w:cs="宋体" w:eastAsia="宋体" w:hint="default"/>
                <w:sz w:val="18"/>
                <w:szCs w:val="18"/>
              </w:rPr>
              <w:t>兴业银行股份有限公司－广发中证 百度百发策略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指数型证券投资 基金</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1,023,000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1,023,000</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王白空</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814,189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814,189</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49"/>
              <w:jc w:val="left"/>
              <w:rPr>
                <w:rFonts w:ascii="宋体" w:hAnsi="宋体" w:cs="宋体" w:eastAsia="宋体" w:hint="default"/>
                <w:sz w:val="18"/>
                <w:szCs w:val="18"/>
              </w:rPr>
            </w:pPr>
            <w:r>
              <w:rPr>
                <w:rFonts w:ascii="宋体" w:hAnsi="宋体" w:cs="宋体" w:eastAsia="宋体" w:hint="default"/>
                <w:sz w:val="18"/>
                <w:szCs w:val="18"/>
              </w:rPr>
              <w:t>广发证券－工行－广发君泽利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集合资产管理计划</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689,893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689,893</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王利平</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636,805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636,805</w:t>
            </w:r>
          </w:p>
        </w:tc>
      </w:tr>
      <w:tr>
        <w:trPr>
          <w:trHeight w:val="1338"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、顾永德先生直接持有深圳德旺投资发展有限公司的股权比例为</w:t>
            </w:r>
            <w:r>
              <w:rPr>
                <w:rFonts w:ascii="宋体" w:hAnsi="宋体" w:cs="宋体" w:eastAsia="宋体" w:hint="default"/>
                <w:spacing w:val="-56"/>
                <w:sz w:val="18"/>
                <w:szCs w:val="18"/>
              </w:rPr>
              <w:t> </w:t>
            </w:r>
            <w:r>
              <w:rPr>
                <w:rFonts w:ascii="Times New Roman" w:hAnsi="Times New Roman" w:cs="Times New Roman" w:eastAsia="Times New Roman" w:hint="default"/>
                <w:spacing w:val="-3"/>
                <w:sz w:val="18"/>
                <w:szCs w:val="18"/>
              </w:rPr>
              <w:t>100%</w:t>
            </w:r>
            <w:r>
              <w:rPr>
                <w:rFonts w:ascii="宋体" w:hAnsi="宋体" w:cs="宋体" w:eastAsia="宋体" w:hint="default"/>
                <w:spacing w:val="-3"/>
                <w:sz w:val="18"/>
                <w:szCs w:val="18"/>
              </w:rPr>
              <w:t>，为茂硕电源</w:t>
            </w:r>
            <w:r>
              <w:rPr>
                <w:rFonts w:ascii="宋体" w:hAnsi="宋体" w:cs="宋体" w:eastAsia="宋体" w:hint="default"/>
                <w:sz w:val="18"/>
                <w:szCs w:val="18"/>
              </w:rPr>
              <w:t> </w:t>
            </w:r>
            <w:r>
              <w:rPr>
                <w:rFonts w:ascii="宋体" w:hAnsi="宋体" w:cs="宋体" w:eastAsia="宋体" w:hint="default"/>
                <w:spacing w:val="-3"/>
                <w:sz w:val="18"/>
                <w:szCs w:val="18"/>
              </w:rPr>
              <w:t>科技股份有限公司的控股股东和实际控制人。</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、未知其它前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名无限售流通股股东</w:t>
            </w:r>
          </w:p>
          <w:p>
            <w:pPr>
              <w:pStyle w:val="TableParagraph"/>
              <w:spacing w:line="302" w:lineRule="auto" w:before="13"/>
              <w:ind w:left="22" w:right="83"/>
              <w:jc w:val="left"/>
              <w:rPr>
                <w:rFonts w:ascii="宋体" w:hAnsi="宋体" w:cs="宋体" w:eastAsia="宋体" w:hint="default"/>
                <w:sz w:val="18"/>
                <w:szCs w:val="18"/>
              </w:rPr>
            </w:pPr>
            <w:r>
              <w:rPr>
                <w:rFonts w:ascii="宋体" w:hAnsi="宋体" w:cs="宋体" w:eastAsia="宋体" w:hint="default"/>
                <w:sz w:val="18"/>
                <w:szCs w:val="18"/>
              </w:rPr>
              <w:t>之间、前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名股东之间是否存在关联关系，也未知是 否属于《上市公司收购管理办法》规定的一致行动人。</w:t>
            </w:r>
          </w:p>
        </w:tc>
      </w:tr>
      <w:tr>
        <w:trPr>
          <w:trHeight w:val="1650"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2" w:lineRule="auto" w:before="105"/>
              <w:ind w:left="22" w:right="57"/>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 </w:t>
            </w:r>
            <w:r>
              <w:rPr>
                <w:rFonts w:ascii="宋体" w:hAnsi="宋体" w:cs="宋体" w:eastAsia="宋体" w:hint="default"/>
                <w:spacing w:val="-7"/>
                <w:sz w:val="18"/>
                <w:szCs w:val="18"/>
              </w:rPr>
              <w:t>务情况说明（如有）（参见注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赵妍君通过普通证券账户持有本公司股份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股，通过信用证券账户持有本公司股份</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1,249,690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股，合计持有本公司股份</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1,249,690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股；王白空通过普通证券账户持有本公</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司股份</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28,600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股，通过信用证券账户持有本公司股份</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785,589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股，合计持有本公司股</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814,189 </w:t>
            </w:r>
            <w:r>
              <w:rPr>
                <w:rFonts w:ascii="宋体" w:hAnsi="宋体" w:cs="宋体" w:eastAsia="宋体" w:hint="default"/>
                <w:sz w:val="18"/>
                <w:szCs w:val="18"/>
              </w:rPr>
              <w:t>股；王利平通过普通证券账户持有本公司股份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股，通过信用证券账户持</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有本公司股份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636800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股，合计持有本公司股份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636,805 </w:t>
            </w:r>
            <w:r>
              <w:rPr>
                <w:rFonts w:ascii="宋体" w:hAnsi="宋体" w:cs="宋体" w:eastAsia="宋体" w:hint="default"/>
                <w:sz w:val="18"/>
                <w:szCs w:val="18"/>
              </w:rPr>
              <w:t>股。</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3"/>
        <w:ind w:left="153" w:right="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before="116"/>
        <w:ind w:left="153"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2、公司控股股东情况" w:id="112"/>
      <w:bookmarkEnd w:id="112"/>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spacing w:line="360" w:lineRule="auto" w:before="0"/>
        <w:ind w:left="154" w:right="8592"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控股股东类型：自然人</w:t>
      </w:r>
    </w:p>
    <w:tbl>
      <w:tblPr>
        <w:tblW w:w="0" w:type="auto"/>
        <w:jc w:val="left"/>
        <w:tblInd w:w="149" w:type="dxa"/>
        <w:tblLayout w:type="fixed"/>
        <w:tblCellMar>
          <w:top w:w="0" w:type="dxa"/>
          <w:left w:w="0" w:type="dxa"/>
          <w:bottom w:w="0" w:type="dxa"/>
          <w:right w:w="0" w:type="dxa"/>
        </w:tblCellMar>
        <w:tblLook w:val="01E0"/>
      </w:tblPr>
      <w:tblGrid>
        <w:gridCol w:w="3418"/>
        <w:gridCol w:w="2303"/>
        <w:gridCol w:w="3848"/>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茂硕电源董事长、总经理</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65"/>
        <w:ind w:left="154"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before="117"/>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新控股股东名称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顾永德</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变更日期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指定网站查询索引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3" w:right="69"/>
              <w:jc w:val="left"/>
              <w:rPr>
                <w:rFonts w:ascii="宋体" w:hAnsi="宋体" w:cs="宋体" w:eastAsia="宋体" w:hint="default"/>
                <w:sz w:val="18"/>
                <w:szCs w:val="18"/>
              </w:rPr>
            </w:pPr>
            <w:r>
              <w:rPr>
                <w:rFonts w:ascii="宋体" w:hAnsi="宋体" w:cs="宋体" w:eastAsia="宋体" w:hint="default"/>
                <w:sz w:val="18"/>
                <w:szCs w:val="18"/>
              </w:rPr>
              <w:t>刊登于巨潮资讯网《关于控股股东协议转让公司股份已完成 过户登记的公告》</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指定网站披露日期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3、公司实际控制人情况" w:id="113"/>
      <w:bookmarkEnd w:id="113"/>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8"/>
        <w:rPr>
          <w:rFonts w:ascii="宋体" w:hAnsi="宋体" w:cs="宋体" w:eastAsia="宋体" w:hint="default"/>
          <w:b/>
          <w:bCs/>
          <w:sz w:val="26"/>
          <w:szCs w:val="26"/>
        </w:rPr>
      </w:pPr>
    </w:p>
    <w:p>
      <w:pPr>
        <w:spacing w:line="357" w:lineRule="auto" w:before="0"/>
        <w:ind w:left="153" w:right="8413"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3418"/>
        <w:gridCol w:w="2303"/>
        <w:gridCol w:w="3848"/>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4"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茂硕电源董事长、总经理</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68"/>
        <w:ind w:left="154"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57" w:lineRule="auto" w:before="117"/>
        <w:ind w:left="154" w:right="679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公司报告期实际控制人未发生变更。 公司与实际控制人之间的产权及控制关系的方框图</w:t>
      </w:r>
    </w:p>
    <w:p>
      <w:pPr>
        <w:spacing w:line="240" w:lineRule="auto" w:before="6"/>
        <w:rPr>
          <w:rFonts w:ascii="宋体" w:hAnsi="宋体" w:cs="宋体" w:eastAsia="宋体" w:hint="default"/>
          <w:sz w:val="24"/>
          <w:szCs w:val="24"/>
        </w:rPr>
      </w:pPr>
    </w:p>
    <w:p>
      <w:pPr>
        <w:spacing w:line="4080" w:lineRule="exact"/>
        <w:ind w:left="1358" w:right="0" w:firstLine="0"/>
        <w:rPr>
          <w:rFonts w:ascii="宋体" w:hAnsi="宋体" w:cs="宋体" w:eastAsia="宋体" w:hint="default"/>
          <w:sz w:val="20"/>
          <w:szCs w:val="20"/>
        </w:rPr>
      </w:pPr>
      <w:r>
        <w:rPr>
          <w:rFonts w:ascii="宋体" w:hAnsi="宋体" w:cs="宋体" w:eastAsia="宋体" w:hint="default"/>
          <w:position w:val="-81"/>
          <w:sz w:val="20"/>
          <w:szCs w:val="20"/>
        </w:rPr>
        <w:drawing>
          <wp:inline distT="0" distB="0" distL="0" distR="0">
            <wp:extent cx="4591049" cy="2590800"/>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6" cstate="print"/>
                    <a:stretch>
                      <a:fillRect/>
                    </a:stretch>
                  </pic:blipFill>
                  <pic:spPr>
                    <a:xfrm>
                      <a:off x="0" y="0"/>
                      <a:ext cx="4591049" cy="2590800"/>
                    </a:xfrm>
                    <a:prstGeom prst="rect">
                      <a:avLst/>
                    </a:prstGeom>
                  </pic:spPr>
                </pic:pic>
              </a:graphicData>
            </a:graphic>
          </wp:inline>
        </w:drawing>
      </w:r>
      <w:r>
        <w:rPr>
          <w:rFonts w:ascii="宋体" w:hAnsi="宋体" w:cs="宋体" w:eastAsia="宋体" w:hint="default"/>
          <w:position w:val="-81"/>
          <w:sz w:val="20"/>
          <w:szCs w:val="20"/>
        </w:rPr>
      </w:r>
    </w:p>
    <w:p>
      <w:pPr>
        <w:spacing w:line="240" w:lineRule="auto" w:before="6"/>
        <w:rPr>
          <w:rFonts w:ascii="宋体" w:hAnsi="宋体" w:cs="宋体" w:eastAsia="宋体" w:hint="default"/>
          <w:sz w:val="21"/>
          <w:szCs w:val="21"/>
        </w:rPr>
      </w:pPr>
    </w:p>
    <w:p>
      <w:pPr>
        <w:pStyle w:val="Heading3"/>
        <w:spacing w:line="240" w:lineRule="auto" w:before="26"/>
        <w:ind w:right="0"/>
        <w:jc w:val="left"/>
      </w:pPr>
      <w:r>
        <w:rPr/>
        <w:t>实际控制人通过信托或其他资产管理方式控制公司</w:t>
      </w:r>
    </w:p>
    <w:p>
      <w:pPr>
        <w:spacing w:line="240" w:lineRule="auto" w:before="12"/>
        <w:rPr>
          <w:rFonts w:ascii="宋体" w:hAnsi="宋体" w:cs="宋体" w:eastAsia="宋体" w:hint="default"/>
          <w:sz w:val="18"/>
          <w:szCs w:val="18"/>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pStyle w:val="Heading4"/>
        <w:spacing w:line="240" w:lineRule="auto"/>
        <w:ind w:left="154" w:right="0"/>
        <w:jc w:val="left"/>
        <w:rPr>
          <w:b w:val="0"/>
          <w:bCs w:val="0"/>
        </w:rPr>
      </w:pPr>
      <w:bookmarkStart w:name="4、其他持股在10%以上的法人股东" w:id="114"/>
      <w:bookmarkEnd w:id="114"/>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pStyle w:val="Heading4"/>
        <w:spacing w:line="240" w:lineRule="auto"/>
        <w:ind w:left="154" w:right="0"/>
        <w:jc w:val="left"/>
        <w:rPr>
          <w:b w:val="0"/>
          <w:bCs w:val="0"/>
        </w:rPr>
      </w:pPr>
      <w:bookmarkStart w:name="5、控股股东、实际控制人、重组方及其他承诺主体股份限制减持情况" w:id="115"/>
      <w:bookmarkEnd w:id="115"/>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0"/>
        <w:jc w:val="left"/>
        <w:rPr>
          <w:b w:val="0"/>
          <w:bCs w:val="0"/>
        </w:rPr>
      </w:pPr>
      <w:bookmarkStart w:name="第七节 优先股相关情况" w:id="116"/>
      <w:bookmarkEnd w:id="116"/>
      <w:r>
        <w:rPr>
          <w:b w:val="0"/>
          <w:bCs w:val="0"/>
        </w:rPr>
      </w:r>
      <w:bookmarkStart w:name="_bookmark5" w:id="117"/>
      <w:bookmarkEnd w:id="117"/>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spacing w:line="357" w:lineRule="auto" w:before="44"/>
        <w:ind w:left="154" w:right="8592" w:firstLine="0"/>
        <w:jc w:val="left"/>
        <w:rPr>
          <w:rFonts w:ascii="宋体" w:hAnsi="宋体" w:cs="宋体" w:eastAsia="宋体" w:hint="default"/>
          <w:sz w:val="18"/>
          <w:szCs w:val="18"/>
        </w:rPr>
      </w:pPr>
      <w:r>
        <w:rPr>
          <w:rFonts w:ascii="宋体" w:hAnsi="宋体" w:cs="宋体" w:eastAsia="宋体" w:hint="default"/>
          <w:sz w:val="18"/>
          <w:szCs w:val="18"/>
        </w:rPr>
        <w:t>□ 适用 √ 不适用 报告期公司不存在优先股。</w:t>
      </w:r>
    </w:p>
    <w:p>
      <w:pPr>
        <w:spacing w:after="0" w:line="357"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第八节 董事、监事、高级管理人员和员工情况" w:id="118"/>
      <w:bookmarkEnd w:id="118"/>
      <w:r>
        <w:rPr>
          <w:b w:val="0"/>
          <w:bCs w:val="0"/>
        </w:rPr>
      </w:r>
      <w:bookmarkStart w:name="_bookmark6" w:id="119"/>
      <w:bookmarkEnd w:id="119"/>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20"/>
      <w:bookmarkEnd w:id="120"/>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33,945,60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50,101,94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84,047,54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张新明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施伟力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方吉槟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42"/>
              <w:jc w:val="both"/>
              <w:rPr>
                <w:rFonts w:ascii="宋体" w:hAnsi="宋体" w:cs="宋体" w:eastAsia="宋体" w:hint="default"/>
                <w:sz w:val="18"/>
                <w:szCs w:val="18"/>
              </w:rPr>
            </w:pPr>
            <w:r>
              <w:rPr>
                <w:rFonts w:ascii="宋体" w:hAnsi="宋体" w:cs="宋体" w:eastAsia="宋体" w:hint="default"/>
                <w:sz w:val="18"/>
                <w:szCs w:val="18"/>
              </w:rPr>
              <w:t>董事、副 总经理、 董事会秘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方笑求</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9,350,000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9,350,000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李晓波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肖明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成水英</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洪丹</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谢颖彬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潘晓平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9"/>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罗宏健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9"/>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刘耀平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9"/>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王细亮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9"/>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33,945,60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59,476,94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93,422,54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公司董事、监事、高级管理人员变动情况" w:id="121"/>
      <w:bookmarkEnd w:id="121"/>
      <w:r>
        <w:rPr>
          <w:b w:val="0"/>
          <w:bCs w:val="0"/>
        </w:rPr>
      </w:r>
      <w:r>
        <w:rPr/>
        <w:t>二、公司董事、监事、高级管理人员变动情况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102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方笑求</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w:t>
            </w:r>
            <w:r>
              <w:rPr>
                <w:rFonts w:ascii="宋体" w:hAnsi="宋体" w:cs="宋体" w:eastAsia="宋体" w:hint="default"/>
                <w:spacing w:val="-85"/>
                <w:sz w:val="18"/>
                <w:szCs w:val="18"/>
              </w:rPr>
              <w:t>，</w:t>
            </w:r>
            <w:r>
              <w:rPr>
                <w:rFonts w:ascii="宋体" w:hAnsi="宋体" w:cs="宋体" w:eastAsia="宋体" w:hint="default"/>
                <w:sz w:val="18"/>
                <w:szCs w:val="18"/>
              </w:rPr>
              <w:t>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年年度股东大会审</w:t>
            </w:r>
            <w:r>
              <w:rPr>
                <w:rFonts w:ascii="宋体" w:hAnsi="宋体" w:cs="宋体" w:eastAsia="宋体" w:hint="default"/>
                <w:spacing w:val="1"/>
                <w:sz w:val="18"/>
                <w:szCs w:val="18"/>
              </w:rPr>
              <w:t>议</w:t>
            </w:r>
            <w:r>
              <w:rPr>
                <w:rFonts w:ascii="宋体" w:hAnsi="宋体" w:cs="宋体" w:eastAsia="宋体" w:hint="default"/>
                <w:sz w:val="18"/>
                <w:szCs w:val="18"/>
              </w:rPr>
              <w:t>通</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过为公司董事，任期为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谢颖彬</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谢颖彬先生因职务繁重，申请辞去监事会主席职务。</w:t>
            </w:r>
          </w:p>
        </w:tc>
      </w:tr>
      <w:tr>
        <w:trPr>
          <w:trHeight w:val="1338"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肖明</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r>
              <w:rPr>
                <w:rFonts w:ascii="宋体" w:hAnsi="宋体" w:cs="宋体" w:eastAsia="宋体" w:hint="default"/>
                <w:spacing w:val="-85"/>
                <w:sz w:val="18"/>
                <w:szCs w:val="18"/>
              </w:rPr>
              <w:t>，</w:t>
            </w:r>
            <w:r>
              <w:rPr>
                <w:rFonts w:ascii="宋体" w:hAnsi="宋体" w:cs="宋体" w:eastAsia="宋体" w:hint="default"/>
                <w:sz w:val="18"/>
                <w:szCs w:val="18"/>
              </w:rPr>
              <w:t>职工代表大会会议选举肖明女士任</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公司第三届监事会职工代表监事人选。</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24</w:t>
            </w:r>
          </w:p>
          <w:p>
            <w:pPr>
              <w:pStyle w:val="TableParagraph"/>
              <w:spacing w:line="302" w:lineRule="auto" w:before="63"/>
              <w:ind w:left="23" w:right="23"/>
              <w:jc w:val="left"/>
              <w:rPr>
                <w:rFonts w:ascii="宋体" w:hAnsi="宋体" w:cs="宋体" w:eastAsia="宋体" w:hint="default"/>
                <w:sz w:val="18"/>
                <w:szCs w:val="18"/>
              </w:rPr>
            </w:pPr>
            <w:r>
              <w:rPr>
                <w:rFonts w:ascii="宋体" w:hAnsi="宋体" w:cs="宋体" w:eastAsia="宋体" w:hint="default"/>
                <w:spacing w:val="-6"/>
                <w:sz w:val="18"/>
                <w:szCs w:val="18"/>
              </w:rPr>
              <w:t>日，第三届监事会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次临时会议选举肖明女 士为公司第三届监事会主席。</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刘耀平</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副总经理刘耀平先生因个人原因离职。</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王细亮</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副总经理王细亮先生因个人原因离职。</w:t>
            </w:r>
          </w:p>
        </w:tc>
      </w:tr>
      <w:tr>
        <w:trPr>
          <w:trHeight w:val="196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李晓波</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2"/>
              <w:ind w:left="23"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日第三届董事会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次临时 会议审议通过其因个人原因辞去副董事长及总经理职 </w:t>
            </w:r>
            <w:r>
              <w:rPr>
                <w:rFonts w:ascii="宋体" w:hAnsi="宋体" w:cs="宋体" w:eastAsia="宋体" w:hint="default"/>
                <w:spacing w:val="-5"/>
                <w:sz w:val="18"/>
                <w:szCs w:val="18"/>
              </w:rPr>
              <w:t>务，在董事会选举新任董事前继续履行董事职务；</w:t>
            </w:r>
            <w:r>
              <w:rPr>
                <w:rFonts w:ascii="Times New Roman" w:hAnsi="Times New Roman" w:cs="Times New Roman" w:eastAsia="Times New Roman" w:hint="default"/>
                <w:spacing w:val="-5"/>
                <w:sz w:val="18"/>
                <w:szCs w:val="18"/>
              </w:rPr>
              <w:t>2015</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日公司</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年年度股东大会审议通过选举方 笑求先生为公司董事，李晓波先生不再继续履行董事 职务。</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三、任职情况" w:id="122"/>
      <w:bookmarkEnd w:id="122"/>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line="319" w:lineRule="auto" w:before="44"/>
        <w:ind w:left="153" w:right="10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、董事： 顾永德，男，汉族，</w:t>
      </w:r>
      <w:r>
        <w:rPr>
          <w:rFonts w:ascii="Times New Roman" w:hAnsi="Times New Roman" w:cs="Times New Roman" w:eastAsia="Times New Roman" w:hint="default"/>
          <w:sz w:val="18"/>
          <w:szCs w:val="18"/>
        </w:rPr>
        <w:t>1965</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月出生，江苏省无锡人。清华大学深圳研究院</w:t>
      </w:r>
      <w:r>
        <w:rPr>
          <w:rFonts w:ascii="Times New Roman" w:hAnsi="Times New Roman" w:cs="Times New Roman" w:eastAsia="Times New Roman" w:hint="default"/>
          <w:sz w:val="18"/>
          <w:szCs w:val="18"/>
        </w:rPr>
        <w:t>MBA</w:t>
      </w:r>
      <w:r>
        <w:rPr>
          <w:rFonts w:ascii="宋体" w:hAnsi="宋体" w:cs="宋体" w:eastAsia="宋体" w:hint="default"/>
          <w:sz w:val="18"/>
          <w:szCs w:val="18"/>
        </w:rPr>
        <w:t>。</w:t>
      </w:r>
      <w:r>
        <w:rPr>
          <w:rFonts w:ascii="Times New Roman" w:hAnsi="Times New Roman" w:cs="Times New Roman" w:eastAsia="Times New Roman" w:hint="default"/>
          <w:sz w:val="18"/>
          <w:szCs w:val="18"/>
        </w:rPr>
        <w:t>1991</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月参加工作，</w:t>
      </w:r>
      <w:r>
        <w:rPr>
          <w:rFonts w:ascii="Times New Roman" w:hAnsi="Times New Roman" w:cs="Times New Roman" w:eastAsia="Times New Roman" w:hint="default"/>
          <w:sz w:val="18"/>
          <w:szCs w:val="18"/>
        </w:rPr>
        <w:t>2001</w:t>
      </w:r>
      <w:r>
        <w:rPr>
          <w:rFonts w:ascii="宋体" w:hAnsi="宋体" w:cs="宋体" w:eastAsia="宋体" w:hint="default"/>
          <w:sz w:val="18"/>
          <w:szCs w:val="18"/>
        </w:rPr>
        <w:t>年被深圳市政 府评为</w:t>
      </w:r>
      <w:r>
        <w:rPr>
          <w:rFonts w:ascii="Times New Roman" w:hAnsi="Times New Roman" w:cs="Times New Roman" w:eastAsia="Times New Roman" w:hint="default"/>
          <w:sz w:val="18"/>
          <w:szCs w:val="18"/>
        </w:rPr>
        <w:t>“</w:t>
      </w:r>
      <w:r>
        <w:rPr>
          <w:rFonts w:ascii="宋体" w:hAnsi="宋体" w:cs="宋体" w:eastAsia="宋体" w:hint="default"/>
          <w:sz w:val="18"/>
          <w:szCs w:val="18"/>
        </w:rPr>
        <w:t>优秀外来深建设者</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2005</w:t>
      </w:r>
      <w:r>
        <w:rPr>
          <w:rFonts w:ascii="宋体" w:hAnsi="宋体" w:cs="宋体" w:eastAsia="宋体" w:hint="default"/>
          <w:sz w:val="18"/>
          <w:szCs w:val="18"/>
        </w:rPr>
        <w:t>年被评为</w:t>
      </w:r>
      <w:r>
        <w:rPr>
          <w:rFonts w:ascii="Times New Roman" w:hAnsi="Times New Roman" w:cs="Times New Roman" w:eastAsia="Times New Roman" w:hint="default"/>
          <w:sz w:val="18"/>
          <w:szCs w:val="18"/>
        </w:rPr>
        <w:t>“</w:t>
      </w:r>
      <w:r>
        <w:rPr>
          <w:rFonts w:ascii="宋体" w:hAnsi="宋体" w:cs="宋体" w:eastAsia="宋体" w:hint="default"/>
          <w:sz w:val="18"/>
          <w:szCs w:val="18"/>
        </w:rPr>
        <w:t>优秀民营企业家</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1997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2006</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月担任深圳锡星电子有限公司总经理；</w:t>
      </w:r>
    </w:p>
    <w:p>
      <w:pPr>
        <w:spacing w:line="302" w:lineRule="auto"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月至今，担任茂硕电源科技股份有限公司董事长。深圳市第七届工商联（总商会）副会长；深圳市第三届南山区工 商联（总商会）副会长；深圳市江苏商会副会长；深圳市无锡商会常务副会长；深圳市第五届、第六届人大代表。</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4"/>
          <w:szCs w:val="14"/>
        </w:rPr>
      </w:pPr>
    </w:p>
    <w:p>
      <w:pPr>
        <w:spacing w:line="302" w:lineRule="auto" w:before="0"/>
        <w:ind w:left="153" w:right="1050" w:firstLine="73"/>
        <w:jc w:val="left"/>
        <w:rPr>
          <w:rFonts w:ascii="宋体" w:hAnsi="宋体" w:cs="宋体" w:eastAsia="宋体" w:hint="default"/>
          <w:sz w:val="18"/>
          <w:szCs w:val="18"/>
        </w:rPr>
      </w:pPr>
      <w:r>
        <w:rPr>
          <w:rFonts w:ascii="宋体" w:hAnsi="宋体" w:cs="宋体" w:eastAsia="宋体" w:hint="default"/>
          <w:sz w:val="18"/>
          <w:szCs w:val="18"/>
        </w:rPr>
        <w:t>方吉槟，男，</w:t>
      </w:r>
      <w:r>
        <w:rPr>
          <w:rFonts w:ascii="Times New Roman" w:hAnsi="Times New Roman" w:cs="Times New Roman" w:eastAsia="Times New Roman" w:hint="default"/>
          <w:sz w:val="18"/>
          <w:szCs w:val="18"/>
        </w:rPr>
        <w:t>1983</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月出生，中国国籍，无境外永久居留权，中山大学工商管理硕士；曾任职于金元证券股份有限公司、 证券时报，具有证券、期货从业资格，</w:t>
      </w:r>
      <w:r>
        <w:rPr>
          <w:rFonts w:ascii="Times New Roman" w:hAnsi="Times New Roman" w:cs="Times New Roman" w:eastAsia="Times New Roman" w:hint="default"/>
          <w:sz w:val="18"/>
          <w:szCs w:val="18"/>
        </w:rPr>
        <w:t>2012</w:t>
      </w:r>
      <w:r>
        <w:rPr>
          <w:rFonts w:ascii="宋体" w:hAnsi="宋体" w:cs="宋体" w:eastAsia="宋体" w:hint="default"/>
          <w:sz w:val="18"/>
          <w:szCs w:val="18"/>
        </w:rPr>
        <w:t>年加入茂硕电源科技股份有限公司，现任公司董事、副总经理、董事会秘书。</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2"/>
          <w:szCs w:val="12"/>
        </w:rPr>
      </w:pPr>
    </w:p>
    <w:p>
      <w:pPr>
        <w:spacing w:line="300" w:lineRule="auto" w:before="0"/>
        <w:ind w:left="153" w:right="1129" w:firstLine="0"/>
        <w:jc w:val="both"/>
        <w:rPr>
          <w:rFonts w:ascii="宋体" w:hAnsi="宋体" w:cs="宋体" w:eastAsia="宋体" w:hint="default"/>
          <w:sz w:val="18"/>
          <w:szCs w:val="18"/>
        </w:rPr>
      </w:pPr>
      <w:r>
        <w:rPr>
          <w:rFonts w:ascii="宋体" w:hAnsi="宋体" w:cs="宋体" w:eastAsia="宋体" w:hint="default"/>
          <w:sz w:val="18"/>
          <w:szCs w:val="18"/>
        </w:rPr>
        <w:t>张新明，男，</w:t>
      </w:r>
      <w:r>
        <w:rPr>
          <w:rFonts w:ascii="Times New Roman" w:hAnsi="Times New Roman" w:cs="Times New Roman" w:eastAsia="Times New Roman" w:hint="default"/>
          <w:sz w:val="18"/>
          <w:szCs w:val="18"/>
        </w:rPr>
        <w:t>1968</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月出生，中国国籍，无境外永久居留权。大学本科学历，注册会计师。</w:t>
      </w:r>
      <w:r>
        <w:rPr>
          <w:rFonts w:ascii="Times New Roman" w:hAnsi="Times New Roman" w:cs="Times New Roman" w:eastAsia="Times New Roman" w:hint="default"/>
          <w:sz w:val="18"/>
          <w:szCs w:val="18"/>
        </w:rPr>
        <w:t>1990</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月至</w:t>
      </w:r>
      <w:r>
        <w:rPr>
          <w:rFonts w:ascii="Times New Roman" w:hAnsi="Times New Roman" w:cs="Times New Roman" w:eastAsia="Times New Roman" w:hint="default"/>
          <w:sz w:val="18"/>
          <w:szCs w:val="18"/>
        </w:rPr>
        <w:t>1994</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月任职江</w:t>
      </w:r>
      <w:r>
        <w:rPr>
          <w:rFonts w:ascii="宋体" w:hAnsi="宋体" w:cs="宋体" w:eastAsia="宋体" w:hint="default"/>
          <w:spacing w:val="-82"/>
          <w:sz w:val="18"/>
          <w:szCs w:val="18"/>
        </w:rPr>
        <w:t> </w:t>
      </w:r>
      <w:r>
        <w:rPr>
          <w:rFonts w:ascii="宋体" w:hAnsi="宋体" w:cs="宋体" w:eastAsia="宋体" w:hint="default"/>
          <w:spacing w:val="-2"/>
          <w:sz w:val="18"/>
          <w:szCs w:val="18"/>
        </w:rPr>
        <w:t>西南康财政局，</w:t>
      </w:r>
      <w:r>
        <w:rPr>
          <w:rFonts w:ascii="Times New Roman" w:hAnsi="Times New Roman" w:cs="Times New Roman" w:eastAsia="Times New Roman" w:hint="default"/>
          <w:spacing w:val="-2"/>
          <w:sz w:val="18"/>
          <w:szCs w:val="18"/>
        </w:rPr>
        <w:t>1994</w:t>
      </w:r>
      <w:r>
        <w:rPr>
          <w:rFonts w:ascii="宋体" w:hAnsi="宋体" w:cs="宋体" w:eastAsia="宋体" w:hint="default"/>
          <w:spacing w:val="-2"/>
          <w:sz w:val="18"/>
          <w:szCs w:val="18"/>
        </w:rPr>
        <w:t>年至</w:t>
      </w:r>
      <w:r>
        <w:rPr>
          <w:rFonts w:ascii="Times New Roman" w:hAnsi="Times New Roman" w:cs="Times New Roman" w:eastAsia="Times New Roman" w:hint="default"/>
          <w:spacing w:val="-2"/>
          <w:sz w:val="18"/>
          <w:szCs w:val="18"/>
        </w:rPr>
        <w:t>1997</w:t>
      </w:r>
      <w:r>
        <w:rPr>
          <w:rFonts w:ascii="宋体" w:hAnsi="宋体" w:cs="宋体" w:eastAsia="宋体" w:hint="default"/>
          <w:spacing w:val="-2"/>
          <w:sz w:val="18"/>
          <w:szCs w:val="18"/>
        </w:rPr>
        <w:t>年先后任深圳宝安会计师事务所项目经理、部门经理；</w:t>
      </w:r>
      <w:r>
        <w:rPr>
          <w:rFonts w:ascii="Times New Roman" w:hAnsi="Times New Roman" w:cs="Times New Roman" w:eastAsia="Times New Roman" w:hint="default"/>
          <w:spacing w:val="-2"/>
          <w:sz w:val="18"/>
          <w:szCs w:val="18"/>
        </w:rPr>
        <w:t>1998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2004</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月任深圳义达会计</w:t>
      </w:r>
      <w:r>
        <w:rPr>
          <w:rFonts w:ascii="宋体" w:hAnsi="宋体" w:cs="宋体" w:eastAsia="宋体" w:hint="default"/>
          <w:spacing w:val="-48"/>
          <w:sz w:val="18"/>
          <w:szCs w:val="18"/>
        </w:rPr>
        <w:t> </w:t>
      </w:r>
      <w:r>
        <w:rPr>
          <w:rFonts w:ascii="宋体" w:hAnsi="宋体" w:cs="宋体" w:eastAsia="宋体" w:hint="default"/>
          <w:sz w:val="18"/>
          <w:szCs w:val="18"/>
        </w:rPr>
        <w:t>师事务所部门经理；</w:t>
      </w:r>
      <w:r>
        <w:rPr>
          <w:rFonts w:ascii="Times New Roman" w:hAnsi="Times New Roman" w:cs="Times New Roman" w:eastAsia="Times New Roman" w:hint="default"/>
          <w:sz w:val="18"/>
          <w:szCs w:val="18"/>
        </w:rPr>
        <w:t>2004</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月起至</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月任深圳德浩会计师事务所首席合伙人；</w:t>
      </w: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月担任深圳市新</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纶科技股份有限公司独立董事；</w:t>
      </w:r>
      <w:r>
        <w:rPr>
          <w:rFonts w:ascii="Times New Roman" w:hAnsi="Times New Roman" w:cs="Times New Roman" w:eastAsia="Times New Roman" w:hint="default"/>
          <w:spacing w:val="-2"/>
          <w:sz w:val="18"/>
          <w:szCs w:val="18"/>
        </w:rPr>
        <w:t>2013</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月至今担任深圳古瑞瓦特新能源股份有限公司独立董事；</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月至今担任深圳市</w:t>
      </w:r>
      <w:r>
        <w:rPr>
          <w:rFonts w:ascii="宋体" w:hAnsi="宋体" w:cs="宋体" w:eastAsia="宋体" w:hint="default"/>
          <w:spacing w:val="-54"/>
          <w:sz w:val="18"/>
          <w:szCs w:val="18"/>
        </w:rPr>
        <w:t> </w:t>
      </w:r>
      <w:r>
        <w:rPr>
          <w:rFonts w:ascii="宋体" w:hAnsi="宋体" w:cs="宋体" w:eastAsia="宋体" w:hint="default"/>
          <w:sz w:val="18"/>
          <w:szCs w:val="18"/>
        </w:rPr>
        <w:t>华益盛模具股份有限公司独立董事；</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月至今先后担任深圳市深科达智能装备股份有限公司财务负责人（</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宋体" w:hAnsi="宋体" w:cs="宋体" w:eastAsia="宋体" w:hint="default"/>
          <w:spacing w:val="-82"/>
          <w:sz w:val="18"/>
          <w:szCs w:val="18"/>
        </w:rPr>
        <w:t> </w:t>
      </w:r>
      <w:r>
        <w:rPr>
          <w:rFonts w:ascii="Times New Roman" w:hAnsi="Times New Roman" w:cs="Times New Roman" w:eastAsia="Times New Roman" w:hint="default"/>
          <w:sz w:val="18"/>
          <w:szCs w:val="18"/>
        </w:rPr>
        <w:t>22</w:t>
      </w:r>
      <w:r>
        <w:rPr>
          <w:rFonts w:ascii="宋体" w:hAnsi="宋体" w:cs="宋体" w:eastAsia="宋体" w:hint="default"/>
          <w:sz w:val="18"/>
          <w:szCs w:val="18"/>
        </w:rPr>
        <w:t>日已离任）、董事、副总经理及董事会秘书；</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日至今任茂硕电源独立董事。</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2"/>
          <w:szCs w:val="12"/>
        </w:rPr>
      </w:pPr>
    </w:p>
    <w:p>
      <w:pPr>
        <w:spacing w:line="300" w:lineRule="auto"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施伟力，男，</w:t>
      </w:r>
      <w:r>
        <w:rPr>
          <w:rFonts w:ascii="Times New Roman" w:hAnsi="Times New Roman" w:cs="Times New Roman" w:eastAsia="Times New Roman" w:hint="default"/>
          <w:sz w:val="18"/>
          <w:szCs w:val="18"/>
        </w:rPr>
        <w:t>1954</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月出生，中国国籍，无境外永久居留权。毕业于武汉大学公共关系专业，经济师，</w:t>
      </w:r>
      <w:r>
        <w:rPr>
          <w:rFonts w:ascii="Times New Roman" w:hAnsi="Times New Roman" w:cs="Times New Roman" w:eastAsia="Times New Roman" w:hint="default"/>
          <w:sz w:val="18"/>
          <w:szCs w:val="18"/>
        </w:rPr>
        <w:t>1974</w:t>
      </w:r>
      <w:r>
        <w:rPr>
          <w:rFonts w:ascii="宋体" w:hAnsi="宋体" w:cs="宋体" w:eastAsia="宋体" w:hint="default"/>
          <w:sz w:val="18"/>
          <w:szCs w:val="18"/>
        </w:rPr>
        <w:t>年至</w:t>
      </w:r>
      <w:r>
        <w:rPr>
          <w:rFonts w:ascii="Times New Roman" w:hAnsi="Times New Roman" w:cs="Times New Roman" w:eastAsia="Times New Roman" w:hint="default"/>
          <w:sz w:val="18"/>
          <w:szCs w:val="18"/>
        </w:rPr>
        <w:t>1982</w:t>
      </w:r>
      <w:r>
        <w:rPr>
          <w:rFonts w:ascii="宋体" w:hAnsi="宋体" w:cs="宋体" w:eastAsia="宋体" w:hint="default"/>
          <w:sz w:val="18"/>
          <w:szCs w:val="18"/>
        </w:rPr>
        <w:t>年在 </w:t>
      </w:r>
      <w:r>
        <w:rPr>
          <w:rFonts w:ascii="宋体" w:hAnsi="宋体" w:cs="宋体" w:eastAsia="宋体" w:hint="default"/>
          <w:spacing w:val="-2"/>
          <w:sz w:val="18"/>
          <w:szCs w:val="18"/>
        </w:rPr>
        <w:t>泉州无线电五厂任副厂长；</w:t>
      </w:r>
      <w:r>
        <w:rPr>
          <w:rFonts w:ascii="Times New Roman" w:hAnsi="Times New Roman" w:cs="Times New Roman" w:eastAsia="Times New Roman" w:hint="default"/>
          <w:spacing w:val="-2"/>
          <w:sz w:val="18"/>
          <w:szCs w:val="18"/>
        </w:rPr>
        <w:t>1983</w:t>
      </w:r>
      <w:r>
        <w:rPr>
          <w:rFonts w:ascii="宋体" w:hAnsi="宋体" w:cs="宋体" w:eastAsia="宋体" w:hint="default"/>
          <w:spacing w:val="-2"/>
          <w:sz w:val="18"/>
          <w:szCs w:val="18"/>
        </w:rPr>
        <w:t>年至</w:t>
      </w:r>
      <w:r>
        <w:rPr>
          <w:rFonts w:ascii="Times New Roman" w:hAnsi="Times New Roman" w:cs="Times New Roman" w:eastAsia="Times New Roman" w:hint="default"/>
          <w:spacing w:val="-2"/>
          <w:sz w:val="18"/>
          <w:szCs w:val="18"/>
        </w:rPr>
        <w:t>1984</w:t>
      </w:r>
      <w:r>
        <w:rPr>
          <w:rFonts w:ascii="宋体" w:hAnsi="宋体" w:cs="宋体" w:eastAsia="宋体" w:hint="default"/>
          <w:spacing w:val="-2"/>
          <w:sz w:val="18"/>
          <w:szCs w:val="18"/>
        </w:rPr>
        <w:t>年在厦门闽厦教学设备公司任经理；</w:t>
      </w:r>
      <w:r>
        <w:rPr>
          <w:rFonts w:ascii="Times New Roman" w:hAnsi="Times New Roman" w:cs="Times New Roman" w:eastAsia="Times New Roman" w:hint="default"/>
          <w:spacing w:val="-2"/>
          <w:sz w:val="18"/>
          <w:szCs w:val="18"/>
        </w:rPr>
        <w:t>1985</w:t>
      </w:r>
      <w:r>
        <w:rPr>
          <w:rFonts w:ascii="宋体" w:hAnsi="宋体" w:cs="宋体" w:eastAsia="宋体" w:hint="default"/>
          <w:spacing w:val="-2"/>
          <w:sz w:val="18"/>
          <w:szCs w:val="18"/>
        </w:rPr>
        <w:t>年至</w:t>
      </w:r>
      <w:r>
        <w:rPr>
          <w:rFonts w:ascii="Times New Roman" w:hAnsi="Times New Roman" w:cs="Times New Roman" w:eastAsia="Times New Roman" w:hint="default"/>
          <w:spacing w:val="-2"/>
          <w:sz w:val="18"/>
          <w:szCs w:val="18"/>
        </w:rPr>
        <w:t>1992</w:t>
      </w:r>
      <w:r>
        <w:rPr>
          <w:rFonts w:ascii="宋体" w:hAnsi="宋体" w:cs="宋体" w:eastAsia="宋体" w:hint="default"/>
          <w:spacing w:val="-2"/>
          <w:sz w:val="18"/>
          <w:szCs w:val="18"/>
        </w:rPr>
        <w:t>年在中外合资东泉电子有限公司</w:t>
      </w:r>
      <w:r>
        <w:rPr>
          <w:rFonts w:ascii="宋体" w:hAnsi="宋体" w:cs="宋体" w:eastAsia="宋体" w:hint="default"/>
          <w:spacing w:val="-48"/>
          <w:sz w:val="18"/>
          <w:szCs w:val="18"/>
        </w:rPr>
        <w:t> </w:t>
      </w:r>
      <w:r>
        <w:rPr>
          <w:rFonts w:ascii="宋体" w:hAnsi="宋体" w:cs="宋体" w:eastAsia="宋体" w:hint="default"/>
          <w:spacing w:val="-3"/>
          <w:sz w:val="18"/>
          <w:szCs w:val="18"/>
        </w:rPr>
        <w:t>任总经理；</w:t>
      </w:r>
      <w:r>
        <w:rPr>
          <w:rFonts w:ascii="Times New Roman" w:hAnsi="Times New Roman" w:cs="Times New Roman" w:eastAsia="Times New Roman" w:hint="default"/>
          <w:spacing w:val="-3"/>
          <w:sz w:val="18"/>
          <w:szCs w:val="18"/>
        </w:rPr>
        <w:t>1993</w:t>
      </w:r>
      <w:r>
        <w:rPr>
          <w:rFonts w:ascii="宋体" w:hAnsi="宋体" w:cs="宋体" w:eastAsia="宋体" w:hint="default"/>
          <w:spacing w:val="-3"/>
          <w:sz w:val="18"/>
          <w:szCs w:val="18"/>
        </w:rPr>
        <w:t>年至</w:t>
      </w:r>
      <w:r>
        <w:rPr>
          <w:rFonts w:ascii="Times New Roman" w:hAnsi="Times New Roman" w:cs="Times New Roman" w:eastAsia="Times New Roman" w:hint="default"/>
          <w:spacing w:val="-3"/>
          <w:sz w:val="18"/>
          <w:szCs w:val="18"/>
        </w:rPr>
        <w:t>1994</w:t>
      </w:r>
      <w:r>
        <w:rPr>
          <w:rFonts w:ascii="宋体" w:hAnsi="宋体" w:cs="宋体" w:eastAsia="宋体" w:hint="default"/>
          <w:spacing w:val="-3"/>
          <w:sz w:val="18"/>
          <w:szCs w:val="18"/>
        </w:rPr>
        <w:t>年任香港南方国际电子有限公司副总经理；</w:t>
      </w:r>
      <w:r>
        <w:rPr>
          <w:rFonts w:ascii="Times New Roman" w:hAnsi="Times New Roman" w:cs="Times New Roman" w:eastAsia="Times New Roman" w:hint="default"/>
          <w:spacing w:val="-3"/>
          <w:sz w:val="18"/>
          <w:szCs w:val="18"/>
        </w:rPr>
        <w:t>1995</w:t>
      </w:r>
      <w:r>
        <w:rPr>
          <w:rFonts w:ascii="宋体" w:hAnsi="宋体" w:cs="宋体" w:eastAsia="宋体" w:hint="default"/>
          <w:spacing w:val="-3"/>
          <w:sz w:val="18"/>
          <w:szCs w:val="18"/>
        </w:rPr>
        <w:t>年至</w:t>
      </w:r>
      <w:r>
        <w:rPr>
          <w:rFonts w:ascii="Times New Roman" w:hAnsi="Times New Roman" w:cs="Times New Roman" w:eastAsia="Times New Roman" w:hint="default"/>
          <w:spacing w:val="-3"/>
          <w:sz w:val="18"/>
          <w:szCs w:val="18"/>
        </w:rPr>
        <w:t>2001</w:t>
      </w:r>
      <w:r>
        <w:rPr>
          <w:rFonts w:ascii="宋体" w:hAnsi="宋体" w:cs="宋体" w:eastAsia="宋体" w:hint="default"/>
          <w:spacing w:val="-3"/>
          <w:sz w:val="18"/>
          <w:szCs w:val="18"/>
        </w:rPr>
        <w:t>年先后任香港华刚光电零件有限公司经理、</w:t>
      </w:r>
      <w:r>
        <w:rPr>
          <w:rFonts w:ascii="宋体" w:hAnsi="宋体" w:cs="宋体" w:eastAsia="宋体" w:hint="default"/>
          <w:spacing w:val="-73"/>
          <w:sz w:val="18"/>
          <w:szCs w:val="18"/>
        </w:rPr>
        <w:t> </w:t>
      </w:r>
      <w:r>
        <w:rPr>
          <w:rFonts w:ascii="宋体" w:hAnsi="宋体" w:cs="宋体" w:eastAsia="宋体" w:hint="default"/>
          <w:sz w:val="18"/>
          <w:szCs w:val="18"/>
        </w:rPr>
        <w:t>厂长、中国市场部经理；</w:t>
      </w:r>
      <w:r>
        <w:rPr>
          <w:rFonts w:ascii="Times New Roman" w:hAnsi="Times New Roman" w:cs="Times New Roman" w:eastAsia="Times New Roman" w:hint="default"/>
          <w:sz w:val="18"/>
          <w:szCs w:val="18"/>
        </w:rPr>
        <w:t>2002</w:t>
      </w:r>
      <w:r>
        <w:rPr>
          <w:rFonts w:ascii="宋体" w:hAnsi="宋体" w:cs="宋体" w:eastAsia="宋体" w:hint="default"/>
          <w:sz w:val="18"/>
          <w:szCs w:val="18"/>
        </w:rPr>
        <w:t>年至</w:t>
      </w:r>
      <w:r>
        <w:rPr>
          <w:rFonts w:ascii="Times New Roman" w:hAnsi="Times New Roman" w:cs="Times New Roman" w:eastAsia="Times New Roman" w:hint="default"/>
          <w:sz w:val="18"/>
          <w:szCs w:val="18"/>
        </w:rPr>
        <w:t>2005</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月任鑫谷光电股份有限公司副总经理；</w:t>
      </w:r>
      <w:r>
        <w:rPr>
          <w:rFonts w:ascii="Times New Roman" w:hAnsi="Times New Roman" w:cs="Times New Roman" w:eastAsia="Times New Roman" w:hint="default"/>
          <w:sz w:val="18"/>
          <w:szCs w:val="18"/>
        </w:rPr>
        <w:t>2005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月任大连路美芯片科 技有限公司高级顾问、副总经理；</w:t>
      </w: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月任大连九久光电科技有限公司董事总经理；</w:t>
      </w:r>
      <w:r>
        <w:rPr>
          <w:rFonts w:ascii="Times New Roman" w:hAnsi="Times New Roman" w:cs="Times New Roman" w:eastAsia="Times New Roman" w:hint="default"/>
          <w:sz w:val="18"/>
          <w:szCs w:val="18"/>
        </w:rPr>
        <w:t>2005</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8 </w:t>
      </w:r>
      <w:r>
        <w:rPr>
          <w:rFonts w:ascii="宋体" w:hAnsi="宋体" w:cs="宋体" w:eastAsia="宋体" w:hint="default"/>
          <w:sz w:val="18"/>
          <w:szCs w:val="18"/>
        </w:rPr>
        <w:t>月任上海曼斯雷德光电有限公司董事长；</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月至今担任山西光宇半导体照明股份有限公司独立董事；</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月至今 担任聚灿光电科技股份有限公司独立董事；</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月至今担任茂硕电源科技股份有限公司独立董事。</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spacing w:before="0"/>
        <w:ind w:left="153" w:right="0" w:firstLine="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方笑求，男，</w:t>
      </w:r>
      <w:r>
        <w:rPr>
          <w:rFonts w:ascii="Times New Roman" w:hAnsi="Times New Roman" w:cs="Times New Roman" w:eastAsia="Times New Roman" w:hint="default"/>
          <w:spacing w:val="-6"/>
          <w:sz w:val="18"/>
          <w:szCs w:val="18"/>
        </w:rPr>
        <w:t>1979</w:t>
      </w:r>
      <w:r>
        <w:rPr>
          <w:rFonts w:ascii="宋体" w:hAnsi="宋体" w:cs="宋体" w:eastAsia="宋体" w:hint="default"/>
          <w:spacing w:val="-6"/>
          <w:sz w:val="18"/>
          <w:szCs w:val="18"/>
        </w:rPr>
        <w:t>年</w:t>
      </w:r>
      <w:r>
        <w:rPr>
          <w:rFonts w:ascii="Times New Roman" w:hAnsi="Times New Roman" w:cs="Times New Roman" w:eastAsia="Times New Roman" w:hint="default"/>
          <w:spacing w:val="-6"/>
          <w:sz w:val="18"/>
          <w:szCs w:val="18"/>
        </w:rPr>
        <w:t>11</w:t>
      </w:r>
      <w:r>
        <w:rPr>
          <w:rFonts w:ascii="宋体" w:hAnsi="宋体" w:cs="宋体" w:eastAsia="宋体" w:hint="default"/>
          <w:spacing w:val="-6"/>
          <w:sz w:val="18"/>
          <w:szCs w:val="18"/>
        </w:rPr>
        <w:t>月出生，中国国籍，中共党员，湖南省第十届青联委员，岳阳市第七届人大代表。</w:t>
      </w:r>
      <w:r>
        <w:rPr>
          <w:rFonts w:ascii="Times New Roman" w:hAnsi="Times New Roman" w:cs="Times New Roman" w:eastAsia="Times New Roman" w:hint="default"/>
          <w:spacing w:val="-6"/>
          <w:sz w:val="18"/>
          <w:szCs w:val="18"/>
        </w:rPr>
        <w:t>2000  </w:t>
      </w:r>
      <w:r>
        <w:rPr>
          <w:rFonts w:ascii="宋体" w:hAnsi="宋体" w:cs="宋体" w:eastAsia="宋体" w:hint="default"/>
          <w:sz w:val="18"/>
          <w:szCs w:val="18"/>
        </w:rPr>
        <w:t>年 </w:t>
      </w:r>
      <w:r>
        <w:rPr>
          <w:rFonts w:ascii="Times New Roman" w:hAnsi="Times New Roman" w:cs="Times New Roman" w:eastAsia="Times New Roman" w:hint="default"/>
          <w:sz w:val="18"/>
          <w:szCs w:val="18"/>
        </w:rPr>
        <w:t>2  </w:t>
      </w:r>
      <w:r>
        <w:rPr>
          <w:rFonts w:ascii="宋体" w:hAnsi="宋体" w:cs="宋体" w:eastAsia="宋体" w:hint="default"/>
          <w:sz w:val="18"/>
          <w:szCs w:val="18"/>
        </w:rPr>
        <w:t>月至</w:t>
      </w:r>
      <w:r>
        <w:rPr>
          <w:rFonts w:ascii="宋体" w:hAnsi="宋体" w:cs="宋体" w:eastAsia="宋体" w:hint="default"/>
          <w:spacing w:val="-24"/>
          <w:sz w:val="18"/>
          <w:szCs w:val="18"/>
        </w:rPr>
        <w:t> </w:t>
      </w:r>
      <w:r>
        <w:rPr>
          <w:rFonts w:ascii="Times New Roman" w:hAnsi="Times New Roman" w:cs="Times New Roman" w:eastAsia="Times New Roman" w:hint="default"/>
          <w:sz w:val="18"/>
          <w:szCs w:val="18"/>
        </w:rPr>
        <w:t>2003</w:t>
      </w:r>
    </w:p>
    <w:p>
      <w:pPr>
        <w:spacing w:line="302" w:lineRule="auto" w:before="63"/>
        <w:ind w:left="154" w:right="0" w:firstLine="0"/>
        <w:jc w:val="left"/>
        <w:rPr>
          <w:rFonts w:ascii="宋体" w:hAnsi="宋体" w:cs="宋体" w:eastAsia="宋体"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10 </w:t>
      </w:r>
      <w:r>
        <w:rPr>
          <w:rFonts w:ascii="宋体" w:hAnsi="宋体" w:cs="宋体" w:eastAsia="宋体" w:hint="default"/>
          <w:sz w:val="18"/>
          <w:szCs w:val="18"/>
        </w:rPr>
        <w:t>月任深圳市泰科特电路技术有限公司工程部工程师、主管，</w:t>
      </w:r>
      <w:r>
        <w:rPr>
          <w:rFonts w:ascii="Times New Roman" w:hAnsi="Times New Roman" w:cs="Times New Roman" w:eastAsia="Times New Roman" w:hint="default"/>
          <w:sz w:val="18"/>
          <w:szCs w:val="18"/>
        </w:rPr>
        <w:t>2003 </w:t>
      </w:r>
      <w:r>
        <w:rPr>
          <w:rFonts w:ascii="宋体" w:hAnsi="宋体" w:cs="宋体" w:eastAsia="宋体" w:hint="default"/>
          <w:sz w:val="18"/>
          <w:szCs w:val="18"/>
        </w:rPr>
        <w:t>年 </w:t>
      </w:r>
      <w:r>
        <w:rPr>
          <w:rFonts w:ascii="Times New Roman" w:hAnsi="Times New Roman" w:cs="Times New Roman" w:eastAsia="Times New Roman" w:hint="default"/>
          <w:sz w:val="18"/>
          <w:szCs w:val="18"/>
        </w:rPr>
        <w:t>11 </w:t>
      </w:r>
      <w:r>
        <w:rPr>
          <w:rFonts w:ascii="宋体" w:hAnsi="宋体" w:cs="宋体" w:eastAsia="宋体" w:hint="default"/>
          <w:sz w:val="18"/>
          <w:szCs w:val="18"/>
        </w:rPr>
        <w:t>月至 </w:t>
      </w:r>
      <w:r>
        <w:rPr>
          <w:rFonts w:ascii="Times New Roman" w:hAnsi="Times New Roman" w:cs="Times New Roman" w:eastAsia="Times New Roman" w:hint="default"/>
          <w:sz w:val="18"/>
          <w:szCs w:val="18"/>
        </w:rPr>
        <w:t>2006 </w:t>
      </w:r>
      <w:r>
        <w:rPr>
          <w:rFonts w:ascii="宋体" w:hAnsi="宋体" w:cs="宋体" w:eastAsia="宋体" w:hint="default"/>
          <w:sz w:val="18"/>
          <w:szCs w:val="18"/>
        </w:rPr>
        <w:t>年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月任深圳市崇德创业有限公 司工程部主管、经理，</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月起至今任湖南省方正达电子科技有限公司董事、总经理。</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2"/>
          <w:szCs w:val="12"/>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、监事：</w:t>
      </w:r>
    </w:p>
    <w:p>
      <w:pPr>
        <w:spacing w:line="300" w:lineRule="auto" w:before="101"/>
        <w:ind w:left="153" w:right="1132" w:firstLine="0"/>
        <w:jc w:val="both"/>
        <w:rPr>
          <w:rFonts w:ascii="宋体" w:hAnsi="宋体" w:cs="宋体" w:eastAsia="宋体" w:hint="default"/>
          <w:sz w:val="18"/>
          <w:szCs w:val="18"/>
        </w:rPr>
      </w:pPr>
      <w:r>
        <w:rPr>
          <w:rFonts w:ascii="宋体" w:hAnsi="宋体" w:cs="宋体" w:eastAsia="宋体" w:hint="default"/>
          <w:spacing w:val="-2"/>
          <w:sz w:val="18"/>
          <w:szCs w:val="18"/>
        </w:rPr>
        <w:t>肖明，女，中国国籍，</w:t>
      </w:r>
      <w:r>
        <w:rPr>
          <w:rFonts w:ascii="Times New Roman" w:hAnsi="Times New Roman" w:cs="Times New Roman" w:eastAsia="Times New Roman" w:hint="default"/>
          <w:spacing w:val="-2"/>
          <w:sz w:val="18"/>
          <w:szCs w:val="18"/>
        </w:rPr>
        <w:t>1976</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月出生，毕业于天津科技大学，本科学历；</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2002</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月至</w:t>
      </w:r>
      <w:r>
        <w:rPr>
          <w:rFonts w:ascii="Times New Roman" w:hAnsi="Times New Roman" w:cs="Times New Roman" w:eastAsia="Times New Roman" w:hint="default"/>
          <w:spacing w:val="-1"/>
          <w:sz w:val="18"/>
          <w:szCs w:val="18"/>
        </w:rPr>
        <w:t>2008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月，供职于深圳金士吉床上</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用品有限公司任人事行政经理和总助；</w:t>
      </w:r>
      <w:r>
        <w:rPr>
          <w:rFonts w:ascii="Times New Roman" w:hAnsi="Times New Roman" w:cs="Times New Roman" w:eastAsia="Times New Roman" w:hint="default"/>
          <w:spacing w:val="-3"/>
          <w:sz w:val="18"/>
          <w:szCs w:val="18"/>
        </w:rPr>
        <w:t>2008</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月至</w:t>
      </w:r>
      <w:r>
        <w:rPr>
          <w:rFonts w:ascii="Times New Roman" w:hAnsi="Times New Roman" w:cs="Times New Roman" w:eastAsia="Times New Roman" w:hint="default"/>
          <w:spacing w:val="-3"/>
          <w:sz w:val="18"/>
          <w:szCs w:val="18"/>
        </w:rPr>
        <w:t>2013</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月，供职于深圳立升净水科技有限公司任总助；</w:t>
      </w:r>
      <w:r>
        <w:rPr>
          <w:rFonts w:ascii="Times New Roman" w:hAnsi="Times New Roman" w:cs="Times New Roman" w:eastAsia="Times New Roman" w:hint="default"/>
          <w:spacing w:val="-3"/>
          <w:sz w:val="18"/>
          <w:szCs w:val="18"/>
        </w:rPr>
        <w:t>2013</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月至</w:t>
      </w:r>
      <w:r>
        <w:rPr>
          <w:rFonts w:ascii="Times New Roman" w:hAnsi="Times New Roman" w:cs="Times New Roman" w:eastAsia="Times New Roman" w:hint="default"/>
          <w:spacing w:val="-3"/>
          <w:sz w:val="18"/>
          <w:szCs w:val="18"/>
        </w:rPr>
        <w:t>2014</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月，供职于彼德</w:t>
      </w:r>
      <w:r>
        <w:rPr>
          <w:rFonts w:ascii="Times New Roman" w:hAnsi="Times New Roman" w:cs="Times New Roman" w:eastAsia="Times New Roman" w:hint="default"/>
          <w:sz w:val="18"/>
          <w:szCs w:val="18"/>
        </w:rPr>
        <w:t>.</w:t>
      </w:r>
      <w:r>
        <w:rPr>
          <w:rFonts w:ascii="宋体" w:hAnsi="宋体" w:cs="宋体" w:eastAsia="宋体" w:hint="default"/>
          <w:sz w:val="18"/>
          <w:szCs w:val="18"/>
        </w:rPr>
        <w:t>德鲁克学院深圳教学中心任顾问；</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月起，供职于茂硕电源科技股份有限公司任总裁助理。</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spacing w:line="300" w:lineRule="auto" w:before="0"/>
        <w:ind w:left="153" w:right="1123" w:firstLine="0"/>
        <w:jc w:val="left"/>
        <w:rPr>
          <w:rFonts w:ascii="宋体" w:hAnsi="宋体" w:cs="宋体" w:eastAsia="宋体" w:hint="default"/>
          <w:sz w:val="18"/>
          <w:szCs w:val="18"/>
        </w:rPr>
      </w:pPr>
      <w:r>
        <w:rPr>
          <w:rFonts w:ascii="宋体" w:hAnsi="宋体" w:cs="宋体" w:eastAsia="宋体" w:hint="default"/>
          <w:sz w:val="18"/>
          <w:szCs w:val="18"/>
        </w:rPr>
        <w:t>成水英，女，中国国籍，</w:t>
      </w:r>
      <w:r>
        <w:rPr>
          <w:rFonts w:ascii="Times New Roman" w:hAnsi="Times New Roman" w:cs="Times New Roman" w:eastAsia="Times New Roman" w:hint="default"/>
          <w:sz w:val="18"/>
          <w:szCs w:val="18"/>
        </w:rPr>
        <w:t>1979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月出生，毕业于湖南农业大学，本科学历。成水英女士于</w:t>
      </w:r>
      <w:r>
        <w:rPr>
          <w:rFonts w:ascii="Times New Roman" w:hAnsi="Times New Roman" w:cs="Times New Roman" w:eastAsia="Times New Roman" w:hint="default"/>
          <w:sz w:val="18"/>
          <w:szCs w:val="18"/>
        </w:rPr>
        <w:t>2000</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2004</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月于深圳市 荣丰包装制品有限公任物控专员，</w:t>
      </w:r>
      <w:r>
        <w:rPr>
          <w:rFonts w:ascii="Times New Roman" w:hAnsi="Times New Roman" w:cs="Times New Roman" w:eastAsia="Times New Roman" w:hint="default"/>
          <w:sz w:val="18"/>
          <w:szCs w:val="18"/>
        </w:rPr>
        <w:t>2004</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2006</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月于深圳市众成纸品有限公司任总经理助理，</w:t>
      </w:r>
      <w:r>
        <w:rPr>
          <w:rFonts w:ascii="Times New Roman" w:hAnsi="Times New Roman" w:cs="Times New Roman" w:eastAsia="Times New Roman" w:hint="default"/>
          <w:sz w:val="18"/>
          <w:szCs w:val="18"/>
        </w:rPr>
        <w:t>2006</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5 </w:t>
      </w:r>
      <w:r>
        <w:rPr>
          <w:rFonts w:ascii="宋体" w:hAnsi="宋体" w:cs="宋体" w:eastAsia="宋体" w:hint="default"/>
          <w:sz w:val="18"/>
          <w:szCs w:val="18"/>
        </w:rPr>
        <w:t>月于深圳市富雅分色印刷有限公司任高级客户代表，</w:t>
      </w: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月年</w:t>
      </w:r>
      <w:r>
        <w:rPr>
          <w:rFonts w:ascii="Times New Roman" w:hAnsi="Times New Roman" w:cs="Times New Roman" w:eastAsia="Times New Roman" w:hint="default"/>
          <w:sz w:val="18"/>
          <w:szCs w:val="18"/>
        </w:rPr>
        <w:t>2007</w:t>
      </w:r>
      <w:r>
        <w:rPr>
          <w:rFonts w:ascii="宋体" w:hAnsi="宋体" w:cs="宋体" w:eastAsia="宋体" w:hint="default"/>
          <w:sz w:val="18"/>
          <w:szCs w:val="18"/>
        </w:rPr>
        <w:t>年月</w:t>
      </w:r>
      <w:r>
        <w:rPr>
          <w:rFonts w:ascii="Times New Roman" w:hAnsi="Times New Roman" w:cs="Times New Roman" w:eastAsia="Times New Roman" w:hint="default"/>
          <w:sz w:val="18"/>
          <w:szCs w:val="18"/>
        </w:rPr>
        <w:t>7</w:t>
      </w:r>
      <w:r>
        <w:rPr>
          <w:rFonts w:ascii="宋体" w:hAnsi="宋体" w:cs="宋体" w:eastAsia="宋体" w:hint="default"/>
          <w:sz w:val="18"/>
          <w:szCs w:val="18"/>
        </w:rPr>
        <w:t>月于深圳冠宏达有限公司任供方专员，</w:t>
      </w: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8 </w:t>
      </w:r>
      <w:r>
        <w:rPr>
          <w:rFonts w:ascii="宋体" w:hAnsi="宋体" w:cs="宋体" w:eastAsia="宋体" w:hint="default"/>
          <w:sz w:val="18"/>
          <w:szCs w:val="18"/>
        </w:rPr>
        <w:t>月至今先后任茂硕电源董事长秘书、总裁助理、主任助理、监事。</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4"/>
          <w:szCs w:val="14"/>
        </w:rPr>
      </w:pPr>
    </w:p>
    <w:p>
      <w:pPr>
        <w:spacing w:line="302" w:lineRule="auto" w:before="0"/>
        <w:ind w:left="153" w:right="1123" w:firstLine="0"/>
        <w:jc w:val="left"/>
        <w:rPr>
          <w:rFonts w:ascii="宋体" w:hAnsi="宋体" w:cs="宋体" w:eastAsia="宋体" w:hint="default"/>
          <w:sz w:val="18"/>
          <w:szCs w:val="18"/>
        </w:rPr>
      </w:pPr>
      <w:r>
        <w:rPr>
          <w:rFonts w:ascii="宋体" w:hAnsi="宋体" w:cs="宋体" w:eastAsia="宋体" w:hint="default"/>
          <w:sz w:val="18"/>
          <w:szCs w:val="18"/>
        </w:rPr>
        <w:t>洪丹，女，中国国籍，</w:t>
      </w:r>
      <w:r>
        <w:rPr>
          <w:rFonts w:ascii="Times New Roman" w:hAnsi="Times New Roman" w:cs="Times New Roman" w:eastAsia="Times New Roman" w:hint="default"/>
          <w:sz w:val="18"/>
          <w:szCs w:val="18"/>
        </w:rPr>
        <w:t>1991</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月出生，毕业于上饶师范学院，大学本科学历，学士学位。</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月至今任职于茂硕电源 科技股份有限公司人力资源中心，</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月担任公司监事。</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2"/>
          <w:szCs w:val="12"/>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、高级管理人员：</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line="300" w:lineRule="auto" w:before="44"/>
        <w:ind w:left="153" w:right="0" w:firstLine="0"/>
        <w:jc w:val="left"/>
        <w:rPr>
          <w:rFonts w:ascii="宋体" w:hAnsi="宋体" w:cs="宋体" w:eastAsia="宋体" w:hint="default"/>
          <w:sz w:val="18"/>
          <w:szCs w:val="18"/>
        </w:rPr>
      </w:pPr>
      <w:r>
        <w:rPr>
          <w:rFonts w:ascii="宋体" w:hAnsi="宋体" w:cs="宋体" w:eastAsia="宋体" w:hint="default"/>
          <w:spacing w:val="-5"/>
          <w:sz w:val="18"/>
          <w:szCs w:val="18"/>
        </w:rPr>
        <w:t>潘晓平，男，</w:t>
      </w:r>
      <w:r>
        <w:rPr>
          <w:rFonts w:ascii="Times New Roman" w:hAnsi="Times New Roman" w:cs="Times New Roman" w:eastAsia="Times New Roman" w:hint="default"/>
          <w:spacing w:val="-5"/>
          <w:sz w:val="18"/>
          <w:szCs w:val="18"/>
        </w:rPr>
        <w:t>1966</w:t>
      </w: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月出生，中国国籍，毕业于中国纺织大学机械工程系供热与通风专业，工学学士学位。</w:t>
      </w:r>
      <w:r>
        <w:rPr>
          <w:rFonts w:ascii="Times New Roman" w:hAnsi="Times New Roman" w:cs="Times New Roman" w:eastAsia="Times New Roman" w:hint="default"/>
          <w:spacing w:val="-5"/>
          <w:sz w:val="18"/>
          <w:szCs w:val="18"/>
        </w:rPr>
        <w:t>1988</w:t>
      </w: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7</w:t>
      </w:r>
      <w:r>
        <w:rPr>
          <w:rFonts w:ascii="宋体" w:hAnsi="宋体" w:cs="宋体" w:eastAsia="宋体" w:hint="default"/>
          <w:spacing w:val="-5"/>
          <w:sz w:val="18"/>
          <w:szCs w:val="18"/>
        </w:rPr>
        <w:t>月至</w:t>
      </w:r>
      <w:r>
        <w:rPr>
          <w:rFonts w:ascii="Times New Roman" w:hAnsi="Times New Roman" w:cs="Times New Roman" w:eastAsia="Times New Roman" w:hint="default"/>
          <w:spacing w:val="-5"/>
          <w:sz w:val="18"/>
          <w:szCs w:val="18"/>
        </w:rPr>
        <w:t>1992</w:t>
      </w:r>
      <w:r>
        <w:rPr>
          <w:rFonts w:ascii="Times New Roman" w:hAnsi="Times New Roman" w:cs="Times New Roman" w:eastAsia="Times New Roman" w:hint="default"/>
          <w:spacing w:val="1"/>
          <w:sz w:val="18"/>
          <w:szCs w:val="18"/>
        </w:rPr>
        <w:t> </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月担任苏州太仓针织总厂动力分厂技术员、副厂长；</w:t>
      </w:r>
      <w:r>
        <w:rPr>
          <w:rFonts w:ascii="Times New Roman" w:hAnsi="Times New Roman" w:cs="Times New Roman" w:eastAsia="Times New Roman" w:hint="default"/>
          <w:spacing w:val="-2"/>
          <w:sz w:val="18"/>
          <w:szCs w:val="18"/>
        </w:rPr>
        <w:t>1992</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1995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月担任安莉芳集团有限公司经理；</w:t>
      </w:r>
      <w:r>
        <w:rPr>
          <w:rFonts w:ascii="Times New Roman" w:hAnsi="Times New Roman" w:cs="Times New Roman" w:eastAsia="Times New Roman" w:hint="default"/>
          <w:spacing w:val="-2"/>
          <w:sz w:val="18"/>
          <w:szCs w:val="18"/>
        </w:rPr>
        <w:t>1995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月至</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1999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月担任深圳经济特区免税商品企业公司经理；</w:t>
      </w:r>
      <w:r>
        <w:rPr>
          <w:rFonts w:ascii="Times New Roman" w:hAnsi="Times New Roman" w:cs="Times New Roman" w:eastAsia="Times New Roman" w:hint="default"/>
          <w:spacing w:val="-3"/>
          <w:sz w:val="18"/>
          <w:szCs w:val="18"/>
        </w:rPr>
        <w:t>1999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月至</w:t>
      </w:r>
      <w:r>
        <w:rPr>
          <w:rFonts w:ascii="Times New Roman" w:hAnsi="Times New Roman" w:cs="Times New Roman" w:eastAsia="Times New Roman" w:hint="default"/>
          <w:spacing w:val="-3"/>
          <w:sz w:val="18"/>
          <w:szCs w:val="18"/>
        </w:rPr>
        <w:t>2002</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8</w:t>
      </w:r>
      <w:r>
        <w:rPr>
          <w:rFonts w:ascii="宋体" w:hAnsi="宋体" w:cs="宋体" w:eastAsia="宋体" w:hint="default"/>
          <w:spacing w:val="-3"/>
          <w:sz w:val="18"/>
          <w:szCs w:val="18"/>
        </w:rPr>
        <w:t>月担任安兴纸业（深圳）有限公司副总经理；</w:t>
      </w:r>
      <w:r>
        <w:rPr>
          <w:rFonts w:ascii="Times New Roman" w:hAnsi="Times New Roman" w:cs="Times New Roman" w:eastAsia="Times New Roman" w:hint="default"/>
          <w:spacing w:val="-3"/>
          <w:sz w:val="18"/>
          <w:szCs w:val="18"/>
        </w:rPr>
        <w:t>2002</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2005</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月担任三和国际有限公司副总经理；</w:t>
      </w:r>
      <w:r>
        <w:rPr>
          <w:rFonts w:ascii="Times New Roman" w:hAnsi="Times New Roman" w:cs="Times New Roman" w:eastAsia="Times New Roman" w:hint="default"/>
          <w:sz w:val="18"/>
          <w:szCs w:val="18"/>
        </w:rPr>
        <w:t>2005</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月担任崧顺电子（深圳）有限公司总经理；</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月担任豪鹏国际股份有限公司副总经理；</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月至今先后担任茂硕电源科技股份有限公司</w:t>
      </w:r>
      <w:r>
        <w:rPr>
          <w:rFonts w:ascii="Times New Roman" w:hAnsi="Times New Roman" w:cs="Times New Roman" w:eastAsia="Times New Roman" w:hint="default"/>
          <w:sz w:val="18"/>
          <w:szCs w:val="18"/>
        </w:rPr>
        <w:t>SPS</w:t>
      </w:r>
      <w:r>
        <w:rPr>
          <w:rFonts w:ascii="宋体" w:hAnsi="宋体" w:cs="宋体" w:eastAsia="宋体" w:hint="default"/>
          <w:sz w:val="18"/>
          <w:szCs w:val="18"/>
        </w:rPr>
        <w:t>事业群 总经理、副总经理。</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4"/>
          <w:szCs w:val="14"/>
        </w:rPr>
      </w:pPr>
    </w:p>
    <w:p>
      <w:pPr>
        <w:spacing w:line="309" w:lineRule="auto" w:before="0"/>
        <w:ind w:left="153" w:right="1131" w:firstLine="0"/>
        <w:jc w:val="both"/>
        <w:rPr>
          <w:rFonts w:ascii="宋体" w:hAnsi="宋体" w:cs="宋体" w:eastAsia="宋体" w:hint="default"/>
          <w:sz w:val="18"/>
          <w:szCs w:val="18"/>
        </w:rPr>
      </w:pPr>
      <w:r>
        <w:rPr>
          <w:rFonts w:ascii="宋体" w:hAnsi="宋体" w:cs="宋体" w:eastAsia="宋体" w:hint="default"/>
          <w:sz w:val="18"/>
          <w:szCs w:val="18"/>
        </w:rPr>
        <w:t>罗宏健，男，</w:t>
      </w:r>
      <w:r>
        <w:rPr>
          <w:rFonts w:ascii="Times New Roman" w:hAnsi="Times New Roman" w:cs="Times New Roman" w:eastAsia="Times New Roman" w:hint="default"/>
          <w:sz w:val="18"/>
          <w:szCs w:val="18"/>
        </w:rPr>
        <w:t>1976</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月出生，中国国籍，毕业于湖南大学会计专业，本科学历，会计专业中级职称。曾任湖南省茶叶总公 </w:t>
      </w:r>
      <w:r>
        <w:rPr>
          <w:rFonts w:ascii="宋体" w:hAnsi="宋体" w:cs="宋体" w:eastAsia="宋体" w:hint="default"/>
          <w:spacing w:val="-2"/>
          <w:sz w:val="18"/>
          <w:szCs w:val="18"/>
        </w:rPr>
        <w:t>司临湘茶厂会计、财计科科长，深圳市联建光电股份有限公司会计、财务部主管，深圳市新宇龙信息科技有限公司财务部经</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理，新达通科技股份有限公司财务总监，</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月加入茂硕电源科技股份有限公司，现任公司财务总监。</w:t>
      </w:r>
    </w:p>
    <w:p>
      <w:pPr>
        <w:spacing w:line="240" w:lineRule="auto" w:before="0"/>
        <w:rPr>
          <w:rFonts w:ascii="宋体" w:hAnsi="宋体" w:cs="宋体" w:eastAsia="宋体" w:hint="default"/>
          <w:sz w:val="18"/>
          <w:szCs w:val="18"/>
        </w:rPr>
      </w:pPr>
    </w:p>
    <w:p>
      <w:pPr>
        <w:spacing w:line="300" w:lineRule="auto" w:before="159"/>
        <w:ind w:left="153" w:right="1123" w:firstLine="0"/>
        <w:jc w:val="left"/>
        <w:rPr>
          <w:rFonts w:ascii="宋体" w:hAnsi="宋体" w:cs="宋体" w:eastAsia="宋体" w:hint="default"/>
          <w:sz w:val="18"/>
          <w:szCs w:val="18"/>
        </w:rPr>
      </w:pPr>
      <w:r>
        <w:rPr>
          <w:rFonts w:ascii="宋体" w:hAnsi="宋体" w:cs="宋体" w:eastAsia="宋体" w:hint="default"/>
          <w:sz w:val="18"/>
          <w:szCs w:val="18"/>
        </w:rPr>
        <w:t>方吉槟，男，</w:t>
      </w:r>
      <w:r>
        <w:rPr>
          <w:rFonts w:ascii="Times New Roman" w:hAnsi="Times New Roman" w:cs="Times New Roman" w:eastAsia="Times New Roman" w:hint="default"/>
          <w:sz w:val="18"/>
          <w:szCs w:val="18"/>
        </w:rPr>
        <w:t>1983</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月出生，中国国籍，无境外永久居留权，中山大学工商管理硕士；曾任职于金元证券股份有限公司、 证券时报，具有证券、期货从业资格，</w:t>
      </w:r>
      <w:r>
        <w:rPr>
          <w:rFonts w:ascii="Times New Roman" w:hAnsi="Times New Roman" w:cs="Times New Roman" w:eastAsia="Times New Roman" w:hint="default"/>
          <w:sz w:val="18"/>
          <w:szCs w:val="18"/>
        </w:rPr>
        <w:t>2012</w:t>
      </w:r>
      <w:r>
        <w:rPr>
          <w:rFonts w:ascii="宋体" w:hAnsi="宋体" w:cs="宋体" w:eastAsia="宋体" w:hint="default"/>
          <w:sz w:val="18"/>
          <w:szCs w:val="18"/>
        </w:rPr>
        <w:t>年加入茂硕电源科技股份有限公司，现任公司董事、副总经理、董事会秘书。</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7"/>
        <w:ind w:left="153" w:right="0" w:firstLine="0"/>
        <w:jc w:val="left"/>
        <w:rPr>
          <w:rFonts w:ascii="宋体" w:hAnsi="宋体" w:cs="宋体" w:eastAsia="宋体" w:hint="default"/>
          <w:sz w:val="18"/>
          <w:szCs w:val="18"/>
        </w:rPr>
      </w:pPr>
      <w:r>
        <w:rPr/>
        <w:pict>
          <v:group style="position:absolute;margin-left:333.160004pt;margin-top:59.021713pt;width:60.15pt;height:7.8pt;mso-position-horizontal-relative:page;mso-position-vertical-relative:paragraph;z-index:-1125088" coordorigin="6663,1180" coordsize="1203,156">
            <v:shape style="position:absolute;left:6663;top:1180;width:1203;height:156" coordorigin="6663,1180" coordsize="1203,156" path="m6663,1336l7866,1336,7866,1180,6663,1180,6663,1336xe" filled="true" fillcolor="#ffffff" stroked="false">
              <v:path arrowok="t"/>
              <v:fill type="solid"/>
            </v:shape>
            <w10:wrap type="none"/>
          </v:group>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17"/>
        <w:gridCol w:w="3231"/>
        <w:gridCol w:w="1076"/>
        <w:gridCol w:w="1212"/>
        <w:gridCol w:w="1348"/>
        <w:gridCol w:w="1484"/>
      </w:tblGrid>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71"/>
              <w:jc w:val="right"/>
              <w:rPr>
                <w:rFonts w:ascii="宋体" w:hAnsi="宋体" w:cs="宋体" w:eastAsia="宋体" w:hint="default"/>
                <w:sz w:val="18"/>
                <w:szCs w:val="18"/>
              </w:rPr>
            </w:pPr>
            <w:r>
              <w:rPr>
                <w:rFonts w:ascii="宋体" w:hAnsi="宋体" w:cs="宋体" w:eastAsia="宋体" w:hint="default"/>
                <w:sz w:val="18"/>
                <w:szCs w:val="18"/>
              </w:rPr>
              <w:t>股东单位名称</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2" w:right="83"/>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96" w:right="107"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1026"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36"/>
              <w:jc w:val="right"/>
              <w:rPr>
                <w:rFonts w:ascii="宋体" w:hAnsi="宋体" w:cs="宋体" w:eastAsia="宋体" w:hint="default"/>
                <w:sz w:val="18"/>
                <w:szCs w:val="18"/>
              </w:rPr>
            </w:pPr>
            <w:r>
              <w:rPr>
                <w:rFonts w:ascii="宋体" w:hAnsi="宋体" w:cs="宋体" w:eastAsia="宋体" w:hint="default"/>
                <w:sz w:val="18"/>
                <w:szCs w:val="18"/>
              </w:rPr>
              <w:t>深圳德旺投资发展有限公司</w:t>
            </w:r>
          </w:p>
        </w:tc>
        <w:tc>
          <w:tcPr>
            <w:tcW w:w="1076"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法定代表人、 </w:t>
            </w:r>
            <w:r>
              <w:rPr>
                <w:rFonts w:ascii="宋体" w:hAnsi="宋体" w:cs="宋体" w:eastAsia="宋体" w:hint="default"/>
                <w:spacing w:val="-10"/>
                <w:sz w:val="18"/>
                <w:szCs w:val="18"/>
              </w:rPr>
              <w:t>总经理、执行</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pacing w:val="-10"/>
                <w:sz w:val="18"/>
                <w:szCs w:val="18"/>
              </w:rPr>
              <w:t>（常务）董事</w:t>
            </w:r>
          </w:p>
        </w:tc>
        <w:tc>
          <w:tcPr>
            <w:tcW w:w="1212"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2"/>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5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顾永德先生为茂硕电源科技股份有限公司董事长、实际控制人</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深圳茂硕电子科技有限公司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惠州茂硕能源科技有限公司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0"/>
              <w:jc w:val="left"/>
              <w:rPr>
                <w:rFonts w:ascii="宋体" w:hAnsi="宋体" w:cs="宋体" w:eastAsia="宋体" w:hint="default"/>
                <w:sz w:val="18"/>
                <w:szCs w:val="18"/>
              </w:rPr>
            </w:pPr>
            <w:r>
              <w:rPr>
                <w:rFonts w:ascii="宋体" w:hAnsi="宋体" w:cs="宋体" w:eastAsia="宋体" w:hint="default"/>
                <w:spacing w:val="-8"/>
                <w:sz w:val="18"/>
                <w:szCs w:val="18"/>
              </w:rPr>
              <w:t>法人代表、董</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深圳茂硕新能源技术研究院有限公司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深圳茂硕新能源科技有限公司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茂硕能源科技（香港）国际有限公司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20"/>
              <w:jc w:val="left"/>
              <w:rPr>
                <w:rFonts w:ascii="宋体" w:hAnsi="宋体" w:cs="宋体" w:eastAsia="宋体" w:hint="default"/>
                <w:sz w:val="18"/>
                <w:szCs w:val="18"/>
              </w:rPr>
            </w:pPr>
            <w:r>
              <w:rPr>
                <w:rFonts w:ascii="宋体" w:hAnsi="宋体" w:cs="宋体" w:eastAsia="宋体" w:hint="default"/>
                <w:spacing w:val="-8"/>
                <w:sz w:val="18"/>
                <w:szCs w:val="18"/>
              </w:rPr>
              <w:t>法人代表、执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深圳华智测控技术有限公司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河南弘康茂硕电气有限公司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深圳茂硕电气有限公司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GLAMORSKY</w:t>
            </w:r>
            <w:r>
              <w:rPr>
                <w:rFonts w:ascii="宋体" w:hAnsi="宋体" w:cs="宋体" w:eastAsia="宋体" w:hint="default"/>
                <w:sz w:val="18"/>
                <w:szCs w:val="18"/>
              </w:rPr>
              <w:t>，</w:t>
            </w:r>
            <w:r>
              <w:rPr>
                <w:rFonts w:ascii="Times New Roman" w:hAnsi="Times New Roman" w:cs="Times New Roman" w:eastAsia="Times New Roman" w:hint="default"/>
                <w:sz w:val="18"/>
                <w:szCs w:val="18"/>
              </w:rPr>
              <w:t>INC</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深圳华智包装制品有限公司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海宁茂硕诺华能源有限公司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深圳市聚电网络科技有限公司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湖南省方正达电子科技有限公司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瑞盈茂硕融资租赁（深圳）有限公司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方吉槟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深圳茂硕投资发展有限公司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方吉槟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湖南省方正达电子科技有限公司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罗宏健</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惠州茂硕能源科技有限公司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罗宏健</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深圳茂硕新能源科技有限公司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罗宏健</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瑞盈茂硕融资租赁（深圳）有限公司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张新明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深圳古瑞瓦特新能源股份有限公司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张新明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深圳市深科达智能装备股份有限公司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both"/>
              <w:rPr>
                <w:rFonts w:ascii="宋体" w:hAnsi="宋体" w:cs="宋体" w:eastAsia="宋体" w:hint="default"/>
                <w:sz w:val="18"/>
                <w:szCs w:val="18"/>
              </w:rPr>
            </w:pPr>
            <w:r>
              <w:rPr>
                <w:rFonts w:ascii="宋体" w:hAnsi="宋体" w:cs="宋体" w:eastAsia="宋体" w:hint="default"/>
                <w:spacing w:val="-8"/>
                <w:sz w:val="18"/>
                <w:szCs w:val="18"/>
              </w:rPr>
              <w:t>董事、副总经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8"/>
                <w:sz w:val="18"/>
                <w:szCs w:val="18"/>
              </w:rPr>
              <w:t>理、董事会秘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书</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张新明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深圳市华益盛模具股份有限公司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施伟力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山西光宇半导体照明股份有限公司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施伟力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聚灿光电科技股份有限公司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潘晓平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惠州茂硕能源科技有限公司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潘晓平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深圳茂硕新能源技术研究院有限公司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8"/>
                <w:sz w:val="18"/>
                <w:szCs w:val="18"/>
              </w:rPr>
              <w:t>法人代表、总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8"/>
                <w:sz w:val="18"/>
                <w:szCs w:val="18"/>
              </w:rPr>
              <w:t>经理、董事长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成水英</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深圳茂硕钜泽科技有限公司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方笑求</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湖南省方正达电子科技有限公司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8"/>
                <w:sz w:val="18"/>
                <w:szCs w:val="18"/>
              </w:rPr>
              <w:t>法人代表、董</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事、总经理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方笑求</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深圳市正明达电子有限公司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肖明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湖南省方正达电子科技有限公司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董事、监事、高级管理人员报酬情况" w:id="123"/>
      <w:bookmarkEnd w:id="123"/>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、董事、监事、高级管理人员报酬的决策程序</w:t>
      </w:r>
    </w:p>
    <w:p>
      <w:pPr>
        <w:spacing w:line="300" w:lineRule="auto" w:before="10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22</w:t>
      </w:r>
      <w:r>
        <w:rPr>
          <w:rFonts w:ascii="宋体" w:hAnsi="宋体" w:cs="宋体" w:eastAsia="宋体" w:hint="default"/>
          <w:spacing w:val="-2"/>
          <w:sz w:val="18"/>
          <w:szCs w:val="18"/>
        </w:rPr>
        <w:t>日，公司第三届董事会</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年第</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次定期会议审议通过关于公司</w:t>
      </w:r>
      <w:r>
        <w:rPr>
          <w:rFonts w:ascii="Times New Roman" w:hAnsi="Times New Roman" w:cs="Times New Roman" w:eastAsia="Times New Roman" w:hint="default"/>
          <w:spacing w:val="-2"/>
          <w:sz w:val="18"/>
          <w:szCs w:val="18"/>
        </w:rPr>
        <w:t>&lt;2016</w:t>
      </w:r>
      <w:r>
        <w:rPr>
          <w:rFonts w:ascii="宋体" w:hAnsi="宋体" w:cs="宋体" w:eastAsia="宋体" w:hint="default"/>
          <w:spacing w:val="-2"/>
          <w:sz w:val="18"/>
          <w:szCs w:val="18"/>
        </w:rPr>
        <w:t>年度董事、监事、高级管理人员薪酬方案</w:t>
      </w:r>
      <w:r>
        <w:rPr>
          <w:rFonts w:ascii="Times New Roman" w:hAnsi="Times New Roman" w:cs="Times New Roman" w:eastAsia="Times New Roman" w:hint="default"/>
          <w:spacing w:val="-2"/>
          <w:sz w:val="18"/>
          <w:szCs w:val="18"/>
        </w:rPr>
        <w:t>&gt;</w:t>
      </w:r>
      <w:r>
        <w:rPr>
          <w:rFonts w:ascii="Times New Roman" w:hAnsi="Times New Roman" w:cs="Times New Roman" w:eastAsia="Times New Roman" w:hint="default"/>
          <w:spacing w:val="-25"/>
          <w:sz w:val="18"/>
          <w:szCs w:val="18"/>
        </w:rPr>
        <w:t> </w:t>
      </w:r>
      <w:r>
        <w:rPr>
          <w:rFonts w:ascii="宋体" w:hAnsi="宋体" w:cs="宋体" w:eastAsia="宋体" w:hint="default"/>
          <w:spacing w:val="-2"/>
          <w:sz w:val="18"/>
          <w:szCs w:val="18"/>
        </w:rPr>
        <w:t>的议案》，后经股东大会审议通过后生效；</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月，由公司董事会薪酬与考核委员会审核确定</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年度公司董事、监事、</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高级管理人员合计薪酬总额为人民币</w:t>
      </w:r>
      <w:r>
        <w:rPr>
          <w:rFonts w:ascii="宋体" w:hAnsi="宋体" w:cs="宋体" w:eastAsia="宋体" w:hint="default"/>
          <w:spacing w:val="-19"/>
          <w:sz w:val="18"/>
          <w:szCs w:val="18"/>
        </w:rPr>
        <w:t> </w:t>
      </w:r>
      <w:r>
        <w:rPr>
          <w:rFonts w:ascii="Times New Roman" w:hAnsi="Times New Roman" w:cs="Times New Roman" w:eastAsia="Times New Roman" w:hint="default"/>
          <w:sz w:val="18"/>
          <w:szCs w:val="18"/>
        </w:rPr>
        <w:t>268.3</w:t>
      </w:r>
      <w:r>
        <w:rPr>
          <w:rFonts w:ascii="宋体" w:hAnsi="宋体" w:cs="宋体" w:eastAsia="宋体" w:hint="default"/>
          <w:sz w:val="18"/>
          <w:szCs w:val="18"/>
        </w:rPr>
        <w:t>万元。</w:t>
      </w:r>
    </w:p>
    <w:p>
      <w:pPr>
        <w:spacing w:line="328" w:lineRule="auto" w:before="53"/>
        <w:ind w:left="154" w:right="11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、董事、监事、高级管理人员报酬确定依据 </w:t>
      </w:r>
      <w:r>
        <w:rPr>
          <w:rFonts w:ascii="宋体" w:hAnsi="宋体" w:cs="宋体" w:eastAsia="宋体" w:hint="default"/>
          <w:spacing w:val="-2"/>
          <w:sz w:val="18"/>
          <w:szCs w:val="18"/>
        </w:rPr>
        <w:t>根据《公司章程》、《董事、监事、高级管理人员薪酬制度》等公司相关制度，结合公司经营规模等实际情况并参照行业薪</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酬水平确定。</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张新明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施伟力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方吉槟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pacing w:val="-6"/>
                <w:sz w:val="18"/>
                <w:szCs w:val="18"/>
              </w:rPr>
              <w:t>董事、副总经理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董事会秘书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男</w:t>
            </w:r>
          </w:p>
          <w:p>
            <w:pPr>
              <w:pStyle w:val="TableParagraph"/>
              <w:spacing w:line="559" w:lineRule="exact"/>
              <w:ind w:right="-38"/>
              <w:jc w:val="left"/>
              <w:rPr>
                <w:rFonts w:ascii="宋体" w:hAnsi="宋体" w:cs="宋体" w:eastAsia="宋体" w:hint="default"/>
                <w:sz w:val="20"/>
                <w:szCs w:val="20"/>
              </w:rPr>
            </w:pPr>
            <w:r>
              <w:rPr>
                <w:rFonts w:ascii="宋体" w:hAnsi="宋体" w:cs="宋体" w:eastAsia="宋体" w:hint="default"/>
                <w:position w:val="-10"/>
                <w:sz w:val="20"/>
                <w:szCs w:val="20"/>
              </w:rPr>
              <w:pict>
                <v:group style="width:67.9pt;height:28pt;mso-position-horizontal-relative:char;mso-position-vertical-relative:line" coordorigin="0,0" coordsize="1358,560">
                  <v:group style="position:absolute;left:0;top:0;width:1358;height:156" coordorigin="0,0" coordsize="1358,156">
                    <v:shape style="position:absolute;left:0;top:0;width:1358;height:156" coordorigin="0,0" coordsize="1358,156" path="m0,156l1358,156,1358,0,0,0,0,156xe" filled="true" fillcolor="#ffffff" stroked="false">
                      <v:path arrowok="t"/>
                      <v:fill type="solid"/>
                    </v:shape>
                  </v:group>
                  <v:group style="position:absolute;left:11;top:156;width:2;height:393" coordorigin="11,156" coordsize="2,393">
                    <v:shape style="position:absolute;left:11;top:156;width:2;height:393" coordorigin="11,156" coordsize="0,393" path="m11,156l11,548e" filled="false" stroked="true" strokeweight="1.140pt" strokecolor="#ffffff">
                      <v:path arrowok="t"/>
                    </v:shape>
                  </v:group>
                  <v:group style="position:absolute;left:23;top:156;width:1312;height:393" coordorigin="23,156" coordsize="1312,393">
                    <v:shape style="position:absolute;left:23;top:156;width:1312;height:393" coordorigin="23,156" coordsize="1312,393" path="m23,548l1335,548,1335,156,23,156,23,548xe" filled="true" fillcolor="#ffffff" stroked="false">
                      <v:path arrowok="t"/>
                      <v:fill type="solid"/>
                    </v:shape>
                  </v:group>
                </v:group>
              </w:pict>
            </w:r>
            <w:r>
              <w:rPr>
                <w:rFonts w:ascii="宋体" w:hAnsi="宋体" w:cs="宋体" w:eastAsia="宋体" w:hint="default"/>
                <w:position w:val="-10"/>
                <w:sz w:val="20"/>
                <w:szCs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方笑求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李晓波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成水英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洪丹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谢颖彬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潘晓平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罗宏健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刘耀平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王细亮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315.43</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公司董事、监事、高级管理人员报告期内被授予的股权激励情况</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公司员工情况" w:id="124"/>
      <w:bookmarkEnd w:id="124"/>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员工数量、专业构成及教育程度" w:id="125"/>
      <w:bookmarkEnd w:id="125"/>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77"/>
        <w:gridCol w:w="4792"/>
      </w:tblGrid>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306</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2,849</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3,155</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3,157</w:t>
            </w:r>
          </w:p>
        </w:tc>
      </w:tr>
      <w:tr>
        <w:trPr>
          <w:trHeight w:val="407"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2,386</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209</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其它人员</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261</w:t>
            </w:r>
          </w:p>
        </w:tc>
      </w:tr>
      <w:tr>
        <w:trPr>
          <w:trHeight w:val="407"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3,155</w:t>
            </w:r>
          </w:p>
        </w:tc>
      </w:tr>
      <w:tr>
        <w:trPr>
          <w:trHeight w:val="39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 w:right="0"/>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7"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博士研究生</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硕士研究生</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214</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高中及以下</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2,775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3,155</w:t>
            </w:r>
          </w:p>
        </w:tc>
      </w:tr>
    </w:tbl>
    <w:p>
      <w:pPr>
        <w:spacing w:line="240" w:lineRule="auto" w:before="2"/>
        <w:rPr>
          <w:rFonts w:ascii="宋体" w:hAnsi="宋体" w:cs="宋体" w:eastAsia="宋体" w:hint="default"/>
          <w:b/>
          <w:bCs/>
          <w:sz w:val="19"/>
          <w:szCs w:val="19"/>
        </w:rPr>
      </w:pPr>
    </w:p>
    <w:p>
      <w:pPr>
        <w:pStyle w:val="Heading4"/>
        <w:spacing w:line="240" w:lineRule="auto" w:before="35"/>
        <w:ind w:left="154" w:right="0"/>
        <w:jc w:val="left"/>
        <w:rPr>
          <w:b w:val="0"/>
          <w:bCs w:val="0"/>
        </w:rPr>
      </w:pPr>
      <w:bookmarkStart w:name="2、薪酬政策" w:id="126"/>
      <w:bookmarkEnd w:id="126"/>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spacing w:line="309" w:lineRule="auto" w:before="0"/>
        <w:ind w:left="154" w:right="1032" w:firstLine="360"/>
        <w:jc w:val="left"/>
        <w:rPr>
          <w:rFonts w:ascii="宋体" w:hAnsi="宋体" w:cs="宋体" w:eastAsia="宋体" w:hint="default"/>
          <w:sz w:val="18"/>
          <w:szCs w:val="18"/>
        </w:rPr>
      </w:pPr>
      <w:r>
        <w:rPr>
          <w:rFonts w:ascii="宋体" w:hAnsi="宋体" w:cs="宋体" w:eastAsia="宋体" w:hint="default"/>
          <w:spacing w:val="-2"/>
          <w:sz w:val="18"/>
          <w:szCs w:val="18"/>
        </w:rPr>
        <w:t>公司在本年度对薪酬体制上重点向销售部门倾斜，</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年，公司在整个人员安排上做了很大幅度的调整，结合企业内部</w:t>
      </w:r>
      <w:r>
        <w:rPr>
          <w:rFonts w:ascii="宋体" w:hAnsi="宋体" w:cs="宋体" w:eastAsia="宋体" w:hint="default"/>
          <w:sz w:val="18"/>
          <w:szCs w:val="18"/>
        </w:rPr>
        <w:t> 管理需要，及公司实际生产、订单、利润情况、企业自身薪酬水平、政府薪酬标准，对基层员工的薪资设立进行相应对策、 调整方案，基层员工基本底薪直接增加</w:t>
      </w:r>
      <w:r>
        <w:rPr>
          <w:rFonts w:ascii="Times New Roman" w:hAnsi="Times New Roman" w:cs="Times New Roman" w:eastAsia="Times New Roman" w:hint="default"/>
          <w:sz w:val="18"/>
          <w:szCs w:val="18"/>
        </w:rPr>
        <w:t>12.28%</w:t>
      </w:r>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21"/>
        <w:ind w:left="154" w:right="0"/>
        <w:jc w:val="left"/>
        <w:rPr>
          <w:b w:val="0"/>
          <w:bCs w:val="0"/>
        </w:rPr>
      </w:pPr>
      <w:bookmarkStart w:name="3、培训计划" w:id="127"/>
      <w:bookmarkEnd w:id="127"/>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spacing w:line="302" w:lineRule="auto" w:before="0"/>
        <w:ind w:left="154" w:right="1024" w:firstLine="176"/>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2015</w:t>
      </w:r>
      <w:r>
        <w:rPr>
          <w:rFonts w:ascii="宋体" w:hAnsi="宋体" w:cs="宋体" w:eastAsia="宋体" w:hint="default"/>
          <w:spacing w:val="-3"/>
          <w:sz w:val="18"/>
          <w:szCs w:val="18"/>
        </w:rPr>
        <w:t>年公司组织完成培训两百多场培训，主要针对企业文化宣导、团队建设、流程讲解、操作技能提升及专业知识的培训，</w:t>
      </w:r>
      <w:r>
        <w:rPr>
          <w:rFonts w:ascii="宋体" w:hAnsi="宋体" w:cs="宋体" w:eastAsia="宋体" w:hint="default"/>
          <w:sz w:val="18"/>
          <w:szCs w:val="18"/>
        </w:rPr>
        <w:t> 让新入职人员能更快更好的融入公司，让老员工能不断地提升自身综合素质。</w:t>
      </w:r>
    </w:p>
    <w:p>
      <w:pPr>
        <w:spacing w:before="70"/>
        <w:ind w:left="509"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年公司将流程解读、专业知识及业务技能的培训上下功夫，特别对于新人员，切实做好传帮带工作。</w:t>
      </w:r>
    </w:p>
    <w:p>
      <w:pPr>
        <w:spacing w:before="102"/>
        <w:ind w:left="475"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）搜集基层讲师，建议培训积分机制及培训效果评价机制；</w:t>
      </w:r>
    </w:p>
    <w:p>
      <w:pPr>
        <w:spacing w:before="102"/>
        <w:ind w:left="475"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）对各部门、各层级进行培训需求调查及需求分析，让培训工作满足企业及员工的真正需求。</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pStyle w:val="Heading4"/>
        <w:spacing w:line="240" w:lineRule="auto"/>
        <w:ind w:left="154" w:right="0"/>
        <w:jc w:val="left"/>
        <w:rPr>
          <w:b w:val="0"/>
          <w:bCs w:val="0"/>
        </w:rPr>
      </w:pPr>
      <w:bookmarkStart w:name="4、劳务外包情况" w:id="128"/>
      <w:bookmarkEnd w:id="128"/>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劳务外包的工时总数（小时）</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3,389,383.99</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劳务外包支付的报酬总额（元）</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43,837,858.77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593"/>
        <w:jc w:val="center"/>
        <w:rPr>
          <w:b w:val="0"/>
          <w:bCs w:val="0"/>
        </w:rPr>
      </w:pPr>
      <w:bookmarkStart w:name="第九节 公司治理" w:id="129"/>
      <w:bookmarkEnd w:id="129"/>
      <w:r>
        <w:rPr>
          <w:b w:val="0"/>
          <w:bCs w:val="0"/>
        </w:rPr>
      </w:r>
      <w:bookmarkStart w:name="_bookmark7" w:id="130"/>
      <w:bookmarkEnd w:id="130"/>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31"/>
      <w:bookmarkEnd w:id="131"/>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spacing w:line="316" w:lineRule="auto" w:before="0"/>
        <w:ind w:left="153" w:right="1033" w:firstLine="217"/>
        <w:jc w:val="left"/>
        <w:rPr>
          <w:rFonts w:ascii="宋体" w:hAnsi="宋体" w:cs="宋体" w:eastAsia="宋体" w:hint="default"/>
          <w:sz w:val="18"/>
          <w:szCs w:val="18"/>
        </w:rPr>
      </w:pPr>
      <w:r>
        <w:rPr>
          <w:rFonts w:ascii="宋体" w:hAnsi="宋体" w:cs="宋体" w:eastAsia="宋体" w:hint="default"/>
          <w:sz w:val="18"/>
          <w:szCs w:val="18"/>
        </w:rPr>
        <w:t>报告期内，公司严格按照《公司法》《证券法》《上市公司治理准则》和中国证监会、深圳证券交易所有关要求，加强 </w:t>
      </w:r>
      <w:r>
        <w:rPr>
          <w:rFonts w:ascii="宋体" w:hAnsi="宋体" w:cs="宋体" w:eastAsia="宋体" w:hint="default"/>
          <w:spacing w:val="-2"/>
          <w:sz w:val="18"/>
          <w:szCs w:val="18"/>
        </w:rPr>
        <w:t>信息披露工作，不断完善公司法人治理结构，建立健全内部控制制度，规范公司运作，切实维护公司及全体股东利益。公司</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股东大会、董事会、监事会、各经营层职责明确，各董事、监事和高级管理人员勤勉尽责，确保了公司安全、稳定、健康、 持续的发展。截至报告期末，公司治理情况符合中国证监会、深圳证券交易所上市公司治理规范性文件规定。</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spacing w:before="0"/>
        <w:ind w:left="354" w:right="0" w:firstLine="0"/>
        <w:jc w:val="left"/>
        <w:rPr>
          <w:rFonts w:ascii="宋体" w:hAnsi="宋体" w:cs="宋体" w:eastAsia="宋体" w:hint="default"/>
          <w:sz w:val="18"/>
          <w:szCs w:val="18"/>
        </w:rPr>
      </w:pPr>
      <w:r>
        <w:rPr>
          <w:rFonts w:ascii="宋体" w:hAnsi="宋体" w:cs="宋体" w:eastAsia="宋体" w:hint="default"/>
          <w:sz w:val="18"/>
          <w:szCs w:val="18"/>
        </w:rPr>
        <w:t>（一）报告期内，公司修订的制度名称及公开信息披露情况如下表：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tbl>
      <w:tblPr>
        <w:tblW w:w="0" w:type="auto"/>
        <w:jc w:val="left"/>
        <w:tblInd w:w="146" w:type="dxa"/>
        <w:tblLayout w:type="fixed"/>
        <w:tblCellMar>
          <w:top w:w="0" w:type="dxa"/>
          <w:left w:w="0" w:type="dxa"/>
          <w:bottom w:w="0" w:type="dxa"/>
          <w:right w:w="0" w:type="dxa"/>
        </w:tblCellMar>
        <w:tblLook w:val="01E0"/>
      </w:tblPr>
      <w:tblGrid>
        <w:gridCol w:w="828"/>
        <w:gridCol w:w="3960"/>
        <w:gridCol w:w="3256"/>
        <w:gridCol w:w="1604"/>
      </w:tblGrid>
      <w:tr>
        <w:trPr>
          <w:trHeight w:val="426" w:hRule="exact"/>
        </w:trPr>
        <w:tc>
          <w:tcPr>
            <w:tcW w:w="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98"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98" w:right="0"/>
              <w:jc w:val="center"/>
              <w:rPr>
                <w:rFonts w:ascii="宋体" w:hAnsi="宋体" w:cs="宋体" w:eastAsia="宋体" w:hint="default"/>
                <w:sz w:val="18"/>
                <w:szCs w:val="18"/>
              </w:rPr>
            </w:pPr>
            <w:r>
              <w:rPr>
                <w:rFonts w:ascii="宋体" w:hAnsi="宋体" w:cs="宋体" w:eastAsia="宋体" w:hint="default"/>
                <w:sz w:val="18"/>
                <w:szCs w:val="18"/>
              </w:rPr>
              <w:t>制度名称</w:t>
            </w:r>
          </w:p>
        </w:tc>
        <w:tc>
          <w:tcPr>
            <w:tcW w:w="3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97" w:right="0"/>
              <w:jc w:val="center"/>
              <w:rPr>
                <w:rFonts w:ascii="宋体" w:hAnsi="宋体" w:cs="宋体" w:eastAsia="宋体" w:hint="default"/>
                <w:sz w:val="18"/>
                <w:szCs w:val="18"/>
              </w:rPr>
            </w:pPr>
            <w:r>
              <w:rPr>
                <w:rFonts w:ascii="宋体" w:hAnsi="宋体" w:cs="宋体" w:eastAsia="宋体" w:hint="default"/>
                <w:sz w:val="18"/>
                <w:szCs w:val="18"/>
              </w:rPr>
              <w:t>会议</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35" w:right="0"/>
              <w:jc w:val="left"/>
              <w:rPr>
                <w:rFonts w:ascii="宋体" w:hAnsi="宋体" w:cs="宋体" w:eastAsia="宋体" w:hint="default"/>
                <w:sz w:val="18"/>
                <w:szCs w:val="18"/>
              </w:rPr>
            </w:pPr>
            <w:r>
              <w:rPr>
                <w:rFonts w:ascii="宋体" w:hAnsi="宋体" w:cs="宋体" w:eastAsia="宋体" w:hint="default"/>
                <w:sz w:val="18"/>
                <w:szCs w:val="18"/>
              </w:rPr>
              <w:t>审议时间</w:t>
            </w:r>
          </w:p>
        </w:tc>
      </w:tr>
      <w:tr>
        <w:trPr>
          <w:trHeight w:val="427" w:hRule="exact"/>
        </w:trPr>
        <w:tc>
          <w:tcPr>
            <w:tcW w:w="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7" w:right="0"/>
              <w:jc w:val="center"/>
              <w:rPr>
                <w:rFonts w:ascii="Times New Roman" w:hAnsi="Times New Roman" w:cs="Times New Roman" w:eastAsia="Times New Roman" w:hint="default"/>
                <w:sz w:val="18"/>
                <w:szCs w:val="18"/>
              </w:rPr>
            </w:pPr>
            <w:r>
              <w:rPr>
                <w:rFonts w:ascii="Times New Roman"/>
                <w:sz w:val="18"/>
              </w:rPr>
              <w:t>1</w:t>
            </w:r>
          </w:p>
        </w:tc>
        <w:tc>
          <w:tcPr>
            <w:tcW w:w="3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3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第三届董事会</w:t>
            </w:r>
            <w:r>
              <w:rPr>
                <w:rFonts w:ascii="Times New Roman" w:hAnsi="Times New Roman" w:cs="Times New Roman" w:eastAsia="Times New Roman" w:hint="default"/>
                <w:sz w:val="18"/>
                <w:szCs w:val="18"/>
              </w:rPr>
              <w:t>2015</w:t>
            </w:r>
            <w:r>
              <w:rPr>
                <w:rFonts w:ascii="宋体" w:hAnsi="宋体" w:cs="宋体" w:eastAsia="宋体" w:hint="default"/>
                <w:sz w:val="18"/>
                <w:szCs w:val="18"/>
              </w:rPr>
              <w:t>年第</w:t>
            </w:r>
            <w:r>
              <w:rPr>
                <w:rFonts w:ascii="Times New Roman" w:hAnsi="Times New Roman" w:cs="Times New Roman" w:eastAsia="Times New Roman" w:hint="default"/>
                <w:sz w:val="18"/>
                <w:szCs w:val="18"/>
              </w:rPr>
              <w:t>2</w:t>
            </w:r>
            <w:r>
              <w:rPr>
                <w:rFonts w:ascii="宋体" w:hAnsi="宋体" w:cs="宋体" w:eastAsia="宋体" w:hint="default"/>
                <w:sz w:val="18"/>
                <w:szCs w:val="18"/>
              </w:rPr>
              <w:t>次临时会议</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428" w:hRule="exact"/>
        </w:trPr>
        <w:tc>
          <w:tcPr>
            <w:tcW w:w="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7" w:right="0"/>
              <w:jc w:val="center"/>
              <w:rPr>
                <w:rFonts w:ascii="Times New Roman" w:hAnsi="Times New Roman" w:cs="Times New Roman" w:eastAsia="Times New Roman" w:hint="default"/>
                <w:sz w:val="18"/>
                <w:szCs w:val="18"/>
              </w:rPr>
            </w:pPr>
            <w:r>
              <w:rPr>
                <w:rFonts w:ascii="Times New Roman"/>
                <w:sz w:val="18"/>
              </w:rPr>
              <w:t>2</w:t>
            </w:r>
          </w:p>
        </w:tc>
        <w:tc>
          <w:tcPr>
            <w:tcW w:w="3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3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第三届董事会</w:t>
            </w:r>
            <w:r>
              <w:rPr>
                <w:rFonts w:ascii="Times New Roman" w:hAnsi="Times New Roman" w:cs="Times New Roman" w:eastAsia="Times New Roman" w:hint="default"/>
                <w:sz w:val="18"/>
                <w:szCs w:val="18"/>
              </w:rPr>
              <w:t>2015</w:t>
            </w:r>
            <w:r>
              <w:rPr>
                <w:rFonts w:ascii="宋体" w:hAnsi="宋体" w:cs="宋体" w:eastAsia="宋体" w:hint="default"/>
                <w:sz w:val="18"/>
                <w:szCs w:val="18"/>
              </w:rPr>
              <w:t>年第</w:t>
            </w:r>
            <w:r>
              <w:rPr>
                <w:rFonts w:ascii="Times New Roman" w:hAnsi="Times New Roman" w:cs="Times New Roman" w:eastAsia="Times New Roman" w:hint="default"/>
                <w:sz w:val="18"/>
                <w:szCs w:val="18"/>
              </w:rPr>
              <w:t>6</w:t>
            </w:r>
            <w:r>
              <w:rPr>
                <w:rFonts w:ascii="宋体" w:hAnsi="宋体" w:cs="宋体" w:eastAsia="宋体" w:hint="default"/>
                <w:sz w:val="18"/>
                <w:szCs w:val="18"/>
              </w:rPr>
              <w:t>次临时会议</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r>
    </w:tbl>
    <w:p>
      <w:pPr>
        <w:spacing w:line="240" w:lineRule="auto" w:before="5"/>
        <w:rPr>
          <w:rFonts w:ascii="宋体" w:hAnsi="宋体" w:cs="宋体" w:eastAsia="宋体" w:hint="default"/>
          <w:sz w:val="27"/>
          <w:szCs w:val="27"/>
        </w:rPr>
      </w:pPr>
    </w:p>
    <w:p>
      <w:pPr>
        <w:spacing w:before="44"/>
        <w:ind w:left="354" w:right="0" w:firstLine="0"/>
        <w:jc w:val="left"/>
        <w:rPr>
          <w:rFonts w:ascii="宋体" w:hAnsi="宋体" w:cs="宋体" w:eastAsia="宋体" w:hint="default"/>
          <w:sz w:val="18"/>
          <w:szCs w:val="18"/>
        </w:rPr>
      </w:pPr>
      <w:r>
        <w:rPr>
          <w:rFonts w:ascii="宋体" w:hAnsi="宋体" w:cs="宋体" w:eastAsia="宋体" w:hint="default"/>
          <w:sz w:val="18"/>
          <w:szCs w:val="18"/>
        </w:rPr>
        <w:t>（二）关于股东和股东大会</w:t>
      </w:r>
    </w:p>
    <w:p>
      <w:pPr>
        <w:spacing w:line="309" w:lineRule="auto" w:before="116"/>
        <w:ind w:left="154" w:right="1132" w:firstLine="200"/>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年，公司根严格按照《公司法》、《公司章程》、《股东大会议事规则》等规定和要求召集、召开股东大会，并在 </w:t>
      </w:r>
      <w:r>
        <w:rPr>
          <w:rFonts w:ascii="宋体" w:hAnsi="宋体" w:cs="宋体" w:eastAsia="宋体" w:hint="default"/>
          <w:spacing w:val="-2"/>
          <w:sz w:val="18"/>
          <w:szCs w:val="18"/>
        </w:rPr>
        <w:t>股东大会审议影响中小投资者利益的重大事项时，对中小投资者的表决进行单独计票。报告期内召开的股东大会均由董事会</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召集召开，并聘请律师进行现场见证。</w:t>
      </w:r>
    </w:p>
    <w:p>
      <w:pPr>
        <w:spacing w:line="357" w:lineRule="auto" w:before="64"/>
        <w:ind w:left="354" w:right="0" w:firstLine="0"/>
        <w:jc w:val="left"/>
        <w:rPr>
          <w:rFonts w:ascii="宋体" w:hAnsi="宋体" w:cs="宋体" w:eastAsia="宋体" w:hint="default"/>
          <w:sz w:val="18"/>
          <w:szCs w:val="18"/>
        </w:rPr>
      </w:pPr>
      <w:r>
        <w:rPr>
          <w:rFonts w:ascii="宋体" w:hAnsi="宋体" w:cs="宋体" w:eastAsia="宋体" w:hint="default"/>
          <w:sz w:val="18"/>
          <w:szCs w:val="18"/>
        </w:rPr>
        <w:t>（三）关于董事和董事会 公司按照《公司法》、《公司章程》等规定选举董事，董事会的人数和人员构成符合法律法规的要求；公司董事会职责</w:t>
      </w:r>
    </w:p>
    <w:p>
      <w:pPr>
        <w:spacing w:line="224" w:lineRule="exact"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清晰，公司各位董事能够依据《董事会议事规则》等制度，认真出席董事会会议。每位独立董事均严格遵守《独立董事工作</w:t>
      </w:r>
    </w:p>
    <w:p>
      <w:pPr>
        <w:spacing w:line="319" w:lineRule="auto" w:before="76"/>
        <w:ind w:left="154" w:right="1131" w:firstLine="0"/>
        <w:jc w:val="both"/>
        <w:rPr>
          <w:rFonts w:ascii="宋体" w:hAnsi="宋体" w:cs="宋体" w:eastAsia="宋体" w:hint="default"/>
          <w:sz w:val="18"/>
          <w:szCs w:val="18"/>
        </w:rPr>
      </w:pPr>
      <w:r>
        <w:rPr>
          <w:rFonts w:ascii="宋体" w:hAnsi="宋体" w:cs="宋体" w:eastAsia="宋体" w:hint="default"/>
          <w:spacing w:val="-2"/>
          <w:sz w:val="18"/>
          <w:szCs w:val="18"/>
        </w:rPr>
        <w:t>制度》，认真负责、勤勉诚信地履行各自的职责。公司董事会下设审计委员会、战略委员会、提名委员会、薪酬与考核委员</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会等四个专业委员会，其成员组成合理。专业委员会设立以来，均严格按照相应工作条例开展工作，已在公司的经营管理中</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充分发挥了其专业性作用。</w:t>
      </w:r>
    </w:p>
    <w:p>
      <w:pPr>
        <w:spacing w:line="357" w:lineRule="auto" w:before="58"/>
        <w:ind w:left="354" w:right="0" w:firstLine="0"/>
        <w:jc w:val="left"/>
        <w:rPr>
          <w:rFonts w:ascii="宋体" w:hAnsi="宋体" w:cs="宋体" w:eastAsia="宋体" w:hint="default"/>
          <w:sz w:val="18"/>
          <w:szCs w:val="18"/>
        </w:rPr>
      </w:pPr>
      <w:r>
        <w:rPr>
          <w:rFonts w:ascii="宋体" w:hAnsi="宋体" w:cs="宋体" w:eastAsia="宋体" w:hint="default"/>
          <w:sz w:val="18"/>
          <w:szCs w:val="18"/>
        </w:rPr>
        <w:t>（四）关于监事和监事会 </w:t>
      </w:r>
      <w:r>
        <w:rPr>
          <w:rFonts w:ascii="宋体" w:hAnsi="宋体" w:cs="宋体" w:eastAsia="宋体" w:hint="default"/>
          <w:spacing w:val="-4"/>
          <w:sz w:val="18"/>
          <w:szCs w:val="18"/>
        </w:rPr>
        <w:t>公司监事会人数和人员构成符合法律、法规的要求，能够依据《监事会议事规则》等制度，各监事严格按照《公司章程》、</w:t>
      </w:r>
    </w:p>
    <w:p>
      <w:pPr>
        <w:spacing w:line="224" w:lineRule="exact"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《公司监事会议事规则》等相关内部制度行使职权，认真履行自己的职责，出席股东大会、列席董事会会议，对董事会决策</w:t>
      </w:r>
    </w:p>
    <w:p>
      <w:pPr>
        <w:spacing w:line="319" w:lineRule="auto" w:before="76"/>
        <w:ind w:left="154" w:right="1134" w:firstLine="0"/>
        <w:jc w:val="both"/>
        <w:rPr>
          <w:rFonts w:ascii="宋体" w:hAnsi="宋体" w:cs="宋体" w:eastAsia="宋体" w:hint="default"/>
          <w:sz w:val="18"/>
          <w:szCs w:val="18"/>
        </w:rPr>
      </w:pPr>
      <w:r>
        <w:rPr>
          <w:rFonts w:ascii="宋体" w:hAnsi="宋体" w:cs="宋体" w:eastAsia="宋体" w:hint="default"/>
          <w:spacing w:val="-2"/>
          <w:sz w:val="18"/>
          <w:szCs w:val="18"/>
        </w:rPr>
        <w:t>程序、决议事项及公司依法运作情况实施监督，全体监事能够切实履行职责，诚信、勤勉、尽责，监事会的召集、召开、表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决及信息披露程序符合相关规定。</w:t>
      </w:r>
    </w:p>
    <w:p>
      <w:pPr>
        <w:spacing w:line="357" w:lineRule="auto" w:before="56"/>
        <w:ind w:left="354" w:right="0" w:firstLine="0"/>
        <w:jc w:val="left"/>
        <w:rPr>
          <w:rFonts w:ascii="宋体" w:hAnsi="宋体" w:cs="宋体" w:eastAsia="宋体" w:hint="default"/>
          <w:sz w:val="18"/>
          <w:szCs w:val="18"/>
        </w:rPr>
      </w:pPr>
      <w:r>
        <w:rPr>
          <w:rFonts w:ascii="宋体" w:hAnsi="宋体" w:cs="宋体" w:eastAsia="宋体" w:hint="default"/>
          <w:sz w:val="18"/>
          <w:szCs w:val="18"/>
        </w:rPr>
        <w:t>（五）关于信息披露和透明度 公司严格按照有关法律法规及公司制定的《公司信息披露管理制度》的要求，真实、准确、完整、及时地通过《证券时</w:t>
      </w:r>
    </w:p>
    <w:p>
      <w:pPr>
        <w:spacing w:line="224" w:lineRule="exact"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报》、《上海证券报》、《中国证券报》、《证券日报》和巨潮资讯网为公司信息披露的报纸、网站切实履行上市公司信息</w:t>
      </w:r>
    </w:p>
    <w:p>
      <w:pPr>
        <w:spacing w:line="316" w:lineRule="auto" w:before="76"/>
        <w:ind w:left="154" w:right="1129" w:firstLine="0"/>
        <w:jc w:val="both"/>
        <w:rPr>
          <w:rFonts w:ascii="宋体" w:hAnsi="宋体" w:cs="宋体" w:eastAsia="宋体" w:hint="default"/>
          <w:sz w:val="18"/>
          <w:szCs w:val="18"/>
        </w:rPr>
      </w:pPr>
      <w:r>
        <w:rPr>
          <w:rFonts w:ascii="宋体" w:hAnsi="宋体" w:cs="宋体" w:eastAsia="宋体" w:hint="default"/>
          <w:spacing w:val="-2"/>
          <w:sz w:val="18"/>
          <w:szCs w:val="18"/>
        </w:rPr>
        <w:t>披露的义务，并做好信息披露前的保密工作，保证公司信息披露的公开、公平、公正，积极维护公司和投资者，尤其是中小</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股东的合法权益。</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3"/>
          <w:szCs w:val="13"/>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40" w:lineRule="auto" w:before="116"/>
        <w:ind w:left="153" w:right="35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after="0" w:line="3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二、公司相对于控股股东在业务、人员、资产、机构、财务等方面的独立情况" w:id="132"/>
      <w:bookmarkEnd w:id="132"/>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spacing w:line="316" w:lineRule="auto" w:before="0"/>
        <w:ind w:left="153" w:right="1035" w:firstLine="290"/>
        <w:jc w:val="left"/>
        <w:rPr>
          <w:rFonts w:ascii="宋体" w:hAnsi="宋体" w:cs="宋体" w:eastAsia="宋体" w:hint="default"/>
          <w:sz w:val="18"/>
          <w:szCs w:val="18"/>
        </w:rPr>
      </w:pPr>
      <w:r>
        <w:rPr>
          <w:rFonts w:ascii="宋体" w:hAnsi="宋体" w:cs="宋体" w:eastAsia="宋体" w:hint="default"/>
          <w:sz w:val="18"/>
          <w:szCs w:val="18"/>
        </w:rPr>
        <w:t>公司自成立以来严格按照《公司法》、</w:t>
      </w:r>
      <w:r>
        <w:rPr>
          <w:rFonts w:ascii="宋体" w:hAnsi="宋体" w:cs="宋体" w:eastAsia="宋体" w:hint="default"/>
          <w:spacing w:val="-22"/>
          <w:sz w:val="18"/>
          <w:szCs w:val="18"/>
        </w:rPr>
        <w:t> </w:t>
      </w:r>
      <w:r>
        <w:rPr>
          <w:rFonts w:ascii="宋体" w:hAnsi="宋体" w:cs="宋体" w:eastAsia="宋体" w:hint="default"/>
          <w:sz w:val="18"/>
          <w:szCs w:val="18"/>
        </w:rPr>
        <w:t>《证券法》等有关法律、法规和《公司章程》的要求规范运作，在业务、资产、</w:t>
      </w:r>
      <w:r>
        <w:rPr>
          <w:rFonts w:ascii="宋体" w:hAnsi="宋体" w:cs="宋体" w:eastAsia="宋体" w:hint="default"/>
          <w:sz w:val="18"/>
          <w:szCs w:val="18"/>
        </w:rPr>
        <w:t> 人员、机构和财务等方面相互独立，拥有独立完整的生产、销售、研发系统，具备面向市场自主经营的能力。</w:t>
      </w:r>
    </w:p>
    <w:p>
      <w:pPr>
        <w:spacing w:line="300" w:lineRule="auto" w:before="19"/>
        <w:ind w:left="511" w:right="1118" w:firstLine="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、业务独立 </w:t>
      </w:r>
      <w:r>
        <w:rPr>
          <w:rFonts w:ascii="宋体" w:hAnsi="宋体" w:cs="宋体" w:eastAsia="宋体" w:hint="default"/>
          <w:spacing w:val="-2"/>
          <w:sz w:val="18"/>
          <w:szCs w:val="18"/>
        </w:rPr>
        <w:t>公司业务独立于控股股东及其下属企业，拥有独立的研发、生产、销售业务体系，拥有完整的法人财产权，能够独立支</w:t>
      </w:r>
    </w:p>
    <w:p>
      <w:pPr>
        <w:spacing w:line="316" w:lineRule="auto" w:before="31"/>
        <w:ind w:left="154" w:right="1133" w:firstLine="0"/>
        <w:jc w:val="both"/>
        <w:rPr>
          <w:rFonts w:ascii="宋体" w:hAnsi="宋体" w:cs="宋体" w:eastAsia="宋体" w:hint="default"/>
          <w:sz w:val="18"/>
          <w:szCs w:val="18"/>
        </w:rPr>
      </w:pPr>
      <w:r>
        <w:rPr>
          <w:rFonts w:ascii="宋体" w:hAnsi="宋体" w:cs="宋体" w:eastAsia="宋体" w:hint="default"/>
          <w:spacing w:val="-2"/>
          <w:sz w:val="18"/>
          <w:szCs w:val="18"/>
        </w:rPr>
        <w:t>配和使用人、财、物等生产要素，顺利组织和实施生产经营活动，能完全独立有序地开展所有业务。公司的业务完全独立于</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控股股东、实际控制人及其控制的其他企业，与控股股东、实际控制人及其控制的其他企业不存在同业竞争或显失公平的关</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联交易。</w:t>
      </w:r>
    </w:p>
    <w:p>
      <w:pPr>
        <w:spacing w:line="300" w:lineRule="auto" w:before="19"/>
        <w:ind w:left="511" w:right="11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、资产完整 </w:t>
      </w:r>
      <w:r>
        <w:rPr>
          <w:rFonts w:ascii="宋体" w:hAnsi="宋体" w:cs="宋体" w:eastAsia="宋体" w:hint="default"/>
          <w:spacing w:val="-2"/>
          <w:sz w:val="18"/>
          <w:szCs w:val="18"/>
        </w:rPr>
        <w:t>公司为依法整体变更设立的股份有限公司，拥有独立、完整的资产，具有与生产经营有关的生产系统、辅助生产系统和</w:t>
      </w:r>
    </w:p>
    <w:p>
      <w:pPr>
        <w:spacing w:line="316" w:lineRule="auto" w:before="31"/>
        <w:ind w:left="153" w:right="0" w:firstLine="0"/>
        <w:jc w:val="left"/>
        <w:rPr>
          <w:rFonts w:ascii="宋体" w:hAnsi="宋体" w:cs="宋体" w:eastAsia="宋体" w:hint="default"/>
          <w:sz w:val="18"/>
          <w:szCs w:val="18"/>
        </w:rPr>
      </w:pPr>
      <w:r>
        <w:rPr>
          <w:rFonts w:ascii="宋体" w:hAnsi="宋体" w:cs="宋体" w:eastAsia="宋体" w:hint="default"/>
          <w:spacing w:val="-4"/>
          <w:sz w:val="18"/>
          <w:szCs w:val="18"/>
        </w:rPr>
        <w:t>配套设施，合法拥有与生产经营有关的土地、厂房、机器设备以及商标、专利、非专利技术的所有权和使用权，且产权清晰；</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2"/>
          <w:sz w:val="18"/>
          <w:szCs w:val="18"/>
        </w:rPr>
        <w:t>公司对所有资产有完全的控制支配权，不存在与股东共同使用财产或相互提供服务等情形，不存在资产、资金被控股股东占</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用而损害公司利益的情况。</w:t>
      </w:r>
    </w:p>
    <w:p>
      <w:pPr>
        <w:spacing w:line="300" w:lineRule="auto" w:before="19"/>
        <w:ind w:left="511" w:right="10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、人员独立 </w:t>
      </w:r>
      <w:r>
        <w:rPr>
          <w:rFonts w:ascii="宋体" w:hAnsi="宋体" w:cs="宋体" w:eastAsia="宋体" w:hint="default"/>
          <w:spacing w:val="-4"/>
          <w:sz w:val="18"/>
          <w:szCs w:val="18"/>
        </w:rPr>
        <w:t>公司独立招聘员工，设有独立的劳动、人事、工资管理体系。本公司董事、监事、高级管理人员均严格按照《公司法》、</w:t>
      </w:r>
    </w:p>
    <w:p>
      <w:pPr>
        <w:spacing w:line="316" w:lineRule="auto" w:before="31"/>
        <w:ind w:left="153" w:right="1131" w:firstLine="0"/>
        <w:jc w:val="both"/>
        <w:rPr>
          <w:rFonts w:ascii="宋体" w:hAnsi="宋体" w:cs="宋体" w:eastAsia="宋体" w:hint="default"/>
          <w:sz w:val="18"/>
          <w:szCs w:val="18"/>
        </w:rPr>
      </w:pPr>
      <w:r>
        <w:rPr>
          <w:rFonts w:ascii="宋体" w:hAnsi="宋体" w:cs="宋体" w:eastAsia="宋体" w:hint="default"/>
          <w:spacing w:val="-2"/>
          <w:sz w:val="18"/>
          <w:szCs w:val="18"/>
        </w:rPr>
        <w:t>《公司章程》的有关规定经选举产生和聘任。公司总经理、副总经理、财务负责人、董事会秘书均在公司专职工作并领取薪</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酬，未在控股股东及其它下属企业担任除董事、监事之外的任何职务；本公司的财务人员没有在控股股东、实际控制人及其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控制的其他企业中兼职。公司的董事、监事、高级管理人员及其近亲属所从事的工作均不存在与公司利益相冲突的情形，也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未在与公司业务相同或相似的企业任职。</w:t>
      </w:r>
    </w:p>
    <w:p>
      <w:pPr>
        <w:spacing w:line="300" w:lineRule="auto" w:before="19"/>
        <w:ind w:left="511" w:right="11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、机构独立 </w:t>
      </w:r>
      <w:r>
        <w:rPr>
          <w:rFonts w:ascii="宋体" w:hAnsi="宋体" w:cs="宋体" w:eastAsia="宋体" w:hint="default"/>
          <w:spacing w:val="-2"/>
          <w:sz w:val="18"/>
          <w:szCs w:val="18"/>
        </w:rPr>
        <w:t>公司设立了健全的组织机构体系，独立运作，不存在与控股股东或其职能部门之间的从属关系。公司建立了适应自身经</w:t>
      </w:r>
    </w:p>
    <w:p>
      <w:pPr>
        <w:spacing w:line="316" w:lineRule="auto" w:before="32"/>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营发展需要的组织结构，按照《公司法》的要求，建立健全了股东大会、董事会、监事会和经营管理层的组织结构体系，各</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机构均独立运作。公司的生产经营和办公机构与控股股东完全独立，不存在混合经营、合署办公的情形。</w:t>
      </w:r>
    </w:p>
    <w:p>
      <w:pPr>
        <w:spacing w:line="340" w:lineRule="auto" w:before="19"/>
        <w:ind w:left="444" w:right="1118" w:firstLine="67"/>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、财务独立 </w:t>
      </w:r>
      <w:r>
        <w:rPr>
          <w:rFonts w:ascii="宋体" w:hAnsi="宋体" w:cs="宋体" w:eastAsia="宋体" w:hint="default"/>
          <w:spacing w:val="-1"/>
          <w:sz w:val="18"/>
          <w:szCs w:val="18"/>
        </w:rPr>
        <w:t>本公司作为独立纳税人，依法独立纳税。公司建立了独立的财务核算体系，具有规范的、符合上市公司要求的财务会计</w:t>
      </w:r>
    </w:p>
    <w:p>
      <w:pPr>
        <w:spacing w:line="319" w:lineRule="auto" w:before="0"/>
        <w:ind w:left="153" w:right="1033" w:firstLine="0"/>
        <w:jc w:val="left"/>
        <w:rPr>
          <w:rFonts w:ascii="宋体" w:hAnsi="宋体" w:cs="宋体" w:eastAsia="宋体" w:hint="default"/>
          <w:sz w:val="18"/>
          <w:szCs w:val="18"/>
        </w:rPr>
      </w:pPr>
      <w:r>
        <w:rPr>
          <w:rFonts w:ascii="宋体" w:hAnsi="宋体" w:cs="宋体" w:eastAsia="宋体" w:hint="default"/>
          <w:spacing w:val="-2"/>
          <w:sz w:val="18"/>
          <w:szCs w:val="18"/>
        </w:rPr>
        <w:t>制度和对分公司、子公司的财务管理制度；公司能独立作出财务决策，不存在控制人干预公司资金使用的情况，不存在以资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产、权益或信誉为股东提供债务担保的情况，也不存在资产被股东占用而损害公司利益的情况。本公司财务负责人、财务会</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计人员均系专职工作人员，不存在在控股股东及其控制的其他企业兼职的情况。本公司独立开立基本存款账户，独立纳税， 不存在与控股股东、实际控制人及其控制的其他企业共用银行账户的情形。</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0"/>
        <w:ind w:right="0"/>
        <w:jc w:val="left"/>
        <w:rPr>
          <w:b w:val="0"/>
          <w:bCs w:val="0"/>
        </w:rPr>
      </w:pPr>
      <w:bookmarkStart w:name="三、同业竞争情况" w:id="133"/>
      <w:bookmarkEnd w:id="133"/>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报告期内召开的年度股东大会和临时股东大会的有关情况" w:id="134"/>
      <w:bookmarkEnd w:id="134"/>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本报告期股东大会情况" w:id="135"/>
      <w:bookmarkEnd w:id="135"/>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98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0"/>
              <w:jc w:val="both"/>
              <w:rPr>
                <w:rFonts w:ascii="宋体" w:hAnsi="宋体" w:cs="宋体" w:eastAsia="宋体" w:hint="default"/>
                <w:sz w:val="18"/>
                <w:szCs w:val="18"/>
              </w:rPr>
            </w:pPr>
            <w:r>
              <w:rPr>
                <w:rFonts w:ascii="宋体" w:hAnsi="宋体" w:cs="宋体" w:eastAsia="宋体" w:hint="default"/>
                <w:sz w:val="18"/>
                <w:szCs w:val="18"/>
              </w:rPr>
              <w:t>参见</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13 </w:t>
            </w:r>
            <w:r>
              <w:rPr>
                <w:rFonts w:ascii="宋体" w:hAnsi="宋体" w:cs="宋体" w:eastAsia="宋体" w:hint="default"/>
                <w:spacing w:val="-10"/>
                <w:sz w:val="18"/>
                <w:szCs w:val="18"/>
              </w:rPr>
              <w:t>日刊登的：茂硕电源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次临时</w:t>
            </w:r>
          </w:p>
        </w:tc>
      </w:tr>
    </w:tbl>
    <w:p>
      <w:pPr>
        <w:spacing w:after="0" w:line="309"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298"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119"/>
              <w:jc w:val="left"/>
              <w:rPr>
                <w:rFonts w:ascii="宋体" w:hAnsi="宋体" w:cs="宋体" w:eastAsia="宋体" w:hint="default"/>
                <w:sz w:val="18"/>
                <w:szCs w:val="18"/>
              </w:rPr>
            </w:pPr>
            <w:r>
              <w:rPr>
                <w:rFonts w:ascii="宋体" w:hAnsi="宋体" w:cs="宋体" w:eastAsia="宋体" w:hint="default"/>
                <w:sz w:val="18"/>
                <w:szCs w:val="18"/>
              </w:rPr>
              <w:t>股东大会决议的公 告。巨潮资讯网</w:t>
            </w:r>
          </w:p>
          <w:p>
            <w:pPr>
              <w:pStyle w:val="TableParagraph"/>
              <w:spacing w:line="240" w:lineRule="auto" w:before="1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w:t>
            </w:r>
          </w:p>
        </w:tc>
      </w:tr>
      <w:tr>
        <w:trPr>
          <w:trHeight w:val="196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20"/>
              <w:jc w:val="both"/>
              <w:rPr>
                <w:rFonts w:ascii="宋体" w:hAnsi="宋体" w:cs="宋体" w:eastAsia="宋体" w:hint="default"/>
                <w:sz w:val="18"/>
                <w:szCs w:val="18"/>
              </w:rPr>
            </w:pPr>
            <w:r>
              <w:rPr>
                <w:rFonts w:ascii="宋体" w:hAnsi="宋体" w:cs="宋体" w:eastAsia="宋体" w:hint="default"/>
                <w:sz w:val="18"/>
                <w:szCs w:val="18"/>
              </w:rPr>
              <w:t>参见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pacing w:val="-10"/>
                <w:sz w:val="18"/>
                <w:szCs w:val="18"/>
              </w:rPr>
              <w:t>日刊登的：茂硕电源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决议的公告。巨潮资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讯网</w:t>
            </w:r>
          </w:p>
          <w:p>
            <w:pPr>
              <w:pStyle w:val="TableParagraph"/>
              <w:spacing w:line="240" w:lineRule="auto" w:before="22"/>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240" w:lineRule="auto" w:before="64"/>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w:t>
            </w:r>
          </w:p>
        </w:tc>
      </w:tr>
      <w:tr>
        <w:trPr>
          <w:trHeight w:val="227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4"/>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参见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日刊登的：茂硕</w:t>
            </w:r>
          </w:p>
          <w:p>
            <w:pPr>
              <w:pStyle w:val="TableParagraph"/>
              <w:spacing w:line="309" w:lineRule="auto" w:before="63"/>
              <w:ind w:left="23" w:right="20"/>
              <w:jc w:val="left"/>
              <w:rPr>
                <w:rFonts w:ascii="宋体" w:hAnsi="宋体" w:cs="宋体" w:eastAsia="宋体" w:hint="default"/>
                <w:sz w:val="18"/>
                <w:szCs w:val="18"/>
              </w:rPr>
            </w:pPr>
            <w:r>
              <w:rPr>
                <w:rFonts w:ascii="宋体" w:hAnsi="宋体" w:cs="宋体" w:eastAsia="宋体" w:hint="default"/>
                <w:sz w:val="18"/>
                <w:szCs w:val="18"/>
              </w:rPr>
              <w:t>电源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 临时股东大会决议 </w:t>
            </w:r>
            <w:r>
              <w:rPr>
                <w:rFonts w:ascii="宋体" w:hAnsi="宋体" w:cs="宋体" w:eastAsia="宋体" w:hint="default"/>
                <w:spacing w:val="-10"/>
                <w:sz w:val="18"/>
                <w:szCs w:val="18"/>
              </w:rPr>
              <w:t>的公告。巨潮资讯网</w:t>
            </w:r>
          </w:p>
          <w:p>
            <w:pPr>
              <w:pStyle w:val="TableParagraph"/>
              <w:spacing w:line="240" w:lineRule="auto" w:before="2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w:t>
            </w:r>
          </w:p>
        </w:tc>
      </w:tr>
      <w:tr>
        <w:trPr>
          <w:trHeight w:val="227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4"/>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参见</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 </w:t>
            </w:r>
            <w:r>
              <w:rPr>
                <w:rFonts w:ascii="宋体" w:hAnsi="宋体" w:cs="宋体" w:eastAsia="宋体" w:hint="default"/>
                <w:spacing w:val="-10"/>
                <w:sz w:val="18"/>
                <w:szCs w:val="18"/>
              </w:rPr>
              <w:t>日刊登的：茂硕电源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次临时 股东大会决议的公 告。巨潮资讯网</w:t>
            </w:r>
          </w:p>
          <w:p>
            <w:pPr>
              <w:pStyle w:val="TableParagraph"/>
              <w:spacing w:line="240" w:lineRule="auto" w:before="2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w:t>
            </w:r>
          </w:p>
        </w:tc>
      </w:tr>
    </w:tbl>
    <w:p>
      <w:pPr>
        <w:spacing w:line="240" w:lineRule="auto" w:before="2"/>
        <w:rPr>
          <w:rFonts w:ascii="宋体" w:hAnsi="宋体" w:cs="宋体" w:eastAsia="宋体" w:hint="default"/>
          <w:b/>
          <w:bCs/>
          <w:sz w:val="19"/>
          <w:szCs w:val="19"/>
        </w:rPr>
      </w:pPr>
    </w:p>
    <w:p>
      <w:pPr>
        <w:pStyle w:val="Heading4"/>
        <w:spacing w:line="240" w:lineRule="auto" w:before="35"/>
        <w:ind w:left="154" w:right="0"/>
        <w:jc w:val="left"/>
        <w:rPr>
          <w:b w:val="0"/>
          <w:bCs w:val="0"/>
        </w:rPr>
      </w:pPr>
      <w:bookmarkStart w:name="2、表决权恢复的优先股股东请求召开临时股东大会" w:id="136"/>
      <w:bookmarkEnd w:id="136"/>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报告期内独立董事履行职责的情况" w:id="137"/>
      <w:bookmarkEnd w:id="137"/>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独立董事出席董事会及股东大会的情况" w:id="138"/>
      <w:bookmarkEnd w:id="138"/>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3"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施伟力</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张新明</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r>
    </w:tbl>
    <w:p>
      <w:pPr>
        <w:spacing w:line="360" w:lineRule="auto" w:before="51"/>
        <w:ind w:left="154" w:right="8052"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 无</w:t>
      </w:r>
    </w:p>
    <w:p>
      <w:pPr>
        <w:spacing w:after="0" w:line="36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both"/>
        <w:rPr>
          <w:b w:val="0"/>
          <w:bCs w:val="0"/>
        </w:rPr>
      </w:pPr>
      <w:bookmarkStart w:name="2、独立董事对公司有关事项提出异议的情况" w:id="139"/>
      <w:bookmarkEnd w:id="139"/>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40" w:lineRule="auto" w:before="116"/>
        <w:ind w:left="153" w:right="69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报告期内独立董事对公司有关事项未提出异议。</w:t>
      </w:r>
    </w:p>
    <w:p>
      <w:pPr>
        <w:spacing w:line="240" w:lineRule="auto" w:before="12"/>
        <w:rPr>
          <w:rFonts w:ascii="宋体" w:hAnsi="宋体" w:cs="宋体" w:eastAsia="宋体" w:hint="default"/>
          <w:sz w:val="20"/>
          <w:szCs w:val="20"/>
        </w:rPr>
      </w:pPr>
    </w:p>
    <w:p>
      <w:pPr>
        <w:pStyle w:val="Heading4"/>
        <w:spacing w:line="240" w:lineRule="auto"/>
        <w:ind w:right="0"/>
        <w:jc w:val="both"/>
        <w:rPr>
          <w:b w:val="0"/>
          <w:bCs w:val="0"/>
        </w:rPr>
      </w:pPr>
      <w:bookmarkStart w:name="3、独立董事履行职责的其他说明" w:id="140"/>
      <w:bookmarkEnd w:id="140"/>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38" w:lineRule="auto" w:before="116"/>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独立董事对公司有关建议被采纳或未被采纳的说明</w:t>
      </w:r>
    </w:p>
    <w:p>
      <w:pPr>
        <w:spacing w:line="319" w:lineRule="auto" w:before="42"/>
        <w:ind w:left="153" w:right="1122" w:firstLine="290"/>
        <w:jc w:val="both"/>
        <w:rPr>
          <w:rFonts w:ascii="宋体" w:hAnsi="宋体" w:cs="宋体" w:eastAsia="宋体" w:hint="default"/>
          <w:sz w:val="18"/>
          <w:szCs w:val="18"/>
        </w:rPr>
      </w:pPr>
      <w:r>
        <w:rPr>
          <w:rFonts w:ascii="宋体" w:hAnsi="宋体" w:cs="宋体" w:eastAsia="宋体" w:hint="default"/>
          <w:sz w:val="18"/>
          <w:szCs w:val="18"/>
        </w:rPr>
        <w:t>报告期内，公司独立董事严格按照《公司章程》、《独立董事工作制度》等的相关规定勤勉履行职责，忠实履行职务， </w:t>
      </w:r>
      <w:r>
        <w:rPr>
          <w:rFonts w:ascii="宋体" w:hAnsi="宋体" w:cs="宋体" w:eastAsia="宋体" w:hint="default"/>
          <w:spacing w:val="-2"/>
          <w:sz w:val="18"/>
          <w:szCs w:val="18"/>
        </w:rPr>
        <w:t>积极参加历次董事会，审议各项议案，对公司相关事项发表独立意见对公司的制度完善和经营发展决策等方面提出了许多宝</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贵的专业性意见。通过出席董事会、股东大会、现场办公等方式，深入了解公司生产经营状况和内部控制的建设及董事会各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项决议执行情况，并利用自已的专业优势为公司经营和发展提出了合理化的意见和建议，对公司经营决策及保护中小投资者</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利益起到了发挥了积极作用。</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spacing w:before="0"/>
        <w:ind w:left="299" w:right="0" w:firstLine="0"/>
        <w:jc w:val="left"/>
        <w:rPr>
          <w:rFonts w:ascii="宋体" w:hAnsi="宋体" w:cs="宋体" w:eastAsia="宋体" w:hint="default"/>
          <w:sz w:val="18"/>
          <w:szCs w:val="18"/>
        </w:rPr>
      </w:pPr>
      <w:r>
        <w:rPr>
          <w:rFonts w:ascii="宋体" w:hAnsi="宋体" w:cs="宋体" w:eastAsia="宋体" w:hint="default"/>
          <w:sz w:val="18"/>
          <w:szCs w:val="18"/>
        </w:rPr>
        <w:t>报告期内，公司各位独立董事对董事会各项议案及公司其他事项没有提出异议。</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5"/>
          <w:szCs w:val="25"/>
        </w:rPr>
      </w:pPr>
    </w:p>
    <w:p>
      <w:pPr>
        <w:pStyle w:val="Heading2"/>
        <w:spacing w:line="240" w:lineRule="auto"/>
        <w:ind w:right="0"/>
        <w:jc w:val="both"/>
        <w:rPr>
          <w:b w:val="0"/>
          <w:bCs w:val="0"/>
        </w:rPr>
      </w:pPr>
      <w:bookmarkStart w:name="六、董事会下设专门委员会在报告期内履行职责情况" w:id="141"/>
      <w:bookmarkEnd w:id="141"/>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spacing w:line="316" w:lineRule="auto" w:before="0"/>
        <w:ind w:left="153" w:right="1131" w:firstLine="360"/>
        <w:jc w:val="both"/>
        <w:rPr>
          <w:rFonts w:ascii="宋体" w:hAnsi="宋体" w:cs="宋体" w:eastAsia="宋体" w:hint="default"/>
          <w:sz w:val="18"/>
          <w:szCs w:val="18"/>
        </w:rPr>
      </w:pPr>
      <w:r>
        <w:rPr>
          <w:rFonts w:ascii="宋体" w:hAnsi="宋体" w:cs="宋体" w:eastAsia="宋体" w:hint="default"/>
          <w:spacing w:val="-2"/>
          <w:sz w:val="18"/>
          <w:szCs w:val="18"/>
        </w:rPr>
        <w:t>公司董事会下设四个专门委员会，分别为审计委员会、提名委员会、薪酬与考核委员会、战略委员会。各专门委员会职</w:t>
      </w:r>
      <w:r>
        <w:rPr>
          <w:rFonts w:ascii="宋体" w:hAnsi="宋体" w:cs="宋体" w:eastAsia="宋体" w:hint="default"/>
          <w:sz w:val="18"/>
          <w:szCs w:val="18"/>
        </w:rPr>
        <w:t> </w:t>
      </w:r>
      <w:r>
        <w:rPr>
          <w:rFonts w:ascii="宋体" w:hAnsi="宋体" w:cs="宋体" w:eastAsia="宋体" w:hint="default"/>
          <w:spacing w:val="-2"/>
          <w:sz w:val="18"/>
          <w:szCs w:val="18"/>
        </w:rPr>
        <w:t>责明确，依据公司董事会制定的各专门委员会工作制度履行职责，就专业性事项进行研究，提出意见及建议，为董事会决策</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提供参考，</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年度各专门委员会履职情况如下：</w:t>
      </w:r>
    </w:p>
    <w:p>
      <w:pPr>
        <w:spacing w:line="316" w:lineRule="auto" w:before="0"/>
        <w:ind w:left="514" w:right="0" w:firstLine="0"/>
        <w:jc w:val="left"/>
        <w:rPr>
          <w:rFonts w:ascii="宋体" w:hAnsi="宋体" w:cs="宋体" w:eastAsia="宋体" w:hint="default"/>
          <w:sz w:val="18"/>
          <w:szCs w:val="18"/>
        </w:rPr>
      </w:pPr>
      <w:r>
        <w:rPr>
          <w:rFonts w:ascii="宋体" w:hAnsi="宋体" w:cs="宋体" w:eastAsia="宋体" w:hint="default"/>
          <w:sz w:val="18"/>
          <w:szCs w:val="18"/>
        </w:rPr>
        <w:t>（一）审计委员会 </w:t>
      </w:r>
      <w:r>
        <w:rPr>
          <w:rFonts w:ascii="宋体" w:hAnsi="宋体" w:cs="宋体" w:eastAsia="宋体" w:hint="default"/>
          <w:spacing w:val="-2"/>
          <w:sz w:val="18"/>
          <w:szCs w:val="18"/>
        </w:rPr>
        <w:t>公司审计委员会由三名董事组成，其中独立董事两名，并由会计专业的独立董事担任召集人。报告期内，公司董事会审</w:t>
      </w:r>
    </w:p>
    <w:p>
      <w:pPr>
        <w:spacing w:line="316" w:lineRule="auto" w:before="19"/>
        <w:ind w:left="154" w:right="1133" w:firstLine="0"/>
        <w:jc w:val="both"/>
        <w:rPr>
          <w:rFonts w:ascii="宋体" w:hAnsi="宋体" w:cs="宋体" w:eastAsia="宋体" w:hint="default"/>
          <w:sz w:val="18"/>
          <w:szCs w:val="18"/>
        </w:rPr>
      </w:pPr>
      <w:r>
        <w:rPr>
          <w:rFonts w:ascii="宋体" w:hAnsi="宋体" w:cs="宋体" w:eastAsia="宋体" w:hint="default"/>
          <w:spacing w:val="-2"/>
          <w:sz w:val="18"/>
          <w:szCs w:val="18"/>
        </w:rPr>
        <w:t>计委员会根据《公司法》、《证券法》、《上市公司治理准则》、公司《董事会审计委员会工作制度》等有关规定，认真履</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2"/>
          <w:sz w:val="18"/>
          <w:szCs w:val="18"/>
        </w:rPr>
        <w:t>行职责，持续关注公司情况和重大事项进展，指导公司审计部在内部审计过程中应重点关注和检查的事项，督促公司内部控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制的有效执行。与公司聘任的审计机构积极沟通、加强联系，督促其提高审计效率，按计划进行审计工作，切实履行了审计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委员会的职责。</w:t>
      </w:r>
    </w:p>
    <w:p>
      <w:pPr>
        <w:spacing w:line="316" w:lineRule="auto" w:before="19"/>
        <w:ind w:left="514" w:right="0" w:firstLine="0"/>
        <w:jc w:val="left"/>
        <w:rPr>
          <w:rFonts w:ascii="宋体" w:hAnsi="宋体" w:cs="宋体" w:eastAsia="宋体" w:hint="default"/>
          <w:sz w:val="18"/>
          <w:szCs w:val="18"/>
        </w:rPr>
      </w:pPr>
      <w:r>
        <w:rPr>
          <w:rFonts w:ascii="宋体" w:hAnsi="宋体" w:cs="宋体" w:eastAsia="宋体" w:hint="default"/>
          <w:sz w:val="18"/>
          <w:szCs w:val="18"/>
        </w:rPr>
        <w:t>（二）提名委员会 </w:t>
      </w:r>
      <w:r>
        <w:rPr>
          <w:rFonts w:ascii="宋体" w:hAnsi="宋体" w:cs="宋体" w:eastAsia="宋体" w:hint="default"/>
          <w:spacing w:val="-2"/>
          <w:sz w:val="18"/>
          <w:szCs w:val="18"/>
        </w:rPr>
        <w:t>提名委员会成员由三名董事组成，其中独立董事两名，</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年度，公司提名委员会各委员积极履行职责，为公司第三届</w:t>
      </w:r>
    </w:p>
    <w:p>
      <w:pPr>
        <w:spacing w:line="235" w:lineRule="exact"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董事会的董事的聘任，提供了专业的建议和意见，协助公司顺利完成董事的任免工作。</w:t>
      </w:r>
    </w:p>
    <w:p>
      <w:pPr>
        <w:spacing w:line="316" w:lineRule="auto" w:before="76"/>
        <w:ind w:left="513" w:right="0" w:firstLine="0"/>
        <w:jc w:val="left"/>
        <w:rPr>
          <w:rFonts w:ascii="宋体" w:hAnsi="宋体" w:cs="宋体" w:eastAsia="宋体" w:hint="default"/>
          <w:sz w:val="18"/>
          <w:szCs w:val="18"/>
        </w:rPr>
      </w:pPr>
      <w:r>
        <w:rPr>
          <w:rFonts w:ascii="宋体" w:hAnsi="宋体" w:cs="宋体" w:eastAsia="宋体" w:hint="default"/>
          <w:sz w:val="18"/>
          <w:szCs w:val="18"/>
        </w:rPr>
        <w:t>（三）薪酬与考核委员会 </w:t>
      </w:r>
      <w:r>
        <w:rPr>
          <w:rFonts w:ascii="宋体" w:hAnsi="宋体" w:cs="宋体" w:eastAsia="宋体" w:hint="default"/>
          <w:spacing w:val="-2"/>
          <w:sz w:val="18"/>
          <w:szCs w:val="18"/>
        </w:rPr>
        <w:t>薪酬与考核委员会成员由三名董事组成，其中独立董事两名，</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年度，各位委员认真履行其职责，对公司董事、监事</w:t>
      </w:r>
    </w:p>
    <w:p>
      <w:pPr>
        <w:spacing w:line="235" w:lineRule="exact"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和高级管理人员薪酬情况等事项进行了审议。</w:t>
      </w:r>
    </w:p>
    <w:p>
      <w:pPr>
        <w:spacing w:line="360" w:lineRule="auto" w:before="76"/>
        <w:ind w:left="444" w:right="0" w:firstLine="69"/>
        <w:jc w:val="left"/>
        <w:rPr>
          <w:rFonts w:ascii="宋体" w:hAnsi="宋体" w:cs="宋体" w:eastAsia="宋体" w:hint="default"/>
          <w:sz w:val="18"/>
          <w:szCs w:val="18"/>
        </w:rPr>
      </w:pPr>
      <w:r>
        <w:rPr>
          <w:rFonts w:ascii="宋体" w:hAnsi="宋体" w:cs="宋体" w:eastAsia="宋体" w:hint="default"/>
          <w:sz w:val="18"/>
          <w:szCs w:val="18"/>
        </w:rPr>
        <w:t>（四）战略委员会 </w:t>
      </w:r>
      <w:r>
        <w:rPr>
          <w:rFonts w:ascii="宋体" w:hAnsi="宋体" w:cs="宋体" w:eastAsia="宋体" w:hint="default"/>
          <w:spacing w:val="-1"/>
          <w:sz w:val="18"/>
          <w:szCs w:val="18"/>
        </w:rPr>
        <w:t>战略委员会成员由三名董事组成，其中独立董事一名，公司董事会战略委员会按照相关法律法规及《公司章程》、公司</w:t>
      </w:r>
    </w:p>
    <w:p>
      <w:pPr>
        <w:spacing w:line="221" w:lineRule="exact"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《董事会战略委员会工作制度》等相关制度的规定，战略委员会各委员认真履行职责，利用自身的专业知识，积极探讨符合</w:t>
      </w:r>
    </w:p>
    <w:p>
      <w:pPr>
        <w:spacing w:line="319" w:lineRule="auto" w:before="76"/>
        <w:ind w:left="153" w:right="1118" w:firstLine="0"/>
        <w:jc w:val="left"/>
        <w:rPr>
          <w:rFonts w:ascii="宋体" w:hAnsi="宋体" w:cs="宋体" w:eastAsia="宋体" w:hint="default"/>
          <w:sz w:val="18"/>
          <w:szCs w:val="18"/>
        </w:rPr>
      </w:pPr>
      <w:r>
        <w:rPr>
          <w:rFonts w:ascii="宋体" w:hAnsi="宋体" w:cs="宋体" w:eastAsia="宋体" w:hint="default"/>
          <w:spacing w:val="-2"/>
          <w:sz w:val="18"/>
          <w:szCs w:val="18"/>
        </w:rPr>
        <w:t>公司发展方向的战略布局，对公司的战略发展及业务扩展等方面提出宝贵建议，为公司实现快速、持续、健康的发展积极出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谋划策。</w:t>
      </w:r>
    </w:p>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group style="position:absolute;margin-left:383.980011pt;margin-top:650.440002pt;width:149.8pt;height:15.6pt;mso-position-horizontal-relative:page;mso-position-vertical-relative:page;z-index:-1125040" coordorigin="7680,13009" coordsize="2996,312">
            <v:shape style="position:absolute;left:7680;top:13009;width:2996;height:312" coordorigin="7680,13009" coordsize="2996,312" path="m7680,13321l10675,13321,10675,13009,7680,13009,7680,13321xe" filled="true" fillcolor="#ffffff" stroked="false">
              <v:path arrowok="t"/>
              <v:fill type="solid"/>
            </v:shape>
            <w10:wrap type="none"/>
          </v:group>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2"/>
        <w:spacing w:line="240" w:lineRule="auto" w:before="26"/>
        <w:ind w:right="0"/>
        <w:jc w:val="left"/>
        <w:rPr>
          <w:b w:val="0"/>
          <w:bCs w:val="0"/>
        </w:rPr>
      </w:pPr>
      <w:bookmarkStart w:name="七、监事会工作情况" w:id="142"/>
      <w:bookmarkEnd w:id="142"/>
      <w:r>
        <w:rPr>
          <w:b w:val="0"/>
          <w:bCs w:val="0"/>
        </w:rPr>
      </w:r>
      <w:r>
        <w:rPr/>
        <w:t>七、监事会工作情况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38" w:lineRule="auto" w:before="117"/>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监事会对报告期内的监督事项无异议。</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八、高级管理人员的考评及激励情况" w:id="143"/>
      <w:bookmarkEnd w:id="143"/>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spacing w:line="319" w:lineRule="auto" w:before="0"/>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根据《公司章程》、《董事、监事、高级管理人员薪酬制度》对董事、监事、高级管理人员进行考核，以上人员薪酬包括基</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本工资和年度绩效奖金两部分，年度绩效奖金与公司年度经营指标完成情况以及个人绩效评价相挂钩。</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3"/>
          <w:szCs w:val="23"/>
        </w:rPr>
      </w:pPr>
    </w:p>
    <w:p>
      <w:pPr>
        <w:pStyle w:val="Heading2"/>
        <w:spacing w:line="240" w:lineRule="auto"/>
        <w:ind w:right="0"/>
        <w:jc w:val="left"/>
        <w:rPr>
          <w:b w:val="0"/>
          <w:bCs w:val="0"/>
        </w:rPr>
      </w:pPr>
      <w:bookmarkStart w:name="九、内部控制评价报告" w:id="144"/>
      <w:bookmarkEnd w:id="144"/>
      <w:r>
        <w:rPr>
          <w:b w:val="0"/>
          <w:bCs w:val="0"/>
        </w:rPr>
      </w:r>
      <w:r>
        <w:rPr/>
        <w:t>九、内部控制评价报告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报告期内发现的内部控制重大缺陷的具体情况" w:id="145"/>
      <w:bookmarkEnd w:id="145"/>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内控自我评价报告" w:id="146"/>
      <w:bookmarkEnd w:id="146"/>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5"/>
        <w:gridCol w:w="3335"/>
        <w:gridCol w:w="3039"/>
      </w:tblGrid>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61"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6374" w:type="dxa"/>
            <w:gridSpan w:val="2"/>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参见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日刊登的：茂硕电源内部控制评价报告。巨潮资讯网</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w:t>
            </w:r>
            <w:hyperlink r:id="rId13">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92"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4" w:type="dxa"/>
            <w:gridSpan w:val="2"/>
            <w:vMerge/>
            <w:tcBorders>
              <w:left w:val="single" w:sz="9" w:space="0" w:color="D2D2D2"/>
              <w:right w:val="single" w:sz="4" w:space="0" w:color="000000"/>
            </w:tcBorders>
          </w:tcPr>
          <w:p>
            <w:pPr/>
          </w:p>
        </w:tc>
      </w:tr>
      <w:tr>
        <w:trPr>
          <w:trHeight w:val="161"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6374" w:type="dxa"/>
            <w:gridSpan w:val="2"/>
            <w:vMerge/>
            <w:tcBorders>
              <w:left w:val="single" w:sz="9" w:space="0" w:color="D2D2D2"/>
              <w:bottom w:val="single" w:sz="4" w:space="0" w:color="000000"/>
              <w:right w:val="single" w:sz="4" w:space="0" w:color="000000"/>
            </w:tcBorders>
          </w:tcPr>
          <w:p>
            <w:pPr/>
          </w:p>
        </w:tc>
      </w:tr>
      <w:tr>
        <w:trPr>
          <w:trHeight w:val="71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0"/>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0"/>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97"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076"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335" w:type="dxa"/>
            <w:vMerge w:val="restart"/>
            <w:tcBorders>
              <w:top w:val="single" w:sz="4" w:space="0" w:color="000000"/>
              <w:left w:val="single" w:sz="9" w:space="0" w:color="D2D2D2"/>
              <w:right w:val="single" w:sz="9" w:space="0" w:color="FFFFFF"/>
            </w:tcBorders>
          </w:tcPr>
          <w:p>
            <w:pPr>
              <w:pStyle w:val="TableParagraph"/>
              <w:spacing w:line="300" w:lineRule="auto" w:before="51"/>
              <w:ind w:left="16" w:right="-28"/>
              <w:jc w:val="left"/>
              <w:rPr>
                <w:rFonts w:ascii="宋体" w:hAnsi="宋体" w:cs="宋体" w:eastAsia="宋体" w:hint="default"/>
                <w:sz w:val="18"/>
                <w:szCs w:val="18"/>
              </w:rPr>
            </w:pPr>
            <w:r>
              <w:rPr>
                <w:rFonts w:ascii="宋体" w:hAnsi="宋体" w:cs="宋体" w:eastAsia="宋体" w:hint="default"/>
                <w:sz w:val="18"/>
                <w:szCs w:val="18"/>
              </w:rPr>
              <w:t>财务报告重大缺陷的迹象包括： （</w:t>
            </w:r>
            <w:r>
              <w:rPr>
                <w:rFonts w:ascii="Times New Roman" w:hAnsi="Times New Roman" w:cs="Times New Roman" w:eastAsia="Times New Roman" w:hint="default"/>
                <w:sz w:val="18"/>
                <w:szCs w:val="18"/>
              </w:rPr>
              <w:t>1</w:t>
            </w:r>
            <w:r>
              <w:rPr>
                <w:rFonts w:ascii="宋体" w:hAnsi="宋体" w:cs="宋体" w:eastAsia="宋体" w:hint="default"/>
                <w:sz w:val="18"/>
                <w:szCs w:val="18"/>
              </w:rPr>
              <w:t>）公 </w:t>
            </w:r>
            <w:r>
              <w:rPr>
                <w:rFonts w:ascii="宋体" w:hAnsi="宋体" w:cs="宋体" w:eastAsia="宋体" w:hint="default"/>
                <w:spacing w:val="-6"/>
                <w:sz w:val="18"/>
                <w:szCs w:val="18"/>
              </w:rPr>
              <w:t>司董事、监事和高级管理人员的舞弊行为；</w:t>
            </w:r>
            <w:r>
              <w:rPr>
                <w:rFonts w:ascii="宋体" w:hAnsi="宋体" w:cs="宋体" w:eastAsia="宋体" w:hint="default"/>
                <w:sz w:val="18"/>
                <w:szCs w:val="18"/>
              </w:rPr>
            </w:r>
          </w:p>
          <w:p>
            <w:pPr>
              <w:pStyle w:val="TableParagraph"/>
              <w:spacing w:line="312" w:lineRule="auto" w:before="31"/>
              <w:ind w:left="16" w:right="-35"/>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）公司更正已公布的财务报告； （</w:t>
            </w:r>
            <w:r>
              <w:rPr>
                <w:rFonts w:ascii="Times New Roman" w:hAnsi="Times New Roman" w:cs="Times New Roman" w:eastAsia="Times New Roman" w:hint="default"/>
                <w:sz w:val="18"/>
                <w:szCs w:val="18"/>
              </w:rPr>
              <w:t>3</w:t>
            </w:r>
            <w:r>
              <w:rPr>
                <w:rFonts w:ascii="宋体" w:hAnsi="宋体" w:cs="宋体" w:eastAsia="宋体" w:hint="default"/>
                <w:sz w:val="18"/>
                <w:szCs w:val="18"/>
              </w:rPr>
              <w:t>） 注册会计师发现的却未被公司内部控制识 别的当期财务报告中的重大错报； （</w:t>
            </w:r>
            <w:r>
              <w:rPr>
                <w:rFonts w:ascii="Times New Roman" w:hAnsi="Times New Roman" w:cs="Times New Roman" w:eastAsia="Times New Roman" w:hint="default"/>
                <w:sz w:val="18"/>
                <w:szCs w:val="18"/>
              </w:rPr>
              <w:t>4</w:t>
            </w:r>
            <w:r>
              <w:rPr>
                <w:rFonts w:ascii="宋体" w:hAnsi="宋体" w:cs="宋体" w:eastAsia="宋体" w:hint="default"/>
                <w:sz w:val="18"/>
                <w:szCs w:val="18"/>
              </w:rPr>
              <w:t>） 审计委员会和审计部门对公司的对外财务 报告和财务报告内部控制监督无效。</w:t>
            </w:r>
            <w:r>
              <w:rPr>
                <w:rFonts w:ascii="宋体" w:hAnsi="宋体" w:cs="宋体" w:eastAsia="宋体" w:hint="default"/>
                <w:spacing w:val="-63"/>
                <w:sz w:val="18"/>
                <w:szCs w:val="18"/>
              </w:rPr>
              <w:t> </w:t>
            </w:r>
            <w:r>
              <w:rPr>
                <w:rFonts w:ascii="宋体" w:hAnsi="宋体" w:cs="宋体" w:eastAsia="宋体" w:hint="default"/>
                <w:sz w:val="18"/>
                <w:szCs w:val="18"/>
              </w:rPr>
              <w:t>财务</w:t>
            </w:r>
            <w:r>
              <w:rPr>
                <w:rFonts w:ascii="宋体" w:hAnsi="宋体" w:cs="宋体" w:eastAsia="宋体" w:hint="default"/>
                <w:sz w:val="18"/>
                <w:szCs w:val="18"/>
              </w:rPr>
              <w:t> 报告重要缺陷的迹象包括： （</w:t>
            </w:r>
            <w:r>
              <w:rPr>
                <w:rFonts w:ascii="Times New Roman" w:hAnsi="Times New Roman" w:cs="Times New Roman" w:eastAsia="Times New Roman" w:hint="default"/>
                <w:sz w:val="18"/>
                <w:szCs w:val="18"/>
              </w:rPr>
              <w:t>1</w:t>
            </w:r>
            <w:r>
              <w:rPr>
                <w:rFonts w:ascii="宋体" w:hAnsi="宋体" w:cs="宋体" w:eastAsia="宋体" w:hint="default"/>
                <w:sz w:val="18"/>
                <w:szCs w:val="18"/>
              </w:rPr>
              <w:t>）未依照</w:t>
            </w:r>
          </w:p>
        </w:tc>
        <w:tc>
          <w:tcPr>
            <w:tcW w:w="3039" w:type="dxa"/>
            <w:vMerge w:val="restart"/>
            <w:tcBorders>
              <w:top w:val="single" w:sz="4" w:space="0" w:color="000000"/>
              <w:left w:val="single" w:sz="9" w:space="0" w:color="FFFFFF"/>
              <w:right w:val="single" w:sz="4" w:space="0" w:color="000000"/>
            </w:tcBorders>
          </w:tcPr>
          <w:p>
            <w:pPr>
              <w:pStyle w:val="TableParagraph"/>
              <w:spacing w:line="316" w:lineRule="auto" w:before="51"/>
              <w:ind w:left="4" w:right="21"/>
              <w:jc w:val="left"/>
              <w:rPr>
                <w:rFonts w:ascii="宋体" w:hAnsi="宋体" w:cs="宋体" w:eastAsia="宋体" w:hint="default"/>
                <w:sz w:val="18"/>
                <w:szCs w:val="18"/>
              </w:rPr>
            </w:pPr>
            <w:r>
              <w:rPr>
                <w:rFonts w:ascii="宋体" w:hAnsi="宋体" w:cs="宋体" w:eastAsia="宋体" w:hint="default"/>
                <w:sz w:val="18"/>
                <w:szCs w:val="18"/>
              </w:rPr>
              <w:t>非财务报告缺陷认定主要以缺陷对业 </w:t>
            </w:r>
            <w:r>
              <w:rPr>
                <w:rFonts w:ascii="宋体" w:hAnsi="宋体" w:cs="宋体" w:eastAsia="宋体" w:hint="default"/>
                <w:spacing w:val="-4"/>
                <w:sz w:val="18"/>
                <w:szCs w:val="18"/>
              </w:rPr>
              <w:t>务流程有效性的影响程度、发生的可能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性作判定。 如果缺陷发生的可能性较 </w:t>
            </w:r>
            <w:r>
              <w:rPr>
                <w:rFonts w:ascii="宋体" w:hAnsi="宋体" w:cs="宋体" w:eastAsia="宋体" w:hint="default"/>
                <w:spacing w:val="-4"/>
                <w:sz w:val="18"/>
                <w:szCs w:val="18"/>
              </w:rPr>
              <w:t>小，会降低工作效率或效果、或加大效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果的不确定性、或使之偏离预期目标为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一般缺陷； 如果缺陷发生的可能性较 </w:t>
            </w:r>
            <w:r>
              <w:rPr>
                <w:rFonts w:ascii="宋体" w:hAnsi="宋体" w:cs="宋体" w:eastAsia="宋体" w:hint="default"/>
                <w:spacing w:val="-4"/>
                <w:sz w:val="18"/>
                <w:szCs w:val="18"/>
              </w:rPr>
              <w:t>高，会显著降低工作效率或效果、或显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著加大效果的不确定性、或使之显著偏</w:t>
            </w:r>
          </w:p>
        </w:tc>
      </w:tr>
      <w:tr>
        <w:trPr>
          <w:trHeight w:val="393"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35" w:type="dxa"/>
            <w:vMerge/>
            <w:tcBorders>
              <w:left w:val="single" w:sz="9" w:space="0" w:color="D2D2D2"/>
              <w:right w:val="single" w:sz="9" w:space="0" w:color="FFFFFF"/>
            </w:tcBorders>
          </w:tcPr>
          <w:p>
            <w:pPr/>
          </w:p>
        </w:tc>
        <w:tc>
          <w:tcPr>
            <w:tcW w:w="3039" w:type="dxa"/>
            <w:vMerge/>
            <w:tcBorders>
              <w:left w:val="single" w:sz="9" w:space="0" w:color="FFFFFF"/>
              <w:right w:val="single" w:sz="4" w:space="0" w:color="000000"/>
            </w:tcBorders>
          </w:tcPr>
          <w:p>
            <w:pPr/>
          </w:p>
        </w:tc>
      </w:tr>
      <w:tr>
        <w:trPr>
          <w:trHeight w:val="1078"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3335" w:type="dxa"/>
            <w:vMerge/>
            <w:tcBorders>
              <w:left w:val="single" w:sz="9" w:space="0" w:color="D2D2D2"/>
              <w:bottom w:val="single" w:sz="4" w:space="0" w:color="000000"/>
              <w:right w:val="single" w:sz="9" w:space="0" w:color="FFFFFF"/>
            </w:tcBorders>
          </w:tcPr>
          <w:p>
            <w:pPr/>
          </w:p>
        </w:tc>
        <w:tc>
          <w:tcPr>
            <w:tcW w:w="3039" w:type="dxa"/>
            <w:vMerge/>
            <w:tcBorders>
              <w:left w:val="single" w:sz="9" w:space="0" w:color="FFFFFF"/>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3"/>
        <w:rPr>
          <w:rFonts w:ascii="宋体" w:hAnsi="宋体" w:cs="宋体" w:eastAsia="宋体" w:hint="default"/>
          <w:b/>
          <w:bCs/>
          <w:sz w:val="29"/>
          <w:szCs w:val="29"/>
        </w:rPr>
      </w:pPr>
    </w:p>
    <w:p>
      <w:pPr>
        <w:spacing w:line="312" w:lineRule="exact"/>
        <w:ind w:left="6699"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149.8pt;height:15.6pt;mso-position-horizontal-relative:char;mso-position-vertical-relative:line" coordorigin="0,0" coordsize="2996,312">
            <v:group style="position:absolute;left:0;top:0;width:2996;height:312" coordorigin="0,0" coordsize="2996,312">
              <v:shape style="position:absolute;left:0;top:0;width:2996;height:312" coordorigin="0,0" coordsize="2996,312" path="m0,312l2996,312,2996,0,0,0,0,312xe" filled="true" fillcolor="#ffffff" stroked="false">
                <v:path arrowok="t"/>
                <v:fill type="solid"/>
              </v:shape>
            </v:group>
          </v:group>
        </w:pict>
      </w:r>
      <w:r>
        <w:rPr>
          <w:rFonts w:ascii="宋体" w:hAnsi="宋体" w:cs="宋体" w:eastAsia="宋体" w:hint="default"/>
          <w:position w:val="-5"/>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9"/>
          <w:szCs w:val="29"/>
        </w:rPr>
      </w:pPr>
    </w:p>
    <w:p>
      <w:pPr>
        <w:spacing w:line="312" w:lineRule="exact"/>
        <w:ind w:left="6699"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149.8pt;height:15.6pt;mso-position-horizontal-relative:char;mso-position-vertical-relative:line" coordorigin="0,0" coordsize="2996,312">
            <v:group style="position:absolute;left:0;top:0;width:2996;height:312" coordorigin="0,0" coordsize="2996,312">
              <v:shape style="position:absolute;left:0;top:0;width:2996;height:312" coordorigin="0,0" coordsize="2996,312" path="m0,312l2996,312,2996,0,0,0,0,312xe" filled="true" fillcolor="#ffffff" stroked="false">
                <v:path arrowok="t"/>
                <v:fill type="solid"/>
              </v:shape>
            </v:group>
          </v:group>
        </w:pict>
      </w:r>
      <w:r>
        <w:rPr>
          <w:rFonts w:ascii="宋体" w:hAnsi="宋体" w:cs="宋体" w:eastAsia="宋体" w:hint="default"/>
          <w:position w:val="-5"/>
          <w:sz w:val="20"/>
          <w:szCs w:val="20"/>
        </w:rPr>
      </w:r>
    </w:p>
    <w:p>
      <w:pPr>
        <w:spacing w:line="240" w:lineRule="auto" w:before="11"/>
        <w:rPr>
          <w:rFonts w:ascii="宋体" w:hAnsi="宋体" w:cs="宋体" w:eastAsia="宋体" w:hint="default"/>
          <w:b/>
          <w:bCs/>
          <w:sz w:val="23"/>
          <w:szCs w:val="23"/>
        </w:rPr>
      </w:pPr>
    </w:p>
    <w:p>
      <w:pPr>
        <w:spacing w:line="312" w:lineRule="exact"/>
        <w:ind w:left="6699"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149.8pt;height:15.6pt;mso-position-horizontal-relative:char;mso-position-vertical-relative:line" coordorigin="0,0" coordsize="2996,312">
            <v:group style="position:absolute;left:0;top:0;width:2996;height:312" coordorigin="0,0" coordsize="2996,312">
              <v:shape style="position:absolute;left:0;top:0;width:2996;height:312" coordorigin="0,0" coordsize="2996,312" path="m0,312l2996,312,2996,0,0,0,0,312xe" filled="true" fillcolor="#ffffff" stroked="false">
                <v:path arrowok="t"/>
                <v:fill type="solid"/>
              </v:shape>
            </v:group>
          </v:group>
        </w:pict>
      </w:r>
      <w:r>
        <w:rPr>
          <w:rFonts w:ascii="宋体" w:hAnsi="宋体" w:cs="宋体" w:eastAsia="宋体" w:hint="default"/>
          <w:position w:val="-5"/>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4"/>
          <w:szCs w:val="24"/>
        </w:rPr>
      </w:pPr>
    </w:p>
    <w:p>
      <w:pPr>
        <w:spacing w:before="44"/>
        <w:ind w:left="0" w:right="1140" w:firstLine="0"/>
        <w:jc w:val="right"/>
        <w:rPr>
          <w:rFonts w:ascii="宋体" w:hAnsi="宋体" w:cs="宋体" w:eastAsia="宋体" w:hint="default"/>
          <w:sz w:val="18"/>
          <w:szCs w:val="18"/>
        </w:rPr>
      </w:pPr>
      <w:r>
        <w:rPr/>
        <w:pict>
          <v:shape style="position:absolute;margin-left:56.459999pt;margin-top:-346.548279pt;width:479.2pt;height:493.55pt;mso-position-horizontal-relative:page;mso-position-vertical-relative:paragraph;z-index:20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4"/>
                    <w:gridCol w:w="3335"/>
                    <w:gridCol w:w="3039"/>
                  </w:tblGrid>
                  <w:tr>
                    <w:trPr>
                      <w:trHeight w:val="2859"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35" w:type="dxa"/>
                        <w:tcBorders>
                          <w:top w:val="single" w:sz="4" w:space="0" w:color="000000"/>
                          <w:left w:val="single" w:sz="4" w:space="0" w:color="000000"/>
                          <w:bottom w:val="single" w:sz="4" w:space="0" w:color="000000"/>
                          <w:right w:val="single" w:sz="9" w:space="0" w:color="FFFFFF"/>
                        </w:tcBorders>
                      </w:tcPr>
                      <w:p>
                        <w:pPr>
                          <w:pStyle w:val="TableParagraph"/>
                          <w:spacing w:line="312" w:lineRule="auto" w:before="10"/>
                          <w:ind w:left="23" w:right="-28"/>
                          <w:jc w:val="left"/>
                          <w:rPr>
                            <w:rFonts w:ascii="宋体" w:hAnsi="宋体" w:cs="宋体" w:eastAsia="宋体" w:hint="default"/>
                            <w:sz w:val="18"/>
                            <w:szCs w:val="18"/>
                          </w:rPr>
                        </w:pPr>
                        <w:r>
                          <w:rPr>
                            <w:rFonts w:ascii="宋体" w:hAnsi="宋体" w:cs="宋体" w:eastAsia="宋体" w:hint="default"/>
                            <w:sz w:val="18"/>
                            <w:szCs w:val="18"/>
                          </w:rPr>
                          <w:t>公认会计准则选择和应用会计政策；</w:t>
                        </w:r>
                        <w:r>
                          <w:rPr>
                            <w:rFonts w:ascii="宋体" w:hAnsi="宋体" w:cs="宋体" w:eastAsia="宋体" w:hint="default"/>
                            <w:spacing w:val="-62"/>
                            <w:sz w:val="18"/>
                            <w:szCs w:val="18"/>
                          </w:rPr>
                          <w:t> </w:t>
                        </w: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w:t>
                        </w:r>
                        <w:r>
                          <w:rPr>
                            <w:rFonts w:ascii="宋体" w:hAnsi="宋体" w:cs="宋体" w:eastAsia="宋体" w:hint="default"/>
                            <w:spacing w:val="-35"/>
                            <w:sz w:val="18"/>
                            <w:szCs w:val="18"/>
                          </w:rPr>
                          <w:t> </w:t>
                        </w:r>
                        <w:r>
                          <w:rPr>
                            <w:rFonts w:ascii="宋体" w:hAnsi="宋体" w:cs="宋体" w:eastAsia="宋体" w:hint="default"/>
                            <w:sz w:val="18"/>
                            <w:szCs w:val="18"/>
                          </w:rPr>
                          <w:t>未建立反舞弊程序和控制措施； （</w:t>
                        </w:r>
                        <w:r>
                          <w:rPr>
                            <w:rFonts w:ascii="Times New Roman" w:hAnsi="Times New Roman" w:cs="Times New Roman" w:eastAsia="Times New Roman" w:hint="default"/>
                            <w:sz w:val="18"/>
                            <w:szCs w:val="18"/>
                          </w:rPr>
                          <w:t>3</w:t>
                        </w:r>
                        <w:r>
                          <w:rPr>
                            <w:rFonts w:ascii="宋体" w:hAnsi="宋体" w:cs="宋体" w:eastAsia="宋体" w:hint="default"/>
                            <w:sz w:val="18"/>
                            <w:szCs w:val="18"/>
                          </w:rPr>
                          <w:t>）对 于非常规或特殊交易的账务处理没有建立 相应的控制机制或没有实施且没有相应的 补偿性控制； （</w:t>
                        </w:r>
                        <w:r>
                          <w:rPr>
                            <w:rFonts w:ascii="Times New Roman" w:hAnsi="Times New Roman" w:cs="Times New Roman" w:eastAsia="Times New Roman" w:hint="default"/>
                            <w:sz w:val="18"/>
                            <w:szCs w:val="18"/>
                          </w:rPr>
                          <w:t>4</w:t>
                        </w:r>
                        <w:r>
                          <w:rPr>
                            <w:rFonts w:ascii="宋体" w:hAnsi="宋体" w:cs="宋体" w:eastAsia="宋体" w:hint="default"/>
                            <w:sz w:val="18"/>
                            <w:szCs w:val="18"/>
                          </w:rPr>
                          <w:t>）对于期末财务报告过 程的控制存在一项或多项缺陷且不能合理 保证编制的财务报表达到真实、完整的目 标。</w:t>
                        </w:r>
                        <w:r>
                          <w:rPr>
                            <w:rFonts w:ascii="宋体" w:hAnsi="宋体" w:cs="宋体" w:eastAsia="宋体" w:hint="default"/>
                            <w:spacing w:val="-47"/>
                            <w:sz w:val="18"/>
                            <w:szCs w:val="18"/>
                          </w:rPr>
                          <w:t> </w:t>
                        </w:r>
                        <w:r>
                          <w:rPr>
                            <w:rFonts w:ascii="宋体" w:hAnsi="宋体" w:cs="宋体" w:eastAsia="宋体" w:hint="default"/>
                            <w:sz w:val="18"/>
                            <w:szCs w:val="18"/>
                          </w:rPr>
                          <w:t>一般缺陷是指除上述重大缺陷、重要</w:t>
                        </w:r>
                        <w:r>
                          <w:rPr>
                            <w:rFonts w:ascii="宋体" w:hAnsi="宋体" w:cs="宋体" w:eastAsia="宋体" w:hint="default"/>
                            <w:sz w:val="18"/>
                            <w:szCs w:val="18"/>
                          </w:rPr>
                          <w:t> 缺陷之外的其他控制缺陷。</w:t>
                        </w:r>
                      </w:p>
                    </w:tc>
                    <w:tc>
                      <w:tcPr>
                        <w:tcW w:w="3039" w:type="dxa"/>
                        <w:tcBorders>
                          <w:top w:val="single" w:sz="4" w:space="0" w:color="000000"/>
                          <w:left w:val="single" w:sz="9" w:space="0" w:color="FFFFFF"/>
                          <w:bottom w:val="single" w:sz="4" w:space="0" w:color="000000"/>
                          <w:right w:val="single" w:sz="4" w:space="0" w:color="000000"/>
                        </w:tcBorders>
                      </w:tcPr>
                      <w:p>
                        <w:pPr>
                          <w:pStyle w:val="TableParagraph"/>
                          <w:spacing w:line="319" w:lineRule="auto" w:before="10"/>
                          <w:ind w:left="4" w:right="21"/>
                          <w:jc w:val="both"/>
                          <w:rPr>
                            <w:rFonts w:ascii="Times New Roman" w:hAnsi="Times New Roman" w:cs="Times New Roman" w:eastAsia="Times New Roman" w:hint="default"/>
                            <w:sz w:val="18"/>
                            <w:szCs w:val="18"/>
                          </w:rPr>
                        </w:pPr>
                        <w:r>
                          <w:rPr>
                            <w:rFonts w:ascii="宋体" w:hAnsi="宋体" w:cs="宋体" w:eastAsia="宋体" w:hint="default"/>
                            <w:sz w:val="18"/>
                            <w:szCs w:val="18"/>
                          </w:rPr>
                          <w:t>离预期目标为重要缺陷； 如果缺陷发 </w:t>
                        </w:r>
                        <w:r>
                          <w:rPr>
                            <w:rFonts w:ascii="宋体" w:hAnsi="宋体" w:cs="宋体" w:eastAsia="宋体" w:hint="default"/>
                            <w:spacing w:val="-4"/>
                            <w:sz w:val="18"/>
                            <w:szCs w:val="18"/>
                          </w:rPr>
                          <w:t>生的可能性高，会严重降低工作效率或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效果、或严重加大效果的不确定性、或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使之严重偏离预期目标为重大缺陷</w:t>
                        </w:r>
                        <w:r>
                          <w:rPr>
                            <w:rFonts w:ascii="Times New Roman" w:hAnsi="Times New Roman" w:cs="Times New Roman" w:eastAsia="Times New Roman" w:hint="default"/>
                            <w:sz w:val="18"/>
                            <w:szCs w:val="18"/>
                          </w:rPr>
                          <w:t>.</w:t>
                        </w:r>
                      </w:p>
                    </w:tc>
                  </w:tr>
                  <w:tr>
                    <w:trPr>
                      <w:trHeight w:val="539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35"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312" w:lineRule="auto" w:before="128"/>
                          <w:ind w:left="23" w:right="-28"/>
                          <w:jc w:val="left"/>
                          <w:rPr>
                            <w:rFonts w:ascii="宋体" w:hAnsi="宋体" w:cs="宋体" w:eastAsia="宋体" w:hint="default"/>
                            <w:sz w:val="18"/>
                            <w:szCs w:val="18"/>
                          </w:rPr>
                        </w:pPr>
                        <w:r>
                          <w:rPr>
                            <w:rFonts w:ascii="宋体" w:hAnsi="宋体" w:cs="宋体" w:eastAsia="宋体" w:hint="default"/>
                            <w:sz w:val="18"/>
                            <w:szCs w:val="18"/>
                          </w:rPr>
                          <w:t>定量标准以营业收入、资产总额作为衡量 指标。内部控制缺陷可能导致或导致的损 </w:t>
                        </w:r>
                        <w:r>
                          <w:rPr>
                            <w:rFonts w:ascii="宋体" w:hAnsi="宋体" w:cs="宋体" w:eastAsia="宋体" w:hint="default"/>
                            <w:spacing w:val="-6"/>
                            <w:sz w:val="18"/>
                            <w:szCs w:val="18"/>
                          </w:rPr>
                          <w:t>失与利润表相关的，以营业收入指标衡量。</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如果该缺陷单独或连同其他缺陷可能导致</w:t>
                        </w:r>
                        <w:r>
                          <w:rPr>
                            <w:rFonts w:ascii="宋体" w:hAnsi="宋体" w:cs="宋体" w:eastAsia="宋体" w:hint="default"/>
                            <w:sz w:val="18"/>
                            <w:szCs w:val="18"/>
                          </w:rPr>
                          <w:t> 的财务报告错报金额小于营业收入的</w:t>
                        </w:r>
                        <w:r>
                          <w:rPr>
                            <w:rFonts w:ascii="宋体" w:hAnsi="宋体" w:cs="宋体" w:eastAsia="宋体" w:hint="default"/>
                            <w:spacing w:val="-45"/>
                            <w:sz w:val="18"/>
                            <w:szCs w:val="18"/>
                          </w:rPr>
                          <w:t> </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w:t>
                        </w:r>
                        <w:r>
                          <w:rPr>
                            <w:rFonts w:ascii="宋体" w:hAnsi="宋体" w:cs="宋体" w:eastAsia="宋体" w:hint="default"/>
                            <w:spacing w:val="-22"/>
                            <w:sz w:val="18"/>
                            <w:szCs w:val="18"/>
                          </w:rPr>
                          <w:t> </w:t>
                        </w:r>
                        <w:r>
                          <w:rPr>
                            <w:rFonts w:ascii="宋体" w:hAnsi="宋体" w:cs="宋体" w:eastAsia="宋体" w:hint="default"/>
                            <w:sz w:val="18"/>
                            <w:szCs w:val="18"/>
                          </w:rPr>
                          <w:t>则认定为一般缺陷；如果超过营业收入的</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但小于</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，则为重要缺陷；如果超过 营业收入的 </w:t>
                        </w:r>
                        <w:r>
                          <w:rPr>
                            <w:rFonts w:ascii="Times New Roman" w:hAnsi="Times New Roman" w:cs="Times New Roman" w:eastAsia="Times New Roman" w:hint="default"/>
                            <w:sz w:val="18"/>
                            <w:szCs w:val="18"/>
                          </w:rPr>
                          <w:t>2%</w:t>
                        </w:r>
                        <w:r>
                          <w:rPr>
                            <w:rFonts w:ascii="宋体" w:hAnsi="宋体" w:cs="宋体" w:eastAsia="宋体" w:hint="default"/>
                            <w:sz w:val="18"/>
                            <w:szCs w:val="18"/>
                          </w:rPr>
                          <w:t>，则认定为重大缺陷。</w:t>
                        </w:r>
                        <w:r>
                          <w:rPr>
                            <w:rFonts w:ascii="宋体" w:hAnsi="宋体" w:cs="宋体" w:eastAsia="宋体" w:hint="default"/>
                            <w:spacing w:val="-46"/>
                            <w:sz w:val="18"/>
                            <w:szCs w:val="18"/>
                          </w:rPr>
                          <w:t> </w:t>
                        </w:r>
                        <w:r>
                          <w:rPr>
                            <w:rFonts w:ascii="宋体" w:hAnsi="宋体" w:cs="宋体" w:eastAsia="宋体" w:hint="default"/>
                            <w:sz w:val="18"/>
                            <w:szCs w:val="18"/>
                          </w:rPr>
                          <w:t>内 部控制缺陷可能导致或导致的损失与资产 管理相关的，以资产总额指标衡量。如果 该缺陷单独或连同其他缺陷可能导致的财 务报告错报金额小于资产总额的 </w:t>
                        </w:r>
                        <w:r>
                          <w:rPr>
                            <w:rFonts w:ascii="Times New Roman" w:hAnsi="Times New Roman" w:cs="Times New Roman" w:eastAsia="Times New Roman" w:hint="default"/>
                            <w:spacing w:val="-26"/>
                            <w:sz w:val="18"/>
                            <w:szCs w:val="18"/>
                          </w:rPr>
                          <w:t>0.5%</w:t>
                        </w:r>
                        <w:r>
                          <w:rPr>
                            <w:rFonts w:ascii="宋体" w:hAnsi="宋体" w:cs="宋体" w:eastAsia="宋体" w:hint="default"/>
                            <w:spacing w:val="-26"/>
                            <w:sz w:val="18"/>
                            <w:szCs w:val="18"/>
                          </w:rPr>
                          <w:t>，则</w:t>
                        </w:r>
                        <w:r>
                          <w:rPr>
                            <w:rFonts w:ascii="宋体" w:hAnsi="宋体" w:cs="宋体" w:eastAsia="宋体" w:hint="default"/>
                            <w:spacing w:val="-78"/>
                            <w:sz w:val="18"/>
                            <w:szCs w:val="18"/>
                          </w:rPr>
                          <w:t> </w:t>
                        </w:r>
                        <w:r>
                          <w:rPr>
                            <w:rFonts w:ascii="宋体" w:hAnsi="宋体" w:cs="宋体" w:eastAsia="宋体" w:hint="default"/>
                            <w:sz w:val="18"/>
                            <w:szCs w:val="18"/>
                          </w:rPr>
                          <w:t>认定为一般缺陷；如果超过资产总额的</w:t>
                        </w:r>
                        <w:r>
                          <w:rPr>
                            <w:rFonts w:ascii="宋体" w:hAnsi="宋体" w:cs="宋体" w:eastAsia="宋体" w:hint="default"/>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认定为重要缺陷；如果超 过资产总额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，则认定为重大缺陷。</w:t>
                        </w:r>
                      </w:p>
                    </w:tc>
                    <w:tc>
                      <w:tcPr>
                        <w:tcW w:w="3039" w:type="dxa"/>
                        <w:tcBorders>
                          <w:top w:val="single" w:sz="4" w:space="0" w:color="000000"/>
                          <w:left w:val="single" w:sz="9" w:space="0" w:color="FFFFFF"/>
                          <w:bottom w:val="single" w:sz="4" w:space="0" w:color="000000"/>
                          <w:right w:val="single" w:sz="4" w:space="0" w:color="000000"/>
                        </w:tcBorders>
                      </w:tcPr>
                      <w:p>
                        <w:pPr>
                          <w:pStyle w:val="TableParagraph"/>
                          <w:spacing w:line="312" w:lineRule="auto" w:before="51"/>
                          <w:ind w:left="4" w:right="21"/>
                          <w:jc w:val="left"/>
                          <w:rPr>
                            <w:rFonts w:ascii="宋体" w:hAnsi="宋体" w:cs="宋体" w:eastAsia="宋体" w:hint="default"/>
                            <w:sz w:val="18"/>
                            <w:szCs w:val="18"/>
                          </w:rPr>
                        </w:pPr>
                        <w:r>
                          <w:rPr>
                            <w:rFonts w:ascii="宋体" w:hAnsi="宋体" w:cs="宋体" w:eastAsia="宋体" w:hint="default"/>
                            <w:spacing w:val="-4"/>
                            <w:sz w:val="18"/>
                            <w:szCs w:val="18"/>
                          </w:rPr>
                          <w:t>定量标准以营业收入、资产总额作为衡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量指标。内部控制缺陷可能导致或导致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的损失与利润报表相关的，以营业收入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指标衡量。如果该缺陷单独或连同其他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缺陷可能导致的财务报告错报金额小 于营业收入的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，则认定为一般缺 陷；如果超过营业收入的 </w:t>
                        </w:r>
                        <w:r>
                          <w:rPr>
                            <w:rFonts w:ascii="Times New Roman" w:hAnsi="Times New Roman" w:cs="Times New Roman" w:eastAsia="Times New Roman" w:hint="default"/>
                            <w:sz w:val="18"/>
                            <w:szCs w:val="18"/>
                          </w:rPr>
                          <w:t>1%</w:t>
                        </w:r>
                        <w:r>
                          <w:rPr>
                            <w:rFonts w:ascii="宋体" w:hAnsi="宋体" w:cs="宋体" w:eastAsia="宋体" w:hint="default"/>
                            <w:sz w:val="18"/>
                            <w:szCs w:val="18"/>
                          </w:rPr>
                          <w:t>但小于 </w:t>
                        </w:r>
                        <w:r>
                          <w:rPr>
                            <w:rFonts w:ascii="Times New Roman" w:hAnsi="Times New Roman" w:cs="Times New Roman" w:eastAsia="Times New Roman" w:hint="default"/>
                            <w:sz w:val="18"/>
                            <w:szCs w:val="18"/>
                          </w:rPr>
                          <w:t>2%</w:t>
                        </w:r>
                        <w:r>
                          <w:rPr>
                            <w:rFonts w:ascii="宋体" w:hAnsi="宋体" w:cs="宋体" w:eastAsia="宋体" w:hint="default"/>
                            <w:sz w:val="18"/>
                            <w:szCs w:val="18"/>
                          </w:rPr>
                          <w:t>认定为重要缺陷；如果超过税前利 润营业收入的 </w:t>
                        </w:r>
                        <w:r>
                          <w:rPr>
                            <w:rFonts w:ascii="Times New Roman" w:hAnsi="Times New Roman" w:cs="Times New Roman" w:eastAsia="Times New Roman" w:hint="default"/>
                            <w:sz w:val="18"/>
                            <w:szCs w:val="18"/>
                          </w:rPr>
                          <w:t>2%</w:t>
                        </w:r>
                        <w:r>
                          <w:rPr>
                            <w:rFonts w:ascii="宋体" w:hAnsi="宋体" w:cs="宋体" w:eastAsia="宋体" w:hint="default"/>
                            <w:sz w:val="18"/>
                            <w:szCs w:val="18"/>
                          </w:rPr>
                          <w:t>，则认定为重大缺 陷。 内部控制缺陷可能导致或导致的 </w:t>
                        </w:r>
                        <w:r>
                          <w:rPr>
                            <w:rFonts w:ascii="宋体" w:hAnsi="宋体" w:cs="宋体" w:eastAsia="宋体" w:hint="default"/>
                            <w:spacing w:val="-4"/>
                            <w:sz w:val="18"/>
                            <w:szCs w:val="18"/>
                          </w:rPr>
                          <w:t>损失与资产管理相关的，以资产总额指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标衡量。如果该缺陷单独或连同其他缺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陷可能导致的财务报告错报金额小于 资产总额的 </w:t>
                        </w:r>
                        <w:r>
                          <w:rPr>
                            <w:rFonts w:ascii="Times New Roman" w:hAnsi="Times New Roman" w:cs="Times New Roman" w:eastAsia="Times New Roman" w:hint="default"/>
                            <w:spacing w:val="-7"/>
                            <w:sz w:val="18"/>
                            <w:szCs w:val="18"/>
                          </w:rPr>
                          <w:t>0.5%</w:t>
                        </w:r>
                        <w:r>
                          <w:rPr>
                            <w:rFonts w:ascii="宋体" w:hAnsi="宋体" w:cs="宋体" w:eastAsia="宋体" w:hint="default"/>
                            <w:spacing w:val="-7"/>
                            <w:sz w:val="18"/>
                            <w:szCs w:val="18"/>
                          </w:rPr>
                          <w:t>，则认定为一般缺陷</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如果超过资产总额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 认定为重要缺陷；如果超过资产总额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，则认定为重大缺陷。</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Heading2"/>
        <w:spacing w:line="240" w:lineRule="auto" w:before="26"/>
        <w:ind w:left="154" w:right="0"/>
        <w:jc w:val="left"/>
        <w:rPr>
          <w:b w:val="0"/>
          <w:bCs w:val="0"/>
        </w:rPr>
      </w:pPr>
      <w:bookmarkStart w:name="十、内部控制审计报告或鉴证报告" w:id="147"/>
      <w:bookmarkEnd w:id="147"/>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内部控制鉴证报告</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1338"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4"/>
              <w:jc w:val="left"/>
              <w:rPr>
                <w:rFonts w:ascii="宋体" w:hAnsi="宋体" w:cs="宋体" w:eastAsia="宋体" w:hint="default"/>
                <w:sz w:val="18"/>
                <w:szCs w:val="18"/>
              </w:rPr>
            </w:pPr>
            <w:r>
              <w:rPr>
                <w:rFonts w:ascii="宋体" w:hAnsi="宋体" w:cs="宋体" w:eastAsia="宋体" w:hint="default"/>
                <w:sz w:val="18"/>
                <w:szCs w:val="18"/>
              </w:rPr>
              <w:t>基于作为我们为了对上述财务报表整体发表审计意见之目的而实施的审计程序的一部分而对该说明中所述的与茂硕电源 公司上述财务报表编制相关的内部控制的研究和评价，我们未发现茂硕电源公司编写的《关于内部控制有关事项的说明》 中所述的与财务报表编制相关的内部控制的相关情况与我们对茂硕电源公司就上述财务报表的审计发现存在重大的不一 致。</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参见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日刊登的：茂硕电源内部控制鉴证报告。巨潮资讯网</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w:t>
            </w:r>
            <w:hyperlink r:id="rId13">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会计师事务所是否出具非标准意见的内部控制鉴证报告</w:t>
      </w:r>
    </w:p>
    <w:p>
      <w:pPr>
        <w:spacing w:line="338" w:lineRule="auto" w:before="117"/>
        <w:ind w:left="153" w:right="46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会计师事务所出具的内部控制鉴证报告与董事会的自我评价报告意见是否一致</w:t>
      </w:r>
    </w:p>
    <w:p>
      <w:pPr>
        <w:spacing w:before="4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593"/>
        <w:jc w:val="center"/>
        <w:rPr>
          <w:b w:val="0"/>
          <w:bCs w:val="0"/>
        </w:rPr>
      </w:pPr>
      <w:bookmarkStart w:name="第十节 财务报告" w:id="148"/>
      <w:bookmarkEnd w:id="148"/>
      <w:r>
        <w:rPr>
          <w:b w:val="0"/>
          <w:bCs w:val="0"/>
        </w:rPr>
      </w:r>
      <w:bookmarkStart w:name="_bookmark8" w:id="149"/>
      <w:bookmarkEnd w:id="149"/>
      <w:r>
        <w:rPr>
          <w:b w:val="0"/>
          <w:bCs w:val="0"/>
        </w:rPr>
      </w:r>
      <w:r>
        <w:rPr/>
        <w:t>第十节</w:t>
      </w:r>
      <w:r>
        <w:rPr>
          <w:spacing w:val="-5"/>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50"/>
      <w:bookmarkEnd w:id="150"/>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瑞华审字</w:t>
            </w:r>
            <w:r>
              <w:rPr>
                <w:rFonts w:ascii="Times New Roman" w:hAnsi="Times New Roman" w:cs="Times New Roman" w:eastAsia="Times New Roman" w:hint="default"/>
                <w:sz w:val="18"/>
                <w:szCs w:val="18"/>
              </w:rPr>
              <w:t>[2016]48230020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杨轶彬 李梅</w:t>
            </w:r>
          </w:p>
        </w:tc>
      </w:tr>
    </w:tbl>
    <w:p>
      <w:pPr>
        <w:spacing w:before="51"/>
        <w:ind w:left="615" w:right="1591"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before="125"/>
        <w:ind w:left="615" w:right="1592" w:firstLine="0"/>
        <w:jc w:val="center"/>
        <w:rPr>
          <w:rFonts w:ascii="宋体" w:hAnsi="宋体" w:cs="宋体" w:eastAsia="宋体" w:hint="default"/>
          <w:sz w:val="36"/>
          <w:szCs w:val="36"/>
        </w:rPr>
      </w:pPr>
      <w:r>
        <w:rPr>
          <w:rFonts w:ascii="宋体" w:hAnsi="宋体" w:cs="宋体" w:eastAsia="宋体" w:hint="default"/>
          <w:b/>
          <w:bCs/>
          <w:sz w:val="36"/>
          <w:szCs w:val="36"/>
        </w:rPr>
        <w:t>审 计 报</w:t>
      </w:r>
      <w:r>
        <w:rPr>
          <w:rFonts w:ascii="宋体" w:hAnsi="宋体" w:cs="宋体" w:eastAsia="宋体" w:hint="default"/>
          <w:b/>
          <w:bCs/>
          <w:spacing w:val="-87"/>
          <w:sz w:val="36"/>
          <w:szCs w:val="36"/>
        </w:rPr>
        <w:t> </w:t>
      </w:r>
      <w:r>
        <w:rPr>
          <w:rFonts w:ascii="宋体" w:hAnsi="宋体" w:cs="宋体" w:eastAsia="宋体" w:hint="default"/>
          <w:b/>
          <w:bCs/>
          <w:sz w:val="36"/>
          <w:szCs w:val="36"/>
        </w:rPr>
        <w:t>告</w:t>
      </w:r>
      <w:r>
        <w:rPr>
          <w:rFonts w:ascii="宋体" w:hAnsi="宋体" w:cs="宋体" w:eastAsia="宋体" w:hint="default"/>
          <w:sz w:val="36"/>
          <w:szCs w:val="36"/>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3"/>
        <w:spacing w:line="322" w:lineRule="exact" w:before="193"/>
        <w:ind w:left="6967" w:right="0"/>
        <w:jc w:val="left"/>
      </w:pPr>
      <w:r>
        <w:rPr/>
        <w:t>瑞华审字</w:t>
      </w:r>
      <w:r>
        <w:rPr>
          <w:rFonts w:ascii="Times New Roman" w:hAnsi="Times New Roman" w:cs="Times New Roman" w:eastAsia="Times New Roman" w:hint="default"/>
        </w:rPr>
        <w:t>[2016]48230020</w:t>
      </w:r>
      <w:r>
        <w:rPr/>
        <w:t>号</w:t>
      </w:r>
    </w:p>
    <w:p>
      <w:pPr>
        <w:pStyle w:val="Heading2"/>
        <w:spacing w:line="304" w:lineRule="exact"/>
        <w:ind w:right="0"/>
        <w:jc w:val="left"/>
        <w:rPr>
          <w:b w:val="0"/>
          <w:bCs w:val="0"/>
        </w:rPr>
      </w:pPr>
      <w:r>
        <w:rPr/>
        <w:t>茂硕电源科技股份有限公司全体股东：</w:t>
      </w:r>
      <w:r>
        <w:rPr>
          <w:b w:val="0"/>
          <w:bCs w:val="0"/>
        </w:rPr>
      </w:r>
    </w:p>
    <w:p>
      <w:pPr>
        <w:spacing w:line="240" w:lineRule="auto" w:before="9"/>
        <w:rPr>
          <w:rFonts w:ascii="宋体" w:hAnsi="宋体" w:cs="宋体" w:eastAsia="宋体" w:hint="default"/>
          <w:b/>
          <w:bCs/>
          <w:sz w:val="21"/>
          <w:szCs w:val="21"/>
        </w:rPr>
      </w:pPr>
    </w:p>
    <w:p>
      <w:pPr>
        <w:pStyle w:val="Heading3"/>
        <w:spacing w:line="312" w:lineRule="exact" w:before="56"/>
        <w:ind w:right="0" w:firstLine="480"/>
        <w:jc w:val="left"/>
      </w:pPr>
      <w:r>
        <w:rPr>
          <w:spacing w:val="-2"/>
        </w:rPr>
        <w:t>我们审计了后附的茂硕电源科技股份有限公司（以下简称</w:t>
      </w:r>
      <w:r>
        <w:rPr>
          <w:rFonts w:ascii="Times New Roman" w:hAnsi="Times New Roman" w:cs="Times New Roman" w:eastAsia="Times New Roman" w:hint="default"/>
          <w:spacing w:val="-2"/>
        </w:rPr>
        <w:t>“</w:t>
      </w:r>
      <w:r>
        <w:rPr>
          <w:spacing w:val="-2"/>
        </w:rPr>
        <w:t>茂硕电源公司</w:t>
      </w:r>
      <w:r>
        <w:rPr>
          <w:rFonts w:ascii="Times New Roman" w:hAnsi="Times New Roman" w:cs="Times New Roman" w:eastAsia="Times New Roman" w:hint="default"/>
          <w:spacing w:val="-2"/>
        </w:rPr>
        <w:t>”</w:t>
      </w:r>
      <w:r>
        <w:rPr>
          <w:spacing w:val="-2"/>
        </w:rPr>
        <w:t>）的财务报表，</w:t>
      </w:r>
      <w:r>
        <w:rPr/>
        <w:t> 包括</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日合并及公司的资产负债表，</w:t>
      </w:r>
      <w:r>
        <w:rPr>
          <w:rFonts w:ascii="Times New Roman" w:hAnsi="Times New Roman" w:cs="Times New Roman" w:eastAsia="Times New Roman" w:hint="default"/>
        </w:rPr>
        <w:t>2015</w:t>
      </w:r>
      <w:r>
        <w:rPr/>
        <w:t>年度合并及公司的利润表、合并及公司</w:t>
      </w:r>
      <w:r>
        <w:rPr>
          <w:spacing w:val="-107"/>
        </w:rPr>
        <w:t> </w:t>
      </w:r>
      <w:r>
        <w:rPr>
          <w:spacing w:val="-107"/>
        </w:rPr>
      </w:r>
      <w:r>
        <w:rPr/>
        <w:t>的现金流量表和合并及公司的股东权益变动表以及财务报表附注。</w:t>
      </w:r>
    </w:p>
    <w:p>
      <w:pPr>
        <w:spacing w:line="240" w:lineRule="auto" w:before="11"/>
        <w:rPr>
          <w:rFonts w:ascii="宋体" w:hAnsi="宋体" w:cs="宋体" w:eastAsia="宋体" w:hint="default"/>
          <w:sz w:val="23"/>
          <w:szCs w:val="23"/>
        </w:rPr>
      </w:pPr>
    </w:p>
    <w:p>
      <w:pPr>
        <w:spacing w:line="312" w:lineRule="exact" w:before="0"/>
        <w:ind w:left="634" w:right="0" w:firstLine="2"/>
        <w:jc w:val="left"/>
        <w:rPr>
          <w:rFonts w:ascii="宋体" w:hAnsi="宋体" w:cs="宋体" w:eastAsia="宋体" w:hint="default"/>
          <w:sz w:val="24"/>
          <w:szCs w:val="24"/>
        </w:rPr>
      </w:pPr>
      <w:r>
        <w:rPr>
          <w:rFonts w:ascii="宋体" w:hAnsi="宋体" w:cs="宋体" w:eastAsia="宋体" w:hint="default"/>
          <w:b/>
          <w:bCs/>
          <w:sz w:val="24"/>
          <w:szCs w:val="24"/>
        </w:rPr>
        <w:t>一、管理层对财务报表的责任</w:t>
      </w:r>
      <w:r>
        <w:rPr>
          <w:rFonts w:ascii="宋体" w:hAnsi="宋体" w:cs="宋体" w:eastAsia="宋体" w:hint="default"/>
          <w:b/>
          <w:bCs/>
          <w:w w:val="99"/>
          <w:sz w:val="24"/>
          <w:szCs w:val="24"/>
        </w:rPr>
        <w:t> </w:t>
      </w:r>
      <w:r>
        <w:rPr>
          <w:rFonts w:ascii="宋体" w:hAnsi="宋体" w:cs="宋体" w:eastAsia="宋体" w:hint="default"/>
          <w:spacing w:val="-3"/>
          <w:sz w:val="24"/>
          <w:szCs w:val="24"/>
        </w:rPr>
        <w:t>编制和公允列报财务报表是茂硕电源公司管理层的责任。这种责任包括：（</w:t>
      </w:r>
      <w:r>
        <w:rPr>
          <w:rFonts w:ascii="Times New Roman" w:hAnsi="Times New Roman" w:cs="Times New Roman" w:eastAsia="Times New Roman" w:hint="default"/>
          <w:spacing w:val="-3"/>
          <w:sz w:val="24"/>
          <w:szCs w:val="24"/>
        </w:rPr>
        <w:t>1</w:t>
      </w:r>
      <w:r>
        <w:rPr>
          <w:rFonts w:ascii="宋体" w:hAnsi="宋体" w:cs="宋体" w:eastAsia="宋体" w:hint="default"/>
          <w:spacing w:val="-3"/>
          <w:sz w:val="24"/>
          <w:szCs w:val="24"/>
        </w:rPr>
        <w:t>）按照企业</w:t>
      </w:r>
    </w:p>
    <w:p>
      <w:pPr>
        <w:pStyle w:val="Heading3"/>
        <w:spacing w:line="312" w:lineRule="exact"/>
        <w:ind w:right="1115"/>
        <w:jc w:val="left"/>
      </w:pPr>
      <w:r>
        <w:rPr>
          <w:spacing w:val="-2"/>
        </w:rPr>
        <w:t>会计准则的规定编制财务报表，并使其实现公允反映；（</w:t>
      </w:r>
      <w:r>
        <w:rPr>
          <w:rFonts w:ascii="Times New Roman" w:hAnsi="Times New Roman" w:cs="Times New Roman" w:eastAsia="Times New Roman" w:hint="default"/>
          <w:spacing w:val="-2"/>
        </w:rPr>
        <w:t>2</w:t>
      </w:r>
      <w:r>
        <w:rPr>
          <w:spacing w:val="-2"/>
        </w:rPr>
        <w:t>）设计、执行和维护必要的内部控</w:t>
      </w:r>
      <w:r>
        <w:rPr/>
        <w:t> 制，以使财务报表不存在由于舞弊或错误导致的重大错报。</w:t>
      </w:r>
    </w:p>
    <w:p>
      <w:pPr>
        <w:spacing w:line="240" w:lineRule="auto" w:before="11"/>
        <w:rPr>
          <w:rFonts w:ascii="宋体" w:hAnsi="宋体" w:cs="宋体" w:eastAsia="宋体" w:hint="default"/>
          <w:sz w:val="23"/>
          <w:szCs w:val="23"/>
        </w:rPr>
      </w:pPr>
    </w:p>
    <w:p>
      <w:pPr>
        <w:spacing w:line="312" w:lineRule="exact" w:before="0"/>
        <w:ind w:left="634" w:right="0" w:firstLine="2"/>
        <w:jc w:val="left"/>
        <w:rPr>
          <w:rFonts w:ascii="宋体" w:hAnsi="宋体" w:cs="宋体" w:eastAsia="宋体" w:hint="default"/>
          <w:sz w:val="24"/>
          <w:szCs w:val="24"/>
        </w:rPr>
      </w:pPr>
      <w:r>
        <w:rPr>
          <w:rFonts w:ascii="宋体" w:hAnsi="宋体" w:cs="宋体" w:eastAsia="宋体" w:hint="default"/>
          <w:b/>
          <w:bCs/>
          <w:sz w:val="24"/>
          <w:szCs w:val="24"/>
        </w:rPr>
        <w:t>二、注册会计师的责任</w:t>
      </w:r>
      <w:r>
        <w:rPr>
          <w:rFonts w:ascii="宋体" w:hAnsi="宋体" w:cs="宋体" w:eastAsia="宋体" w:hint="default"/>
          <w:b/>
          <w:bCs/>
          <w:w w:val="99"/>
          <w:sz w:val="24"/>
          <w:szCs w:val="24"/>
        </w:rPr>
        <w:t> </w:t>
      </w:r>
      <w:r>
        <w:rPr>
          <w:rFonts w:ascii="宋体" w:hAnsi="宋体" w:cs="宋体" w:eastAsia="宋体" w:hint="default"/>
          <w:sz w:val="24"/>
          <w:szCs w:val="24"/>
        </w:rPr>
        <w:t>我们的责任是在执行审计工作的基础上对财务报表发表审计意见。我们按照中国注册会</w:t>
      </w:r>
    </w:p>
    <w:p>
      <w:pPr>
        <w:pStyle w:val="Heading3"/>
        <w:spacing w:line="312" w:lineRule="exact"/>
        <w:ind w:left="154" w:right="0"/>
        <w:jc w:val="left"/>
      </w:pPr>
      <w:r>
        <w:rPr/>
        <w:t>计师审计准则的规定执行了审计工作。中国注册会计师审计准则要求我们遵守中国注册会计 师职业道德守则，计划和执行审计工作以对财务报表是否不存在重大错报获取合理保证。</w:t>
      </w:r>
    </w:p>
    <w:p>
      <w:pPr>
        <w:pStyle w:val="Heading3"/>
        <w:spacing w:line="312" w:lineRule="exact"/>
        <w:ind w:right="995" w:firstLine="480"/>
        <w:jc w:val="left"/>
      </w:pPr>
      <w:r>
        <w:rPr/>
        <w:t>审计工作涉及实施审计程序，以获取有关财务报表金额和披露的审计证据。选择的审计 </w:t>
      </w:r>
      <w:r>
        <w:rPr>
          <w:spacing w:val="-2"/>
        </w:rPr>
        <w:t>程序取决于注册会计师的判断，包括对由于舞弊或错误导致的财务报表重大错报风险的评估。</w:t>
      </w:r>
      <w:r>
        <w:rPr/>
        <w:t> 在进行风险评估时，注册会计师考虑与财务报表编制和公允列报相关的内部控制，以设计恰 当的审计程序，但目的并非对内部控制的有效性发表意见。审计工作还包括评价管理层选用 会计政策的恰当性和作出会计估计的合理性，以及评价财务报表的总体列报。</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1"/>
          <w:szCs w:val="21"/>
        </w:rPr>
      </w:pPr>
    </w:p>
    <w:p>
      <w:pPr>
        <w:pStyle w:val="Heading3"/>
        <w:spacing w:line="240" w:lineRule="auto"/>
        <w:ind w:left="633" w:right="0"/>
        <w:jc w:val="left"/>
      </w:pPr>
      <w:r>
        <w:rPr/>
        <w:t>我们相信，我们获取的审计证据是充分、适当的，为发表审计意见提供了基础。</w:t>
      </w:r>
    </w:p>
    <w:p>
      <w:pPr>
        <w:spacing w:after="0" w:line="240" w:lineRule="auto"/>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3"/>
        <w:spacing w:line="312" w:lineRule="exact" w:before="56"/>
        <w:ind w:left="633" w:right="0" w:firstLine="2"/>
        <w:jc w:val="left"/>
      </w:pPr>
      <w:r>
        <w:rPr>
          <w:rFonts w:ascii="宋体" w:hAnsi="宋体" w:cs="宋体" w:eastAsia="宋体" w:hint="default"/>
          <w:b/>
          <w:bCs/>
        </w:rPr>
        <w:t>三、审计意见</w:t>
      </w:r>
      <w:r>
        <w:rPr>
          <w:rFonts w:ascii="宋体" w:hAnsi="宋体" w:cs="宋体" w:eastAsia="宋体" w:hint="default"/>
          <w:b/>
          <w:bCs/>
          <w:w w:val="99"/>
        </w:rPr>
        <w:t> </w:t>
      </w:r>
      <w:r>
        <w:rPr/>
        <w:t>我们认为，上述财务报表在所有重大方面按照企业会计准则的规定编制，公允反映了茂</w:t>
      </w:r>
    </w:p>
    <w:p>
      <w:pPr>
        <w:pStyle w:val="Heading3"/>
        <w:spacing w:line="312" w:lineRule="exact"/>
        <w:ind w:right="0"/>
        <w:jc w:val="left"/>
      </w:pPr>
      <w:r>
        <w:rPr/>
        <w:t>硕电源科技股份有限公司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日合并及公司的财务状况以及</w:t>
      </w:r>
      <w:r>
        <w:rPr>
          <w:rFonts w:ascii="Times New Roman" w:hAnsi="Times New Roman" w:cs="Times New Roman" w:eastAsia="Times New Roman" w:hint="default"/>
        </w:rPr>
        <w:t>2015</w:t>
      </w:r>
      <w:r>
        <w:rPr/>
        <w:t>年度合并及公司的</w:t>
      </w:r>
      <w:r>
        <w:rPr>
          <w:spacing w:val="-107"/>
        </w:rPr>
        <w:t> </w:t>
      </w:r>
      <w:r>
        <w:rPr>
          <w:spacing w:val="-107"/>
        </w:rPr>
      </w:r>
      <w:r>
        <w:rPr/>
        <w:t>经营成果和现金流量。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tbl>
      <w:tblPr>
        <w:tblW w:w="0" w:type="auto"/>
        <w:jc w:val="left"/>
        <w:tblInd w:w="153" w:type="dxa"/>
        <w:tblLayout w:type="fixed"/>
        <w:tblCellMar>
          <w:top w:w="0" w:type="dxa"/>
          <w:left w:w="0" w:type="dxa"/>
          <w:bottom w:w="0" w:type="dxa"/>
          <w:right w:w="0" w:type="dxa"/>
        </w:tblCellMar>
        <w:tblLook w:val="01E0"/>
      </w:tblPr>
      <w:tblGrid>
        <w:gridCol w:w="5157"/>
        <w:gridCol w:w="3174"/>
      </w:tblGrid>
      <w:tr>
        <w:trPr>
          <w:trHeight w:val="347" w:hRule="exact"/>
        </w:trPr>
        <w:tc>
          <w:tcPr>
            <w:tcW w:w="5157" w:type="dxa"/>
            <w:tcBorders>
              <w:top w:val="single" w:sz="6" w:space="0" w:color="000000"/>
              <w:left w:val="nil" w:sz="6" w:space="0" w:color="auto"/>
              <w:bottom w:val="single" w:sz="6" w:space="0" w:color="000000"/>
              <w:right w:val="nil" w:sz="6" w:space="0" w:color="auto"/>
            </w:tcBorders>
          </w:tcPr>
          <w:p>
            <w:pPr>
              <w:pStyle w:val="TableParagraph"/>
              <w:spacing w:line="286" w:lineRule="exact"/>
              <w:ind w:right="938"/>
              <w:jc w:val="center"/>
              <w:rPr>
                <w:rFonts w:ascii="宋体" w:hAnsi="宋体" w:cs="宋体" w:eastAsia="宋体" w:hint="default"/>
                <w:sz w:val="24"/>
                <w:szCs w:val="24"/>
              </w:rPr>
            </w:pPr>
            <w:r>
              <w:rPr>
                <w:rFonts w:ascii="宋体" w:hAnsi="宋体" w:cs="宋体" w:eastAsia="宋体" w:hint="default"/>
                <w:sz w:val="24"/>
                <w:szCs w:val="24"/>
              </w:rPr>
              <w:t>瑞华会计师事务所（特殊普通合伙）</w:t>
            </w:r>
          </w:p>
        </w:tc>
        <w:tc>
          <w:tcPr>
            <w:tcW w:w="3174" w:type="dxa"/>
            <w:tcBorders>
              <w:top w:val="single" w:sz="6" w:space="0" w:color="000000"/>
              <w:left w:val="nil" w:sz="6" w:space="0" w:color="auto"/>
              <w:bottom w:val="single" w:sz="6" w:space="0" w:color="000000"/>
              <w:right w:val="nil" w:sz="6" w:space="0" w:color="auto"/>
            </w:tcBorders>
          </w:tcPr>
          <w:p>
            <w:pPr>
              <w:pStyle w:val="TableParagraph"/>
              <w:spacing w:line="286" w:lineRule="exact"/>
              <w:ind w:left="763" w:right="0"/>
              <w:jc w:val="center"/>
              <w:rPr>
                <w:rFonts w:ascii="宋体" w:hAnsi="宋体" w:cs="宋体" w:eastAsia="宋体" w:hint="default"/>
                <w:sz w:val="24"/>
                <w:szCs w:val="24"/>
              </w:rPr>
            </w:pPr>
            <w:r>
              <w:rPr>
                <w:rFonts w:ascii="宋体" w:hAnsi="宋体" w:cs="宋体" w:eastAsia="宋体" w:hint="default"/>
                <w:sz w:val="24"/>
                <w:szCs w:val="24"/>
              </w:rPr>
              <w:t>中国注册会计师</w:t>
            </w:r>
          </w:p>
        </w:tc>
      </w:tr>
      <w:tr>
        <w:trPr>
          <w:trHeight w:val="347" w:hRule="exact"/>
        </w:trPr>
        <w:tc>
          <w:tcPr>
            <w:tcW w:w="5157" w:type="dxa"/>
            <w:tcBorders>
              <w:top w:val="single" w:sz="6" w:space="0" w:color="000000"/>
              <w:left w:val="nil" w:sz="6" w:space="0" w:color="auto"/>
              <w:bottom w:val="single" w:sz="6" w:space="0" w:color="000000"/>
              <w:right w:val="nil" w:sz="6" w:space="0" w:color="auto"/>
            </w:tcBorders>
          </w:tcPr>
          <w:p>
            <w:pPr/>
          </w:p>
        </w:tc>
        <w:tc>
          <w:tcPr>
            <w:tcW w:w="3174" w:type="dxa"/>
            <w:tcBorders>
              <w:top w:val="single" w:sz="6" w:space="0" w:color="000000"/>
              <w:left w:val="nil" w:sz="6" w:space="0" w:color="auto"/>
              <w:bottom w:val="single" w:sz="6" w:space="0" w:color="000000"/>
              <w:right w:val="nil" w:sz="6" w:space="0" w:color="auto"/>
            </w:tcBorders>
          </w:tcPr>
          <w:p>
            <w:pPr/>
          </w:p>
        </w:tc>
      </w:tr>
      <w:tr>
        <w:trPr>
          <w:trHeight w:val="347" w:hRule="exact"/>
        </w:trPr>
        <w:tc>
          <w:tcPr>
            <w:tcW w:w="5157" w:type="dxa"/>
            <w:tcBorders>
              <w:top w:val="single" w:sz="6" w:space="0" w:color="000000"/>
              <w:left w:val="nil" w:sz="6" w:space="0" w:color="auto"/>
              <w:bottom w:val="single" w:sz="6" w:space="0" w:color="000000"/>
              <w:right w:val="nil" w:sz="6" w:space="0" w:color="auto"/>
            </w:tcBorders>
          </w:tcPr>
          <w:p>
            <w:pPr>
              <w:pStyle w:val="TableParagraph"/>
              <w:spacing w:line="304" w:lineRule="exact"/>
              <w:ind w:right="936"/>
              <w:jc w:val="center"/>
              <w:rPr>
                <w:rFonts w:ascii="宋体" w:hAnsi="宋体" w:cs="宋体" w:eastAsia="宋体" w:hint="default"/>
                <w:sz w:val="24"/>
                <w:szCs w:val="24"/>
              </w:rPr>
            </w:pPr>
            <w:r>
              <w:rPr>
                <w:rFonts w:ascii="宋体" w:hAnsi="宋体" w:cs="宋体" w:eastAsia="宋体" w:hint="default"/>
                <w:sz w:val="24"/>
                <w:szCs w:val="24"/>
              </w:rPr>
              <w:t>中国</w:t>
            </w:r>
            <w:r>
              <w:rPr>
                <w:rFonts w:ascii="Times New Roman" w:hAnsi="Times New Roman" w:cs="Times New Roman" w:eastAsia="Times New Roman" w:hint="default"/>
                <w:sz w:val="24"/>
                <w:szCs w:val="24"/>
              </w:rPr>
              <w:t>·</w:t>
            </w:r>
            <w:r>
              <w:rPr>
                <w:rFonts w:ascii="宋体" w:hAnsi="宋体" w:cs="宋体" w:eastAsia="宋体" w:hint="default"/>
                <w:sz w:val="24"/>
                <w:szCs w:val="24"/>
              </w:rPr>
              <w:t>北京</w:t>
            </w:r>
          </w:p>
        </w:tc>
        <w:tc>
          <w:tcPr>
            <w:tcW w:w="3174" w:type="dxa"/>
            <w:tcBorders>
              <w:top w:val="single" w:sz="6" w:space="0" w:color="000000"/>
              <w:left w:val="nil" w:sz="6" w:space="0" w:color="auto"/>
              <w:bottom w:val="single" w:sz="6" w:space="0" w:color="000000"/>
              <w:right w:val="nil" w:sz="6" w:space="0" w:color="auto"/>
            </w:tcBorders>
          </w:tcPr>
          <w:p>
            <w:pPr/>
          </w:p>
        </w:tc>
      </w:tr>
      <w:tr>
        <w:trPr>
          <w:trHeight w:val="348" w:hRule="exact"/>
        </w:trPr>
        <w:tc>
          <w:tcPr>
            <w:tcW w:w="5157" w:type="dxa"/>
            <w:tcBorders>
              <w:top w:val="single" w:sz="6" w:space="0" w:color="000000"/>
              <w:left w:val="nil" w:sz="6" w:space="0" w:color="auto"/>
              <w:bottom w:val="single" w:sz="6" w:space="0" w:color="000000"/>
              <w:right w:val="nil" w:sz="6" w:space="0" w:color="auto"/>
            </w:tcBorders>
          </w:tcPr>
          <w:p>
            <w:pPr/>
          </w:p>
        </w:tc>
        <w:tc>
          <w:tcPr>
            <w:tcW w:w="3174" w:type="dxa"/>
            <w:tcBorders>
              <w:top w:val="single" w:sz="6" w:space="0" w:color="000000"/>
              <w:left w:val="nil" w:sz="6" w:space="0" w:color="auto"/>
              <w:bottom w:val="single" w:sz="6" w:space="0" w:color="000000"/>
              <w:right w:val="nil" w:sz="6" w:space="0" w:color="auto"/>
            </w:tcBorders>
          </w:tcPr>
          <w:p>
            <w:pPr/>
          </w:p>
        </w:tc>
      </w:tr>
      <w:tr>
        <w:trPr>
          <w:trHeight w:val="347" w:hRule="exact"/>
        </w:trPr>
        <w:tc>
          <w:tcPr>
            <w:tcW w:w="5157" w:type="dxa"/>
            <w:tcBorders>
              <w:top w:val="single" w:sz="6" w:space="0" w:color="000000"/>
              <w:left w:val="nil" w:sz="6" w:space="0" w:color="auto"/>
              <w:bottom w:val="single" w:sz="6" w:space="0" w:color="000000"/>
              <w:right w:val="nil" w:sz="6" w:space="0" w:color="auto"/>
            </w:tcBorders>
          </w:tcPr>
          <w:p>
            <w:pPr>
              <w:pStyle w:val="TableParagraph"/>
              <w:spacing w:line="285" w:lineRule="exact"/>
              <w:ind w:right="937"/>
              <w:jc w:val="center"/>
              <w:rPr>
                <w:rFonts w:ascii="宋体" w:hAnsi="宋体" w:cs="宋体" w:eastAsia="宋体" w:hint="default"/>
                <w:sz w:val="24"/>
                <w:szCs w:val="24"/>
              </w:rPr>
            </w:pPr>
            <w:r>
              <w:rPr>
                <w:rFonts w:ascii="宋体" w:hAnsi="宋体" w:cs="宋体" w:eastAsia="宋体" w:hint="default"/>
                <w:sz w:val="24"/>
                <w:szCs w:val="24"/>
              </w:rPr>
              <w:t>二〇一六年四月二十二日</w:t>
            </w:r>
          </w:p>
        </w:tc>
        <w:tc>
          <w:tcPr>
            <w:tcW w:w="3174" w:type="dxa"/>
            <w:tcBorders>
              <w:top w:val="single" w:sz="6" w:space="0" w:color="000000"/>
              <w:left w:val="nil" w:sz="6" w:space="0" w:color="auto"/>
              <w:bottom w:val="single" w:sz="6" w:space="0" w:color="000000"/>
              <w:right w:val="nil" w:sz="6" w:space="0" w:color="auto"/>
            </w:tcBorders>
          </w:tcPr>
          <w:p>
            <w:pPr/>
          </w:p>
        </w:tc>
      </w:tr>
      <w:tr>
        <w:trPr>
          <w:trHeight w:val="347" w:hRule="exact"/>
        </w:trPr>
        <w:tc>
          <w:tcPr>
            <w:tcW w:w="5157" w:type="dxa"/>
            <w:tcBorders>
              <w:top w:val="single" w:sz="6" w:space="0" w:color="000000"/>
              <w:left w:val="nil" w:sz="6" w:space="0" w:color="auto"/>
              <w:bottom w:val="single" w:sz="6" w:space="0" w:color="000000"/>
              <w:right w:val="nil" w:sz="6" w:space="0" w:color="auto"/>
            </w:tcBorders>
          </w:tcPr>
          <w:p>
            <w:pPr/>
          </w:p>
        </w:tc>
        <w:tc>
          <w:tcPr>
            <w:tcW w:w="3174" w:type="dxa"/>
            <w:tcBorders>
              <w:top w:val="single" w:sz="6" w:space="0" w:color="000000"/>
              <w:left w:val="nil" w:sz="6" w:space="0" w:color="auto"/>
              <w:bottom w:val="single" w:sz="6" w:space="0" w:color="000000"/>
              <w:right w:val="nil" w:sz="6" w:space="0" w:color="auto"/>
            </w:tcBorders>
          </w:tcPr>
          <w:p>
            <w:pPr>
              <w:pStyle w:val="TableParagraph"/>
              <w:spacing w:line="286" w:lineRule="exact"/>
              <w:ind w:left="763" w:right="0"/>
              <w:jc w:val="center"/>
              <w:rPr>
                <w:rFonts w:ascii="宋体" w:hAnsi="宋体" w:cs="宋体" w:eastAsia="宋体" w:hint="default"/>
                <w:sz w:val="24"/>
                <w:szCs w:val="24"/>
              </w:rPr>
            </w:pPr>
            <w:r>
              <w:rPr>
                <w:rFonts w:ascii="宋体" w:hAnsi="宋体" w:cs="宋体" w:eastAsia="宋体" w:hint="default"/>
                <w:sz w:val="24"/>
                <w:szCs w:val="24"/>
              </w:rPr>
              <w:t>杨轶彬</w:t>
            </w:r>
          </w:p>
        </w:tc>
      </w:tr>
      <w:tr>
        <w:trPr>
          <w:trHeight w:val="347" w:hRule="exact"/>
        </w:trPr>
        <w:tc>
          <w:tcPr>
            <w:tcW w:w="5157" w:type="dxa"/>
            <w:tcBorders>
              <w:top w:val="single" w:sz="6" w:space="0" w:color="000000"/>
              <w:left w:val="nil" w:sz="6" w:space="0" w:color="auto"/>
              <w:bottom w:val="single" w:sz="6" w:space="0" w:color="000000"/>
              <w:right w:val="nil" w:sz="6" w:space="0" w:color="auto"/>
            </w:tcBorders>
          </w:tcPr>
          <w:p>
            <w:pPr/>
          </w:p>
        </w:tc>
        <w:tc>
          <w:tcPr>
            <w:tcW w:w="3174" w:type="dxa"/>
            <w:tcBorders>
              <w:top w:val="single" w:sz="6" w:space="0" w:color="000000"/>
              <w:left w:val="nil" w:sz="6" w:space="0" w:color="auto"/>
              <w:bottom w:val="single" w:sz="6" w:space="0" w:color="000000"/>
              <w:right w:val="nil" w:sz="6" w:space="0" w:color="auto"/>
            </w:tcBorders>
          </w:tcPr>
          <w:p>
            <w:pPr/>
          </w:p>
        </w:tc>
      </w:tr>
      <w:tr>
        <w:trPr>
          <w:trHeight w:val="347" w:hRule="exact"/>
        </w:trPr>
        <w:tc>
          <w:tcPr>
            <w:tcW w:w="5157" w:type="dxa"/>
            <w:tcBorders>
              <w:top w:val="single" w:sz="6" w:space="0" w:color="000000"/>
              <w:left w:val="nil" w:sz="6" w:space="0" w:color="auto"/>
              <w:bottom w:val="single" w:sz="6" w:space="0" w:color="000000"/>
              <w:right w:val="nil" w:sz="6" w:space="0" w:color="auto"/>
            </w:tcBorders>
          </w:tcPr>
          <w:p>
            <w:pPr/>
          </w:p>
        </w:tc>
        <w:tc>
          <w:tcPr>
            <w:tcW w:w="3174" w:type="dxa"/>
            <w:tcBorders>
              <w:top w:val="single" w:sz="6" w:space="0" w:color="000000"/>
              <w:left w:val="nil" w:sz="6" w:space="0" w:color="auto"/>
              <w:bottom w:val="single" w:sz="6" w:space="0" w:color="000000"/>
              <w:right w:val="nil" w:sz="6" w:space="0" w:color="auto"/>
            </w:tcBorders>
          </w:tcPr>
          <w:p>
            <w:pPr>
              <w:pStyle w:val="TableParagraph"/>
              <w:spacing w:line="286" w:lineRule="exact"/>
              <w:ind w:left="763" w:right="0"/>
              <w:jc w:val="center"/>
              <w:rPr>
                <w:rFonts w:ascii="宋体" w:hAnsi="宋体" w:cs="宋体" w:eastAsia="宋体" w:hint="default"/>
                <w:sz w:val="24"/>
                <w:szCs w:val="24"/>
              </w:rPr>
            </w:pPr>
            <w:r>
              <w:rPr>
                <w:rFonts w:ascii="宋体" w:hAnsi="宋体" w:cs="宋体" w:eastAsia="宋体" w:hint="default"/>
                <w:sz w:val="24"/>
                <w:szCs w:val="24"/>
              </w:rPr>
              <w:t>中国注册会计师</w:t>
            </w:r>
          </w:p>
        </w:tc>
      </w:tr>
      <w:tr>
        <w:trPr>
          <w:trHeight w:val="347" w:hRule="exact"/>
        </w:trPr>
        <w:tc>
          <w:tcPr>
            <w:tcW w:w="5157" w:type="dxa"/>
            <w:tcBorders>
              <w:top w:val="single" w:sz="6" w:space="0" w:color="000000"/>
              <w:left w:val="nil" w:sz="6" w:space="0" w:color="auto"/>
              <w:bottom w:val="single" w:sz="6" w:space="0" w:color="000000"/>
              <w:right w:val="nil" w:sz="6" w:space="0" w:color="auto"/>
            </w:tcBorders>
          </w:tcPr>
          <w:p>
            <w:pPr/>
          </w:p>
        </w:tc>
        <w:tc>
          <w:tcPr>
            <w:tcW w:w="3174" w:type="dxa"/>
            <w:tcBorders>
              <w:top w:val="single" w:sz="6" w:space="0" w:color="000000"/>
              <w:left w:val="nil" w:sz="6" w:space="0" w:color="auto"/>
              <w:bottom w:val="single" w:sz="6" w:space="0" w:color="000000"/>
              <w:right w:val="nil" w:sz="6" w:space="0" w:color="auto"/>
            </w:tcBorders>
          </w:tcPr>
          <w:p>
            <w:pPr/>
          </w:p>
        </w:tc>
      </w:tr>
      <w:tr>
        <w:trPr>
          <w:trHeight w:val="348" w:hRule="exact"/>
        </w:trPr>
        <w:tc>
          <w:tcPr>
            <w:tcW w:w="5157" w:type="dxa"/>
            <w:tcBorders>
              <w:top w:val="single" w:sz="6" w:space="0" w:color="000000"/>
              <w:left w:val="nil" w:sz="6" w:space="0" w:color="auto"/>
              <w:bottom w:val="single" w:sz="6" w:space="0" w:color="000000"/>
              <w:right w:val="nil" w:sz="6" w:space="0" w:color="auto"/>
            </w:tcBorders>
          </w:tcPr>
          <w:p>
            <w:pPr/>
          </w:p>
        </w:tc>
        <w:tc>
          <w:tcPr>
            <w:tcW w:w="3174" w:type="dxa"/>
            <w:tcBorders>
              <w:top w:val="single" w:sz="6" w:space="0" w:color="000000"/>
              <w:left w:val="nil" w:sz="6" w:space="0" w:color="auto"/>
              <w:bottom w:val="single" w:sz="6" w:space="0" w:color="000000"/>
              <w:right w:val="nil" w:sz="6" w:space="0" w:color="auto"/>
            </w:tcBorders>
          </w:tcPr>
          <w:p>
            <w:pPr/>
          </w:p>
        </w:tc>
      </w:tr>
      <w:tr>
        <w:trPr>
          <w:trHeight w:val="347" w:hRule="exact"/>
        </w:trPr>
        <w:tc>
          <w:tcPr>
            <w:tcW w:w="5157" w:type="dxa"/>
            <w:tcBorders>
              <w:top w:val="single" w:sz="6" w:space="0" w:color="000000"/>
              <w:left w:val="nil" w:sz="6" w:space="0" w:color="auto"/>
              <w:bottom w:val="single" w:sz="6" w:space="0" w:color="000000"/>
              <w:right w:val="nil" w:sz="6" w:space="0" w:color="auto"/>
            </w:tcBorders>
          </w:tcPr>
          <w:p>
            <w:pPr/>
          </w:p>
        </w:tc>
        <w:tc>
          <w:tcPr>
            <w:tcW w:w="3174" w:type="dxa"/>
            <w:tcBorders>
              <w:top w:val="single" w:sz="6" w:space="0" w:color="000000"/>
              <w:left w:val="nil" w:sz="6" w:space="0" w:color="auto"/>
              <w:bottom w:val="single" w:sz="6" w:space="0" w:color="000000"/>
              <w:right w:val="nil" w:sz="6" w:space="0" w:color="auto"/>
            </w:tcBorders>
          </w:tcPr>
          <w:p>
            <w:pPr/>
          </w:p>
        </w:tc>
      </w:tr>
      <w:tr>
        <w:trPr>
          <w:trHeight w:val="347" w:hRule="exact"/>
        </w:trPr>
        <w:tc>
          <w:tcPr>
            <w:tcW w:w="5157" w:type="dxa"/>
            <w:tcBorders>
              <w:top w:val="single" w:sz="6" w:space="0" w:color="000000"/>
              <w:left w:val="nil" w:sz="6" w:space="0" w:color="auto"/>
              <w:bottom w:val="single" w:sz="6" w:space="0" w:color="000000"/>
              <w:right w:val="nil" w:sz="6" w:space="0" w:color="auto"/>
            </w:tcBorders>
          </w:tcPr>
          <w:p>
            <w:pPr/>
          </w:p>
        </w:tc>
        <w:tc>
          <w:tcPr>
            <w:tcW w:w="3174" w:type="dxa"/>
            <w:tcBorders>
              <w:top w:val="single" w:sz="6" w:space="0" w:color="000000"/>
              <w:left w:val="nil" w:sz="6" w:space="0" w:color="auto"/>
              <w:bottom w:val="single" w:sz="6" w:space="0" w:color="000000"/>
              <w:right w:val="nil" w:sz="6" w:space="0" w:color="auto"/>
            </w:tcBorders>
          </w:tcPr>
          <w:p>
            <w:pPr/>
          </w:p>
        </w:tc>
      </w:tr>
      <w:tr>
        <w:trPr>
          <w:trHeight w:val="293" w:hRule="exact"/>
        </w:trPr>
        <w:tc>
          <w:tcPr>
            <w:tcW w:w="5157" w:type="dxa"/>
            <w:tcBorders>
              <w:top w:val="single" w:sz="6" w:space="0" w:color="000000"/>
              <w:left w:val="nil" w:sz="6" w:space="0" w:color="auto"/>
              <w:bottom w:val="nil" w:sz="6" w:space="0" w:color="auto"/>
              <w:right w:val="nil" w:sz="6" w:space="0" w:color="auto"/>
            </w:tcBorders>
          </w:tcPr>
          <w:p>
            <w:pPr/>
          </w:p>
        </w:tc>
        <w:tc>
          <w:tcPr>
            <w:tcW w:w="3174" w:type="dxa"/>
            <w:tcBorders>
              <w:top w:val="single" w:sz="6" w:space="0" w:color="000000"/>
              <w:left w:val="nil" w:sz="6" w:space="0" w:color="auto"/>
              <w:bottom w:val="nil" w:sz="6" w:space="0" w:color="auto"/>
              <w:right w:val="nil" w:sz="6" w:space="0" w:color="auto"/>
            </w:tcBorders>
          </w:tcPr>
          <w:p>
            <w:pPr>
              <w:pStyle w:val="TableParagraph"/>
              <w:spacing w:line="286" w:lineRule="exact"/>
              <w:ind w:left="763" w:right="0"/>
              <w:jc w:val="center"/>
              <w:rPr>
                <w:rFonts w:ascii="宋体" w:hAnsi="宋体" w:cs="宋体" w:eastAsia="宋体" w:hint="default"/>
                <w:sz w:val="24"/>
                <w:szCs w:val="24"/>
              </w:rPr>
            </w:pPr>
            <w:r>
              <w:rPr>
                <w:rFonts w:ascii="宋体" w:hAnsi="宋体" w:cs="宋体" w:eastAsia="宋体" w:hint="default"/>
                <w:sz w:val="24"/>
                <w:szCs w:val="24"/>
              </w:rPr>
              <w:t>李梅</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pStyle w:val="Heading2"/>
        <w:spacing w:line="240" w:lineRule="auto" w:before="26"/>
        <w:ind w:left="154" w:right="0"/>
        <w:jc w:val="left"/>
        <w:rPr>
          <w:b w:val="0"/>
          <w:bCs w:val="0"/>
        </w:rPr>
      </w:pPr>
      <w:bookmarkStart w:name="二、财务报表" w:id="151"/>
      <w:bookmarkEnd w:id="151"/>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1、合并资产负债表" w:id="152"/>
      <w:bookmarkEnd w:id="152"/>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before="44"/>
        <w:ind w:left="153" w:right="-19" w:firstLine="0"/>
        <w:jc w:val="left"/>
        <w:rPr>
          <w:rFonts w:ascii="宋体" w:hAnsi="宋体" w:cs="宋体" w:eastAsia="宋体" w:hint="default"/>
          <w:sz w:val="18"/>
          <w:szCs w:val="18"/>
        </w:rPr>
      </w:pPr>
      <w:r>
        <w:rPr>
          <w:rFonts w:ascii="宋体" w:hAnsi="宋体" w:cs="宋体" w:eastAsia="宋体" w:hint="default"/>
          <w:sz w:val="18"/>
          <w:szCs w:val="18"/>
        </w:rPr>
        <w:t>编制单位：茂硕电源科技股份有限公司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1"/>
        <w:ind w:left="153" w:right="-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3" w:equalWidth="0">
            <w:col w:w="3215" w:space="863"/>
            <w:col w:w="1639" w:space="3203"/>
            <w:col w:w="20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142" w:right="0"/>
              <w:jc w:val="left"/>
              <w:rPr>
                <w:rFonts w:ascii="Times New Roman" w:hAnsi="Times New Roman" w:cs="Times New Roman" w:eastAsia="Times New Roman" w:hint="default"/>
                <w:sz w:val="18"/>
                <w:szCs w:val="18"/>
              </w:rPr>
            </w:pPr>
            <w:r>
              <w:rPr>
                <w:rFonts w:ascii="Times New Roman"/>
                <w:sz w:val="18"/>
              </w:rPr>
              <w:t>296,203,922.46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233,471,876.61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3,654,795.71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48,686,910.30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35,867,242.89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489,612,748.63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296,930,702.88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2,630,650.18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6,470,813.06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432,197.97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22,147,196.87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13,698,042.72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166,342,326.20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82,213,650.81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5,461,760.84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2,396,919.77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16,800,133.12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13,195,716.67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1,047,885,648.60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688,331,959.09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22,905,630.00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12,125,860.00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23,687,040.68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25,653,877.09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441,188,179.98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373,949,665.80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75,358,106.95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7,840,620.36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17,994,221.72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14,468,451.44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780,292.52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141,489,821.74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10,451,110.03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21,872,272.91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8,891,901.89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27,616,193.24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16,528,974.28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40,144,216.55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2,830,292.24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812,255,683.77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473,521,045.65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1,860,141,332.37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1,161,853,004.74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299,400,000.00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133,394,904.00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1,686,707.72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126,111,046.90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83,635,471.42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350,744,515.88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193,459,858.86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8,873,132.41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11,163,405.89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21,292,178.12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9,369,092.47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25,117,442.10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2,670,356.46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496,780.87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769,602.11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5,811,376.20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4,511,544.82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839,533,180.20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438,974,236.03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131,787.70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61,186.61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18,055,523.02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3,894,691.41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1,292,172.96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548,219.36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22,479,483.68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8,004,097.38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862,012,663.88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446,978,333.41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277,341,300.00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252,408,000.00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471,871,374.38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293,589,595.02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21,033,151.91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19,006,430.91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102,421,333.05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88,394,993.54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872,667,159.34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653,399,019.47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125,461,509.15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61,475,651.86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998,128,668.49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714,874,671.33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1,860,141,332.37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1,161,853,004.74</w:t>
            </w:r>
          </w:p>
        </w:tc>
      </w:tr>
    </w:tbl>
    <w:p>
      <w:pPr>
        <w:spacing w:line="240" w:lineRule="auto" w:before="3"/>
        <w:rPr>
          <w:rFonts w:ascii="Times New Roman" w:hAnsi="Times New Roman" w:cs="Times New Roman" w:eastAsia="Times New Roman" w:hint="default"/>
          <w:sz w:val="23"/>
          <w:szCs w:val="23"/>
        </w:rPr>
      </w:pPr>
    </w:p>
    <w:p>
      <w:pPr>
        <w:tabs>
          <w:tab w:pos="3420" w:val="left" w:leader="none"/>
          <w:tab w:pos="7561" w:val="left" w:leader="none"/>
        </w:tabs>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法定代表人：顾永德</w:t>
        <w:tab/>
        <w:t>主管会计工作负责人：罗宏健</w:t>
        <w:tab/>
        <w:t>会计机构负责人：邱华景</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母公司资产负债表" w:id="153"/>
      <w:bookmarkEnd w:id="153"/>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48" w:right="0"/>
              <w:jc w:val="left"/>
              <w:rPr>
                <w:rFonts w:ascii="Times New Roman" w:hAnsi="Times New Roman" w:cs="Times New Roman" w:eastAsia="Times New Roman" w:hint="default"/>
                <w:sz w:val="18"/>
                <w:szCs w:val="18"/>
              </w:rPr>
            </w:pPr>
            <w:r>
              <w:rPr>
                <w:rFonts w:ascii="Times New Roman"/>
                <w:sz w:val="18"/>
              </w:rPr>
              <w:t>118,910,823.93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127,547,746.73</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3,654,795.71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40,305,522.13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32,838,601.63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323,412,329.25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295,081,683.07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368,483.44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2,741,898.58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145,687.99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173,572,892.16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40,519,326.85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4,583,214.96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11,817,686.07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2,318,486.97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895,905.56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754,265.72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665,471,752.84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515,997,597.91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14,895,000.00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620,352,952.51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428,171,427.74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30,172,616.27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33,902,160.96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933,704.21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1,846,314.47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4,462,292.50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2,380,365.67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5,022,722.61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7,680,503.35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18,851,057.19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127,202.24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694,690,345.29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477,607,974.43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1,360,162,098.13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993,605,572.34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133,394,904.00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1,686,707.72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11,504,277.27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74,708,162.70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151,768,208.44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133,837,824.89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4,820,465.04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9,622,133.49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2,543,316.21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3,241,619.72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10,226,340.01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1,323,713.18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429,640.40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769,602.11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24,531,221.59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901,410.88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467,510,176.68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357,799,370.97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7,740,000.00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548,219.36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10,740,000.00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4,048,219.36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478,250,176.68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361,847,590.33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277,341,300.00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252,408,000.00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458,605,390.23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271,716,134.20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21,033,151.91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19,006,430.91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124,932,079.31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88,627,416.90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881,911,921.45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631,757,982.01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1,360,162,098.13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993,605,572.34</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54" w:right="0"/>
        <w:jc w:val="left"/>
        <w:rPr>
          <w:b w:val="0"/>
          <w:bCs w:val="0"/>
        </w:rPr>
      </w:pPr>
      <w:bookmarkStart w:name="3、合并利润表" w:id="154"/>
      <w:bookmarkEnd w:id="154"/>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922,185,556.51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628,224,567.94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922,185,556.51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628,224,567.94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930,812,297.97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705,617,571.34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726,361,504.95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535,847,568.31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4,710,942.33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3,856,806.30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45,867,832.92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54,213,396.61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120,870,829.00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92,920,595.04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-67,616.58</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1,382,966.70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33,068,805.35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17,396,238.38</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5"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加：公允价值变动收益（损失以 “－”号填列）</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-5,341,503.43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2,170,373.83</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10"/>
              <w:jc w:val="right"/>
              <w:rPr>
                <w:rFonts w:ascii="宋体" w:hAnsi="宋体" w:cs="宋体" w:eastAsia="宋体" w:hint="default"/>
                <w:sz w:val="18"/>
                <w:szCs w:val="18"/>
              </w:rPr>
            </w:pPr>
            <w:r>
              <w:rPr>
                <w:rFonts w:ascii="宋体" w:hAnsi="宋体" w:cs="宋体" w:eastAsia="宋体" w:hint="default"/>
                <w:spacing w:val="-3"/>
                <w:sz w:val="18"/>
                <w:szCs w:val="18"/>
              </w:rPr>
              <w:t>投资收益（损失以“－”号填</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2,548,502.06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12,127,238.55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0"/>
        <w:gridCol w:w="3211"/>
        <w:gridCol w:w="3278"/>
      </w:tblGrid>
      <w:tr>
        <w:trPr>
          <w:trHeight w:val="36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-7,668.91</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-229,146.64</w:t>
            </w:r>
            <w:r>
              <w:rPr>
                <w:rFonts w:ascii="Times New Roman"/>
                <w:sz w:val="18"/>
              </w:rPr>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13"/>
              <w:jc w:val="left"/>
              <w:rPr>
                <w:rFonts w:ascii="宋体" w:hAnsi="宋体" w:cs="宋体" w:eastAsia="宋体" w:hint="default"/>
                <w:sz w:val="18"/>
                <w:szCs w:val="18"/>
              </w:rPr>
            </w:pPr>
            <w:r>
              <w:rPr>
                <w:rFonts w:ascii="宋体" w:hAnsi="宋体" w:cs="宋体" w:eastAsia="宋体" w:hint="default"/>
                <w:sz w:val="18"/>
                <w:szCs w:val="18"/>
              </w:rPr>
              <w:t>三、营业利润（亏损以“－”号填列）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-11,419,742.83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-63,095,391.02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43,787,634.05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4,591,763.43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229,934.69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172,779.71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718,103.97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172,876.82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544,155.74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136,855.82</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3"/>
                <w:sz w:val="18"/>
                <w:szCs w:val="18"/>
              </w:rPr>
              <w:t>四、利润总额（亏损总额以“－”号填</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31,649,787.25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-58,676,504.41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880,144.80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-9,165,186.13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13"/>
              <w:jc w:val="left"/>
              <w:rPr>
                <w:rFonts w:ascii="宋体" w:hAnsi="宋体" w:cs="宋体" w:eastAsia="宋体" w:hint="default"/>
                <w:sz w:val="18"/>
                <w:szCs w:val="18"/>
              </w:rPr>
            </w:pPr>
            <w:r>
              <w:rPr>
                <w:rFonts w:ascii="宋体" w:hAnsi="宋体" w:cs="宋体" w:eastAsia="宋体" w:hint="default"/>
                <w:sz w:val="18"/>
                <w:szCs w:val="18"/>
              </w:rPr>
              <w:t>五、净利润（净亏损以“－”号填列）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30,769,642.45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-49,511,318.28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16,053,060.51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-47,859,425.18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14,716,581.94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-1,651,893.10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05.339996pt;margin-top:663.909973pt;width:163.35pt;height:20.8pt;mso-position-horizontal-relative:page;mso-position-vertical-relative:page;z-index:-1124920" coordorigin="4107,13278" coordsize="3267,416">
            <v:group style="position:absolute;left:4118;top:13290;width:2;height:393" coordorigin="4118,13290" coordsize="2,393">
              <v:shape style="position:absolute;left:4118;top:13290;width:2;height:393" coordorigin="4118,13290" coordsize="0,393" path="m4118,13290l4118,13682e" filled="false" stroked="true" strokeweight="1.140pt" strokecolor="#ffffff">
                <v:path arrowok="t"/>
              </v:shape>
            </v:group>
            <v:group style="position:absolute;left:4130;top:13290;width:3244;height:393" coordorigin="4130,13290" coordsize="3244,393">
              <v:shape style="position:absolute;left:4130;top:13290;width:3244;height:393" coordorigin="4130,13290" coordsize="3244,393" path="m4130,13682l7374,13682,7374,13290,4130,13290,4130,13682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30,769,642.45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-49,511,318.28</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16,053,060.51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-47,859,425.18</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5"/>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14,716,581.94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-1,651,893.10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-0.19</w:t>
            </w:r>
            <w:r>
              <w:rPr>
                <w:rFonts w:ascii="Times New Roman"/>
                <w:sz w:val="18"/>
              </w:rPr>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-0.19</w:t>
            </w:r>
            <w:r>
              <w:rPr>
                <w:rFonts w:ascii="Times New Roman"/>
                <w:sz w:val="18"/>
              </w:rPr>
            </w:r>
          </w:p>
        </w:tc>
      </w:tr>
    </w:tbl>
    <w:p>
      <w:pPr>
        <w:tabs>
          <w:tab w:pos="3574" w:val="left" w:leader="none"/>
          <w:tab w:pos="7715" w:val="left" w:leader="none"/>
        </w:tabs>
        <w:spacing w:line="624" w:lineRule="auto" w:before="51"/>
        <w:ind w:left="153" w:right="1229"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本期发生同一控制下企业合并的，被合并方在合并前实现的净利润为：元，上期被合并方实现的净利润为：元。 法定代表人：顾永德</w:t>
        <w:tab/>
        <w:t>主管会计工作负责人：罗宏健</w:t>
        <w:tab/>
        <w:t>会计机构负责人：邱华景</w:t>
      </w:r>
    </w:p>
    <w:p>
      <w:pPr>
        <w:pStyle w:val="Heading4"/>
        <w:spacing w:line="240" w:lineRule="auto" w:before="63"/>
        <w:ind w:right="0"/>
        <w:jc w:val="left"/>
        <w:rPr>
          <w:b w:val="0"/>
          <w:bCs w:val="0"/>
        </w:rPr>
      </w:pPr>
      <w:bookmarkStart w:name="4、母公司利润表" w:id="155"/>
      <w:bookmarkEnd w:id="155"/>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1206"/>
        <w:gridCol w:w="2106"/>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48" w:right="0"/>
              <w:jc w:val="left"/>
              <w:rPr>
                <w:rFonts w:ascii="Times New Roman" w:hAnsi="Times New Roman" w:cs="Times New Roman" w:eastAsia="Times New Roman" w:hint="default"/>
                <w:sz w:val="18"/>
                <w:szCs w:val="18"/>
              </w:rPr>
            </w:pPr>
            <w:r>
              <w:rPr>
                <w:rFonts w:ascii="Times New Roman"/>
                <w:sz w:val="18"/>
              </w:rPr>
              <w:t>586,755,115.93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618,416,416.08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42" w:right="0"/>
              <w:jc w:val="left"/>
              <w:rPr>
                <w:rFonts w:ascii="Times New Roman" w:hAnsi="Times New Roman" w:cs="Times New Roman" w:eastAsia="Times New Roman" w:hint="default"/>
                <w:sz w:val="18"/>
                <w:szCs w:val="18"/>
              </w:rPr>
            </w:pPr>
            <w:r>
              <w:rPr>
                <w:rFonts w:ascii="Times New Roman"/>
                <w:sz w:val="18"/>
              </w:rPr>
              <w:t>489,322,763.58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526,298,287.04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1,544,916.29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1,867,890.79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25,085,637.94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44,989,194.86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52,950,611.74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71,434,857.98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-1,706,177.49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2,355,342.80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13,077,735.72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9,431,919.89</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加：公允价值变动收益（损失以 “－”号填列）</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-5,341,503.43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2,170,373.83</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投资收益（损失以“－”号</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2,763,956.27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9,564,622.73</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62,856.27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-229,146.64</w:t>
            </w:r>
            <w:r>
              <w:rPr>
                <w:rFonts w:ascii="Times New Roman"/>
                <w:sz w:val="18"/>
              </w:rPr>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4"/>
                <w:sz w:val="18"/>
                <w:szCs w:val="18"/>
              </w:rPr>
              <w:t>二、营业利润（亏损以“－”号填列</w:t>
            </w:r>
          </w:p>
        </w:tc>
        <w:tc>
          <w:tcPr>
            <w:tcW w:w="1206"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5" w:right="0"/>
              <w:jc w:val="left"/>
              <w:rPr>
                <w:rFonts w:ascii="宋体" w:hAnsi="宋体" w:cs="宋体" w:eastAsia="宋体" w:hint="default"/>
                <w:sz w:val="18"/>
                <w:szCs w:val="18"/>
              </w:rPr>
            </w:pPr>
            <w:r>
              <w:rPr>
                <w:rFonts w:ascii="宋体" w:hAnsi="宋体" w:cs="宋体" w:eastAsia="宋体" w:hint="default"/>
                <w:sz w:val="18"/>
                <w:szCs w:val="18"/>
              </w:rPr>
              <w:t>）</w:t>
            </w:r>
          </w:p>
        </w:tc>
        <w:tc>
          <w:tcPr>
            <w:tcW w:w="2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133" w:right="0"/>
              <w:jc w:val="left"/>
              <w:rPr>
                <w:rFonts w:ascii="Times New Roman" w:hAnsi="Times New Roman" w:cs="Times New Roman" w:eastAsia="Times New Roman" w:hint="default"/>
                <w:sz w:val="18"/>
                <w:szCs w:val="18"/>
              </w:rPr>
            </w:pPr>
            <w:r>
              <w:rPr>
                <w:rFonts w:ascii="Times New Roman"/>
                <w:sz w:val="18"/>
              </w:rPr>
              <w:t>3,902,080.99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-26,226,080.72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40,323,862.54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3,111,527.42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12" w:type="dxa"/>
            <w:gridSpan w:val="2"/>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172,779.71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65,525.76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12,921.81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62,525.76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3,920.81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205.339996pt;margin-top:127.709984pt;width:163.35pt;height:20.8pt;mso-position-horizontal-relative:page;mso-position-vertical-relative:page;z-index:-1124896" coordorigin="4107,2554" coordsize="3267,416">
            <v:group style="position:absolute;left:4118;top:2566;width:2;height:393" coordorigin="4118,2566" coordsize="2,393">
              <v:shape style="position:absolute;left:4118;top:2566;width:2;height:393" coordorigin="4118,2566" coordsize="0,393" path="m4118,2566l4118,2958e" filled="false" stroked="true" strokeweight="1.140pt" strokecolor="#ffffff">
                <v:path arrowok="t"/>
              </v:shape>
            </v:group>
            <v:group style="position:absolute;left:4130;top:2566;width:3244;height:393" coordorigin="4130,2566" coordsize="3244,393">
              <v:shape style="position:absolute;left:4130;top:2566;width:3244;height:393" coordorigin="4130,2566" coordsize="3244,393" path="m4130,2958l7374,2958,7374,2566,4130,2566,4130,2958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2945"/>
        <w:gridCol w:w="1161"/>
        <w:gridCol w:w="2151"/>
        <w:gridCol w:w="3300"/>
      </w:tblGrid>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三、利润总额（亏损总额以“－”号 填列）</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44,160,417.77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-23,127,475.11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5,829,034.36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-5,063,301.69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4"/>
                <w:sz w:val="18"/>
                <w:szCs w:val="18"/>
              </w:rPr>
              <w:t>四、净利润（净亏损以“－”号填列</w:t>
            </w:r>
          </w:p>
        </w:tc>
        <w:tc>
          <w:tcPr>
            <w:tcW w:w="1161"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5" w:right="0"/>
              <w:jc w:val="left"/>
              <w:rPr>
                <w:rFonts w:ascii="宋体" w:hAnsi="宋体" w:cs="宋体" w:eastAsia="宋体" w:hint="default"/>
                <w:sz w:val="18"/>
                <w:szCs w:val="18"/>
              </w:rPr>
            </w:pPr>
            <w:r>
              <w:rPr>
                <w:rFonts w:ascii="宋体" w:hAnsi="宋体" w:cs="宋体" w:eastAsia="宋体" w:hint="default"/>
                <w:sz w:val="18"/>
                <w:szCs w:val="18"/>
              </w:rPr>
              <w:t>）</w:t>
            </w:r>
          </w:p>
        </w:tc>
        <w:tc>
          <w:tcPr>
            <w:tcW w:w="2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88" w:right="0"/>
              <w:jc w:val="left"/>
              <w:rPr>
                <w:rFonts w:ascii="Times New Roman" w:hAnsi="Times New Roman" w:cs="Times New Roman" w:eastAsia="Times New Roman" w:hint="default"/>
                <w:sz w:val="18"/>
                <w:szCs w:val="18"/>
              </w:rPr>
            </w:pPr>
            <w:r>
              <w:rPr>
                <w:rFonts w:ascii="Times New Roman"/>
                <w:sz w:val="18"/>
              </w:rPr>
              <w:t>38,331,383.41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-18,064,173.42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2" w:type="dxa"/>
            <w:gridSpan w:val="2"/>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2" w:type="dxa"/>
            <w:gridSpan w:val="2"/>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2" w:type="dxa"/>
            <w:gridSpan w:val="2"/>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2" w:type="dxa"/>
            <w:gridSpan w:val="2"/>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2" w:type="dxa"/>
            <w:gridSpan w:val="2"/>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2" w:type="dxa"/>
            <w:gridSpan w:val="2"/>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gridSpan w:val="2"/>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gridSpan w:val="2"/>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gridSpan w:val="2"/>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gridSpan w:val="2"/>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gridSpan w:val="2"/>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38,331,383.41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-18,064,173.42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gridSpan w:val="2"/>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gridSpan w:val="2"/>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5、合并现金流量表" w:id="156"/>
      <w:bookmarkEnd w:id="156"/>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798,769,598.02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619,961,691.07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28,083,328.89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38,352,791.25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40,924,152.14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24,344,469.88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867,777,079.05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682,658,952.20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551,343,092.96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480,485,041.05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177,504,595.76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152,948,725.17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33,445,536.07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17,944,995.13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67,585,445.16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54,190,976.41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829,878,669.95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705,569,737.76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37,898,409.10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-22,910,785.56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32,500,001.00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614,086,331.93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3,056,169.97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14,182,794.09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3,400,306.60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107,723,450.00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146,679,927.57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628,479,126.02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137,197,055.23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233,281,643.20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58,992,846.48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428,500,000.00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44,353,606.34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51,635,360.00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2,215,340.53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76,585,807.22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242,758,848.58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790,002,810.42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-96,078,921.01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-161,523,684.40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49,965,712.00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78,680,000.00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78,680,000.00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319,400,000.00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173,542,688.00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39,434,987.07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25,731,388.82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408,800,699.07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277,954,076.82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184,167,603.20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14,520,987.80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9,065,570.90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72,432,627.62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24,568,459.00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271,121,218.62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133,634,029.90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137,679,480.45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144,320,046.92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8,586,801.22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3,851,333.02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88,085,769.76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-36,263,090.02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156,616,281.13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192,879,371.15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244,702,050.89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156,616,281.13</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54" w:right="0"/>
        <w:jc w:val="left"/>
        <w:rPr>
          <w:b w:val="0"/>
          <w:bCs w:val="0"/>
        </w:rPr>
      </w:pPr>
      <w:bookmarkStart w:name="6、母公司现金流量表" w:id="157"/>
      <w:bookmarkEnd w:id="157"/>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553,206,935.09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576,619,314.31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25,493,926.88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38,352,791.25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127,472,271.88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144,067,482.58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706,173,133.85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759,039,588.14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581,546,409.96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513,568,558.00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33,950,525.30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52,289,464.51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1,966,296.74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3,341,653.57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186,145,636.66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314,736,192.84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803,608,868.66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883,935,868.92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-97,435,734.81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-124,896,280.78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186,086,331.93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2,701,100.00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11,620,178.27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2,351,349.05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54,831,900.00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59,884,349.05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197,916,510.20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10,960,609.85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20,727,830.71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103,904,836.00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97,979,500.00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1,847,340.53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23,694,257.22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116,712,786.38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142,401,587.93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-56,828,437.33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55,514,922.27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49,475,712.00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173,542,688.00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16,878,357.68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9,180,000.00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346,354,069.68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182,722,688.00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154,167,603.20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12,615,103.45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9,065,570.90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22,028,361.51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13,307,079.00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188,811,068.16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122,372,649.90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157,543,001.52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60,350,038.10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7,790,812.67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3,783,492.39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11,069,642.05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-5,247,828.02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104,063,701.25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109,311,529.27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115,133,343.30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104,063,701.25</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54" w:right="0"/>
        <w:jc w:val="left"/>
        <w:rPr>
          <w:b w:val="0"/>
          <w:bCs w:val="0"/>
        </w:rPr>
      </w:pPr>
      <w:bookmarkStart w:name="7、合并所有者权益变动表" w:id="158"/>
      <w:bookmarkEnd w:id="158"/>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27"/>
        <w:gridCol w:w="563"/>
        <w:gridCol w:w="530"/>
        <w:gridCol w:w="532"/>
        <w:gridCol w:w="530"/>
        <w:gridCol w:w="665"/>
        <w:gridCol w:w="665"/>
        <w:gridCol w:w="665"/>
        <w:gridCol w:w="665"/>
        <w:gridCol w:w="664"/>
        <w:gridCol w:w="666"/>
        <w:gridCol w:w="665"/>
        <w:gridCol w:w="665"/>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70" w:hRule="exact"/>
        </w:trPr>
        <w:tc>
          <w:tcPr>
            <w:tcW w:w="1427"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252,40</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8,000.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293,589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,595.02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19,006,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430.91</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88,394,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993.54</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61,475,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651.86</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714,874</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,671.33</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252,40</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8,000.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293,589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,595.02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19,006,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430.91</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88,394,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993.54</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61,475,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651.86</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714,874</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,671.33</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319" w:lineRule="auto" w:before="51"/>
              <w:ind w:left="11" w:right="15"/>
              <w:jc w:val="left"/>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9"/>
                <w:sz w:val="18"/>
                <w:szCs w:val="18"/>
              </w:rPr>
              <w:t>金额（减少以“－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号填列）</w:t>
            </w:r>
          </w:p>
        </w:tc>
        <w:tc>
          <w:tcPr>
            <w:tcW w:w="563" w:type="dxa"/>
            <w:tcBorders>
              <w:top w:val="single" w:sz="4" w:space="0" w:color="000000"/>
              <w:left w:val="single" w:sz="23"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24,933</w:t>
            </w:r>
          </w:p>
          <w:p>
            <w:pPr>
              <w:pStyle w:val="TableParagraph"/>
              <w:spacing w:line="240" w:lineRule="auto" w:before="65"/>
              <w:ind w:left="-147"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,300.0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3"/>
              <w:ind w:right="0"/>
              <w:jc w:val="left"/>
              <w:rPr>
                <w:rFonts w:ascii="宋体" w:hAnsi="宋体" w:cs="宋体" w:eastAsia="宋体" w:hint="default"/>
                <w:sz w:val="26"/>
                <w:szCs w:val="26"/>
              </w:rPr>
            </w:pPr>
          </w:p>
          <w:p>
            <w:pPr>
              <w:pStyle w:val="TableParagraph"/>
              <w:spacing w:line="312" w:lineRule="exact"/>
              <w:ind w:right="-27"/>
              <w:jc w:val="left"/>
              <w:rPr>
                <w:rFonts w:ascii="宋体" w:hAnsi="宋体" w:cs="宋体" w:eastAsia="宋体" w:hint="default"/>
                <w:sz w:val="20"/>
                <w:szCs w:val="20"/>
              </w:rPr>
            </w:pPr>
            <w:r>
              <w:rPr>
                <w:rFonts w:ascii="宋体" w:hAnsi="宋体" w:cs="宋体" w:eastAsia="宋体" w:hint="default"/>
                <w:position w:val="-5"/>
                <w:sz w:val="20"/>
                <w:szCs w:val="20"/>
              </w:rPr>
              <w:pict>
                <v:group style="width:25.3pt;height:15.65pt;mso-position-horizontal-relative:char;mso-position-vertical-relative:line" coordorigin="0,0" coordsize="506,313">
                  <v:group style="position:absolute;left:0;top:0;width:506;height:313" coordorigin="0,0" coordsize="506,313">
                    <v:shape style="position:absolute;left:0;top:0;width:506;height:313" coordorigin="0,0" coordsize="506,313" path="m0,312l505,312,505,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before="12"/>
              <w:ind w:right="0"/>
              <w:jc w:val="left"/>
              <w:rPr>
                <w:rFonts w:ascii="宋体" w:hAnsi="宋体" w:cs="宋体" w:eastAsia="宋体" w:hint="default"/>
                <w:sz w:val="26"/>
                <w:szCs w:val="26"/>
              </w:rPr>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178,281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,779.36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2,026,7</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21.00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14,026,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339.51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63,985,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857.29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283,253</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,997.16</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16,053,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060.51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14,716,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581.94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30,769,</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642.45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24,933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186,110</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,412.00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40,661,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798.68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251,705</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,510.68</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2"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24,933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186,110</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,412.00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40,661,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798.68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251,705</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,510.68</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2,026,7</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21.00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-2,026,7</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21.00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2,026,7</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21.00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-2,026,7</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21.00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-7,828,6</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32.64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8,607,4</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76.67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778,844</w:t>
            </w:r>
          </w:p>
          <w:p>
            <w:pPr>
              <w:pStyle w:val="TableParagraph"/>
              <w:spacing w:line="240" w:lineRule="auto" w:before="106"/>
              <w:ind w:left="400" w:right="0"/>
              <w:jc w:val="left"/>
              <w:rPr>
                <w:rFonts w:ascii="Times New Roman" w:hAnsi="Times New Roman" w:cs="Times New Roman" w:eastAsia="Times New Roman" w:hint="default"/>
                <w:sz w:val="18"/>
                <w:szCs w:val="18"/>
              </w:rPr>
            </w:pPr>
            <w:r>
              <w:rPr>
                <w:rFonts w:ascii="Times New Roman"/>
                <w:sz w:val="18"/>
              </w:rPr>
              <w:t>.03</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277,34</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1,300.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471,871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,374.38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21,033,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151.91</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102,421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,333.05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125,461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,509.15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998,128</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,668.49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7"/>
        <w:rPr>
          <w:rFonts w:ascii="Times New Roman" w:hAnsi="Times New Roman" w:cs="Times New Roman" w:eastAsia="Times New Roman" w:hint="default"/>
          <w:sz w:val="29"/>
          <w:szCs w:val="29"/>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5"/>
        <w:gridCol w:w="665"/>
        <w:gridCol w:w="678"/>
        <w:gridCol w:w="652"/>
        <w:gridCol w:w="659"/>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4"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15" w:type="dxa"/>
            <w:vMerge/>
            <w:tcBorders>
              <w:left w:val="single" w:sz="4" w:space="0" w:color="000000"/>
              <w:right w:val="single" w:sz="4" w:space="0" w:color="000000"/>
            </w:tcBorders>
            <w:shd w:val="clear" w:color="auto" w:fill="D2D2D2"/>
          </w:tcPr>
          <w:p>
            <w:pPr/>
          </w:p>
        </w:tc>
        <w:tc>
          <w:tcPr>
            <w:tcW w:w="6834"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2"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34"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5"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10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194,16</w:t>
            </w:r>
          </w:p>
          <w:p>
            <w:pPr>
              <w:pStyle w:val="TableParagraph"/>
              <w:spacing w:line="240" w:lineRule="auto" w:before="104"/>
              <w:ind w:left="84"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4"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330,437</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,665.25</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19,006,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430.91</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142,079</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,218.72</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6,626,3</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18.76</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692,309</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,633.64</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194,16</w:t>
            </w:r>
          </w:p>
          <w:p>
            <w:pPr>
              <w:pStyle w:val="TableParagraph"/>
              <w:spacing w:line="240" w:lineRule="auto" w:before="104"/>
              <w:ind w:left="84"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4"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330,437</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,665.25</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19,006,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430.91</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142,079</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,218.72</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6,626,3</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18.76</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692,309</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,633.64</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316" w:lineRule="auto" w:before="51"/>
              <w:ind w:left="11" w:right="3"/>
              <w:jc w:val="left"/>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9"/>
                <w:sz w:val="18"/>
                <w:szCs w:val="18"/>
              </w:rPr>
              <w:t>金额（减少以“－</w:t>
            </w:r>
            <w:r>
              <w:rPr>
                <w:rFonts w:ascii="宋体" w:hAnsi="宋体" w:cs="宋体" w:eastAsia="宋体" w:hint="default"/>
                <w:sz w:val="18"/>
                <w:szCs w:val="18"/>
              </w:rPr>
              <w:t> 号填列）</w:t>
            </w:r>
          </w:p>
        </w:tc>
        <w:tc>
          <w:tcPr>
            <w:tcW w:w="574" w:type="dxa"/>
            <w:tcBorders>
              <w:top w:val="single" w:sz="4" w:space="0" w:color="000000"/>
              <w:left w:val="single" w:sz="23"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58,248</w:t>
            </w:r>
          </w:p>
          <w:p>
            <w:pPr>
              <w:pStyle w:val="TableParagraph"/>
              <w:spacing w:line="240" w:lineRule="auto" w:before="64"/>
              <w:ind w:left="-136"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,000.0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1"/>
              <w:ind w:right="0"/>
              <w:jc w:val="left"/>
              <w:rPr>
                <w:rFonts w:ascii="宋体" w:hAnsi="宋体" w:cs="宋体" w:eastAsia="宋体" w:hint="default"/>
                <w:sz w:val="26"/>
                <w:szCs w:val="26"/>
              </w:rPr>
            </w:pPr>
          </w:p>
          <w:p>
            <w:pPr>
              <w:pStyle w:val="TableParagraph"/>
              <w:spacing w:line="312" w:lineRule="exact"/>
              <w:ind w:left="11" w:right="-28"/>
              <w:jc w:val="left"/>
              <w:rPr>
                <w:rFonts w:ascii="宋体" w:hAnsi="宋体" w:cs="宋体" w:eastAsia="宋体" w:hint="default"/>
                <w:sz w:val="20"/>
                <w:szCs w:val="20"/>
              </w:rPr>
            </w:pPr>
            <w:r>
              <w:rPr>
                <w:rFonts w:ascii="宋体" w:hAnsi="宋体" w:cs="宋体" w:eastAsia="宋体" w:hint="default"/>
                <w:position w:val="-5"/>
                <w:sz w:val="20"/>
                <w:szCs w:val="20"/>
              </w:rPr>
              <w:pict>
                <v:group style="width:25.35pt;height:15.6pt;mso-position-horizontal-relative:char;mso-position-vertical-relative:line" coordorigin="0,0" coordsize="507,312">
                  <v:group style="position:absolute;left:0;top:0;width:507;height:312" coordorigin="0,0" coordsize="507,312">
                    <v:shape style="position:absolute;left:0;top:0;width:507;height:312" coordorigin="0,0" coordsize="507,312" path="m0,312l506,312,506,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before="13"/>
              <w:ind w:right="0"/>
              <w:jc w:val="left"/>
              <w:rPr>
                <w:rFonts w:ascii="宋体" w:hAnsi="宋体" w:cs="宋体" w:eastAsia="宋体" w:hint="default"/>
                <w:sz w:val="26"/>
                <w:szCs w:val="26"/>
              </w:rPr>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-36,848,</w:t>
            </w:r>
          </w:p>
          <w:p>
            <w:pPr>
              <w:pStyle w:val="TableParagraph"/>
              <w:spacing w:line="240" w:lineRule="auto" w:before="105"/>
              <w:ind w:left="115" w:right="0"/>
              <w:jc w:val="center"/>
              <w:rPr>
                <w:rFonts w:ascii="Times New Roman" w:hAnsi="Times New Roman" w:cs="Times New Roman" w:eastAsia="Times New Roman" w:hint="default"/>
                <w:sz w:val="18"/>
                <w:szCs w:val="18"/>
              </w:rPr>
            </w:pPr>
            <w:r>
              <w:rPr>
                <w:rFonts w:ascii="Times New Roman"/>
                <w:sz w:val="18"/>
              </w:rPr>
              <w:t>070.23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-53,684,</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225.18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54,849,</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333.10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22,565,</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037.69</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-47,859,</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425.18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-1,651,</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893.10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-49,511,</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318.28</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78,680,</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000.00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78,680,</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78,680,</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000.00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78,680,</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-5,824,8</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00.00</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-5,824,8</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-5,824,8</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00.00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-5,824,8</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58,248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-58,248,</w:t>
            </w:r>
          </w:p>
          <w:p>
            <w:pPr>
              <w:pStyle w:val="TableParagraph"/>
              <w:spacing w:line="240" w:lineRule="auto" w:before="106"/>
              <w:ind w:left="115"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58,248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-58,248,</w:t>
            </w:r>
          </w:p>
          <w:p>
            <w:pPr>
              <w:pStyle w:val="TableParagraph"/>
              <w:spacing w:line="240" w:lineRule="auto" w:before="106"/>
              <w:ind w:left="115"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left"/>
              <w:rPr>
                <w:rFonts w:ascii="Times New Roman" w:hAnsi="Times New Roman" w:cs="Times New Roman" w:eastAsia="Times New Roman" w:hint="default"/>
                <w:sz w:val="18"/>
                <w:szCs w:val="18"/>
              </w:rPr>
            </w:pPr>
            <w:r>
              <w:rPr>
                <w:rFonts w:ascii="Times New Roman"/>
                <w:sz w:val="18"/>
              </w:rPr>
              <w:t>21,399,</w:t>
            </w:r>
          </w:p>
          <w:p>
            <w:pPr>
              <w:pStyle w:val="TableParagraph"/>
              <w:spacing w:line="240" w:lineRule="auto" w:before="106"/>
              <w:ind w:left="137" w:right="0"/>
              <w:jc w:val="left"/>
              <w:rPr>
                <w:rFonts w:ascii="Times New Roman" w:hAnsi="Times New Roman" w:cs="Times New Roman" w:eastAsia="Times New Roman" w:hint="default"/>
                <w:sz w:val="18"/>
                <w:szCs w:val="18"/>
              </w:rPr>
            </w:pPr>
            <w:r>
              <w:rPr>
                <w:rFonts w:ascii="Times New Roman"/>
                <w:sz w:val="18"/>
              </w:rPr>
              <w:t>929.77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-22,178</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,773.80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-778,84</w:t>
            </w:r>
          </w:p>
          <w:p>
            <w:pPr>
              <w:pStyle w:val="TableParagraph"/>
              <w:spacing w:line="240" w:lineRule="auto" w:before="106"/>
              <w:ind w:left="310" w:right="0"/>
              <w:jc w:val="left"/>
              <w:rPr>
                <w:rFonts w:ascii="Times New Roman" w:hAnsi="Times New Roman" w:cs="Times New Roman" w:eastAsia="Times New Roman" w:hint="default"/>
                <w:sz w:val="18"/>
                <w:szCs w:val="18"/>
              </w:rPr>
            </w:pPr>
            <w:r>
              <w:rPr>
                <w:rFonts w:ascii="Times New Roman"/>
                <w:sz w:val="18"/>
              </w:rPr>
              <w:t>4.03</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252,40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8,000.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293,589</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,595.02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19,006,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430.91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88,394,</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993.54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61,475,</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651.86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714,874</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,671.33</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8、母公司所有者权益变动表" w:id="159"/>
      <w:bookmarkEnd w:id="159"/>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2"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252,408,</w:t>
            </w:r>
          </w:p>
          <w:p>
            <w:pPr>
              <w:pStyle w:val="TableParagraph"/>
              <w:spacing w:line="240" w:lineRule="auto" w:before="106"/>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271,716,1</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34.20</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19,006,43</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0.91</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9"/>
              <w:ind w:left="103" w:right="0"/>
              <w:jc w:val="left"/>
              <w:rPr>
                <w:rFonts w:ascii="Times New Roman" w:hAnsi="Times New Roman" w:cs="Times New Roman" w:eastAsia="Times New Roman" w:hint="default"/>
                <w:sz w:val="18"/>
                <w:szCs w:val="18"/>
              </w:rPr>
            </w:pPr>
            <w:r>
              <w:rPr>
                <w:rFonts w:ascii="Times New Roman"/>
                <w:sz w:val="18"/>
              </w:rPr>
              <w:t>88,627,</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416.90</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9"/>
              <w:ind w:left="27" w:right="0"/>
              <w:jc w:val="left"/>
              <w:rPr>
                <w:rFonts w:ascii="Times New Roman" w:hAnsi="Times New Roman" w:cs="Times New Roman" w:eastAsia="Times New Roman" w:hint="default"/>
                <w:sz w:val="18"/>
                <w:szCs w:val="18"/>
              </w:rPr>
            </w:pPr>
            <w:r>
              <w:rPr>
                <w:rFonts w:ascii="Times New Roman"/>
                <w:sz w:val="18"/>
              </w:rPr>
              <w:t>631,757,9</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82.01</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252,408,</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271,716,1</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34.20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19,006,43</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0.91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88,627,</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416.90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631,757,9</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82.01</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19"/>
                <w:sz w:val="18"/>
                <w:szCs w:val="18"/>
              </w:rPr>
              <w:t>金额（减少以“－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162" w:lineRule="exact"/>
              <w:ind w:left="27" w:right="0"/>
              <w:jc w:val="left"/>
              <w:rPr>
                <w:rFonts w:ascii="Times New Roman" w:hAnsi="Times New Roman" w:cs="Times New Roman" w:eastAsia="Times New Roman" w:hint="default"/>
                <w:sz w:val="18"/>
                <w:szCs w:val="18"/>
              </w:rPr>
            </w:pPr>
            <w:r>
              <w:rPr>
                <w:rFonts w:ascii="Times New Roman"/>
                <w:sz w:val="18"/>
              </w:rPr>
              <w:t>24,933,3</w:t>
            </w:r>
          </w:p>
          <w:p>
            <w:pPr>
              <w:pStyle w:val="TableParagraph"/>
              <w:spacing w:line="171" w:lineRule="exact"/>
              <w:ind w:left="-12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8" w:lineRule="exact"/>
              <w:ind w:left="25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7"/>
              <w:ind w:right="0"/>
              <w:jc w:val="left"/>
              <w:rPr>
                <w:rFonts w:ascii="Times New Roman" w:hAnsi="Times New Roman" w:cs="Times New Roman" w:eastAsia="Times New Roman" w:hint="default"/>
                <w:sz w:val="12"/>
                <w:szCs w:val="12"/>
              </w:rPr>
            </w:pPr>
          </w:p>
          <w:p>
            <w:pPr>
              <w:pStyle w:val="TableParagraph"/>
              <w:spacing w:line="727" w:lineRule="exact"/>
              <w:ind w:right="-14"/>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4"/>
                <w:sz w:val="20"/>
                <w:szCs w:val="20"/>
              </w:rPr>
              <w:pict>
                <v:group style="width:32.9pt;height:36.4pt;mso-position-horizontal-relative:char;mso-position-vertical-relative:line" coordorigin="0,0" coordsize="658,728">
                  <v:group style="position:absolute;left:11;top:11;width:2;height:705" coordorigin="11,11" coordsize="2,705">
                    <v:shape style="position:absolute;left:11;top:11;width:2;height:705" coordorigin="11,11" coordsize="0,705" path="m11,11l11,716e" filled="false" stroked="true" strokeweight="1.140pt" strokecolor="#ffffff">
                      <v:path arrowok="t"/>
                    </v:shape>
                  </v:group>
                  <v:group style="position:absolute;left:23;top:11;width:635;height:354" coordorigin="23,11" coordsize="635,354">
                    <v:shape style="position:absolute;left:23;top:11;width:635;height:354" coordorigin="23,11" coordsize="635,354" path="m23,365l658,365,658,11,23,11,23,365xe" filled="true" fillcolor="#ffffff" stroked="false">
                      <v:path arrowok="t"/>
                      <v:fill type="solid"/>
                    </v:shape>
                  </v:group>
                  <v:group style="position:absolute;left:23;top:365;width:635;height:352" coordorigin="23,365" coordsize="635,352">
                    <v:shape style="position:absolute;left:23;top:365;width:635;height:352" coordorigin="23,365" coordsize="635,352" path="m23,716l658,716,658,365,23,365,23,716xe" filled="true" fillcolor="#ffffff" stroked="false">
                      <v:path arrowok="t"/>
                      <v:fill type="solid"/>
                    </v:shape>
                  </v:group>
                </v:group>
              </w:pict>
            </w:r>
            <w:r>
              <w:rPr>
                <w:rFonts w:ascii="Times New Roman" w:hAnsi="Times New Roman" w:cs="Times New Roman" w:eastAsia="Times New Roman" w:hint="default"/>
                <w:position w:val="-14"/>
                <w:sz w:val="20"/>
                <w:szCs w:val="20"/>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186,889,2</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56.03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2,026,721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36,304,</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662.41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250,153,9</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39.44</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38,331,</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383.41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38,331,38</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3.41</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24,933,3</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186,110,4</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12.00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211,043,7</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12.00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24,933,3</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186,110,4</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12.00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211,043,7</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12.00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2,026,721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-2,026,7</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21.00</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2,026,721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-2,026,7</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21.00</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778,844.0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7" w:right="0"/>
              <w:jc w:val="left"/>
              <w:rPr>
                <w:rFonts w:ascii="Times New Roman" w:hAnsi="Times New Roman" w:cs="Times New Roman" w:eastAsia="Times New Roman" w:hint="default"/>
                <w:sz w:val="18"/>
                <w:szCs w:val="18"/>
              </w:rPr>
            </w:pPr>
            <w:r>
              <w:rPr>
                <w:rFonts w:ascii="Times New Roman"/>
                <w:sz w:val="18"/>
              </w:rPr>
              <w:t>778,844.0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3</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277,341,</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300.00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458,605,3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90.23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21,033,15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1.91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124,932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,079.31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881,911,9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21.45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194,160,</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330,742,9</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78.23</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19,006,43</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0.91</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64" w:right="0"/>
              <w:jc w:val="left"/>
              <w:rPr>
                <w:rFonts w:ascii="Times New Roman" w:hAnsi="Times New Roman" w:cs="Times New Roman" w:eastAsia="Times New Roman" w:hint="default"/>
                <w:sz w:val="18"/>
                <w:szCs w:val="18"/>
              </w:rPr>
            </w:pPr>
            <w:r>
              <w:rPr>
                <w:rFonts w:ascii="Times New Roman"/>
                <w:sz w:val="18"/>
              </w:rPr>
              <w:t>112,516</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,390.32</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27" w:right="0"/>
              <w:jc w:val="left"/>
              <w:rPr>
                <w:rFonts w:ascii="Times New Roman" w:hAnsi="Times New Roman" w:cs="Times New Roman" w:eastAsia="Times New Roman" w:hint="default"/>
                <w:sz w:val="18"/>
                <w:szCs w:val="18"/>
              </w:rPr>
            </w:pPr>
            <w:r>
              <w:rPr>
                <w:rFonts w:ascii="Times New Roman"/>
                <w:sz w:val="18"/>
              </w:rPr>
              <w:t>656,425,7</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99.46</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194,160,</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330,742,9</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78.23</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19,006,43</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0.91</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112,516</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,390.32</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656,425,7</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99.46</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19"/>
                <w:sz w:val="18"/>
                <w:szCs w:val="18"/>
              </w:rPr>
              <w:t>金额（减少以“－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162" w:lineRule="exact"/>
              <w:ind w:left="32" w:right="0"/>
              <w:jc w:val="left"/>
              <w:rPr>
                <w:rFonts w:ascii="Times New Roman" w:hAnsi="Times New Roman" w:cs="Times New Roman" w:eastAsia="Times New Roman" w:hint="default"/>
                <w:sz w:val="18"/>
                <w:szCs w:val="18"/>
              </w:rPr>
            </w:pPr>
            <w:r>
              <w:rPr>
                <w:rFonts w:ascii="Times New Roman"/>
                <w:sz w:val="18"/>
              </w:rPr>
              <w:t>58,248,0</w:t>
            </w:r>
          </w:p>
          <w:p>
            <w:pPr>
              <w:pStyle w:val="TableParagraph"/>
              <w:spacing w:line="171" w:lineRule="exact"/>
              <w:ind w:left="-12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8" w:lineRule="exact"/>
              <w:ind w:left="258"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
              <w:ind w:right="0"/>
              <w:jc w:val="left"/>
              <w:rPr>
                <w:rFonts w:ascii="宋体" w:hAnsi="宋体" w:cs="宋体" w:eastAsia="宋体" w:hint="default"/>
                <w:sz w:val="11"/>
                <w:szCs w:val="11"/>
              </w:rPr>
            </w:pPr>
          </w:p>
          <w:p>
            <w:pPr>
              <w:pStyle w:val="TableParagraph"/>
              <w:spacing w:line="727" w:lineRule="exact"/>
              <w:ind w:left="4" w:right="-14"/>
              <w:jc w:val="left"/>
              <w:rPr>
                <w:rFonts w:ascii="宋体" w:hAnsi="宋体" w:cs="宋体" w:eastAsia="宋体" w:hint="default"/>
                <w:sz w:val="20"/>
                <w:szCs w:val="20"/>
              </w:rPr>
            </w:pPr>
            <w:r>
              <w:rPr>
                <w:rFonts w:ascii="宋体" w:hAnsi="宋体" w:cs="宋体" w:eastAsia="宋体" w:hint="default"/>
                <w:position w:val="-14"/>
                <w:sz w:val="20"/>
                <w:szCs w:val="20"/>
              </w:rPr>
              <w:pict>
                <v:group style="width:32.9pt;height:36.4pt;mso-position-horizontal-relative:char;mso-position-vertical-relative:line" coordorigin="0,0" coordsize="658,728">
                  <v:group style="position:absolute;left:11;top:11;width:2;height:705" coordorigin="11,11" coordsize="2,705">
                    <v:shape style="position:absolute;left:11;top:11;width:2;height:705" coordorigin="11,11" coordsize="0,705" path="m11,11l11,716e" filled="false" stroked="true" strokeweight="1.140pt" strokecolor="#ffffff">
                      <v:path arrowok="t"/>
                    </v:shape>
                  </v:group>
                  <v:group style="position:absolute;left:23;top:11;width:635;height:353" coordorigin="23,11" coordsize="635,353">
                    <v:shape style="position:absolute;left:23;top:11;width:635;height:353" coordorigin="23,11" coordsize="635,353" path="m23,364l658,364,658,11,23,11,23,364xe" filled="true" fillcolor="#ffffff" stroked="false">
                      <v:path arrowok="t"/>
                      <v:fill type="solid"/>
                    </v:shape>
                  </v:group>
                  <v:group style="position:absolute;left:23;top:364;width:635;height:352" coordorigin="23,364" coordsize="635,352">
                    <v:shape style="position:absolute;left:23;top:364;width:635;height:352" coordorigin="23,364" coordsize="635,352" path="m23,716l658,716,658,364,23,364,23,716xe" filled="true" fillcolor="#ffffff" stroked="false">
                      <v:path arrowok="t"/>
                      <v:fill type="solid"/>
                    </v:shape>
                  </v:group>
                </v:group>
              </w:pict>
            </w:r>
            <w:r>
              <w:rPr>
                <w:rFonts w:ascii="宋体" w:hAnsi="宋体" w:cs="宋体" w:eastAsia="宋体" w:hint="default"/>
                <w:position w:val="-14"/>
                <w:sz w:val="20"/>
                <w:szCs w:val="20"/>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-59,026,8</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44.03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-23,888,</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973.42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-24,667,8</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17.45</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-18,064,</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173.42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-18,064,1</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73.42</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-5,824,8</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00.00</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-5,824,80</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-5,824,8</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-5,824,80</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58,248,0</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-58,248,0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58,248,0</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-58,248,0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-778,844.</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-778,844.</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03</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252,408,</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271,716,1</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34.20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19,006,43</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0.91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88,627,</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416.90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631,757,9</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82.01</w:t>
            </w:r>
          </w:p>
        </w:tc>
      </w:tr>
    </w:tbl>
    <w:p>
      <w:pPr>
        <w:spacing w:line="240" w:lineRule="auto" w:before="2"/>
        <w:rPr>
          <w:rFonts w:ascii="宋体" w:hAnsi="宋体" w:cs="宋体" w:eastAsia="宋体" w:hint="default"/>
          <w:sz w:val="18"/>
          <w:szCs w:val="18"/>
        </w:rPr>
      </w:pPr>
    </w:p>
    <w:p>
      <w:pPr>
        <w:spacing w:before="26"/>
        <w:ind w:left="154" w:right="0" w:firstLine="0"/>
        <w:jc w:val="left"/>
        <w:rPr>
          <w:rFonts w:ascii="宋体" w:hAnsi="宋体" w:cs="宋体" w:eastAsia="宋体" w:hint="default"/>
          <w:sz w:val="21"/>
          <w:szCs w:val="21"/>
        </w:rPr>
      </w:pPr>
      <w:bookmarkStart w:name="三、公司基本情况" w:id="160"/>
      <w:bookmarkEnd w:id="160"/>
      <w:r>
        <w:rPr/>
      </w:r>
      <w:r>
        <w:rPr>
          <w:rFonts w:ascii="宋体" w:hAnsi="宋体" w:cs="宋体" w:eastAsia="宋体" w:hint="default"/>
          <w:b/>
          <w:bCs/>
          <w:sz w:val="24"/>
          <w:szCs w:val="24"/>
        </w:rPr>
        <w:t>三、</w:t>
      </w:r>
      <w:r>
        <w:rPr>
          <w:rFonts w:ascii="宋体" w:hAnsi="宋体" w:cs="宋体" w:eastAsia="宋体" w:hint="default"/>
          <w:b/>
          <w:bCs/>
          <w:sz w:val="21"/>
          <w:szCs w:val="21"/>
        </w:rPr>
        <w:t>公司基本情况</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pStyle w:val="BodyText"/>
        <w:spacing w:line="273" w:lineRule="auto" w:before="0"/>
        <w:ind w:left="633" w:right="6703"/>
        <w:jc w:val="left"/>
      </w:pPr>
      <w:r>
        <w:rPr/>
        <w:t>（一）公司概况 公司名称：茂硕电源科技股份有限公司</w:t>
      </w:r>
    </w:p>
    <w:p>
      <w:pPr>
        <w:pStyle w:val="BodyText"/>
        <w:spacing w:line="264" w:lineRule="auto"/>
        <w:ind w:left="633" w:right="5233"/>
        <w:jc w:val="left"/>
      </w:pPr>
      <w:r>
        <w:rPr/>
        <w:t>注册地址：深圳市南山区松白路关外小白芒桑泰工业园 办公地址：深圳市南山区松白路关外小白芒桑泰工业园 注册资本：</w:t>
      </w:r>
      <w:r>
        <w:rPr>
          <w:rFonts w:ascii="Times New Roman" w:hAnsi="Times New Roman" w:cs="Times New Roman" w:eastAsia="Times New Roman" w:hint="default"/>
        </w:rPr>
        <w:t>27,734.13</w:t>
      </w:r>
      <w:r>
        <w:rPr/>
        <w:t>万元 法人营业执照号码：</w:t>
      </w:r>
      <w:r>
        <w:rPr>
          <w:rFonts w:ascii="Times New Roman" w:hAnsi="Times New Roman" w:cs="Times New Roman" w:eastAsia="Times New Roman" w:hint="default"/>
        </w:rPr>
        <w:t>440301102798218 </w:t>
      </w:r>
      <w:r>
        <w:rPr/>
        <w:t>统一社会信用代码：</w:t>
      </w:r>
      <w:r>
        <w:rPr>
          <w:rFonts w:ascii="Times New Roman" w:hAnsi="Times New Roman" w:cs="Times New Roman" w:eastAsia="Times New Roman" w:hint="default"/>
        </w:rPr>
        <w:t>91440300786559921G </w:t>
      </w:r>
      <w:r>
        <w:rPr/>
        <w:t>法定代表人：顾永德</w:t>
      </w:r>
    </w:p>
    <w:p>
      <w:pPr>
        <w:pStyle w:val="BodyText"/>
        <w:spacing w:line="273" w:lineRule="auto" w:before="16"/>
        <w:ind w:left="634" w:right="0"/>
        <w:jc w:val="left"/>
      </w:pPr>
      <w:r>
        <w:rPr/>
        <w:t>（二）公司行业性质、经营范围 </w:t>
      </w:r>
      <w:r>
        <w:rPr>
          <w:spacing w:val="-2"/>
        </w:rPr>
        <w:t>行业性质：根据中国证监会发布的《上市公司行业分类指引》，本公司所从事的行业归属于</w:t>
      </w:r>
      <w:r>
        <w:rPr>
          <w:rFonts w:ascii="Times New Roman" w:hAnsi="Times New Roman" w:cs="Times New Roman" w:eastAsia="Times New Roman" w:hint="default"/>
          <w:spacing w:val="-2"/>
        </w:rPr>
        <w:t>“</w:t>
      </w:r>
      <w:r>
        <w:rPr>
          <w:spacing w:val="-2"/>
        </w:rPr>
        <w:t>计算机、</w:t>
      </w:r>
    </w:p>
    <w:p>
      <w:pPr>
        <w:pStyle w:val="BodyText"/>
        <w:spacing w:line="256" w:lineRule="auto" w:before="0"/>
        <w:ind w:left="634" w:right="7929" w:hanging="480"/>
        <w:jc w:val="left"/>
      </w:pPr>
      <w:r>
        <w:rPr/>
        <w:t>通信及其他电子设备制造业</w:t>
      </w:r>
      <w:r>
        <w:rPr>
          <w:rFonts w:ascii="Times New Roman" w:hAnsi="Times New Roman" w:cs="Times New Roman" w:eastAsia="Times New Roman" w:hint="default"/>
        </w:rPr>
        <w:t>”</w:t>
      </w:r>
      <w:r>
        <w:rPr/>
        <w:t>。 经营范围：</w:t>
      </w:r>
    </w:p>
    <w:p>
      <w:pPr>
        <w:pStyle w:val="BodyText"/>
        <w:spacing w:line="266" w:lineRule="auto" w:before="22"/>
        <w:ind w:right="1033" w:firstLine="480"/>
        <w:jc w:val="left"/>
      </w:pPr>
      <w:r>
        <w:rPr/>
        <w:t>一般经营项目：</w:t>
      </w:r>
      <w:r>
        <w:rPr>
          <w:rFonts w:ascii="Times New Roman" w:hAnsi="Times New Roman" w:cs="Times New Roman" w:eastAsia="Times New Roman" w:hint="default"/>
        </w:rPr>
        <w:t>LED</w:t>
      </w:r>
      <w:r>
        <w:rPr/>
        <w:t>智能驱动电源，太阳能光伏逆变器，</w:t>
      </w:r>
      <w:r>
        <w:rPr>
          <w:rFonts w:ascii="Times New Roman" w:hAnsi="Times New Roman" w:cs="Times New Roman" w:eastAsia="Times New Roman" w:hint="default"/>
        </w:rPr>
        <w:t>DC/DC</w:t>
      </w:r>
      <w:r>
        <w:rPr/>
        <w:t>高效、高密度模块电源，医疗电源， 通信电源，开关电源，高频变压器的研发和销售；电子元器件，五金塑胶配件的销售以及提供新能源和再 生能源的储能系统解决方案（以上不含限制项目）；经营进出口业务（法律、行政法规、国务院决定禁止 的项目除外，限制的项目须取得许可后方可经营）；房屋租赁。</w:t>
      </w:r>
    </w:p>
    <w:p>
      <w:pPr>
        <w:pStyle w:val="BodyText"/>
        <w:spacing w:line="256" w:lineRule="auto" w:before="14"/>
        <w:ind w:right="1033" w:firstLine="480"/>
        <w:jc w:val="left"/>
      </w:pPr>
      <w:r>
        <w:rPr/>
        <w:t>许可经营项目：</w:t>
      </w:r>
      <w:r>
        <w:rPr>
          <w:rFonts w:ascii="Times New Roman" w:hAnsi="Times New Roman" w:cs="Times New Roman" w:eastAsia="Times New Roman" w:hint="default"/>
        </w:rPr>
        <w:t>LED</w:t>
      </w:r>
      <w:r>
        <w:rPr/>
        <w:t>智能驱动电源，太阳能光伏逆变器，</w:t>
      </w:r>
      <w:r>
        <w:rPr>
          <w:rFonts w:ascii="Times New Roman" w:hAnsi="Times New Roman" w:cs="Times New Roman" w:eastAsia="Times New Roman" w:hint="default"/>
        </w:rPr>
        <w:t>DC/DC</w:t>
      </w:r>
      <w:r>
        <w:rPr/>
        <w:t>高效、高密度模块电源，医疗电源， 通信电源，开关电源，高频变压器的生产；普通货运。</w:t>
      </w:r>
    </w:p>
    <w:p>
      <w:pPr>
        <w:pStyle w:val="BodyText"/>
        <w:spacing w:line="273" w:lineRule="auto" w:before="23"/>
        <w:ind w:left="634" w:right="0" w:firstLine="37"/>
        <w:jc w:val="left"/>
      </w:pPr>
      <w:r>
        <w:rPr/>
        <w:t>（三）公司主要产品或提供的劳务 </w:t>
      </w:r>
      <w:r>
        <w:rPr>
          <w:spacing w:val="-2"/>
        </w:rPr>
        <w:t>本公司及各子公司的主要产品及提供的劳务：消费电子类电源、</w:t>
      </w:r>
      <w:r>
        <w:rPr>
          <w:rFonts w:ascii="Times New Roman" w:hAnsi="Times New Roman" w:cs="Times New Roman" w:eastAsia="Times New Roman" w:hint="default"/>
          <w:spacing w:val="-2"/>
        </w:rPr>
        <w:t>LED</w:t>
      </w:r>
      <w:r>
        <w:rPr>
          <w:spacing w:val="-2"/>
        </w:rPr>
        <w:t>驱动电源、变压器、太阳能光伏</w:t>
      </w:r>
    </w:p>
    <w:p>
      <w:pPr>
        <w:pStyle w:val="BodyText"/>
        <w:spacing w:line="279" w:lineRule="exact" w:before="0"/>
        <w:ind w:left="154" w:right="0"/>
        <w:jc w:val="left"/>
      </w:pPr>
      <w:r>
        <w:rPr/>
        <w:t>逆变器、单面</w:t>
      </w:r>
      <w:r>
        <w:rPr>
          <w:rFonts w:ascii="Times New Roman" w:hAnsi="Times New Roman" w:cs="Times New Roman" w:eastAsia="Times New Roman" w:hint="default"/>
        </w:rPr>
        <w:t>FPC</w:t>
      </w:r>
      <w:r>
        <w:rPr/>
        <w:t>板及双面</w:t>
      </w:r>
      <w:r>
        <w:rPr>
          <w:rFonts w:ascii="Times New Roman" w:hAnsi="Times New Roman" w:cs="Times New Roman" w:eastAsia="Times New Roman" w:hint="default"/>
        </w:rPr>
        <w:t>FPC</w:t>
      </w:r>
      <w:r>
        <w:rPr/>
        <w:t>板的生产和销售；太阳能光伏发电系统的设计、开发、投资、建设和经营。</w:t>
      </w:r>
    </w:p>
    <w:p>
      <w:pPr>
        <w:pStyle w:val="BodyText"/>
        <w:spacing w:line="240" w:lineRule="auto" w:before="21"/>
        <w:ind w:left="671" w:right="0"/>
        <w:jc w:val="left"/>
      </w:pPr>
      <w:r>
        <w:rPr/>
        <w:t>（四）财务报表的批准</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left="633" w:right="0"/>
        <w:jc w:val="left"/>
      </w:pPr>
      <w:r>
        <w:rPr/>
        <w:t>本公司财务报表及财务报表附注业经本公司第三届董事会</w:t>
      </w:r>
      <w:r>
        <w:rPr>
          <w:rFonts w:ascii="Times New Roman" w:hAnsi="Times New Roman" w:cs="Times New Roman" w:eastAsia="Times New Roman" w:hint="default"/>
        </w:rPr>
        <w:t>2016</w:t>
      </w:r>
      <w:r>
        <w:rPr/>
        <w:t>年第</w:t>
      </w:r>
      <w:r>
        <w:rPr>
          <w:rFonts w:ascii="Times New Roman" w:hAnsi="Times New Roman" w:cs="Times New Roman" w:eastAsia="Times New Roman" w:hint="default"/>
        </w:rPr>
        <w:t>1</w:t>
      </w:r>
      <w:r>
        <w:rPr/>
        <w:t>次会议于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日批准。</w:t>
      </w:r>
    </w:p>
    <w:p>
      <w:pPr>
        <w:spacing w:line="240" w:lineRule="auto" w:before="6"/>
        <w:rPr>
          <w:rFonts w:ascii="宋体" w:hAnsi="宋体" w:cs="宋体" w:eastAsia="宋体" w:hint="default"/>
          <w:sz w:val="25"/>
          <w:szCs w:val="25"/>
        </w:rPr>
      </w:pPr>
    </w:p>
    <w:p>
      <w:pPr>
        <w:pStyle w:val="BodyText"/>
        <w:spacing w:line="256" w:lineRule="auto" w:before="0"/>
        <w:ind w:right="0" w:firstLine="480"/>
        <w:jc w:val="left"/>
      </w:pPr>
      <w:r>
        <w:rPr>
          <w:spacing w:val="-2"/>
        </w:rPr>
        <w:t>本公司</w:t>
      </w:r>
      <w:r>
        <w:rPr>
          <w:rFonts w:ascii="Times New Roman" w:hAnsi="Times New Roman" w:cs="Times New Roman" w:eastAsia="Times New Roman" w:hint="default"/>
          <w:spacing w:val="-2"/>
        </w:rPr>
        <w:t>2015</w:t>
      </w:r>
      <w:r>
        <w:rPr>
          <w:spacing w:val="-2"/>
        </w:rPr>
        <w:t>年度纳入合并范围的子公司共</w:t>
      </w:r>
      <w:r>
        <w:rPr>
          <w:rFonts w:ascii="Times New Roman" w:hAnsi="Times New Roman" w:cs="Times New Roman" w:eastAsia="Times New Roman" w:hint="default"/>
          <w:spacing w:val="-2"/>
        </w:rPr>
        <w:t>25</w:t>
      </w:r>
      <w:r>
        <w:rPr>
          <w:spacing w:val="-2"/>
        </w:rPr>
        <w:t>户，详见本报告第十节、九</w:t>
      </w:r>
      <w:r>
        <w:rPr>
          <w:rFonts w:ascii="Times New Roman" w:hAnsi="Times New Roman" w:cs="Times New Roman" w:eastAsia="Times New Roman" w:hint="default"/>
          <w:spacing w:val="-2"/>
        </w:rPr>
        <w:t>“</w:t>
      </w:r>
      <w:r>
        <w:rPr>
          <w:spacing w:val="-2"/>
        </w:rPr>
        <w:t>在其他主体中的权益</w:t>
      </w:r>
      <w:r>
        <w:rPr>
          <w:rFonts w:ascii="Times New Roman" w:hAnsi="Times New Roman" w:cs="Times New Roman" w:eastAsia="Times New Roman" w:hint="default"/>
          <w:spacing w:val="-2"/>
        </w:rPr>
        <w:t>”</w:t>
      </w:r>
      <w:r>
        <w:rPr>
          <w:spacing w:val="-2"/>
        </w:rPr>
        <w:t>。本公</w:t>
      </w:r>
      <w:r>
        <w:rPr/>
        <w:t> 司本年度合并范围比上年度增加</w:t>
      </w:r>
      <w:r>
        <w:rPr>
          <w:rFonts w:ascii="Times New Roman" w:hAnsi="Times New Roman" w:cs="Times New Roman" w:eastAsia="Times New Roman" w:hint="default"/>
        </w:rPr>
        <w:t>15</w:t>
      </w:r>
      <w:r>
        <w:rPr/>
        <w:t>户，详见本报告第十节、八</w:t>
      </w:r>
      <w:r>
        <w:rPr>
          <w:rFonts w:ascii="Times New Roman" w:hAnsi="Times New Roman" w:cs="Times New Roman" w:eastAsia="Times New Roman" w:hint="default"/>
        </w:rPr>
        <w:t>“</w:t>
      </w:r>
      <w:r>
        <w:rPr/>
        <w:t>合并范围的变更</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3"/>
          <w:szCs w:val="23"/>
        </w:rPr>
      </w:pPr>
    </w:p>
    <w:p>
      <w:pPr>
        <w:pStyle w:val="Heading2"/>
        <w:spacing w:line="240" w:lineRule="auto"/>
        <w:ind w:right="0"/>
        <w:jc w:val="both"/>
        <w:rPr>
          <w:b w:val="0"/>
          <w:bCs w:val="0"/>
        </w:rPr>
      </w:pPr>
      <w:bookmarkStart w:name="四、财务报表的编制基础" w:id="161"/>
      <w:bookmarkEnd w:id="161"/>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编制基础" w:id="162"/>
      <w:bookmarkEnd w:id="162"/>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4"/>
          <w:szCs w:val="24"/>
        </w:rPr>
      </w:pPr>
    </w:p>
    <w:p>
      <w:pPr>
        <w:pStyle w:val="BodyText"/>
        <w:spacing w:line="261" w:lineRule="auto" w:before="0"/>
        <w:ind w:right="1121" w:firstLine="480"/>
        <w:jc w:val="left"/>
      </w:pPr>
      <w:r>
        <w:rPr>
          <w:spacing w:val="-2"/>
        </w:rPr>
        <w:t>本公司财务报表以持续经营假设为基础，根据实际发生的交易和事项，按照财政部发布的《企业会计</w:t>
      </w:r>
      <w:r>
        <w:rPr/>
        <w:t> 准则</w:t>
      </w:r>
      <w:r>
        <w:rPr>
          <w:rFonts w:ascii="Times New Roman" w:hAnsi="Times New Roman" w:cs="Times New Roman" w:eastAsia="Times New Roman" w:hint="default"/>
        </w:rPr>
        <w:t>——</w:t>
      </w:r>
      <w:r>
        <w:rPr/>
        <w:t>基本准则》（财政部令第</w:t>
      </w:r>
      <w:r>
        <w:rPr>
          <w:rFonts w:ascii="Times New Roman" w:hAnsi="Times New Roman" w:cs="Times New Roman" w:eastAsia="Times New Roman" w:hint="default"/>
        </w:rPr>
        <w:t>33</w:t>
      </w:r>
      <w:r>
        <w:rPr/>
        <w:t>号发布、财政部令第</w:t>
      </w:r>
      <w:r>
        <w:rPr>
          <w:rFonts w:ascii="Times New Roman" w:hAnsi="Times New Roman" w:cs="Times New Roman" w:eastAsia="Times New Roman" w:hint="default"/>
        </w:rPr>
        <w:t>76</w:t>
      </w:r>
      <w:r>
        <w:rPr/>
        <w:t>号修订）、于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日及其后颁布和修</w:t>
      </w:r>
      <w:r>
        <w:rPr>
          <w:spacing w:val="-34"/>
        </w:rPr>
        <w:t> </w:t>
      </w:r>
      <w:r>
        <w:rPr>
          <w:spacing w:val="-34"/>
        </w:rPr>
      </w:r>
      <w:r>
        <w:rPr/>
        <w:t>订的</w:t>
      </w:r>
      <w:r>
        <w:rPr>
          <w:rFonts w:ascii="Times New Roman" w:hAnsi="Times New Roman" w:cs="Times New Roman" w:eastAsia="Times New Roman" w:hint="default"/>
        </w:rPr>
        <w:t>41</w:t>
      </w:r>
      <w:r>
        <w:rPr/>
        <w:t>项具体会计准则、企业会计准则应用指南、企业会计准则解释及其他相关规定（以下合称</w:t>
      </w:r>
      <w:r>
        <w:rPr>
          <w:rFonts w:ascii="Times New Roman" w:hAnsi="Times New Roman" w:cs="Times New Roman" w:eastAsia="Times New Roman" w:hint="default"/>
        </w:rPr>
        <w:t>“</w:t>
      </w:r>
      <w:r>
        <w:rPr/>
        <w:t>企业会</w:t>
      </w:r>
      <w:r>
        <w:rPr>
          <w:spacing w:val="-13"/>
        </w:rPr>
        <w:t> </w:t>
      </w:r>
      <w:r>
        <w:rPr/>
        <w:t>计准则</w:t>
      </w:r>
      <w:r>
        <w:rPr>
          <w:rFonts w:ascii="Times New Roman" w:hAnsi="Times New Roman" w:cs="Times New Roman" w:eastAsia="Times New Roman" w:hint="default"/>
        </w:rPr>
        <w:t>”</w:t>
      </w:r>
      <w:r>
        <w:rPr/>
        <w:t>），以及中国证券监督管理委员会《公开发行证券的公司信息披露编报规则第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w:t>
      </w:r>
      <w:r>
        <w:rPr>
          <w:spacing w:val="-17"/>
        </w:rPr>
        <w:t> </w:t>
      </w:r>
      <w:r>
        <w:rPr/>
        <w:t>的一般规定》（</w:t>
      </w:r>
      <w:r>
        <w:rPr>
          <w:rFonts w:ascii="Times New Roman" w:hAnsi="Times New Roman" w:cs="Times New Roman" w:eastAsia="Times New Roman" w:hint="default"/>
        </w:rPr>
        <w:t>2014</w:t>
      </w:r>
      <w:r>
        <w:rPr/>
        <w:t>年修订）的披露规定编制。 </w:t>
      </w:r>
      <w:r>
        <w:rPr>
          <w:spacing w:val="-1"/>
        </w:rPr>
        <w:t>根据企业会计准则的相关规定，本公司会计核算以权责发生制为基础。除某些金融工具外，本财务报表均</w:t>
      </w:r>
      <w:r>
        <w:rPr>
          <w:spacing w:val="-83"/>
        </w:rPr>
        <w:t> </w:t>
      </w:r>
      <w:r>
        <w:rPr>
          <w:spacing w:val="-83"/>
        </w:rPr>
      </w:r>
      <w:r>
        <w:rPr/>
        <w:t>以历史成本为计量基础。资产如果发生减值，则按照相关规定计提相应的减值准备。</w:t>
      </w:r>
    </w:p>
    <w:p>
      <w:pPr>
        <w:spacing w:line="240" w:lineRule="auto" w:before="5"/>
        <w:rPr>
          <w:rFonts w:ascii="宋体" w:hAnsi="宋体" w:cs="宋体" w:eastAsia="宋体" w:hint="default"/>
          <w:sz w:val="24"/>
          <w:szCs w:val="24"/>
        </w:rPr>
      </w:pPr>
    </w:p>
    <w:p>
      <w:pPr>
        <w:pStyle w:val="Heading4"/>
        <w:spacing w:line="240" w:lineRule="auto"/>
        <w:ind w:right="0"/>
        <w:jc w:val="both"/>
        <w:rPr>
          <w:b w:val="0"/>
          <w:bCs w:val="0"/>
        </w:rPr>
      </w:pPr>
      <w:bookmarkStart w:name="2、持续经营" w:id="163"/>
      <w:bookmarkEnd w:id="163"/>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spacing w:line="300" w:lineRule="auto" w:before="0"/>
        <w:ind w:left="154" w:right="1118" w:firstLine="0"/>
        <w:jc w:val="left"/>
        <w:rPr>
          <w:rFonts w:ascii="宋体" w:hAnsi="宋体" w:cs="宋体" w:eastAsia="宋体" w:hint="default"/>
          <w:sz w:val="18"/>
          <w:szCs w:val="18"/>
        </w:rPr>
      </w:pPr>
      <w:r>
        <w:rPr>
          <w:rFonts w:ascii="宋体" w:hAnsi="宋体" w:cs="宋体" w:eastAsia="宋体" w:hint="default"/>
          <w:spacing w:val="-2"/>
          <w:sz w:val="18"/>
          <w:szCs w:val="18"/>
        </w:rPr>
        <w:t>经本公司评估，自本报告期末起的</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个月内，本公司持续经营能力良好，不存在导致对本公司持续经营能力产生重大怀疑的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因素。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25"/>
        <w:ind w:left="154" w:right="0"/>
        <w:jc w:val="both"/>
        <w:rPr>
          <w:b w:val="0"/>
          <w:bCs w:val="0"/>
        </w:rPr>
      </w:pPr>
      <w:bookmarkStart w:name="五、重要会计政策及会计估计" w:id="164"/>
      <w:bookmarkEnd w:id="164"/>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具体会计政策和会计估计提示：</w:t>
      </w:r>
    </w:p>
    <w:p>
      <w:pPr>
        <w:pStyle w:val="BodyText"/>
        <w:spacing w:line="268" w:lineRule="auto" w:before="90"/>
        <w:ind w:right="0" w:firstLine="480"/>
        <w:jc w:val="left"/>
      </w:pPr>
      <w:r>
        <w:rPr>
          <w:spacing w:val="-5"/>
        </w:rPr>
        <w:t>本公司及各子公司从事计算机、通信及其他电子设备制造业经营，太阳能光伏发电系统的设计、开发、</w:t>
      </w:r>
      <w:r>
        <w:rPr/>
        <w:t> 投资、建设和经营。本公司及各子公司根据实际生产经营特点，依据相关企业会计准则的规定，对收入确 认、建造合同完工百分比确定、研究开发支出等交易和事项制定了若干项具体会计政策和会计估计，详见 本报告第十节、五、</w:t>
      </w:r>
      <w:r>
        <w:rPr>
          <w:rFonts w:ascii="Times New Roman" w:hAnsi="Times New Roman" w:cs="Times New Roman" w:eastAsia="Times New Roman" w:hint="default"/>
        </w:rPr>
        <w:t>28“</w:t>
      </w:r>
      <w:r>
        <w:rPr/>
        <w:t>收入</w:t>
      </w:r>
      <w:r>
        <w:rPr>
          <w:rFonts w:ascii="Times New Roman" w:hAnsi="Times New Roman" w:cs="Times New Roman" w:eastAsia="Times New Roman" w:hint="default"/>
        </w:rPr>
        <w:t>”</w:t>
      </w:r>
      <w:r>
        <w:rPr/>
        <w:t>各项描述。关于管理层所作出的重大会计判断和估计的说明，请参阅本报告 第十节、五、</w:t>
      </w:r>
      <w:r>
        <w:rPr>
          <w:rFonts w:ascii="Times New Roman" w:hAnsi="Times New Roman" w:cs="Times New Roman" w:eastAsia="Times New Roman" w:hint="default"/>
        </w:rPr>
        <w:t>34“</w:t>
      </w:r>
      <w:r>
        <w:rPr/>
        <w:t>其他</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23"/>
          <w:szCs w:val="23"/>
        </w:rPr>
      </w:pPr>
    </w:p>
    <w:p>
      <w:pPr>
        <w:spacing w:line="610" w:lineRule="atLeast" w:before="0"/>
        <w:ind w:left="634" w:right="1128" w:hanging="480"/>
        <w:jc w:val="left"/>
        <w:rPr>
          <w:rFonts w:ascii="宋体" w:hAnsi="宋体" w:cs="宋体" w:eastAsia="宋体" w:hint="default"/>
          <w:sz w:val="21"/>
          <w:szCs w:val="21"/>
        </w:rPr>
      </w:pPr>
      <w:bookmarkStart w:name="1、遵循企业会计准则的声明" w:id="165"/>
      <w:bookmarkEnd w:id="16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pacing w:val="-2"/>
          <w:sz w:val="21"/>
          <w:szCs w:val="21"/>
        </w:rPr>
        <w:t>本公司编制的财务报表符合企业会计准则的要求，真实、完整地反映了本公司</w:t>
      </w:r>
      <w:r>
        <w:rPr>
          <w:rFonts w:ascii="Times New Roman" w:hAnsi="Times New Roman" w:cs="Times New Roman" w:eastAsia="Times New Roman" w:hint="default"/>
          <w:spacing w:val="-2"/>
          <w:sz w:val="21"/>
          <w:szCs w:val="21"/>
        </w:rPr>
        <w:t>2015</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r>
        <w:rPr>
          <w:rFonts w:ascii="宋体" w:hAnsi="宋体" w:cs="宋体" w:eastAsia="宋体" w:hint="default"/>
          <w:spacing w:val="-2"/>
          <w:sz w:val="21"/>
          <w:szCs w:val="21"/>
        </w:rPr>
        <w:t>日的财务</w:t>
      </w:r>
    </w:p>
    <w:p>
      <w:pPr>
        <w:pStyle w:val="BodyText"/>
        <w:spacing w:line="256" w:lineRule="auto" w:before="21"/>
        <w:ind w:right="1109"/>
        <w:jc w:val="both"/>
      </w:pPr>
      <w:r>
        <w:rPr>
          <w:spacing w:val="-1"/>
        </w:rPr>
        <w:t>状况及</w:t>
      </w:r>
      <w:r>
        <w:rPr>
          <w:rFonts w:ascii="Times New Roman" w:hAnsi="Times New Roman" w:cs="Times New Roman" w:eastAsia="Times New Roman" w:hint="default"/>
          <w:spacing w:val="-1"/>
        </w:rPr>
        <w:t>2015</w:t>
      </w:r>
      <w:r>
        <w:rPr>
          <w:spacing w:val="-1"/>
        </w:rPr>
        <w:t>年度的经营成果和现金流量等有关信息。此外，本公司的财务报表在所有重大方面符合中国证</w:t>
      </w:r>
      <w:r>
        <w:rPr>
          <w:spacing w:val="-79"/>
        </w:rPr>
        <w:t> </w:t>
      </w:r>
      <w:r>
        <w:rPr>
          <w:spacing w:val="-79"/>
        </w:rPr>
      </w:r>
      <w:r>
        <w:rPr/>
        <w:t>券监督管理委员会</w:t>
      </w:r>
      <w:r>
        <w:rPr>
          <w:rFonts w:ascii="Times New Roman" w:hAnsi="Times New Roman" w:cs="Times New Roman" w:eastAsia="Times New Roman" w:hint="default"/>
        </w:rPr>
        <w:t>2014</w:t>
      </w:r>
      <w:r>
        <w:rPr/>
        <w:t>年修订的《公开发行证券的公司信息披露编报规则第</w:t>
      </w:r>
      <w:r>
        <w:rPr>
          <w:rFonts w:ascii="Times New Roman" w:hAnsi="Times New Roman" w:cs="Times New Roman" w:eastAsia="Times New Roman" w:hint="default"/>
        </w:rPr>
        <w:t>15</w:t>
      </w:r>
      <w:r>
        <w:rPr/>
        <w:t>号－财务报告的一般规定》 有关财务报表及其附注的披露要求</w:t>
      </w:r>
    </w:p>
    <w:p>
      <w:pPr>
        <w:spacing w:line="240" w:lineRule="auto" w:before="10"/>
        <w:rPr>
          <w:rFonts w:ascii="宋体" w:hAnsi="宋体" w:cs="宋体" w:eastAsia="宋体" w:hint="default"/>
          <w:sz w:val="24"/>
          <w:szCs w:val="24"/>
        </w:rPr>
      </w:pPr>
    </w:p>
    <w:p>
      <w:pPr>
        <w:pStyle w:val="Heading4"/>
        <w:spacing w:line="240" w:lineRule="auto"/>
        <w:ind w:right="0"/>
        <w:jc w:val="both"/>
        <w:rPr>
          <w:b w:val="0"/>
          <w:bCs w:val="0"/>
        </w:rPr>
      </w:pPr>
      <w:bookmarkStart w:name="2、会计期间" w:id="166"/>
      <w:bookmarkEnd w:id="166"/>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633" w:right="0"/>
        <w:jc w:val="left"/>
      </w:pPr>
      <w:r>
        <w:rPr/>
        <w:t>本公司的会计期间分为年度和中期，会计中期指短于一个完整的会计年度的报告期间。本公司会计年</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right="0"/>
        <w:jc w:val="left"/>
      </w:pPr>
      <w:r>
        <w:rPr/>
        <w:t>度采用公历年度，即每年自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4"/>
        <w:spacing w:line="240" w:lineRule="auto"/>
        <w:ind w:left="154" w:right="0"/>
        <w:jc w:val="left"/>
        <w:rPr>
          <w:b w:val="0"/>
          <w:bCs w:val="0"/>
        </w:rPr>
      </w:pPr>
      <w:bookmarkStart w:name="3、营业周期" w:id="167"/>
      <w:bookmarkEnd w:id="167"/>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8"/>
        <w:rPr>
          <w:rFonts w:ascii="宋体" w:hAnsi="宋体" w:cs="宋体" w:eastAsia="宋体" w:hint="default"/>
          <w:b/>
          <w:bCs/>
          <w:sz w:val="24"/>
          <w:szCs w:val="24"/>
        </w:rPr>
      </w:pPr>
    </w:p>
    <w:p>
      <w:pPr>
        <w:pStyle w:val="BodyText"/>
        <w:spacing w:line="273" w:lineRule="auto" w:before="0"/>
        <w:ind w:right="1129" w:firstLine="480"/>
        <w:jc w:val="both"/>
      </w:pPr>
      <w:r>
        <w:rPr>
          <w:spacing w:val="-2"/>
        </w:rPr>
        <w:t>正常营业周期是指本公司从购买用于加工的资产起至实现现金或现金等价物的期间。本公司以</w:t>
      </w:r>
      <w:r>
        <w:rPr>
          <w:rFonts w:ascii="宋体" w:hAnsi="宋体" w:cs="宋体" w:eastAsia="宋体" w:hint="default"/>
          <w:spacing w:val="-2"/>
        </w:rPr>
        <w:t>12</w:t>
      </w:r>
      <w:r>
        <w:rPr>
          <w:spacing w:val="-2"/>
        </w:rPr>
        <w:t>个月</w:t>
      </w:r>
      <w:r>
        <w:rPr/>
        <w:t> 作为一个营业周期，并以其作为资产和负债的流动性划分标准。</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ind w:right="0"/>
        <w:jc w:val="left"/>
        <w:rPr>
          <w:b w:val="0"/>
          <w:bCs w:val="0"/>
        </w:rPr>
      </w:pPr>
      <w:bookmarkStart w:name="4、记账本位币" w:id="168"/>
      <w:bookmarkEnd w:id="168"/>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1131" w:firstLine="480"/>
        <w:jc w:val="both"/>
      </w:pPr>
      <w:r>
        <w:rPr>
          <w:spacing w:val="-2"/>
        </w:rPr>
        <w:t>人民币为本公司及境内子公司经营所处的主要经济环境中的货币，本公司及境内子公司以人民币为记</w:t>
      </w:r>
      <w:r>
        <w:rPr/>
        <w:t> </w:t>
      </w:r>
      <w:r>
        <w:rPr>
          <w:spacing w:val="-1"/>
        </w:rPr>
        <w:t>账本位币。本公司之境外子公司根据其经营所处的主要经济环境中的货币确定人民币为其记账本位币。本</w:t>
      </w:r>
      <w:r>
        <w:rPr>
          <w:spacing w:val="-81"/>
        </w:rPr>
        <w:t> </w:t>
      </w:r>
      <w:r>
        <w:rPr>
          <w:spacing w:val="-81"/>
        </w:rPr>
      </w:r>
      <w:r>
        <w:rPr/>
        <w:t>公司编制本财务报表时所采用的货币为人民币。</w:t>
      </w:r>
    </w:p>
    <w:p>
      <w:pPr>
        <w:spacing w:line="240" w:lineRule="auto" w:before="8"/>
        <w:rPr>
          <w:rFonts w:ascii="宋体" w:hAnsi="宋体" w:cs="宋体" w:eastAsia="宋体" w:hint="default"/>
          <w:sz w:val="24"/>
          <w:szCs w:val="24"/>
        </w:rPr>
      </w:pPr>
    </w:p>
    <w:p>
      <w:pPr>
        <w:spacing w:line="590" w:lineRule="atLeast" w:before="0"/>
        <w:ind w:left="636" w:right="1118" w:hanging="483"/>
        <w:jc w:val="left"/>
        <w:rPr>
          <w:rFonts w:ascii="宋体" w:hAnsi="宋体" w:cs="宋体" w:eastAsia="宋体" w:hint="default"/>
          <w:sz w:val="21"/>
          <w:szCs w:val="21"/>
        </w:rPr>
      </w:pPr>
      <w:bookmarkStart w:name="5、同一控制下和非同一控制下企业合并的会计处理方法" w:id="169"/>
      <w:bookmarkEnd w:id="169"/>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b/>
          <w:bCs/>
          <w:w w:val="99"/>
          <w:sz w:val="21"/>
          <w:szCs w:val="21"/>
        </w:rPr>
        <w:t> </w:t>
      </w:r>
      <w:r>
        <w:rPr>
          <w:rFonts w:ascii="宋体" w:hAnsi="宋体" w:cs="宋体" w:eastAsia="宋体" w:hint="default"/>
          <w:spacing w:val="-2"/>
          <w:sz w:val="21"/>
          <w:szCs w:val="21"/>
        </w:rPr>
        <w:t>企业合并，是指将两个或两个以上单独的企业合并形成一个报告主体的交易或事项。企业合并分为同</w:t>
      </w:r>
    </w:p>
    <w:p>
      <w:pPr>
        <w:pStyle w:val="BodyText"/>
        <w:spacing w:line="240" w:lineRule="auto" w:before="37"/>
        <w:ind w:left="156" w:right="0"/>
        <w:jc w:val="left"/>
      </w:pPr>
      <w:r>
        <w:rPr/>
        <w:t>一控制下企业合并和非同一控制下企业合并。</w:t>
      </w:r>
    </w:p>
    <w:p>
      <w:pPr>
        <w:pStyle w:val="BodyText"/>
        <w:spacing w:line="256" w:lineRule="auto" w:before="37"/>
        <w:ind w:left="634" w:right="1120"/>
        <w:jc w:val="left"/>
      </w:pPr>
      <w:r>
        <w:rPr/>
        <w:t>（</w:t>
      </w:r>
      <w:r>
        <w:rPr>
          <w:rFonts w:ascii="Times New Roman" w:hAnsi="Times New Roman" w:cs="Times New Roman" w:eastAsia="Times New Roman" w:hint="default"/>
        </w:rPr>
        <w:t>1</w:t>
      </w:r>
      <w:r>
        <w:rPr/>
        <w:t>）同一控制下企业合并 </w:t>
      </w:r>
      <w:r>
        <w:rPr>
          <w:spacing w:val="-2"/>
        </w:rPr>
        <w:t>参与合并的企业在合并前后均受同一方或相同的多方最终控制，且该控制并非暂时性的，为同一控制</w:t>
      </w:r>
    </w:p>
    <w:p>
      <w:pPr>
        <w:pStyle w:val="BodyText"/>
        <w:spacing w:line="273" w:lineRule="auto" w:before="23"/>
        <w:ind w:left="154" w:right="0"/>
        <w:jc w:val="left"/>
      </w:pPr>
      <w:r>
        <w:rPr>
          <w:spacing w:val="-1"/>
        </w:rPr>
        <w:t>下的企业合并。同一控制下的企业合并，在合并日取得对其他参与合并企业控制权的一方为合并方，参与</w:t>
      </w:r>
      <w:r>
        <w:rPr>
          <w:spacing w:val="-82"/>
        </w:rPr>
        <w:t> </w:t>
      </w:r>
      <w:r>
        <w:rPr>
          <w:spacing w:val="-82"/>
        </w:rPr>
      </w:r>
      <w:r>
        <w:rPr/>
        <w:t>合并的其他企业为被合并方。合并日，是指合并方实际取得对被合并方控制权的日期。</w:t>
      </w:r>
    </w:p>
    <w:p>
      <w:pPr>
        <w:pStyle w:val="BodyText"/>
        <w:spacing w:line="273" w:lineRule="auto"/>
        <w:ind w:right="1132" w:firstLine="480"/>
        <w:jc w:val="both"/>
      </w:pPr>
      <w:r>
        <w:rPr>
          <w:spacing w:val="-2"/>
        </w:rPr>
        <w:t>合并方取得的资产和负债均按合并日在被合并方的账面价值计量。合并方取得的净资产账面价值与支</w:t>
      </w:r>
      <w:r>
        <w:rPr/>
        <w:t> </w:t>
      </w:r>
      <w:r>
        <w:rPr>
          <w:spacing w:val="-1"/>
        </w:rPr>
        <w:t>付的合并对价账面价值（或发行股份面值总额）的差额，调整资本公积（股本溢价）；资本公积（股本溢</w:t>
      </w:r>
      <w:r>
        <w:rPr>
          <w:spacing w:val="-85"/>
        </w:rPr>
        <w:t> </w:t>
      </w:r>
      <w:r>
        <w:rPr>
          <w:spacing w:val="-85"/>
        </w:rPr>
      </w:r>
      <w:r>
        <w:rPr/>
        <w:t>价）不足以冲减的，调整留存收益。</w:t>
      </w:r>
    </w:p>
    <w:p>
      <w:pPr>
        <w:pStyle w:val="BodyText"/>
        <w:spacing w:line="240" w:lineRule="auto"/>
        <w:ind w:left="633" w:right="0"/>
        <w:jc w:val="left"/>
      </w:pPr>
      <w:r>
        <w:rPr/>
        <w:t>合并方为进行企业合并发生的各项直接费用，于发生时计入当期损益。</w:t>
      </w:r>
    </w:p>
    <w:p>
      <w:pPr>
        <w:pStyle w:val="BodyText"/>
        <w:spacing w:line="256" w:lineRule="auto" w:before="37"/>
        <w:ind w:left="633" w:right="1121"/>
        <w:jc w:val="left"/>
      </w:pPr>
      <w:r>
        <w:rPr/>
        <w:t>（</w:t>
      </w:r>
      <w:r>
        <w:rPr>
          <w:rFonts w:ascii="Times New Roman" w:hAnsi="Times New Roman" w:cs="Times New Roman" w:eastAsia="Times New Roman" w:hint="default"/>
        </w:rPr>
        <w:t>2</w:t>
      </w:r>
      <w:r>
        <w:rPr/>
        <w:t>）非同一控制下企业合并 </w:t>
      </w:r>
      <w:r>
        <w:rPr>
          <w:spacing w:val="-2"/>
        </w:rPr>
        <w:t>参与合并的企业在合并前后不受同一方或相同的多方最终控制的，为非同一控制下的企业合并。非同</w:t>
      </w:r>
    </w:p>
    <w:p>
      <w:pPr>
        <w:pStyle w:val="BodyText"/>
        <w:spacing w:line="273" w:lineRule="auto" w:before="22"/>
        <w:ind w:right="0"/>
        <w:jc w:val="left"/>
      </w:pPr>
      <w:r>
        <w:rPr>
          <w:spacing w:val="-1"/>
        </w:rPr>
        <w:t>一控制下的企业合并，在购买日取得对其他参与合并企业控制权的一方为购买方，参与合并的其他企业为</w:t>
      </w:r>
      <w:r>
        <w:rPr>
          <w:spacing w:val="-81"/>
        </w:rPr>
        <w:t> </w:t>
      </w:r>
      <w:r>
        <w:rPr>
          <w:spacing w:val="-81"/>
        </w:rPr>
      </w:r>
      <w:r>
        <w:rPr/>
        <w:t>被购买方。购买日，是指为购买方实际取得对被购买方控制权的日期。</w:t>
      </w:r>
    </w:p>
    <w:p>
      <w:pPr>
        <w:pStyle w:val="BodyText"/>
        <w:spacing w:line="271" w:lineRule="auto"/>
        <w:ind w:right="1024" w:firstLine="480"/>
        <w:jc w:val="left"/>
      </w:pPr>
      <w:r>
        <w:rPr>
          <w:spacing w:val="2"/>
        </w:rPr>
        <w:t>对于非同一控制下的企业合并，合并成本包含购买日购买方为取得对被购买方的控制权而付出的资</w:t>
      </w:r>
      <w:r>
        <w:rPr/>
        <w:t> 产、发生或承担的负债以及发行的权益性证券的公允价值，为企业合并发生的审计、法律服务、评估咨询 等中介费用以及其他管理费用于发生时计入当期损益。购买方作为合并对价发行的权益性证券或债务性证 券的交易费用，计入权益性证券或债务性证券的初始确认金额。所涉及的或有对价按其在购买日的公允价 </w:t>
      </w:r>
      <w:r>
        <w:rPr>
          <w:spacing w:val="3"/>
        </w:rPr>
        <w:t>值计入合并成本，购买日后</w:t>
      </w:r>
      <w:r>
        <w:rPr>
          <w:rFonts w:ascii="Times New Roman" w:hAnsi="Times New Roman" w:cs="Times New Roman" w:eastAsia="Times New Roman" w:hint="default"/>
          <w:spacing w:val="3"/>
        </w:rPr>
        <w:t>12</w:t>
      </w:r>
      <w:r>
        <w:rPr>
          <w:spacing w:val="3"/>
        </w:rPr>
        <w:t>个月内出现对购买日已存在情况的新的或进一步证据而需要调整或有对价</w:t>
      </w:r>
      <w:r>
        <w:rPr>
          <w:spacing w:val="-82"/>
        </w:rPr>
        <w:t> </w:t>
      </w:r>
      <w:r>
        <w:rPr>
          <w:spacing w:val="-82"/>
        </w:rPr>
      </w:r>
      <w:r>
        <w:rPr>
          <w:spacing w:val="-3"/>
        </w:rPr>
        <w:t>的，相应调整合并商誉。购买方发生的合并成本及在合并中取得的可辨认净资产按购买日的公允价值计量。</w:t>
      </w:r>
      <w:r>
        <w:rPr>
          <w:spacing w:val="-92"/>
        </w:rPr>
        <w:t> </w:t>
      </w:r>
      <w:r>
        <w:rPr>
          <w:spacing w:val="-92"/>
        </w:rPr>
      </w:r>
      <w:r>
        <w:rPr/>
        <w:t>合并成本大于合并中取得的被购买方于购买日可辨认净资产公允价值份额的差额，确认为商誉。合并成本</w:t>
      </w:r>
      <w:r>
        <w:rPr/>
        <w:t> 小于合并中取得的被购买方可辨认净资产公允价值份额的，首先对取得的被购买方各项可辨认资产、负债 及或有负债的公允价值以及合并成本的计量进行复核，复核后合并成本仍小于合并中取得的被购买方可辨 认净资产公允价值份额的，其差额计入当期损益。</w:t>
      </w:r>
    </w:p>
    <w:p>
      <w:pPr>
        <w:pStyle w:val="BodyText"/>
        <w:spacing w:line="264" w:lineRule="auto" w:before="10"/>
        <w:ind w:right="1131" w:firstLine="480"/>
        <w:jc w:val="both"/>
      </w:pPr>
      <w:r>
        <w:rPr>
          <w:spacing w:val="2"/>
        </w:rPr>
        <w:t>购买方取得被购买方的可抵扣暂时性差异，在购买日因不符合递延所得税资产确认条件而未予确认</w:t>
      </w:r>
      <w:r>
        <w:rPr/>
        <w:t> </w:t>
      </w:r>
      <w:r>
        <w:rPr>
          <w:spacing w:val="-1"/>
        </w:rPr>
        <w:t>的，在购买日后</w:t>
      </w:r>
      <w:r>
        <w:rPr>
          <w:rFonts w:ascii="Times New Roman" w:hAnsi="Times New Roman" w:cs="Times New Roman" w:eastAsia="Times New Roman" w:hint="default"/>
          <w:spacing w:val="-1"/>
        </w:rPr>
        <w:t>12</w:t>
      </w:r>
      <w:r>
        <w:rPr>
          <w:spacing w:val="-1"/>
        </w:rPr>
        <w:t>个月内，如取得新的或进一步的信息表明购买日的相关情况已经存在，预期被购买方在</w:t>
      </w:r>
      <w:r>
        <w:rPr>
          <w:spacing w:val="-84"/>
        </w:rPr>
        <w:t> </w:t>
      </w:r>
      <w:r>
        <w:rPr>
          <w:spacing w:val="-84"/>
        </w:rPr>
      </w:r>
      <w:r>
        <w:rPr>
          <w:spacing w:val="-1"/>
        </w:rPr>
        <w:t>购买日可抵扣暂时性差异带来的经济利益能够实现的，则确认相关的递延所得税资产，同时减少商誉，商</w:t>
      </w:r>
    </w:p>
    <w:p>
      <w:pPr>
        <w:spacing w:after="0" w:line="264"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10"/>
        <w:jc w:val="both"/>
      </w:pPr>
      <w:r>
        <w:rPr/>
        <w:t>誉不足冲减的，差额部分确认为当期损益；除上述情况以外，确认与企业合并相关的递延所得税资产的， 计入当期损益。</w:t>
      </w:r>
    </w:p>
    <w:p>
      <w:pPr>
        <w:pStyle w:val="BodyText"/>
        <w:spacing w:line="256" w:lineRule="auto"/>
        <w:ind w:right="1131" w:firstLine="480"/>
        <w:jc w:val="both"/>
      </w:pPr>
      <w:r>
        <w:rPr/>
        <w:t>通过多次交易分步实现的非同一控制下企业合并，根据《财政部关于印发企业会计准则解释第</w:t>
      </w:r>
      <w:r>
        <w:rPr>
          <w:rFonts w:ascii="Times New Roman" w:hAnsi="Times New Roman" w:cs="Times New Roman" w:eastAsia="Times New Roman" w:hint="default"/>
        </w:rPr>
        <w:t>5</w:t>
      </w:r>
      <w:r>
        <w:rPr/>
        <w:t>号的</w:t>
      </w:r>
      <w:r>
        <w:rPr>
          <w:spacing w:val="1"/>
        </w:rPr>
        <w:t> </w:t>
      </w:r>
      <w:r>
        <w:rPr/>
        <w:t>通知》（财会〔</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19</w:t>
      </w:r>
      <w:r>
        <w:rPr/>
        <w:t>号）和《企业会计准则第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合并财务报表》第五十一条关于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spacing w:val="-2"/>
        </w:rPr>
        <w:t>的判断标准（参见本报告第十节、五、</w:t>
      </w:r>
      <w:r>
        <w:rPr>
          <w:rFonts w:ascii="Times New Roman" w:hAnsi="Times New Roman" w:cs="Times New Roman" w:eastAsia="Times New Roman" w:hint="default"/>
          <w:spacing w:val="-2"/>
        </w:rPr>
        <w:t>6</w:t>
      </w:r>
      <w:r>
        <w:rPr>
          <w:spacing w:val="-2"/>
        </w:rPr>
        <w:t>（</w:t>
      </w:r>
      <w:r>
        <w:rPr>
          <w:rFonts w:ascii="Times New Roman" w:hAnsi="Times New Roman" w:cs="Times New Roman" w:eastAsia="Times New Roman" w:hint="default"/>
          <w:spacing w:val="-2"/>
        </w:rPr>
        <w:t>2</w:t>
      </w:r>
      <w:r>
        <w:rPr>
          <w:spacing w:val="-2"/>
        </w:rPr>
        <w:t>）），判断该多次交易是否属于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。属于</w:t>
      </w:r>
      <w:r>
        <w:rPr>
          <w:rFonts w:ascii="Times New Roman" w:hAnsi="Times New Roman" w:cs="Times New Roman" w:eastAsia="Times New Roman" w:hint="default"/>
          <w:spacing w:val="-2"/>
        </w:rPr>
        <w:t>“</w:t>
      </w:r>
      <w:r>
        <w:rPr>
          <w:spacing w:val="-2"/>
        </w:rPr>
        <w:t>一揽子交</w:t>
      </w:r>
      <w:r>
        <w:rPr>
          <w:spacing w:val="-103"/>
        </w:rPr>
        <w:t> </w:t>
      </w:r>
      <w:r>
        <w:rPr/>
        <w:t>易</w:t>
      </w:r>
      <w:r>
        <w:rPr>
          <w:rFonts w:ascii="Times New Roman" w:hAnsi="Times New Roman" w:cs="Times New Roman" w:eastAsia="Times New Roman" w:hint="default"/>
        </w:rPr>
        <w:t>”</w:t>
      </w:r>
      <w:r>
        <w:rPr/>
        <w:t>的，参考本部分前面各段描述及本报告第十节、五、</w:t>
      </w:r>
      <w:r>
        <w:rPr>
          <w:rFonts w:ascii="Times New Roman" w:hAnsi="Times New Roman" w:cs="Times New Roman" w:eastAsia="Times New Roman" w:hint="default"/>
        </w:rPr>
        <w:t>14“</w:t>
      </w:r>
      <w:r>
        <w:rPr/>
        <w:t>长期股权投资</w:t>
      </w:r>
      <w:r>
        <w:rPr>
          <w:rFonts w:ascii="Times New Roman" w:hAnsi="Times New Roman" w:cs="Times New Roman" w:eastAsia="Times New Roman" w:hint="default"/>
        </w:rPr>
        <w:t>”</w:t>
      </w:r>
      <w:r>
        <w:rPr/>
        <w:t>进行会计处理；不属于</w:t>
      </w:r>
      <w:r>
        <w:rPr>
          <w:rFonts w:ascii="Times New Roman" w:hAnsi="Times New Roman" w:cs="Times New Roman" w:eastAsia="Times New Roman" w:hint="default"/>
        </w:rPr>
        <w:t>“</w:t>
      </w:r>
      <w:r>
        <w:rPr/>
        <w:t>一揽子</w:t>
      </w:r>
      <w:r>
        <w:rPr>
          <w:spacing w:val="-84"/>
        </w:rPr>
        <w:t> </w:t>
      </w:r>
      <w:r>
        <w:rPr/>
        <w:t>交易</w:t>
      </w:r>
      <w:r>
        <w:rPr>
          <w:rFonts w:ascii="Times New Roman" w:hAnsi="Times New Roman" w:cs="Times New Roman" w:eastAsia="Times New Roman" w:hint="default"/>
        </w:rPr>
        <w:t>”</w:t>
      </w:r>
      <w:r>
        <w:rPr/>
        <w:t>的，区分个别财务报表和合并财务报表进行相关会计处理：</w:t>
      </w:r>
    </w:p>
    <w:p>
      <w:pPr>
        <w:pStyle w:val="BodyText"/>
        <w:spacing w:line="273" w:lineRule="auto" w:before="5"/>
        <w:ind w:right="0" w:firstLine="336"/>
        <w:jc w:val="left"/>
      </w:pPr>
      <w:r>
        <w:rPr/>
        <w:t>在个别财务报表中，以购买日之前所持被购买方的股权投资的账面价值与购买日新增投资成本之和， </w:t>
      </w:r>
      <w:r>
        <w:rPr>
          <w:spacing w:val="-1"/>
        </w:rPr>
        <w:t>作为该项投资的初始投资成本；购买日之前持有的被购买方的股权涉及其他综合收益的，在处置该项投资</w:t>
      </w:r>
      <w:r>
        <w:rPr>
          <w:spacing w:val="-80"/>
        </w:rPr>
        <w:t> </w:t>
      </w:r>
      <w:r>
        <w:rPr>
          <w:spacing w:val="-80"/>
        </w:rPr>
      </w:r>
      <w:r>
        <w:rPr>
          <w:spacing w:val="-1"/>
        </w:rPr>
        <w:t>时将与其相关的其他综合收益采用与被购买方直接处置相关资产或负债相同的基础进行会计处理（即，除</w:t>
      </w:r>
      <w:r>
        <w:rPr>
          <w:spacing w:val="-81"/>
        </w:rPr>
        <w:t> </w:t>
      </w:r>
      <w:r>
        <w:rPr>
          <w:spacing w:val="-81"/>
        </w:rPr>
      </w:r>
      <w:r>
        <w:rPr>
          <w:spacing w:val="-1"/>
        </w:rPr>
        <w:t>了按照权益法核算的在被购买方重新计量设定受益计划净负债或净资产导致的变动中的相应份额以外，其</w:t>
      </w:r>
      <w:r>
        <w:rPr>
          <w:spacing w:val="-81"/>
        </w:rPr>
        <w:t> </w:t>
      </w:r>
      <w:r>
        <w:rPr>
          <w:spacing w:val="-81"/>
        </w:rPr>
      </w:r>
      <w:r>
        <w:rPr/>
        <w:t>余转入当期投资收益）。 </w:t>
      </w:r>
      <w:r>
        <w:rPr>
          <w:spacing w:val="-1"/>
        </w:rPr>
        <w:t>在合并财务报表中，对于购买日之前持有的被购买方的股权，按照该股权在购买日的公允价值进行重新计</w:t>
      </w:r>
      <w:r>
        <w:rPr>
          <w:spacing w:val="-81"/>
        </w:rPr>
        <w:t> </w:t>
      </w:r>
      <w:r>
        <w:rPr>
          <w:spacing w:val="-81"/>
        </w:rPr>
      </w:r>
      <w:r>
        <w:rPr>
          <w:spacing w:val="-1"/>
        </w:rPr>
        <w:t>量，公允价值与其账面价值的差额计入当期投资收益；购买日之前持有的被购买方的股权涉及其他综合收</w:t>
      </w:r>
      <w:r>
        <w:rPr>
          <w:spacing w:val="-81"/>
        </w:rPr>
        <w:t> </w:t>
      </w:r>
      <w:r>
        <w:rPr>
          <w:spacing w:val="-81"/>
        </w:rPr>
      </w:r>
      <w:r>
        <w:rPr>
          <w:spacing w:val="3"/>
        </w:rPr>
        <w:t>益的，与其相关的其他综合收益应当采用与被购买方直接处置相关资产或负债相同的基础进行会计处理</w:t>
      </w:r>
    </w:p>
    <w:p>
      <w:pPr>
        <w:pStyle w:val="BodyText"/>
        <w:spacing w:line="273" w:lineRule="auto"/>
        <w:ind w:right="1131"/>
        <w:jc w:val="both"/>
      </w:pPr>
      <w:r>
        <w:rPr>
          <w:spacing w:val="-1"/>
        </w:rPr>
        <w:t>（即，除了按照权益法核算的在被购买方重新计量设定受益计划净负债或净资产导致的变动中的相应份额</w:t>
      </w:r>
      <w:r>
        <w:rPr>
          <w:spacing w:val="-81"/>
        </w:rPr>
        <w:t> </w:t>
      </w:r>
      <w:r>
        <w:rPr>
          <w:spacing w:val="-81"/>
        </w:rPr>
      </w:r>
      <w:r>
        <w:rPr/>
        <w:t>以外，其余转为购买日所属当期投资收益）。</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ind w:right="0"/>
        <w:jc w:val="both"/>
        <w:rPr>
          <w:b w:val="0"/>
          <w:bCs w:val="0"/>
        </w:rPr>
      </w:pPr>
      <w:bookmarkStart w:name="6、合并财务报表的编制方法" w:id="170"/>
      <w:bookmarkEnd w:id="170"/>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left="633" w:right="1121"/>
        <w:jc w:val="left"/>
      </w:pPr>
      <w:r>
        <w:rPr/>
        <w:t>（</w:t>
      </w:r>
      <w:r>
        <w:rPr>
          <w:rFonts w:ascii="Times New Roman" w:hAnsi="Times New Roman" w:cs="Times New Roman" w:eastAsia="Times New Roman" w:hint="default"/>
        </w:rPr>
        <w:t>1</w:t>
      </w:r>
      <w:r>
        <w:rPr/>
        <w:t>）合并财务报表范围的确定原则 </w:t>
      </w:r>
      <w:r>
        <w:rPr>
          <w:spacing w:val="-2"/>
        </w:rPr>
        <w:t>合并财务报表的合并范围以控制为基础予以确定。控制是指本公司拥有对被投资方的权力，通过参与</w:t>
      </w:r>
    </w:p>
    <w:p>
      <w:pPr>
        <w:pStyle w:val="BodyText"/>
        <w:spacing w:line="273" w:lineRule="auto" w:before="22"/>
        <w:ind w:right="1131"/>
        <w:jc w:val="both"/>
      </w:pPr>
      <w:r>
        <w:rPr>
          <w:spacing w:val="-1"/>
        </w:rPr>
        <w:t>被投资方的相关活动而享有可变回报，并且有能力运用对被投资方的权力影响该回报金额。合并范围包括</w:t>
      </w:r>
      <w:r>
        <w:rPr>
          <w:spacing w:val="-81"/>
        </w:rPr>
        <w:t> </w:t>
      </w:r>
      <w:r>
        <w:rPr>
          <w:spacing w:val="-81"/>
        </w:rPr>
      </w:r>
      <w:r>
        <w:rPr/>
        <w:t>本公司及全部子公司。子公司，是指被本公司控制的主体。</w:t>
      </w:r>
    </w:p>
    <w:p>
      <w:pPr>
        <w:pStyle w:val="BodyText"/>
        <w:spacing w:line="240" w:lineRule="auto"/>
        <w:ind w:left="633" w:right="0"/>
        <w:jc w:val="left"/>
      </w:pPr>
      <w:r>
        <w:rPr/>
        <w:t>一旦相关事实和情况的变化导致上述控制定义涉及的相关要素发生了变化，本公司将进行重新评估。</w:t>
      </w:r>
    </w:p>
    <w:p>
      <w:pPr>
        <w:pStyle w:val="BodyText"/>
        <w:spacing w:line="256" w:lineRule="auto" w:before="37"/>
        <w:ind w:left="634" w:right="1120"/>
        <w:jc w:val="left"/>
      </w:pPr>
      <w:r>
        <w:rPr/>
        <w:t>（</w:t>
      </w:r>
      <w:r>
        <w:rPr>
          <w:rFonts w:ascii="Times New Roman" w:hAnsi="Times New Roman" w:cs="Times New Roman" w:eastAsia="Times New Roman" w:hint="default"/>
        </w:rPr>
        <w:t>2</w:t>
      </w:r>
      <w:r>
        <w:rPr/>
        <w:t>）合并财务报表编制的方法 </w:t>
      </w:r>
      <w:r>
        <w:rPr>
          <w:spacing w:val="-2"/>
        </w:rPr>
        <w:t>从取得子公司的净资产和生产经营决策的实际控制权之日起，本公司开始将其纳入合并范围；从丧失</w:t>
      </w:r>
    </w:p>
    <w:p>
      <w:pPr>
        <w:pStyle w:val="BodyText"/>
        <w:spacing w:line="273" w:lineRule="auto" w:before="22"/>
        <w:ind w:left="154" w:right="1131"/>
        <w:jc w:val="both"/>
      </w:pPr>
      <w:r>
        <w:rPr>
          <w:spacing w:val="-1"/>
        </w:rPr>
        <w:t>实际控制权之日起停止纳入合并范围。对于处置的子公司，处置日前的经营成果和现金流量已经适当地包</w:t>
      </w:r>
      <w:r>
        <w:rPr>
          <w:spacing w:val="-81"/>
        </w:rPr>
        <w:t> </w:t>
      </w:r>
      <w:r>
        <w:rPr>
          <w:spacing w:val="-81"/>
        </w:rPr>
      </w:r>
      <w:r>
        <w:rPr>
          <w:spacing w:val="-1"/>
        </w:rPr>
        <w:t>括在合并利润表和合并现金流量表中；当期处置的子公司，不调整合并资产负债表的期初数。非同一控制</w:t>
      </w:r>
      <w:r>
        <w:rPr>
          <w:spacing w:val="-83"/>
        </w:rPr>
        <w:t> </w:t>
      </w:r>
      <w:r>
        <w:rPr>
          <w:spacing w:val="-83"/>
        </w:rPr>
      </w:r>
      <w:r>
        <w:rPr>
          <w:spacing w:val="-1"/>
        </w:rPr>
        <w:t>下企业合并增加的子公司，其购买日后的经营成果及现金流量已经适当地包括在合并利润表和合并现金流</w:t>
      </w:r>
      <w:r>
        <w:rPr>
          <w:spacing w:val="-81"/>
        </w:rPr>
        <w:t> </w:t>
      </w:r>
      <w:r>
        <w:rPr>
          <w:spacing w:val="-81"/>
        </w:rPr>
      </w:r>
      <w:r>
        <w:rPr>
          <w:spacing w:val="-1"/>
        </w:rPr>
        <w:t>量表中，且不调整合并财务报表的期初数和对比数。同一控制下企业合并增加的子公司及吸收合并下的被</w:t>
      </w:r>
      <w:r>
        <w:rPr>
          <w:spacing w:val="-81"/>
        </w:rPr>
        <w:t> </w:t>
      </w:r>
      <w:r>
        <w:rPr>
          <w:spacing w:val="-81"/>
        </w:rPr>
      </w:r>
      <w:r>
        <w:rPr>
          <w:spacing w:val="-1"/>
        </w:rPr>
        <w:t>合并方，其自合并当期期初至合并日的经营成果和现金流量已经适当地包括在合并利润表和合并现金流量</w:t>
      </w:r>
      <w:r>
        <w:rPr>
          <w:spacing w:val="-81"/>
        </w:rPr>
        <w:t> </w:t>
      </w:r>
      <w:r>
        <w:rPr>
          <w:spacing w:val="-81"/>
        </w:rPr>
      </w:r>
      <w:r>
        <w:rPr/>
        <w:t>表中，并且同时调整合并财务报表的对比数。</w:t>
      </w:r>
    </w:p>
    <w:p>
      <w:pPr>
        <w:pStyle w:val="BodyText"/>
        <w:spacing w:line="273" w:lineRule="auto"/>
        <w:ind w:left="154" w:right="1131" w:firstLine="480"/>
        <w:jc w:val="both"/>
      </w:pPr>
      <w:r>
        <w:rPr>
          <w:spacing w:val="-2"/>
        </w:rPr>
        <w:t>在编制合并财务报表时，子公司与本公司采用的会计政策或会计期间不一致的，按照本公司的会计政</w:t>
      </w:r>
      <w:r>
        <w:rPr/>
        <w:t> </w:t>
      </w:r>
      <w:r>
        <w:rPr>
          <w:spacing w:val="-1"/>
        </w:rPr>
        <w:t>策和会计期间对子公司财务报表进行必要的调整。对于非同一控制下企业合并取得的子公司，以购买日可</w:t>
      </w:r>
      <w:r>
        <w:rPr>
          <w:spacing w:val="-81"/>
        </w:rPr>
        <w:t> </w:t>
      </w:r>
      <w:r>
        <w:rPr>
          <w:spacing w:val="-81"/>
        </w:rPr>
      </w:r>
      <w:r>
        <w:rPr/>
        <w:t>辨认净资产公允价值为基础对其财务报表进行调整。</w:t>
      </w:r>
    </w:p>
    <w:p>
      <w:pPr>
        <w:pStyle w:val="BodyText"/>
        <w:spacing w:line="273" w:lineRule="auto"/>
        <w:ind w:left="633" w:right="0"/>
        <w:jc w:val="left"/>
      </w:pPr>
      <w:r>
        <w:rPr/>
        <w:t>公司内所有重大往来余额、交易及未实现利润在合并财务报表编制时予以抵销。 </w:t>
      </w:r>
      <w:r>
        <w:rPr>
          <w:spacing w:val="2"/>
        </w:rPr>
        <w:t>子公司的股东权益及当期净损益中不属于本公司所拥有的部分分别作为少数股东权益及少数股东损</w:t>
      </w:r>
    </w:p>
    <w:p>
      <w:pPr>
        <w:pStyle w:val="BodyText"/>
        <w:spacing w:line="266" w:lineRule="auto"/>
        <w:ind w:right="1131"/>
        <w:jc w:val="both"/>
      </w:pPr>
      <w:r>
        <w:rPr>
          <w:spacing w:val="-1"/>
        </w:rPr>
        <w:t>益在合并财务报表中股东权益及净利润项下单独列示。子公司当期净损益中属于少数股东权益的份额，在</w:t>
      </w:r>
      <w:r>
        <w:rPr>
          <w:spacing w:val="-81"/>
        </w:rPr>
        <w:t> </w:t>
      </w:r>
      <w:r>
        <w:rPr>
          <w:spacing w:val="-81"/>
        </w:rPr>
      </w:r>
      <w:r>
        <w:rPr/>
        <w:t>合并利润表中净利润项目下以</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t>项目列示。少数股东分担的子公司的亏损超过了少数股东在 该子公司期初股东权益中所享有的份额，仍冲减少数股东权益。</w:t>
      </w:r>
    </w:p>
    <w:p>
      <w:pPr>
        <w:pStyle w:val="BodyText"/>
        <w:spacing w:line="273" w:lineRule="auto" w:before="14"/>
        <w:ind w:right="1131" w:firstLine="480"/>
        <w:jc w:val="both"/>
      </w:pPr>
      <w:r>
        <w:rPr>
          <w:spacing w:val="-2"/>
        </w:rPr>
        <w:t>当因处置部分股权投资或其他原因丧失了对原有子公司的控制权时，对于剩余股权，按照其在丧失控</w:t>
      </w:r>
      <w:r>
        <w:rPr/>
        <w:t> </w:t>
      </w:r>
      <w:r>
        <w:rPr>
          <w:spacing w:val="-1"/>
        </w:rPr>
        <w:t>制权日的公允价值进行重新计量。处置股权取得的对价与剩余股权公允价值之和，减去按原持股比例计算</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68" w:lineRule="auto" w:before="35"/>
        <w:ind w:right="1024"/>
        <w:jc w:val="left"/>
      </w:pPr>
      <w:r>
        <w:rPr/>
        <w:t>应享有原有子公司自购买日开始持续计算的净资产的份额之间的差额，计入丧失控制权当期的投资收益。 与原有子公司股权投资相关的其他综合收益，在丧失控制权时采用与被购买方直接处置相关资产或负债相 </w:t>
      </w:r>
      <w:r>
        <w:rPr>
          <w:spacing w:val="-3"/>
        </w:rPr>
        <w:t>同的基础进行会计处理（即，除了在该原有子公司重新计量设定受益计划净负债或净资产导致的变动以外，</w:t>
      </w:r>
      <w:r>
        <w:rPr>
          <w:spacing w:val="-92"/>
        </w:rPr>
        <w:t> </w:t>
      </w:r>
      <w:r>
        <w:rPr>
          <w:spacing w:val="-92"/>
        </w:rPr>
      </w:r>
      <w:r>
        <w:rPr/>
        <w:t>其余一并转为当期投资收益）。其后，对该部分剩余股权按照《企业会计准则第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w:t>
      </w:r>
      <w:r>
        <w:rPr>
          <w:spacing w:val="-27"/>
        </w:rPr>
        <w:t> </w:t>
      </w:r>
      <w:r>
        <w:rPr>
          <w:spacing w:val="-27"/>
        </w:rPr>
      </w:r>
      <w:r>
        <w:rPr/>
        <w:t>或《企业会计准则第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金融工具确认和计量》等相关规定进行后续计量，详见本报告第十节、五、</w:t>
      </w:r>
    </w:p>
    <w:p>
      <w:pPr>
        <w:pStyle w:val="BodyText"/>
        <w:spacing w:line="256" w:lineRule="auto" w:before="0"/>
        <w:ind w:left="633" w:right="1121" w:hanging="480"/>
        <w:jc w:val="left"/>
      </w:pPr>
      <w:r>
        <w:rPr>
          <w:rFonts w:ascii="Times New Roman" w:hAnsi="Times New Roman" w:cs="Times New Roman" w:eastAsia="Times New Roman" w:hint="default"/>
        </w:rPr>
        <w:t>14“</w:t>
      </w:r>
      <w:r>
        <w:rPr/>
        <w:t>长期股权投资</w:t>
      </w:r>
      <w:r>
        <w:rPr>
          <w:rFonts w:ascii="Times New Roman" w:hAnsi="Times New Roman" w:cs="Times New Roman" w:eastAsia="Times New Roman" w:hint="default"/>
        </w:rPr>
        <w:t>”</w:t>
      </w:r>
      <w:r>
        <w:rPr/>
        <w:t>或本报告第十节、五、</w:t>
      </w:r>
      <w:r>
        <w:rPr>
          <w:rFonts w:ascii="Times New Roman" w:hAnsi="Times New Roman" w:cs="Times New Roman" w:eastAsia="Times New Roman" w:hint="default"/>
        </w:rPr>
        <w:t>10“</w:t>
      </w:r>
      <w:r>
        <w:rPr/>
        <w:t>金融工具</w:t>
      </w:r>
      <w:r>
        <w:rPr>
          <w:rFonts w:ascii="Times New Roman" w:hAnsi="Times New Roman" w:cs="Times New Roman" w:eastAsia="Times New Roman" w:hint="default"/>
        </w:rPr>
        <w:t>”</w:t>
      </w:r>
      <w:r>
        <w:rPr/>
        <w:t>。 </w:t>
      </w:r>
      <w:r>
        <w:rPr>
          <w:spacing w:val="-2"/>
        </w:rPr>
        <w:t>本公司通过多次交易分步处置对子公司股权投资直至丧失控制权的，需区分处置对子公司股权投资直</w:t>
      </w:r>
    </w:p>
    <w:p>
      <w:pPr>
        <w:pStyle w:val="BodyText"/>
        <w:spacing w:line="266" w:lineRule="auto" w:before="22"/>
        <w:ind w:right="1024"/>
        <w:jc w:val="left"/>
      </w:pPr>
      <w:r>
        <w:rPr/>
        <w:t>至丧失控制权的各项交易是否属于一揽子交易。处置对子公司股权投资的各项交易的条款、条件以及经济 影响符合以下一种或多种情况，通常表明应将多次交易事项作为一揽子交易进行会计处理：①这些交易是 同时或者在考虑了彼此影响的情况下订立的；②这些交易整体才能达成一项完整的商业结果；③一项交易 的发生取决于其他至少一项交易的发生；④一项交易单独看是不经济的，但是和其他交易一并考虑时是经 济的。不属于一揽子交易的，对其中的每一项交易视情况分别按照</w:t>
      </w:r>
      <w:r>
        <w:rPr>
          <w:rFonts w:ascii="Times New Roman" w:hAnsi="Times New Roman" w:cs="Times New Roman" w:eastAsia="Times New Roman" w:hint="default"/>
        </w:rPr>
        <w:t>“</w:t>
      </w:r>
      <w:r>
        <w:rPr/>
        <w:t>不丧失控制权的情况下部分处置对子</w:t>
      </w:r>
      <w:r>
        <w:rPr>
          <w:spacing w:val="-17"/>
        </w:rPr>
        <w:t> </w:t>
      </w:r>
      <w:r>
        <w:rPr>
          <w:spacing w:val="-17"/>
        </w:rPr>
      </w:r>
      <w:r>
        <w:rPr>
          <w:spacing w:val="-3"/>
        </w:rPr>
        <w:t>公司的长期股权投资</w:t>
      </w:r>
      <w:r>
        <w:rPr>
          <w:rFonts w:ascii="Times New Roman" w:hAnsi="Times New Roman" w:cs="Times New Roman" w:eastAsia="Times New Roman" w:hint="default"/>
          <w:spacing w:val="-3"/>
        </w:rPr>
        <w:t>”</w:t>
      </w:r>
      <w:r>
        <w:rPr>
          <w:spacing w:val="-3"/>
        </w:rPr>
        <w:t>（详见本报告第十节、五、</w:t>
      </w:r>
      <w:r>
        <w:rPr>
          <w:rFonts w:ascii="Times New Roman" w:hAnsi="Times New Roman" w:cs="Times New Roman" w:eastAsia="Times New Roman" w:hint="default"/>
          <w:spacing w:val="-3"/>
        </w:rPr>
        <w:t>14</w:t>
      </w:r>
      <w:r>
        <w:rPr>
          <w:spacing w:val="-3"/>
        </w:rPr>
        <w:t>、（</w:t>
      </w:r>
      <w:r>
        <w:rPr>
          <w:rFonts w:ascii="Times New Roman" w:hAnsi="Times New Roman" w:cs="Times New Roman" w:eastAsia="Times New Roman" w:hint="default"/>
          <w:spacing w:val="-3"/>
        </w:rPr>
        <w:t>2</w:t>
      </w:r>
      <w:r>
        <w:rPr>
          <w:spacing w:val="-3"/>
        </w:rPr>
        <w:t>）④）和</w:t>
      </w:r>
      <w:r>
        <w:rPr>
          <w:rFonts w:ascii="Times New Roman" w:hAnsi="Times New Roman" w:cs="Times New Roman" w:eastAsia="Times New Roman" w:hint="default"/>
          <w:spacing w:val="-3"/>
        </w:rPr>
        <w:t>“</w:t>
      </w:r>
      <w:r>
        <w:rPr>
          <w:spacing w:val="-3"/>
        </w:rPr>
        <w:t>因处置部分股权投资或其他原因丧失了</w:t>
      </w:r>
      <w:r>
        <w:rPr>
          <w:spacing w:val="-67"/>
        </w:rPr>
        <w:t> </w:t>
      </w:r>
      <w:r>
        <w:rPr/>
        <w:t>对原有子公司的控制权</w:t>
      </w:r>
      <w:r>
        <w:rPr>
          <w:rFonts w:ascii="Times New Roman" w:hAnsi="Times New Roman" w:cs="Times New Roman" w:eastAsia="Times New Roman" w:hint="default"/>
        </w:rPr>
        <w:t>”</w:t>
      </w:r>
      <w:r>
        <w:rPr/>
        <w:t>（详见前段）适用的原则进行会计处理。处置对子公司股权投资直至丧失控制权</w:t>
      </w:r>
      <w:r>
        <w:rPr>
          <w:spacing w:val="-22"/>
        </w:rPr>
        <w:t> </w:t>
      </w:r>
      <w:r>
        <w:rPr>
          <w:spacing w:val="-22"/>
        </w:rPr>
      </w:r>
      <w:r>
        <w:rPr>
          <w:spacing w:val="-3"/>
        </w:rPr>
        <w:t>的各项交易属于一揽子交易的，将各项交易作为一项处置子公司并丧失控制权的交易进行会计处理；但是，</w:t>
      </w:r>
      <w:r>
        <w:rPr>
          <w:spacing w:val="-92"/>
        </w:rPr>
        <w:t> </w:t>
      </w:r>
      <w:r>
        <w:rPr>
          <w:spacing w:val="-92"/>
        </w:rPr>
      </w:r>
      <w:r>
        <w:rPr/>
        <w:t>在丧失控制权之前每一次处置价款与处置投资对应的享有该子公司净资产份额的差额，在合并财务报表中</w:t>
      </w:r>
      <w:r>
        <w:rPr/>
        <w:t> 确认为其他综合收益，在丧失控制权时一并转入丧失控制权当期的损益。</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spacing w:line="590" w:lineRule="atLeast" w:before="0"/>
        <w:ind w:left="634" w:right="1120" w:hanging="480"/>
        <w:jc w:val="left"/>
        <w:rPr>
          <w:rFonts w:ascii="宋体" w:hAnsi="宋体" w:cs="宋体" w:eastAsia="宋体" w:hint="default"/>
          <w:sz w:val="21"/>
          <w:szCs w:val="21"/>
        </w:rPr>
      </w:pPr>
      <w:bookmarkStart w:name="7、合营安排分类及共同经营会计处理方法" w:id="171"/>
      <w:bookmarkEnd w:id="171"/>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、合营安排分类及共同经营会计处理方法</w:t>
      </w:r>
      <w:r>
        <w:rPr>
          <w:rFonts w:ascii="宋体" w:hAnsi="宋体" w:cs="宋体" w:eastAsia="宋体" w:hint="default"/>
          <w:b/>
          <w:bCs/>
          <w:w w:val="99"/>
          <w:sz w:val="21"/>
          <w:szCs w:val="21"/>
        </w:rPr>
        <w:t> </w:t>
      </w:r>
      <w:r>
        <w:rPr>
          <w:rFonts w:ascii="宋体" w:hAnsi="宋体" w:cs="宋体" w:eastAsia="宋体" w:hint="default"/>
          <w:spacing w:val="-2"/>
          <w:sz w:val="21"/>
          <w:szCs w:val="21"/>
        </w:rPr>
        <w:t>合营安排，是指一项由两个或两个以上的参与方共同控制的安排。本公司根据在合营安排中享有的权</w:t>
      </w:r>
    </w:p>
    <w:p>
      <w:pPr>
        <w:pStyle w:val="BodyText"/>
        <w:spacing w:line="273" w:lineRule="auto" w:before="37"/>
        <w:ind w:left="154" w:right="0"/>
        <w:jc w:val="left"/>
      </w:pPr>
      <w:r>
        <w:rPr>
          <w:spacing w:val="-1"/>
        </w:rPr>
        <w:t>利和承担的义务，将合营安排分为共同经营和合营企业。共同经营，是指本公司享有该安排相关资产且承</w:t>
      </w:r>
      <w:r>
        <w:rPr>
          <w:spacing w:val="-83"/>
        </w:rPr>
        <w:t> </w:t>
      </w:r>
      <w:r>
        <w:rPr>
          <w:spacing w:val="-83"/>
        </w:rPr>
      </w:r>
      <w:r>
        <w:rPr/>
        <w:t>担该安排相关负债的合营安排。合营企业，是指本公司仅对该安排的净资产享有权利的合营安排。</w:t>
      </w:r>
    </w:p>
    <w:p>
      <w:pPr>
        <w:pStyle w:val="BodyText"/>
        <w:spacing w:line="240" w:lineRule="auto"/>
        <w:ind w:left="634" w:right="0"/>
        <w:jc w:val="left"/>
        <w:rPr>
          <w:rFonts w:ascii="Times New Roman" w:hAnsi="Times New Roman" w:cs="Times New Roman" w:eastAsia="Times New Roman" w:hint="default"/>
        </w:rPr>
      </w:pPr>
      <w:r>
        <w:rPr/>
        <w:t>本公司对合营企业的投资采用权益法核算，按照本附注四、</w:t>
      </w:r>
      <w:r>
        <w:rPr>
          <w:rFonts w:ascii="Times New Roman" w:hAnsi="Times New Roman" w:cs="Times New Roman" w:eastAsia="Times New Roman" w:hint="default"/>
        </w:rPr>
        <w:t>13</w:t>
      </w:r>
      <w:r>
        <w:rPr/>
        <w:t>（</w:t>
      </w:r>
      <w:r>
        <w:rPr>
          <w:rFonts w:ascii="Times New Roman" w:hAnsi="Times New Roman" w:cs="Times New Roman" w:eastAsia="Times New Roman" w:hint="default"/>
        </w:rPr>
        <w:t>2</w:t>
      </w:r>
      <w:r>
        <w:rPr/>
        <w:t>）②</w:t>
      </w:r>
      <w:r>
        <w:rPr>
          <w:spacing w:val="-61"/>
        </w:rPr>
        <w:t> </w:t>
      </w:r>
      <w:r>
        <w:rPr>
          <w:rFonts w:ascii="Times New Roman" w:hAnsi="Times New Roman" w:cs="Times New Roman" w:eastAsia="Times New Roman" w:hint="default"/>
        </w:rPr>
        <w:t>“</w:t>
      </w:r>
      <w:r>
        <w:rPr/>
        <w:t>权益法核算的长期股权投资</w:t>
      </w:r>
      <w:r>
        <w:rPr>
          <w:rFonts w:ascii="Times New Roman" w:hAnsi="Times New Roman" w:cs="Times New Roman" w:eastAsia="Times New Roman" w:hint="default"/>
        </w:rPr>
        <w:t>”</w:t>
      </w:r>
    </w:p>
    <w:p>
      <w:pPr>
        <w:pStyle w:val="BodyText"/>
        <w:spacing w:line="273" w:lineRule="auto" w:before="21"/>
        <w:ind w:left="633" w:right="1121" w:hanging="480"/>
        <w:jc w:val="left"/>
      </w:pPr>
      <w:r>
        <w:rPr/>
        <w:t>中所述的会计政策处理。 </w:t>
      </w:r>
      <w:r>
        <w:rPr>
          <w:spacing w:val="-2"/>
        </w:rPr>
        <w:t>本公司作为合营方对共同经营，确认本公司单独持有的资产、单独所承担的负债，以及按本公司份额</w:t>
      </w:r>
    </w:p>
    <w:p>
      <w:pPr>
        <w:pStyle w:val="BodyText"/>
        <w:spacing w:line="271" w:lineRule="auto"/>
        <w:ind w:right="0"/>
        <w:jc w:val="left"/>
      </w:pPr>
      <w:r>
        <w:rPr>
          <w:spacing w:val="-1"/>
        </w:rPr>
        <w:t>确认共同持有的资产和共同承担的负债；确认出售本公司享有的共同经营产出份额所产生的收入；按本公</w:t>
      </w:r>
      <w:r>
        <w:rPr>
          <w:spacing w:val="-81"/>
        </w:rPr>
        <w:t> </w:t>
      </w:r>
      <w:r>
        <w:rPr>
          <w:spacing w:val="-81"/>
        </w:rPr>
      </w:r>
      <w:r>
        <w:rPr>
          <w:spacing w:val="-1"/>
        </w:rPr>
        <w:t>司份额确认共同经营因出售产出所产生的收入；确认本公司单独所发生的费用，以及按本公司份额确认共</w:t>
      </w:r>
      <w:r>
        <w:rPr>
          <w:spacing w:val="-81"/>
        </w:rPr>
        <w:t> </w:t>
      </w:r>
      <w:r>
        <w:rPr>
          <w:spacing w:val="-81"/>
        </w:rPr>
      </w:r>
      <w:r>
        <w:rPr/>
        <w:t>同经营发生的费用。 </w:t>
      </w:r>
      <w:r>
        <w:rPr>
          <w:spacing w:val="-1"/>
        </w:rPr>
        <w:t>当本公司作为合营方向共同经营投出或出售资产（该资产不构成业务，下同）、或者自共同经营购买资产</w:t>
      </w:r>
      <w:r>
        <w:rPr>
          <w:spacing w:val="-85"/>
        </w:rPr>
        <w:t> </w:t>
      </w:r>
      <w:r>
        <w:rPr>
          <w:spacing w:val="-85"/>
        </w:rPr>
      </w:r>
      <w:r>
        <w:rPr>
          <w:spacing w:val="-1"/>
        </w:rPr>
        <w:t>时，在该等资产出售给第三方之前，本公司仅确认因该交易产生的损益中归属于共同经营其他参与方的部</w:t>
      </w:r>
      <w:r>
        <w:rPr>
          <w:spacing w:val="-81"/>
        </w:rPr>
        <w:t> </w:t>
      </w:r>
      <w:r>
        <w:rPr>
          <w:spacing w:val="-81"/>
        </w:rPr>
      </w:r>
      <w:r>
        <w:rPr/>
        <w:t>分。该等资产发生符合《企业会计准则第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资产减值》等规定的资产减值损失的，对于由本公司向</w:t>
      </w:r>
      <w:r>
        <w:rPr>
          <w:spacing w:val="-32"/>
        </w:rPr>
        <w:t> </w:t>
      </w:r>
      <w:r>
        <w:rPr>
          <w:spacing w:val="-32"/>
        </w:rPr>
      </w:r>
      <w:r>
        <w:rPr>
          <w:spacing w:val="-1"/>
        </w:rPr>
        <w:t>共同经营投出或出售资产的情况，本公司全额确认该损失；对于本公司自共同经营购买资产的情况，本公</w:t>
      </w:r>
      <w:r>
        <w:rPr>
          <w:spacing w:val="-83"/>
        </w:rPr>
        <w:t> </w:t>
      </w:r>
      <w:r>
        <w:rPr>
          <w:spacing w:val="-83"/>
        </w:rPr>
      </w:r>
      <w:r>
        <w:rPr/>
        <w:t>司按承担的份额确认该损失。</w:t>
      </w:r>
    </w:p>
    <w:p>
      <w:pPr>
        <w:spacing w:line="240" w:lineRule="auto" w:before="10"/>
        <w:rPr>
          <w:rFonts w:ascii="宋体" w:hAnsi="宋体" w:cs="宋体" w:eastAsia="宋体" w:hint="default"/>
          <w:sz w:val="24"/>
          <w:szCs w:val="24"/>
        </w:rPr>
      </w:pPr>
    </w:p>
    <w:p>
      <w:pPr>
        <w:spacing w:line="590" w:lineRule="atLeast" w:before="0"/>
        <w:ind w:left="633" w:right="1121" w:hanging="480"/>
        <w:jc w:val="left"/>
        <w:rPr>
          <w:rFonts w:ascii="宋体" w:hAnsi="宋体" w:cs="宋体" w:eastAsia="宋体" w:hint="default"/>
          <w:sz w:val="21"/>
          <w:szCs w:val="21"/>
        </w:rPr>
      </w:pPr>
      <w:bookmarkStart w:name="8、现金及现金等价物的确定标准" w:id="172"/>
      <w:bookmarkEnd w:id="172"/>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b/>
          <w:bCs/>
          <w:w w:val="99"/>
          <w:sz w:val="21"/>
          <w:szCs w:val="21"/>
        </w:rPr>
        <w:t> </w:t>
      </w:r>
      <w:r>
        <w:rPr>
          <w:rFonts w:ascii="宋体" w:hAnsi="宋体" w:cs="宋体" w:eastAsia="宋体" w:hint="default"/>
          <w:spacing w:val="-2"/>
          <w:sz w:val="21"/>
          <w:szCs w:val="21"/>
        </w:rPr>
        <w:t>本公司现金及现金等价物包括库存现金、可以随时用于支付的存款以及本公司持有的期限短（一般为</w:t>
      </w:r>
    </w:p>
    <w:p>
      <w:pPr>
        <w:pStyle w:val="BodyText"/>
        <w:spacing w:line="240" w:lineRule="auto" w:before="37"/>
        <w:ind w:right="0"/>
        <w:jc w:val="left"/>
      </w:pPr>
      <w:r>
        <w:rPr/>
        <w:t>从购买日起，三个月内到期）、流动性强、易于转换为已知金额的现金、价值变动风险很小的投资。</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9、外币业务和外币报表折算" w:id="173"/>
      <w:bookmarkEnd w:id="173"/>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left="633" w:right="1121"/>
        <w:jc w:val="left"/>
      </w:pPr>
      <w:r>
        <w:rPr/>
        <w:t>（</w:t>
      </w:r>
      <w:r>
        <w:rPr>
          <w:rFonts w:ascii="Times New Roman" w:hAnsi="Times New Roman" w:cs="Times New Roman" w:eastAsia="Times New Roman" w:hint="default"/>
        </w:rPr>
        <w:t>1</w:t>
      </w:r>
      <w:r>
        <w:rPr/>
        <w:t>）外币交易的折算方法 </w:t>
      </w:r>
      <w:r>
        <w:rPr>
          <w:spacing w:val="-2"/>
        </w:rPr>
        <w:t>本公司发生的外币交易在初始确认时，按交易日的即期近似汇率折算为记账本位币金额，但公司发生</w:t>
      </w:r>
    </w:p>
    <w:p>
      <w:pPr>
        <w:pStyle w:val="BodyText"/>
        <w:spacing w:line="240" w:lineRule="auto" w:before="23"/>
        <w:ind w:right="0"/>
        <w:jc w:val="left"/>
      </w:pPr>
      <w:r>
        <w:rPr/>
        <w:t>的外币兑换业务或涉及外币兑换的交易事项，按照实际采用的汇率折算为记账本位币金额。</w:t>
      </w:r>
    </w:p>
    <w:p>
      <w:pPr>
        <w:pStyle w:val="BodyText"/>
        <w:spacing w:line="256" w:lineRule="auto" w:before="37"/>
        <w:ind w:left="633" w:right="1121"/>
        <w:jc w:val="left"/>
      </w:pPr>
      <w:r>
        <w:rPr/>
        <w:t>（</w:t>
      </w:r>
      <w:r>
        <w:rPr>
          <w:rFonts w:ascii="Times New Roman" w:hAnsi="Times New Roman" w:cs="Times New Roman" w:eastAsia="Times New Roman" w:hint="default"/>
        </w:rPr>
        <w:t>2</w:t>
      </w:r>
      <w:r>
        <w:rPr/>
        <w:t>）对于外币货币性项目和外币非货币性项目的折算方法 </w:t>
      </w:r>
      <w:r>
        <w:rPr>
          <w:spacing w:val="-2"/>
        </w:rPr>
        <w:t>资产负债表日，对于外币货币性项目采用资产负债表日即期汇率折算，由此产生的汇兑差额，除：①</w:t>
      </w:r>
    </w:p>
    <w:p>
      <w:pPr>
        <w:pStyle w:val="BodyText"/>
        <w:spacing w:line="240" w:lineRule="auto" w:before="22"/>
        <w:ind w:right="0"/>
        <w:jc w:val="left"/>
      </w:pPr>
      <w:r>
        <w:rPr/>
        <w:t>属于与购建符合资本化条件的资产相关的外币专门借款产生的汇兑差额按照借款费用资本化的原则处理；</w:t>
      </w:r>
    </w:p>
    <w:p>
      <w:pPr>
        <w:pStyle w:val="BodyText"/>
        <w:spacing w:line="273" w:lineRule="auto" w:before="37"/>
        <w:ind w:right="0"/>
        <w:jc w:val="left"/>
      </w:pPr>
      <w:r>
        <w:rPr>
          <w:spacing w:val="3"/>
        </w:rPr>
        <w:t>②可供出售的外币货币性项目除摊余成本之外的其他账面余额变动产生的汇兑差额计入其他综合收益之</w:t>
      </w:r>
      <w:r>
        <w:rPr>
          <w:spacing w:val="-82"/>
        </w:rPr>
        <w:t> </w:t>
      </w:r>
      <w:r>
        <w:rPr>
          <w:spacing w:val="-82"/>
        </w:rPr>
      </w:r>
      <w:r>
        <w:rPr/>
        <w:t>外，均计入当期损益。</w:t>
      </w:r>
    </w:p>
    <w:p>
      <w:pPr>
        <w:pStyle w:val="BodyText"/>
        <w:spacing w:line="273" w:lineRule="auto"/>
        <w:ind w:right="1131" w:firstLine="480"/>
        <w:jc w:val="both"/>
      </w:pPr>
      <w:r>
        <w:rPr>
          <w:spacing w:val="-2"/>
        </w:rPr>
        <w:t>编制合并财务报表涉及境外经营的，如有实质上构成对境外经营净投资的外币货币性项目，因汇率变</w:t>
      </w:r>
      <w:r>
        <w:rPr/>
        <w:t> 动而产生的汇兑差额，计入其他综合收益；处置境外经营时，转入处置当期损益。</w:t>
      </w:r>
    </w:p>
    <w:p>
      <w:pPr>
        <w:pStyle w:val="BodyText"/>
        <w:spacing w:line="273" w:lineRule="auto"/>
        <w:ind w:right="1110" w:firstLine="480"/>
        <w:jc w:val="both"/>
      </w:pPr>
      <w:r>
        <w:rPr>
          <w:spacing w:val="-2"/>
        </w:rPr>
        <w:t>以历史成本计量的外币非货币性项目，仍采用交易发生日的即期汇率折算的记账本位币金额计量。以</w:t>
      </w:r>
      <w:r>
        <w:rPr/>
        <w:t> </w:t>
      </w:r>
      <w:r>
        <w:rPr>
          <w:spacing w:val="-1"/>
        </w:rPr>
        <w:t>公允价值计量的外币非货币性项目，采用公允价值确定日的即期汇率折算，折算后的记账本位币金额与原</w:t>
      </w:r>
      <w:r>
        <w:rPr>
          <w:spacing w:val="-81"/>
        </w:rPr>
        <w:t> </w:t>
      </w:r>
      <w:r>
        <w:rPr>
          <w:spacing w:val="-81"/>
        </w:rPr>
      </w:r>
      <w:r>
        <w:rPr/>
        <w:t>记账本位币金额的差额，作为公允价值变动（含汇率变动）处理，计入当期损益或确认为其他综合收益。</w:t>
      </w:r>
    </w:p>
    <w:p>
      <w:pPr>
        <w:pStyle w:val="BodyText"/>
        <w:spacing w:line="256" w:lineRule="auto"/>
        <w:ind w:left="633" w:right="1121"/>
        <w:jc w:val="left"/>
      </w:pPr>
      <w:r>
        <w:rPr/>
        <w:t>（</w:t>
      </w:r>
      <w:r>
        <w:rPr>
          <w:rFonts w:ascii="Times New Roman" w:hAnsi="Times New Roman" w:cs="Times New Roman" w:eastAsia="Times New Roman" w:hint="default"/>
        </w:rPr>
        <w:t>3</w:t>
      </w:r>
      <w:r>
        <w:rPr/>
        <w:t>）外币财务报表的折算方法 </w:t>
      </w:r>
      <w:r>
        <w:rPr>
          <w:spacing w:val="-2"/>
        </w:rPr>
        <w:t>编制合并财务报表涉及境外经营的，如有实质上构成对境外经营净投资的外币货币性项目，因汇率变</w:t>
      </w:r>
    </w:p>
    <w:p>
      <w:pPr>
        <w:pStyle w:val="BodyText"/>
        <w:spacing w:line="256" w:lineRule="auto" w:before="22"/>
        <w:ind w:right="1117"/>
        <w:jc w:val="left"/>
      </w:pPr>
      <w:r>
        <w:rPr/>
        <w:t>动而产生的汇兑差额，作为</w:t>
      </w:r>
      <w:r>
        <w:rPr>
          <w:rFonts w:ascii="Times New Roman" w:hAnsi="Times New Roman" w:cs="Times New Roman" w:eastAsia="Times New Roman" w:hint="default"/>
        </w:rPr>
        <w:t>“</w:t>
      </w:r>
      <w:r>
        <w:rPr/>
        <w:t>外币报表折算差额</w:t>
      </w:r>
      <w:r>
        <w:rPr>
          <w:rFonts w:ascii="Times New Roman" w:hAnsi="Times New Roman" w:cs="Times New Roman" w:eastAsia="Times New Roman" w:hint="default"/>
        </w:rPr>
        <w:t>”</w:t>
      </w:r>
      <w:r>
        <w:rPr/>
        <w:t>确认为其他综合收益；处置境外经营时，计入处置当期损 益。</w:t>
      </w:r>
    </w:p>
    <w:p>
      <w:pPr>
        <w:pStyle w:val="BodyText"/>
        <w:spacing w:line="271" w:lineRule="auto" w:before="22"/>
        <w:ind w:left="154" w:right="0" w:firstLine="480"/>
        <w:jc w:val="left"/>
      </w:pPr>
      <w:r>
        <w:rPr>
          <w:spacing w:val="-2"/>
        </w:rPr>
        <w:t>境外经营的外币财务报表按以下方法折算为人民币报表：资产负债表中的资产和负债项目，采用资产</w:t>
      </w:r>
      <w:r>
        <w:rPr/>
        <w:t> </w:t>
      </w:r>
      <w:r>
        <w:rPr>
          <w:spacing w:val="-3"/>
        </w:rPr>
        <w:t>负债表日的即期汇率折算；股东权益类项目除</w:t>
      </w:r>
      <w:r>
        <w:rPr>
          <w:rFonts w:ascii="Times New Roman" w:hAnsi="Times New Roman" w:cs="Times New Roman" w:eastAsia="Times New Roman" w:hint="default"/>
          <w:spacing w:val="-3"/>
        </w:rPr>
        <w:t>“</w:t>
      </w:r>
      <w:r>
        <w:rPr>
          <w:spacing w:val="-3"/>
        </w:rPr>
        <w:t>未分配利润</w:t>
      </w:r>
      <w:r>
        <w:rPr>
          <w:rFonts w:ascii="Times New Roman" w:hAnsi="Times New Roman" w:cs="Times New Roman" w:eastAsia="Times New Roman" w:hint="default"/>
          <w:spacing w:val="-3"/>
        </w:rPr>
        <w:t>”</w:t>
      </w:r>
      <w:r>
        <w:rPr>
          <w:spacing w:val="-3"/>
        </w:rPr>
        <w:t>项目外，其他项目采用发生时的即期汇率折算。</w:t>
      </w:r>
      <w:r>
        <w:rPr>
          <w:spacing w:val="-65"/>
        </w:rPr>
        <w:t> </w:t>
      </w:r>
      <w:r>
        <w:rPr>
          <w:spacing w:val="-65"/>
        </w:rPr>
      </w:r>
      <w:r>
        <w:rPr/>
        <w:t>利润表中的收入和费用项目，采用交易发生日的即期近似汇率折算。年初未分配利润为上一年折算后的年</w:t>
      </w:r>
      <w:r>
        <w:rPr/>
        <w:t> 末未分配利润；年末未分配利润按折算后的利润分配各项目计算列示；折算后资产类项目与负债类项目和 股东权益类项目合计数的差额，作为外币报表折算差额，确认为其他综合收益。处置境外经营并丧失控制 权时，将资产负债表中股东权益项目下列示的、与该境外经营相关的外币报表折算差额，全部或按处置该 境外经营的比例转入处置当期损益。</w:t>
      </w:r>
    </w:p>
    <w:p>
      <w:pPr>
        <w:pStyle w:val="BodyText"/>
        <w:spacing w:line="273" w:lineRule="auto" w:before="10"/>
        <w:ind w:left="154" w:right="1120" w:firstLine="480"/>
        <w:jc w:val="left"/>
      </w:pPr>
      <w:r>
        <w:rPr>
          <w:spacing w:val="-2"/>
        </w:rPr>
        <w:t>外币现金流量以及境外子公司的现金流量，采用现金流量发生日的即期汇率折算。汇率变动对现金的</w:t>
      </w:r>
      <w:r>
        <w:rPr/>
        <w:t> 影响额作为调节项目，在现金流量表中单独列报。</w:t>
      </w:r>
    </w:p>
    <w:p>
      <w:pPr>
        <w:pStyle w:val="BodyText"/>
        <w:spacing w:line="273" w:lineRule="auto"/>
        <w:ind w:left="633" w:right="0"/>
        <w:jc w:val="left"/>
      </w:pPr>
      <w:r>
        <w:rPr/>
        <w:t>年初数和上年实际数按照上年财务报表折算后的数额列示。 </w:t>
      </w:r>
      <w:r>
        <w:rPr>
          <w:spacing w:val="2"/>
        </w:rPr>
        <w:t>在处置本公司在境外经营的全部所有者权益或因处置部分股权投资或其他原因丧失了对境外经营控</w:t>
      </w:r>
    </w:p>
    <w:p>
      <w:pPr>
        <w:pStyle w:val="BodyText"/>
        <w:spacing w:line="273" w:lineRule="auto"/>
        <w:ind w:right="0"/>
        <w:jc w:val="left"/>
      </w:pPr>
      <w:r>
        <w:rPr>
          <w:spacing w:val="-1"/>
        </w:rPr>
        <w:t>制权时，将资产负债表中所有者权益项目下列示的、与该境外经营相关的归属于母公司所有者权益的外币</w:t>
      </w:r>
      <w:r>
        <w:rPr>
          <w:spacing w:val="-81"/>
        </w:rPr>
        <w:t> </w:t>
      </w:r>
      <w:r>
        <w:rPr>
          <w:spacing w:val="-81"/>
        </w:rPr>
      </w:r>
      <w:r>
        <w:rPr/>
        <w:t>报表折算差额，全部转入处置当期损益。 </w:t>
      </w:r>
      <w:r>
        <w:rPr>
          <w:spacing w:val="-1"/>
        </w:rPr>
        <w:t>在处置部分股权投资或其他原因导致持有境外经营权益比例降低但不丧失对境外经营控制权时，与该境外</w:t>
      </w:r>
      <w:r>
        <w:rPr>
          <w:spacing w:val="-81"/>
        </w:rPr>
        <w:t> </w:t>
      </w:r>
      <w:r>
        <w:rPr>
          <w:spacing w:val="-81"/>
        </w:rPr>
      </w:r>
      <w:r>
        <w:rPr>
          <w:spacing w:val="-1"/>
        </w:rPr>
        <w:t>经营处置部分相关的外币报表折算差额将归属于少数股东权益，不转入当期损益。在处置境外经营为联营</w:t>
      </w:r>
      <w:r>
        <w:rPr>
          <w:spacing w:val="-80"/>
        </w:rPr>
        <w:t> </w:t>
      </w:r>
      <w:r>
        <w:rPr>
          <w:spacing w:val="-80"/>
        </w:rPr>
      </w:r>
      <w:r>
        <w:rPr>
          <w:spacing w:val="-1"/>
        </w:rPr>
        <w:t>企业或合营企业的部分股权时，与该境外经营相关的外币报表折算差额，按处置该境外经营的比例转入处</w:t>
      </w:r>
      <w:r>
        <w:rPr>
          <w:spacing w:val="-81"/>
        </w:rPr>
        <w:t> </w:t>
      </w:r>
      <w:r>
        <w:rPr>
          <w:spacing w:val="-81"/>
        </w:rPr>
      </w:r>
      <w:r>
        <w:rPr/>
        <w:t>置当期损益。</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ind w:right="0"/>
        <w:jc w:val="left"/>
        <w:rPr>
          <w:b w:val="0"/>
          <w:bCs w:val="0"/>
        </w:rPr>
      </w:pPr>
      <w:bookmarkStart w:name="10、金融工具" w:id="174"/>
      <w:bookmarkEnd w:id="174"/>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8"/>
        <w:rPr>
          <w:rFonts w:ascii="宋体" w:hAnsi="宋体" w:cs="宋体" w:eastAsia="宋体" w:hint="default"/>
          <w:b/>
          <w:bCs/>
          <w:sz w:val="24"/>
          <w:szCs w:val="24"/>
        </w:rPr>
      </w:pPr>
    </w:p>
    <w:p>
      <w:pPr>
        <w:pStyle w:val="BodyText"/>
        <w:spacing w:line="273" w:lineRule="auto" w:before="0"/>
        <w:ind w:left="154" w:right="1131" w:firstLine="480"/>
        <w:jc w:val="both"/>
      </w:pPr>
      <w:r>
        <w:rPr>
          <w:spacing w:val="-2"/>
        </w:rPr>
        <w:t>在本公司成为金融工具合同的一方时确认一项金融资产或金融负债。金融资产和金融负债在初始确认</w:t>
      </w:r>
      <w:r>
        <w:rPr/>
        <w:t> </w:t>
      </w:r>
      <w:r>
        <w:rPr>
          <w:spacing w:val="-1"/>
        </w:rPr>
        <w:t>时以公允价值计量。对于以公允价值计量且其变动计入当期损益的金融资产和金融负债，相关的交易费用</w:t>
      </w:r>
      <w:r>
        <w:rPr>
          <w:spacing w:val="-81"/>
        </w:rPr>
        <w:t> </w:t>
      </w:r>
      <w:r>
        <w:rPr>
          <w:spacing w:val="-81"/>
        </w:rPr>
      </w:r>
      <w:r>
        <w:rPr/>
        <w:t>直接计入损益，对于其他类别的金融资产和金融负债，相关交易费用计入初始确认金额。</w:t>
      </w:r>
    </w:p>
    <w:p>
      <w:pPr>
        <w:pStyle w:val="BodyText"/>
        <w:spacing w:line="240" w:lineRule="auto"/>
        <w:ind w:left="633" w:right="0"/>
        <w:jc w:val="left"/>
      </w:pPr>
      <w:r>
        <w:rPr/>
        <w:t>（</w:t>
      </w:r>
      <w:r>
        <w:rPr>
          <w:rFonts w:ascii="Times New Roman" w:hAnsi="Times New Roman" w:cs="Times New Roman" w:eastAsia="Times New Roman" w:hint="default"/>
        </w:rPr>
        <w:t>1</w:t>
      </w:r>
      <w:r>
        <w:rPr/>
        <w:t>）金融资产和金融负债的公允价值确定方法</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30" w:firstLine="480"/>
        <w:jc w:val="both"/>
      </w:pPr>
      <w:r>
        <w:rPr>
          <w:spacing w:val="-2"/>
        </w:rPr>
        <w:t>公允价值，是指市场参与者在计量日发生的有序交易中，出售一项资产所能收到或者转移一项负债所</w:t>
      </w:r>
      <w:r>
        <w:rPr/>
        <w:t> </w:t>
      </w:r>
      <w:r>
        <w:rPr>
          <w:spacing w:val="-1"/>
        </w:rPr>
        <w:t>需支付的价格。金融工具存在活跃市场的，本公司采用活跃市场中的报价确定其公允价值。活跃市场中的</w:t>
      </w:r>
      <w:r>
        <w:rPr>
          <w:spacing w:val="-83"/>
        </w:rPr>
        <w:t> </w:t>
      </w:r>
      <w:r>
        <w:rPr>
          <w:spacing w:val="-83"/>
        </w:rPr>
      </w:r>
      <w:r>
        <w:rPr>
          <w:spacing w:val="-1"/>
        </w:rPr>
        <w:t>报价是指易于定期从交易所、经纪商、行业协会、定价服务机构等获得的价格，且代表了在公平交易中实</w:t>
      </w:r>
      <w:r>
        <w:rPr>
          <w:spacing w:val="-86"/>
        </w:rPr>
        <w:t> </w:t>
      </w:r>
      <w:r>
        <w:rPr>
          <w:spacing w:val="-86"/>
        </w:rPr>
      </w:r>
      <w:r>
        <w:rPr>
          <w:spacing w:val="-1"/>
        </w:rPr>
        <w:t>际发生的市场交易的价格。金融工具不存在活跃市场的，本公司采用估值技术确定其公允价值。估值技术</w:t>
      </w:r>
      <w:r>
        <w:rPr>
          <w:spacing w:val="-83"/>
        </w:rPr>
        <w:t> </w:t>
      </w:r>
      <w:r>
        <w:rPr>
          <w:spacing w:val="-83"/>
        </w:rPr>
      </w:r>
      <w:r>
        <w:rPr>
          <w:spacing w:val="-1"/>
        </w:rPr>
        <w:t>包括参考熟悉情况并自愿交易的各方最近进行的市场交易中使用的价格、参照实质上相同的其他金融工具</w:t>
      </w:r>
      <w:r>
        <w:rPr>
          <w:spacing w:val="-81"/>
        </w:rPr>
        <w:t> </w:t>
      </w:r>
      <w:r>
        <w:rPr>
          <w:spacing w:val="-81"/>
        </w:rPr>
      </w:r>
      <w:r>
        <w:rPr/>
        <w:t>当前的公允价值、现金流量折现法和期权定价模型等。</w:t>
      </w:r>
    </w:p>
    <w:p>
      <w:pPr>
        <w:pStyle w:val="BodyText"/>
        <w:spacing w:line="256" w:lineRule="auto"/>
        <w:ind w:left="633" w:right="1121"/>
        <w:jc w:val="left"/>
      </w:pPr>
      <w:r>
        <w:rPr/>
        <w:t>（</w:t>
      </w:r>
      <w:r>
        <w:rPr>
          <w:rFonts w:ascii="Times New Roman" w:hAnsi="Times New Roman" w:cs="Times New Roman" w:eastAsia="Times New Roman" w:hint="default"/>
        </w:rPr>
        <w:t>2</w:t>
      </w:r>
      <w:r>
        <w:rPr/>
        <w:t>）金融资产的分类、确认和计量 </w:t>
      </w:r>
      <w:r>
        <w:rPr>
          <w:spacing w:val="-2"/>
        </w:rPr>
        <w:t>以常规方式买卖金融资产，按交易日进行会计确认和终止确认。金融资产在初始确认时划分为以公允</w:t>
      </w:r>
    </w:p>
    <w:p>
      <w:pPr>
        <w:pStyle w:val="BodyText"/>
        <w:spacing w:line="240" w:lineRule="auto" w:before="22"/>
        <w:ind w:right="0"/>
        <w:jc w:val="left"/>
      </w:pPr>
      <w:r>
        <w:rPr/>
        <w:t>价值计量且其变动计入当期损益的金融资产、持有至到期投资、贷款和应收款项以及可供出售金融资产。</w:t>
      </w:r>
    </w:p>
    <w:p>
      <w:pPr>
        <w:pStyle w:val="BodyText"/>
        <w:spacing w:line="273" w:lineRule="auto" w:before="37"/>
        <w:ind w:left="633" w:right="1121"/>
        <w:jc w:val="left"/>
      </w:pPr>
      <w:r>
        <w:rPr/>
        <w:t>①以公允价值计量且其变动计入当期损益的金融资产 </w:t>
      </w:r>
      <w:r>
        <w:rPr>
          <w:spacing w:val="-2"/>
        </w:rPr>
        <w:t>包括交易性金融资产和指定为以公允价值计量且其变动计入当期损益的金融资产。本公司以公允价值</w:t>
      </w:r>
    </w:p>
    <w:p>
      <w:pPr>
        <w:pStyle w:val="BodyText"/>
        <w:spacing w:line="273" w:lineRule="auto"/>
        <w:ind w:left="633" w:right="1129" w:hanging="480"/>
        <w:jc w:val="left"/>
      </w:pPr>
      <w:r>
        <w:rPr/>
        <w:t>计量且其变动计入当期损益的金融资产均为交易性金融资产。 </w:t>
      </w:r>
      <w:r>
        <w:rPr>
          <w:spacing w:val="-2"/>
        </w:rPr>
        <w:t>交易性金融资产是指满足下列条件之一的金融资产：</w:t>
      </w:r>
      <w:r>
        <w:rPr>
          <w:rFonts w:ascii="Times New Roman" w:hAnsi="Times New Roman" w:cs="Times New Roman" w:eastAsia="Times New Roman" w:hint="default"/>
          <w:spacing w:val="-2"/>
        </w:rPr>
        <w:t>A.</w:t>
      </w:r>
      <w:r>
        <w:rPr>
          <w:spacing w:val="-2"/>
        </w:rPr>
        <w:t>取得该金融资产的目的，主要是为了近期内出</w:t>
      </w:r>
    </w:p>
    <w:p>
      <w:pPr>
        <w:pStyle w:val="BodyText"/>
        <w:spacing w:line="261" w:lineRule="auto" w:before="0"/>
        <w:ind w:right="1131"/>
        <w:jc w:val="both"/>
      </w:pPr>
      <w:r>
        <w:rPr/>
        <w:t>售或回购；</w:t>
      </w:r>
      <w:r>
        <w:rPr>
          <w:rFonts w:ascii="Times New Roman" w:hAnsi="Times New Roman" w:cs="Times New Roman" w:eastAsia="Times New Roman" w:hint="default"/>
        </w:rPr>
        <w:t>B.</w:t>
      </w:r>
      <w:r>
        <w:rPr/>
        <w:t>属于进行集中管理的可辨认金融工具组合的一部分，且有客观证据表明本公司近期采用短期 </w:t>
      </w:r>
      <w:r>
        <w:rPr>
          <w:spacing w:val="-1"/>
        </w:rPr>
        <w:t>获利方式对该组合进行管理；</w:t>
      </w:r>
      <w:r>
        <w:rPr>
          <w:rFonts w:ascii="Times New Roman" w:hAnsi="Times New Roman" w:cs="Times New Roman" w:eastAsia="Times New Roman" w:hint="default"/>
          <w:spacing w:val="-1"/>
        </w:rPr>
        <w:t>C.</w:t>
      </w:r>
      <w:r>
        <w:rPr>
          <w:spacing w:val="-1"/>
        </w:rPr>
        <w:t>属于衍生工具，但是，被指定且为有效套期工具的衍生工具、属于财务担</w:t>
      </w:r>
      <w:r>
        <w:rPr>
          <w:spacing w:val="-67"/>
        </w:rPr>
        <w:t> </w:t>
      </w:r>
      <w:r>
        <w:rPr>
          <w:spacing w:val="-67"/>
        </w:rPr>
      </w:r>
      <w:r>
        <w:rPr>
          <w:spacing w:val="-1"/>
        </w:rPr>
        <w:t>保合同的衍生工具、与在活跃市场中没有报价且其公允价值不能可靠计量的权益工具投资挂钩并须通过交</w:t>
      </w:r>
      <w:r>
        <w:rPr>
          <w:spacing w:val="-81"/>
        </w:rPr>
        <w:t> </w:t>
      </w:r>
      <w:r>
        <w:rPr>
          <w:spacing w:val="-81"/>
        </w:rPr>
      </w:r>
      <w:r>
        <w:rPr/>
        <w:t>付该权益工具结算的衍生工具除外。</w:t>
      </w:r>
    </w:p>
    <w:p>
      <w:pPr>
        <w:pStyle w:val="BodyText"/>
        <w:spacing w:line="273" w:lineRule="auto" w:before="18"/>
        <w:ind w:right="1132" w:firstLine="480"/>
        <w:jc w:val="both"/>
      </w:pPr>
      <w:r>
        <w:rPr>
          <w:spacing w:val="-2"/>
        </w:rPr>
        <w:t>交易性金融资产采用公允价值进行后续计量，公允价值变动形成的利得或损失以及与该金融资产相关</w:t>
      </w:r>
      <w:r>
        <w:rPr/>
        <w:t> 的股利和利息收入计入当期损益。</w:t>
      </w:r>
    </w:p>
    <w:p>
      <w:pPr>
        <w:pStyle w:val="BodyText"/>
        <w:spacing w:line="273" w:lineRule="auto"/>
        <w:ind w:left="633" w:right="0"/>
        <w:jc w:val="left"/>
      </w:pPr>
      <w:r>
        <w:rPr/>
        <w:t>②持有至到期投资 </w:t>
      </w:r>
      <w:r>
        <w:rPr>
          <w:spacing w:val="-5"/>
        </w:rPr>
        <w:t>是指到期日固定、回收金额固定或可确定，且本公司有明确意图和能力持有至到期的非衍生金融资产。</w:t>
      </w:r>
      <w:r>
        <w:rPr>
          <w:spacing w:val="-68"/>
        </w:rPr>
        <w:t> </w:t>
      </w:r>
      <w:r>
        <w:rPr>
          <w:spacing w:val="-68"/>
        </w:rPr>
      </w:r>
      <w:r>
        <w:rPr>
          <w:spacing w:val="-2"/>
        </w:rPr>
        <w:t>持有至到期投资采用实际利率法，按摊余成本进行后续计量，在终止确认、发生减值或摊销时产生的</w:t>
      </w:r>
    </w:p>
    <w:p>
      <w:pPr>
        <w:pStyle w:val="BodyText"/>
        <w:spacing w:line="273" w:lineRule="auto" w:before="8"/>
        <w:ind w:left="633" w:right="1121" w:hanging="480"/>
        <w:jc w:val="left"/>
      </w:pPr>
      <w:r>
        <w:rPr/>
        <w:t>利得或损失，计入当期损益。 </w:t>
      </w:r>
      <w:r>
        <w:rPr>
          <w:spacing w:val="-2"/>
        </w:rPr>
        <w:t>实际利率法是指按照金融资产或金融负债（含一组金融资产或金融负债）的实际利率计算其摊余成本</w:t>
      </w:r>
    </w:p>
    <w:p>
      <w:pPr>
        <w:pStyle w:val="BodyText"/>
        <w:spacing w:line="273" w:lineRule="auto"/>
        <w:ind w:right="1132"/>
        <w:jc w:val="both"/>
      </w:pPr>
      <w:r>
        <w:rPr>
          <w:spacing w:val="-1"/>
        </w:rPr>
        <w:t>及各期利息收入或支出的方法。实际利率是指将金融资产或金融负债在预期存续期间或适用的更短期间内</w:t>
      </w:r>
      <w:r>
        <w:rPr>
          <w:spacing w:val="-81"/>
        </w:rPr>
        <w:t> </w:t>
      </w:r>
      <w:r>
        <w:rPr>
          <w:spacing w:val="-81"/>
        </w:rPr>
      </w:r>
      <w:r>
        <w:rPr/>
        <w:t>的未来现金流量，折现为该金融资产或金融负债当前账面价值所使用的利率。</w:t>
      </w:r>
    </w:p>
    <w:p>
      <w:pPr>
        <w:pStyle w:val="BodyText"/>
        <w:spacing w:line="240" w:lineRule="auto"/>
        <w:ind w:left="633" w:right="0"/>
        <w:jc w:val="left"/>
      </w:pPr>
      <w:r>
        <w:rPr>
          <w:spacing w:val="2"/>
        </w:rPr>
        <w:t>在计算实际利率时，本公司将在考虑金融资产或金融负债所有合同条款的基础上预计未来现金流量</w:t>
      </w:r>
    </w:p>
    <w:p>
      <w:pPr>
        <w:pStyle w:val="BodyText"/>
        <w:spacing w:line="273" w:lineRule="auto" w:before="37"/>
        <w:ind w:right="1131"/>
        <w:jc w:val="both"/>
      </w:pPr>
      <w:r>
        <w:rPr>
          <w:spacing w:val="-1"/>
        </w:rPr>
        <w:t>（不考虑未来的信用损失），同时还将考虑金融资产或金融负债合同各方之间支付或收取的、属于实际利</w:t>
      </w:r>
      <w:r>
        <w:rPr>
          <w:spacing w:val="-83"/>
        </w:rPr>
        <w:t> </w:t>
      </w:r>
      <w:r>
        <w:rPr>
          <w:spacing w:val="-83"/>
        </w:rPr>
      </w:r>
      <w:r>
        <w:rPr/>
        <w:t>率组成部分的各项收费、交易费用及折价或溢价等。</w:t>
      </w:r>
    </w:p>
    <w:p>
      <w:pPr>
        <w:pStyle w:val="BodyText"/>
        <w:spacing w:line="273" w:lineRule="auto"/>
        <w:ind w:left="633" w:right="1121"/>
        <w:jc w:val="left"/>
      </w:pPr>
      <w:r>
        <w:rPr/>
        <w:t>③贷款和应收款项 </w:t>
      </w:r>
      <w:r>
        <w:rPr>
          <w:spacing w:val="-2"/>
        </w:rPr>
        <w:t>是指在活跃市场中没有报价、回收金额固定或可确定的非衍生金融资产。本公司划分为贷款和应收款</w:t>
      </w:r>
    </w:p>
    <w:p>
      <w:pPr>
        <w:pStyle w:val="BodyText"/>
        <w:spacing w:line="273" w:lineRule="auto"/>
        <w:ind w:left="633" w:right="1121" w:hanging="480"/>
        <w:jc w:val="left"/>
      </w:pPr>
      <w:r>
        <w:rPr/>
        <w:t>的金融资产包括应收票据、应收账款、应收利息、应收股利及其他应收款等。 </w:t>
      </w:r>
      <w:r>
        <w:rPr>
          <w:spacing w:val="-2"/>
        </w:rPr>
        <w:t>贷款和应收款项采用实际利率法，按摊余成本进行后续计量，在终止确认、发生减值或摊销时产生的</w:t>
      </w:r>
    </w:p>
    <w:p>
      <w:pPr>
        <w:pStyle w:val="BodyText"/>
        <w:spacing w:line="240" w:lineRule="auto"/>
        <w:ind w:right="0"/>
        <w:jc w:val="left"/>
      </w:pPr>
      <w:r>
        <w:rPr/>
        <w:t>利得或损失，计入当期损益。</w:t>
      </w:r>
    </w:p>
    <w:p>
      <w:pPr>
        <w:pStyle w:val="BodyText"/>
        <w:spacing w:line="273" w:lineRule="auto" w:before="37"/>
        <w:ind w:left="633" w:right="1121"/>
        <w:jc w:val="left"/>
      </w:pPr>
      <w:r>
        <w:rPr/>
        <w:t>④可供出售金融资产 </w:t>
      </w:r>
      <w:r>
        <w:rPr>
          <w:spacing w:val="-2"/>
        </w:rPr>
        <w:t>包括初始确认时即被指定为可供出售的非衍生金融资产，以及除了以公允价值计量且其变动计入当期</w:t>
      </w:r>
    </w:p>
    <w:p>
      <w:pPr>
        <w:pStyle w:val="BodyText"/>
        <w:spacing w:line="273" w:lineRule="auto"/>
        <w:ind w:left="633" w:right="1121" w:hanging="480"/>
        <w:jc w:val="left"/>
      </w:pPr>
      <w:r>
        <w:rPr/>
        <w:t>损益的金融资产、贷款和应收款项、持有至到期投资以外的金融资产。 </w:t>
      </w:r>
      <w:r>
        <w:rPr>
          <w:spacing w:val="-2"/>
        </w:rPr>
        <w:t>可供出售债务工具投资的期末成本按照其摊余成本法确定，即初始确认金额扣除已偿还的本金，加上</w:t>
      </w:r>
    </w:p>
    <w:p>
      <w:pPr>
        <w:pStyle w:val="BodyText"/>
        <w:spacing w:line="273" w:lineRule="auto"/>
        <w:ind w:right="1132"/>
        <w:jc w:val="both"/>
      </w:pPr>
      <w:r>
        <w:rPr>
          <w:spacing w:val="-1"/>
        </w:rPr>
        <w:t>或减去采用实际利率法将该初始确认金额与到期日金额之间的差额进行摊销形成的累计摊销额，并扣除已</w:t>
      </w:r>
      <w:r>
        <w:rPr>
          <w:spacing w:val="-81"/>
        </w:rPr>
        <w:t> </w:t>
      </w:r>
      <w:r>
        <w:rPr>
          <w:spacing w:val="-81"/>
        </w:rPr>
      </w:r>
      <w:r>
        <w:rPr/>
        <w:t>发生的减值损失后的金额。可供出售权益工具投资的期末成本为其初始取得成本。</w:t>
      </w:r>
    </w:p>
    <w:p>
      <w:pPr>
        <w:pStyle w:val="BodyText"/>
        <w:spacing w:line="273" w:lineRule="auto" w:before="8"/>
        <w:ind w:right="1131" w:firstLine="480"/>
        <w:jc w:val="both"/>
      </w:pPr>
      <w:r>
        <w:rPr>
          <w:spacing w:val="-2"/>
        </w:rPr>
        <w:t>可供出售金融资产采用公允价值进行后续计量，公允价值变动形成的利得或损失，除减值损失和外币</w:t>
      </w:r>
      <w:r>
        <w:rPr/>
        <w:t> </w:t>
      </w:r>
      <w:r>
        <w:rPr>
          <w:spacing w:val="-1"/>
        </w:rPr>
        <w:t>货币性金融资产与摊余成本相关的汇兑差额计入当期损益外，确认为其他综合收益，在该金融资产终止确</w:t>
      </w:r>
      <w:r>
        <w:rPr>
          <w:spacing w:val="-81"/>
        </w:rPr>
        <w:t> </w:t>
      </w:r>
      <w:r>
        <w:rPr>
          <w:spacing w:val="-81"/>
        </w:rPr>
      </w:r>
      <w:r>
        <w:rPr>
          <w:spacing w:val="-1"/>
        </w:rPr>
        <w:t>认时转出，计入当期损益。但是，在活跃市场中没有报价且其公允价值不能可靠计量的权益工具投资，以</w:t>
      </w:r>
      <w:r>
        <w:rPr>
          <w:spacing w:val="-85"/>
        </w:rPr>
        <w:t> </w:t>
      </w:r>
      <w:r>
        <w:rPr>
          <w:spacing w:val="-85"/>
        </w:rPr>
      </w:r>
      <w:r>
        <w:rPr/>
        <w:t>及与该权益工具挂钩并须通过交付该权益工具结算的衍生金融资产，按照成本进行后续计量。</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left="633" w:right="0"/>
        <w:jc w:val="left"/>
      </w:pPr>
      <w:r>
        <w:rPr/>
        <w:t>可供出售金融资产持有期间取得的利息及被投资单位宣告发放的现金股利，计入投资收益。</w:t>
      </w:r>
    </w:p>
    <w:p>
      <w:pPr>
        <w:pStyle w:val="BodyText"/>
        <w:spacing w:line="256" w:lineRule="auto" w:before="37"/>
        <w:ind w:left="633" w:right="1121"/>
        <w:jc w:val="left"/>
      </w:pPr>
      <w:r>
        <w:rPr/>
        <w:t>（</w:t>
      </w:r>
      <w:r>
        <w:rPr>
          <w:rFonts w:ascii="Times New Roman" w:hAnsi="Times New Roman" w:cs="Times New Roman" w:eastAsia="Times New Roman" w:hint="default"/>
        </w:rPr>
        <w:t>3</w:t>
      </w:r>
      <w:r>
        <w:rPr/>
        <w:t>）金融资产减值 </w:t>
      </w:r>
      <w:r>
        <w:rPr>
          <w:spacing w:val="-2"/>
        </w:rPr>
        <w:t>除了以公允价值计量且其变动计入当期损益的金融资产外，本公司在每个资产负债表日对其他金融资</w:t>
      </w:r>
    </w:p>
    <w:p>
      <w:pPr>
        <w:pStyle w:val="BodyText"/>
        <w:spacing w:line="273" w:lineRule="auto" w:before="22"/>
        <w:ind w:left="633" w:right="1121" w:hanging="480"/>
        <w:jc w:val="left"/>
      </w:pPr>
      <w:r>
        <w:rPr/>
        <w:t>产的账面价值进行检查，有客观证据表明金融资产发生减值的，计提减值准备。 </w:t>
      </w:r>
      <w:r>
        <w:rPr>
          <w:spacing w:val="-2"/>
        </w:rPr>
        <w:t>本公司对单项金额重大的金融资产单独进行减值测试；对单项金额不重大的金融资产，单独进行减值</w:t>
      </w:r>
    </w:p>
    <w:p>
      <w:pPr>
        <w:pStyle w:val="BodyText"/>
        <w:spacing w:line="240" w:lineRule="auto"/>
        <w:ind w:right="0"/>
        <w:jc w:val="both"/>
      </w:pPr>
      <w:r>
        <w:rPr>
          <w:spacing w:val="3"/>
        </w:rPr>
        <w:t>测试或包括在具有类似信用风险特征的金融资产组合中进行减值测试。单独测试未发生减值的金融资产</w:t>
      </w:r>
    </w:p>
    <w:p>
      <w:pPr>
        <w:pStyle w:val="BodyText"/>
        <w:spacing w:line="273" w:lineRule="auto" w:before="37"/>
        <w:ind w:right="1024"/>
        <w:jc w:val="left"/>
      </w:pPr>
      <w:r>
        <w:rPr/>
        <w:t>（包括单项金额重大和不重大的金融资产），包括在具有类似信用风险特征的金融资产组合中再进行减值 </w:t>
      </w:r>
      <w:r>
        <w:rPr>
          <w:spacing w:val="-3"/>
        </w:rPr>
        <w:t>测试。已单项确认减值损失的金融资产，不包括在具有类似信用风险特征的金融资产组合中进行减值测试。</w:t>
      </w:r>
    </w:p>
    <w:p>
      <w:pPr>
        <w:pStyle w:val="BodyText"/>
        <w:spacing w:line="273" w:lineRule="auto"/>
        <w:ind w:left="633" w:right="1121"/>
        <w:jc w:val="left"/>
      </w:pPr>
      <w:r>
        <w:rPr/>
        <w:t>①持有至到期投资、贷款和应收款项减值 </w:t>
      </w:r>
      <w:r>
        <w:rPr>
          <w:spacing w:val="-2"/>
        </w:rPr>
        <w:t>以成本或摊余成本计量的金融资产将其账面价值减记至预计未来现金流量现值，减记金额确认为减值</w:t>
      </w:r>
    </w:p>
    <w:p>
      <w:pPr>
        <w:pStyle w:val="BodyText"/>
        <w:spacing w:line="273" w:lineRule="auto"/>
        <w:ind w:right="1131"/>
        <w:jc w:val="both"/>
      </w:pPr>
      <w:r>
        <w:rPr>
          <w:spacing w:val="-1"/>
        </w:rPr>
        <w:t>损失，计入当期损益。金融资产在确认减值损失后，如有客观证据表明该金融资产价值已恢复，且客观上</w:t>
      </w:r>
      <w:r>
        <w:rPr>
          <w:spacing w:val="-86"/>
        </w:rPr>
        <w:t> </w:t>
      </w:r>
      <w:r>
        <w:rPr>
          <w:spacing w:val="-86"/>
        </w:rPr>
      </w:r>
      <w:r>
        <w:rPr>
          <w:spacing w:val="-1"/>
        </w:rPr>
        <w:t>与确认该损失后发生的事项有关，原确认的减值损失予以转回，金融资产转回减值损失后的账面价值不超</w:t>
      </w:r>
      <w:r>
        <w:rPr>
          <w:spacing w:val="-81"/>
        </w:rPr>
        <w:t> </w:t>
      </w:r>
      <w:r>
        <w:rPr>
          <w:spacing w:val="-81"/>
        </w:rPr>
      </w:r>
      <w:r>
        <w:rPr/>
        <w:t>过假定不计提减值准备情况下该金融资产在转回日的摊余成本。</w:t>
      </w:r>
    </w:p>
    <w:p>
      <w:pPr>
        <w:pStyle w:val="BodyText"/>
        <w:spacing w:line="273" w:lineRule="auto"/>
        <w:ind w:left="633" w:right="1121"/>
        <w:jc w:val="left"/>
      </w:pPr>
      <w:r>
        <w:rPr/>
        <w:t>②可供出售金融资产减值 </w:t>
      </w:r>
      <w:r>
        <w:rPr>
          <w:spacing w:val="-2"/>
        </w:rPr>
        <w:t>当综合相关因素判断可供出售权益工具投资公允价值下跌是严重或非暂时性下跌时，表明该可供出售</w:t>
      </w:r>
    </w:p>
    <w:p>
      <w:pPr>
        <w:pStyle w:val="BodyText"/>
        <w:spacing w:line="256" w:lineRule="auto"/>
        <w:ind w:right="1132"/>
        <w:jc w:val="both"/>
      </w:pPr>
      <w:r>
        <w:rPr/>
        <w:t>权益工具投资发生减值。其中</w:t>
      </w:r>
      <w:r>
        <w:rPr>
          <w:rFonts w:ascii="Times New Roman" w:hAnsi="Times New Roman" w:cs="Times New Roman" w:eastAsia="Times New Roman" w:hint="default"/>
        </w:rPr>
        <w:t>“</w:t>
      </w:r>
      <w:r>
        <w:rPr/>
        <w:t>严重下跌</w:t>
      </w:r>
      <w:r>
        <w:rPr>
          <w:rFonts w:ascii="Times New Roman" w:hAnsi="Times New Roman" w:cs="Times New Roman" w:eastAsia="Times New Roman" w:hint="default"/>
        </w:rPr>
        <w:t>”</w:t>
      </w:r>
      <w:r>
        <w:rPr/>
        <w:t>是指公允价值下跌幅度累计超过</w:t>
      </w:r>
      <w:r>
        <w:rPr>
          <w:rFonts w:ascii="Times New Roman" w:hAnsi="Times New Roman" w:cs="Times New Roman" w:eastAsia="Times New Roman" w:hint="default"/>
        </w:rPr>
        <w:t>20%</w:t>
      </w:r>
      <w:r>
        <w:rPr/>
        <w:t>；</w:t>
      </w:r>
      <w:r>
        <w:rPr>
          <w:rFonts w:ascii="Times New Roman" w:hAnsi="Times New Roman" w:cs="Times New Roman" w:eastAsia="Times New Roman" w:hint="default"/>
        </w:rPr>
        <w:t>“</w:t>
      </w:r>
      <w:r>
        <w:rPr/>
        <w:t>非暂时性下跌</w:t>
      </w:r>
      <w:r>
        <w:rPr>
          <w:rFonts w:ascii="Times New Roman" w:hAnsi="Times New Roman" w:cs="Times New Roman" w:eastAsia="Times New Roman" w:hint="default"/>
        </w:rPr>
        <w:t>”</w:t>
      </w:r>
      <w:r>
        <w:rPr/>
        <w:t>是指公允</w:t>
      </w:r>
      <w:r>
        <w:rPr>
          <w:spacing w:val="-59"/>
        </w:rPr>
        <w:t> </w:t>
      </w:r>
      <w:r>
        <w:rPr>
          <w:spacing w:val="-59"/>
        </w:rPr>
      </w:r>
      <w:r>
        <w:rPr/>
        <w:t>价值连续下跌时间超过</w:t>
      </w:r>
      <w:r>
        <w:rPr>
          <w:rFonts w:ascii="Times New Roman" w:hAnsi="Times New Roman" w:cs="Times New Roman" w:eastAsia="Times New Roman" w:hint="default"/>
        </w:rPr>
        <w:t>12</w:t>
      </w:r>
      <w:r>
        <w:rPr/>
        <w:t>个月，持续下跌期间的确定依据为公允价值连续下跌时间超过</w:t>
      </w:r>
      <w:r>
        <w:rPr>
          <w:rFonts w:ascii="Times New Roman" w:hAnsi="Times New Roman" w:cs="Times New Roman" w:eastAsia="Times New Roman" w:hint="default"/>
        </w:rPr>
        <w:t>12</w:t>
      </w:r>
      <w:r>
        <w:rPr/>
        <w:t>个月。</w:t>
      </w:r>
    </w:p>
    <w:p>
      <w:pPr>
        <w:pStyle w:val="BodyText"/>
        <w:spacing w:line="273" w:lineRule="auto" w:before="5"/>
        <w:ind w:right="1130" w:firstLine="480"/>
        <w:jc w:val="both"/>
      </w:pPr>
      <w:r>
        <w:rPr>
          <w:spacing w:val="-2"/>
        </w:rPr>
        <w:t>可供出售金融资产发生减值时，将原计入其他综合收益的因公允价值下降形成的累计损失予以转出并</w:t>
      </w:r>
      <w:r>
        <w:rPr/>
        <w:t> </w:t>
      </w:r>
      <w:r>
        <w:rPr>
          <w:spacing w:val="-1"/>
        </w:rPr>
        <w:t>计入当期损益，该转出的累计损失为该资产初始取得成本扣除已收回本金和已摊销金额、当前公允价值和</w:t>
      </w:r>
      <w:r>
        <w:rPr>
          <w:spacing w:val="-80"/>
        </w:rPr>
        <w:t> </w:t>
      </w:r>
      <w:r>
        <w:rPr>
          <w:spacing w:val="-80"/>
        </w:rPr>
      </w:r>
      <w:r>
        <w:rPr/>
        <w:t>原已计入损益的减值损失后的余额。</w:t>
      </w:r>
    </w:p>
    <w:p>
      <w:pPr>
        <w:pStyle w:val="BodyText"/>
        <w:spacing w:line="273" w:lineRule="auto"/>
        <w:ind w:right="1131" w:firstLine="480"/>
        <w:jc w:val="both"/>
      </w:pPr>
      <w:r>
        <w:rPr>
          <w:spacing w:val="-2"/>
        </w:rPr>
        <w:t>在确认减值损失后，期后如有客观证据表明该金融资产价值已恢复，且客观上与确认该损失后发生的</w:t>
      </w:r>
      <w:r>
        <w:rPr/>
        <w:t> </w:t>
      </w:r>
      <w:r>
        <w:rPr>
          <w:spacing w:val="-1"/>
        </w:rPr>
        <w:t>事项有关，原确认的减值损失予以转回，可供出售权益工具投资的减值损失转回确认为其他综合收益，可</w:t>
      </w:r>
      <w:r>
        <w:rPr>
          <w:spacing w:val="-83"/>
        </w:rPr>
        <w:t> </w:t>
      </w:r>
      <w:r>
        <w:rPr>
          <w:spacing w:val="-83"/>
        </w:rPr>
      </w:r>
      <w:r>
        <w:rPr/>
        <w:t>供出售债务工具的减值损失转回计入当期损益。</w:t>
      </w:r>
    </w:p>
    <w:p>
      <w:pPr>
        <w:pStyle w:val="BodyText"/>
        <w:spacing w:line="273" w:lineRule="auto"/>
        <w:ind w:left="154" w:right="1132" w:firstLine="480"/>
        <w:jc w:val="both"/>
      </w:pPr>
      <w:r>
        <w:rPr>
          <w:spacing w:val="-2"/>
        </w:rPr>
        <w:t>在活跃市场中没有报价且其公允价值不能可靠计量的权益工具投资，或与该权益工具挂钩并须通过交</w:t>
      </w:r>
      <w:r>
        <w:rPr/>
        <w:t> 付该权益工具结算的衍生金融资产的减值损失，不予转回。</w:t>
      </w:r>
    </w:p>
    <w:p>
      <w:pPr>
        <w:pStyle w:val="BodyText"/>
        <w:spacing w:line="256" w:lineRule="auto"/>
        <w:ind w:left="634" w:right="1120"/>
        <w:jc w:val="left"/>
      </w:pPr>
      <w:r>
        <w:rPr/>
        <w:t>（</w:t>
      </w:r>
      <w:r>
        <w:rPr>
          <w:rFonts w:ascii="Times New Roman" w:hAnsi="Times New Roman" w:cs="Times New Roman" w:eastAsia="Times New Roman" w:hint="default"/>
        </w:rPr>
        <w:t>4</w:t>
      </w:r>
      <w:r>
        <w:rPr/>
        <w:t>）金融资产转移的确认依据和计量方法 </w:t>
      </w:r>
      <w:r>
        <w:rPr>
          <w:spacing w:val="-2"/>
        </w:rPr>
        <w:t>满足下列条件之一的金融资产，予以终止确认：①收取该金融资产现金流量的合同权利终止；②该金</w:t>
      </w:r>
    </w:p>
    <w:p>
      <w:pPr>
        <w:pStyle w:val="BodyText"/>
        <w:spacing w:line="273" w:lineRule="auto" w:before="22"/>
        <w:ind w:left="154" w:right="1131"/>
        <w:jc w:val="both"/>
      </w:pPr>
      <w:r>
        <w:rPr>
          <w:spacing w:val="-1"/>
        </w:rPr>
        <w:t>融资产已转移，且将金融资产所有权上几乎所有的风险和报酬转移给转入方；③该金融资产已转移，虽然</w:t>
      </w:r>
      <w:r>
        <w:rPr>
          <w:spacing w:val="-83"/>
        </w:rPr>
        <w:t> </w:t>
      </w:r>
      <w:r>
        <w:rPr>
          <w:spacing w:val="-83"/>
        </w:rPr>
      </w:r>
      <w:r>
        <w:rPr/>
        <w:t>企业既没有转移也没有保留金融资产所有权上几乎所有的风险和报酬，但是放弃了对该金融资产控制。</w:t>
      </w:r>
    </w:p>
    <w:p>
      <w:pPr>
        <w:pStyle w:val="BodyText"/>
        <w:spacing w:line="273" w:lineRule="auto"/>
        <w:ind w:right="1131" w:firstLine="480"/>
        <w:jc w:val="both"/>
      </w:pPr>
      <w:r>
        <w:rPr>
          <w:spacing w:val="-2"/>
        </w:rPr>
        <w:t>若企业既没有转移也没有保留金融资产所有权上几乎所有的风险和报酬，且未放弃对该金融资产的控</w:t>
      </w:r>
      <w:r>
        <w:rPr/>
        <w:t> </w:t>
      </w:r>
      <w:r>
        <w:rPr>
          <w:spacing w:val="-1"/>
        </w:rPr>
        <w:t>制的，则按照继续涉入所转移金融资产的程度确认有关金融资产，并相应确认有关负债。继续涉入所转移</w:t>
      </w:r>
      <w:r>
        <w:rPr>
          <w:spacing w:val="-83"/>
        </w:rPr>
        <w:t> </w:t>
      </w:r>
      <w:r>
        <w:rPr>
          <w:spacing w:val="-83"/>
        </w:rPr>
      </w:r>
      <w:r>
        <w:rPr/>
        <w:t>金融资产的程度，是指该金融资产价值变动使企业面临的风险水平。</w:t>
      </w:r>
    </w:p>
    <w:p>
      <w:pPr>
        <w:pStyle w:val="BodyText"/>
        <w:spacing w:line="273" w:lineRule="auto"/>
        <w:ind w:right="1130" w:firstLine="480"/>
        <w:jc w:val="both"/>
      </w:pPr>
      <w:r>
        <w:rPr>
          <w:spacing w:val="-2"/>
        </w:rPr>
        <w:t>金融资产整体转移满足终止确认条件的，将所转移金融资产的账面价值及因转移而收到的对价与原计</w:t>
      </w:r>
      <w:r>
        <w:rPr/>
        <w:t> 入其他综合收益的公允价值变动累计额之和的差额计入当期损益。</w:t>
      </w:r>
    </w:p>
    <w:p>
      <w:pPr>
        <w:pStyle w:val="BodyText"/>
        <w:spacing w:line="273" w:lineRule="auto"/>
        <w:ind w:right="1132" w:firstLine="480"/>
        <w:jc w:val="both"/>
      </w:pPr>
      <w:r>
        <w:rPr>
          <w:spacing w:val="-2"/>
        </w:rPr>
        <w:t>金融资产部分转移满足终止确认条件的，将所转移金融资产的账面价值在终止确认及未终止确认部分</w:t>
      </w:r>
      <w:r>
        <w:rPr/>
        <w:t> </w:t>
      </w:r>
      <w:r>
        <w:rPr>
          <w:spacing w:val="-1"/>
        </w:rPr>
        <w:t>之间按其相对的公允价值进行分摊，并将因转移而收到的对价与应分摊至终止确认部分的原计入其他综合</w:t>
      </w:r>
      <w:r>
        <w:rPr>
          <w:spacing w:val="-81"/>
        </w:rPr>
        <w:t> </w:t>
      </w:r>
      <w:r>
        <w:rPr>
          <w:spacing w:val="-81"/>
        </w:rPr>
      </w:r>
      <w:r>
        <w:rPr/>
        <w:t>收益的公允价值变动累计额之和与分摊的前述账面金额之差额计入当期损益。</w:t>
      </w:r>
    </w:p>
    <w:p>
      <w:pPr>
        <w:pStyle w:val="BodyText"/>
        <w:spacing w:line="273" w:lineRule="auto"/>
        <w:ind w:right="1110" w:firstLine="480"/>
        <w:jc w:val="both"/>
      </w:pPr>
      <w:r>
        <w:rPr>
          <w:spacing w:val="-2"/>
        </w:rPr>
        <w:t>本公司对采用附追索权方式出售的金融资产，或将持有的金融资产背书转让，需确定该金融资产所有</w:t>
      </w:r>
      <w:r>
        <w:rPr/>
        <w:t> </w:t>
      </w:r>
      <w:r>
        <w:rPr>
          <w:spacing w:val="-1"/>
        </w:rPr>
        <w:t>权上几乎所有的风险和报酬是否已经转移。已将该金融资产所有权上几乎所有的风险和报酬转移给转入方</w:t>
      </w:r>
      <w:r>
        <w:rPr>
          <w:spacing w:val="-80"/>
        </w:rPr>
        <w:t> </w:t>
      </w:r>
      <w:r>
        <w:rPr>
          <w:spacing w:val="-80"/>
        </w:rPr>
      </w:r>
      <w:r>
        <w:rPr/>
        <w:t>的，终止确认该金融资产；保留了金融资产所有权上几乎所有的风险和报酬的，不终止确认该金融资产； </w:t>
      </w:r>
      <w:r>
        <w:rPr>
          <w:spacing w:val="-1"/>
        </w:rPr>
        <w:t>既没有转移也没有保留金融资产所有权上几乎所有的风险和报酬的，则继续判断企业是否对该资产保留了</w:t>
      </w:r>
      <w:r>
        <w:rPr>
          <w:spacing w:val="-81"/>
        </w:rPr>
        <w:t> </w:t>
      </w:r>
      <w:r>
        <w:rPr>
          <w:spacing w:val="-81"/>
        </w:rPr>
      </w:r>
      <w:r>
        <w:rPr/>
        <w:t>控制，并根据前面各段所述的原则进行会计处理。</w:t>
      </w:r>
    </w:p>
    <w:p>
      <w:pPr>
        <w:pStyle w:val="BodyText"/>
        <w:spacing w:line="256" w:lineRule="auto"/>
        <w:ind w:left="634" w:right="1120"/>
        <w:jc w:val="left"/>
      </w:pPr>
      <w:r>
        <w:rPr/>
        <w:t>（</w:t>
      </w:r>
      <w:r>
        <w:rPr>
          <w:rFonts w:ascii="Times New Roman" w:hAnsi="Times New Roman" w:cs="Times New Roman" w:eastAsia="Times New Roman" w:hint="default"/>
        </w:rPr>
        <w:t>5</w:t>
      </w:r>
      <w:r>
        <w:rPr/>
        <w:t>）金融负债的分类和计量 </w:t>
      </w:r>
      <w:r>
        <w:rPr>
          <w:spacing w:val="-2"/>
        </w:rPr>
        <w:t>金融负债在初始确认时划分为以公允价值计量且其变动计入当期损益的金融负债和其他金融负债。初</w:t>
      </w:r>
    </w:p>
    <w:p>
      <w:pPr>
        <w:spacing w:after="0" w:line="256"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0"/>
        <w:jc w:val="left"/>
      </w:pPr>
      <w:r>
        <w:rPr>
          <w:spacing w:val="-1"/>
        </w:rPr>
        <w:t>始确认金融负债，以公允价值计量。对于以公允价值计量且其变动计入当期损益的金融负债，相关的交易</w:t>
      </w:r>
      <w:r>
        <w:rPr>
          <w:spacing w:val="-83"/>
        </w:rPr>
        <w:t> </w:t>
      </w:r>
      <w:r>
        <w:rPr>
          <w:spacing w:val="-83"/>
        </w:rPr>
      </w:r>
      <w:r>
        <w:rPr/>
        <w:t>费用直接计入当期损益，对于其他金融负债，相关交易费用计入初始确认金额。</w:t>
      </w:r>
    </w:p>
    <w:p>
      <w:pPr>
        <w:pStyle w:val="BodyText"/>
        <w:spacing w:line="273" w:lineRule="auto"/>
        <w:ind w:left="633" w:right="0"/>
        <w:jc w:val="left"/>
      </w:pPr>
      <w:r>
        <w:rPr/>
        <w:t>①以公允价值计量且其变动计入当期损益的金融负债 </w:t>
      </w:r>
      <w:r>
        <w:rPr>
          <w:spacing w:val="2"/>
        </w:rPr>
        <w:t>分类为交易性金融负债和在初始确认时指定为以公允价值计量且其变动计入当期损益的金融负债的</w:t>
      </w:r>
    </w:p>
    <w:p>
      <w:pPr>
        <w:pStyle w:val="BodyText"/>
        <w:spacing w:line="273" w:lineRule="auto" w:before="8"/>
        <w:ind w:right="0"/>
        <w:jc w:val="left"/>
      </w:pPr>
      <w:r>
        <w:rPr>
          <w:spacing w:val="3"/>
        </w:rPr>
        <w:t>条件与分类为交易性金融资产和在初始确认时指定为以公允价值计量且其变动计入当期损益的金融资产</w:t>
      </w:r>
      <w:r>
        <w:rPr>
          <w:spacing w:val="-82"/>
        </w:rPr>
        <w:t> </w:t>
      </w:r>
      <w:r>
        <w:rPr>
          <w:spacing w:val="-82"/>
        </w:rPr>
      </w:r>
      <w:r>
        <w:rPr/>
        <w:t>的条件一致。</w:t>
      </w:r>
    </w:p>
    <w:p>
      <w:pPr>
        <w:pStyle w:val="BodyText"/>
        <w:spacing w:line="273" w:lineRule="auto"/>
        <w:ind w:right="1132" w:firstLine="480"/>
        <w:jc w:val="both"/>
      </w:pPr>
      <w:r>
        <w:rPr>
          <w:spacing w:val="-2"/>
        </w:rPr>
        <w:t>以公允价值计量且其变动计入当期损益的金融负债采用公允价值进行后续计量，公允价值的变动形成</w:t>
      </w:r>
      <w:r>
        <w:rPr/>
        <w:t> 的利得或损失以及与该等金融负债相关的股利和利息支出计入当期损益。</w:t>
      </w:r>
    </w:p>
    <w:p>
      <w:pPr>
        <w:pStyle w:val="BodyText"/>
        <w:spacing w:line="240" w:lineRule="auto"/>
        <w:ind w:left="633" w:right="0"/>
        <w:jc w:val="left"/>
      </w:pPr>
      <w:r>
        <w:rPr/>
        <w:t>②其他金融负债</w:t>
      </w:r>
    </w:p>
    <w:p>
      <w:pPr>
        <w:spacing w:line="259" w:lineRule="auto" w:before="25"/>
        <w:ind w:left="153" w:right="1132" w:firstLine="480"/>
        <w:jc w:val="both"/>
        <w:rPr>
          <w:rFonts w:ascii="宋体" w:hAnsi="宋体" w:cs="宋体" w:eastAsia="宋体" w:hint="default"/>
          <w:sz w:val="22"/>
          <w:szCs w:val="22"/>
        </w:rPr>
      </w:pPr>
      <w:r>
        <w:rPr>
          <w:rFonts w:ascii="宋体" w:hAnsi="宋体" w:cs="宋体" w:eastAsia="宋体" w:hint="default"/>
          <w:i/>
          <w:spacing w:val="-2"/>
          <w:w w:val="95"/>
          <w:sz w:val="22"/>
          <w:szCs w:val="22"/>
        </w:rPr>
        <w:t>与在活跃市场中没有报价、公允价值不能可靠计量的权益工具挂钩并须通过交付该权益工具结算的衍</w:t>
      </w:r>
      <w:r>
        <w:rPr>
          <w:rFonts w:ascii="宋体" w:hAnsi="宋体" w:cs="宋体" w:eastAsia="宋体" w:hint="default"/>
          <w:i/>
          <w:w w:val="95"/>
          <w:sz w:val="22"/>
          <w:szCs w:val="22"/>
        </w:rPr>
        <w:t> </w:t>
      </w:r>
      <w:r>
        <w:rPr>
          <w:rFonts w:ascii="宋体" w:hAnsi="宋体" w:cs="宋体" w:eastAsia="宋体" w:hint="default"/>
          <w:i/>
          <w:spacing w:val="-1"/>
          <w:w w:val="95"/>
          <w:sz w:val="22"/>
          <w:szCs w:val="22"/>
        </w:rPr>
        <w:t>生金融负债，按照成本进行后续计量。其他金融负债采用实际利率法，按摊余成本进行后续计量，终止确</w:t>
      </w:r>
      <w:r>
        <w:rPr>
          <w:rFonts w:ascii="宋体" w:hAnsi="宋体" w:cs="宋体" w:eastAsia="宋体" w:hint="default"/>
          <w:i/>
          <w:spacing w:val="-40"/>
          <w:w w:val="95"/>
          <w:sz w:val="22"/>
          <w:szCs w:val="22"/>
        </w:rPr>
        <w:t> </w:t>
      </w:r>
      <w:r>
        <w:rPr>
          <w:rFonts w:ascii="宋体" w:hAnsi="宋体" w:cs="宋体" w:eastAsia="宋体" w:hint="default"/>
          <w:i/>
          <w:spacing w:val="-40"/>
          <w:w w:val="95"/>
          <w:sz w:val="22"/>
          <w:szCs w:val="22"/>
        </w:rPr>
      </w:r>
      <w:r>
        <w:rPr>
          <w:rFonts w:ascii="宋体" w:hAnsi="宋体" w:cs="宋体" w:eastAsia="宋体" w:hint="default"/>
          <w:i/>
          <w:sz w:val="22"/>
          <w:szCs w:val="22"/>
        </w:rPr>
        <w:t>认或摊销产生的利得或损失计入当期损益。</w:t>
      </w:r>
      <w:r>
        <w:rPr>
          <w:rFonts w:ascii="宋体" w:hAnsi="宋体" w:cs="宋体" w:eastAsia="宋体" w:hint="default"/>
          <w:sz w:val="22"/>
          <w:szCs w:val="22"/>
        </w:rPr>
      </w:r>
    </w:p>
    <w:p>
      <w:pPr>
        <w:pStyle w:val="BodyText"/>
        <w:spacing w:line="273" w:lineRule="auto" w:before="18"/>
        <w:ind w:left="634" w:right="1120"/>
        <w:jc w:val="left"/>
      </w:pPr>
      <w:r>
        <w:rPr/>
        <w:t>③财务担保合同 </w:t>
      </w:r>
      <w:r>
        <w:rPr>
          <w:spacing w:val="-2"/>
        </w:rPr>
        <w:t>不属于指定为以公允价值计量且其变动计入当期损益的金融负债的财务担保合同，以公允价值进行初</w:t>
      </w:r>
    </w:p>
    <w:p>
      <w:pPr>
        <w:pStyle w:val="BodyText"/>
        <w:spacing w:line="256" w:lineRule="auto"/>
        <w:ind w:right="0"/>
        <w:jc w:val="left"/>
      </w:pPr>
      <w:r>
        <w:rPr>
          <w:spacing w:val="-1"/>
        </w:rPr>
        <w:t>始确认，在初始确认后按照《企业会计准则第</w:t>
      </w:r>
      <w:r>
        <w:rPr>
          <w:rFonts w:ascii="Times New Roman" w:hAnsi="Times New Roman" w:cs="Times New Roman" w:eastAsia="Times New Roman" w:hint="default"/>
          <w:spacing w:val="-1"/>
        </w:rPr>
        <w:t>13</w:t>
      </w:r>
      <w:r>
        <w:rPr>
          <w:spacing w:val="-1"/>
        </w:rPr>
        <w:t>号</w:t>
      </w:r>
      <w:r>
        <w:rPr>
          <w:rFonts w:ascii="Times New Roman" w:hAnsi="Times New Roman" w:cs="Times New Roman" w:eastAsia="Times New Roman" w:hint="default"/>
          <w:spacing w:val="-1"/>
        </w:rPr>
        <w:t>—</w:t>
      </w:r>
      <w:r>
        <w:rPr>
          <w:spacing w:val="-1"/>
        </w:rPr>
        <w:t>或有事项》确定的金额和初始确认金额扣除按照《企</w:t>
      </w:r>
      <w:r>
        <w:rPr>
          <w:spacing w:val="-86"/>
        </w:rPr>
        <w:t> </w:t>
      </w:r>
      <w:r>
        <w:rPr>
          <w:spacing w:val="-86"/>
        </w:rPr>
      </w:r>
      <w:r>
        <w:rPr/>
        <w:t>业会计准则第</w:t>
      </w:r>
      <w:r>
        <w:rPr>
          <w:rFonts w:ascii="Times New Roman" w:hAnsi="Times New Roman" w:cs="Times New Roman" w:eastAsia="Times New Roman" w:hint="default"/>
        </w:rPr>
        <w:t>14</w:t>
      </w:r>
      <w:r>
        <w:rPr/>
        <w:t>号</w:t>
      </w:r>
      <w:r>
        <w:rPr>
          <w:rFonts w:ascii="Times New Roman" w:hAnsi="Times New Roman" w:cs="Times New Roman" w:eastAsia="Times New Roman" w:hint="default"/>
        </w:rPr>
        <w:t>—</w:t>
      </w:r>
      <w:r>
        <w:rPr/>
        <w:t>收入》的原则确定的累计摊销额后的余额之中的较高者进行后续计量。</w:t>
      </w:r>
    </w:p>
    <w:p>
      <w:pPr>
        <w:pStyle w:val="BodyText"/>
        <w:spacing w:line="256" w:lineRule="auto" w:before="5"/>
        <w:ind w:left="633" w:right="0"/>
        <w:jc w:val="left"/>
      </w:pPr>
      <w:r>
        <w:rPr/>
        <w:t>（</w:t>
      </w:r>
      <w:r>
        <w:rPr>
          <w:rFonts w:ascii="Times New Roman" w:hAnsi="Times New Roman" w:cs="Times New Roman" w:eastAsia="Times New Roman" w:hint="default"/>
        </w:rPr>
        <w:t>6</w:t>
      </w:r>
      <w:r>
        <w:rPr/>
        <w:t>）金融负债的终止确认 </w:t>
      </w:r>
      <w:r>
        <w:rPr>
          <w:spacing w:val="-5"/>
        </w:rPr>
        <w:t>金融负债的现时义务全部或部分已经解除的，才能终止确认该金融负债或其一部分。本公司（债务人）</w:t>
      </w:r>
    </w:p>
    <w:p>
      <w:pPr>
        <w:pStyle w:val="BodyText"/>
        <w:spacing w:line="273" w:lineRule="auto" w:before="22"/>
        <w:ind w:right="0"/>
        <w:jc w:val="left"/>
      </w:pPr>
      <w:r>
        <w:rPr>
          <w:spacing w:val="-1"/>
        </w:rPr>
        <w:t>与债权人之间签订协议，以承担新金融负债方式替换现存金融负债，且新金融负债与现存金融负债的合同</w:t>
      </w:r>
      <w:r>
        <w:rPr>
          <w:spacing w:val="-81"/>
        </w:rPr>
        <w:t> </w:t>
      </w:r>
      <w:r>
        <w:rPr>
          <w:spacing w:val="-81"/>
        </w:rPr>
      </w:r>
      <w:r>
        <w:rPr/>
        <w:t>条款实质上不同的，终止确认现存金融负债，并同时确认新金融负债。</w:t>
      </w:r>
    </w:p>
    <w:p>
      <w:pPr>
        <w:pStyle w:val="BodyText"/>
        <w:spacing w:line="273" w:lineRule="auto"/>
        <w:ind w:right="1131" w:firstLine="480"/>
        <w:jc w:val="both"/>
      </w:pPr>
      <w:r>
        <w:rPr>
          <w:spacing w:val="-2"/>
        </w:rPr>
        <w:t>金融负债全部或部分终止确认的，将终止确认部分的账面价值与支付的对价（包括转出的非现金资产</w:t>
      </w:r>
      <w:r>
        <w:rPr/>
        <w:t> 或承担的新金融负债）之间的差额，计入当期损益。</w:t>
      </w:r>
    </w:p>
    <w:p>
      <w:pPr>
        <w:pStyle w:val="BodyText"/>
        <w:spacing w:line="256" w:lineRule="auto" w:before="8"/>
        <w:ind w:left="634" w:right="1120"/>
        <w:jc w:val="left"/>
      </w:pPr>
      <w:r>
        <w:rPr/>
        <w:t>（</w:t>
      </w:r>
      <w:r>
        <w:rPr>
          <w:rFonts w:ascii="Times New Roman" w:hAnsi="Times New Roman" w:cs="Times New Roman" w:eastAsia="Times New Roman" w:hint="default"/>
        </w:rPr>
        <w:t>7</w:t>
      </w:r>
      <w:r>
        <w:rPr/>
        <w:t>）衍生工具及嵌入衍生工具 </w:t>
      </w:r>
      <w:r>
        <w:rPr>
          <w:spacing w:val="-2"/>
        </w:rPr>
        <w:t>衍生工具于相关合同签署日以公允价值进行初始计量，并以公允价值进行后续计量。除指定为套期工</w:t>
      </w:r>
    </w:p>
    <w:p>
      <w:pPr>
        <w:pStyle w:val="BodyText"/>
        <w:spacing w:line="273" w:lineRule="auto" w:before="22"/>
        <w:ind w:left="154" w:right="0"/>
        <w:jc w:val="left"/>
      </w:pPr>
      <w:r>
        <w:rPr>
          <w:spacing w:val="-1"/>
        </w:rPr>
        <w:t>具且套期高度有效的衍生工具，其公允价值变动形成的利得或损失将根据套期关系的性质按照套期会计的</w:t>
      </w:r>
      <w:r>
        <w:rPr>
          <w:spacing w:val="-81"/>
        </w:rPr>
        <w:t> </w:t>
      </w:r>
      <w:r>
        <w:rPr>
          <w:spacing w:val="-81"/>
        </w:rPr>
      </w:r>
      <w:r>
        <w:rPr/>
        <w:t>要求确定计入损益的期间外，其余衍生工具的公允价值变动计入当期损益。</w:t>
      </w:r>
    </w:p>
    <w:p>
      <w:pPr>
        <w:pStyle w:val="BodyText"/>
        <w:spacing w:line="273" w:lineRule="auto"/>
        <w:ind w:right="1110" w:firstLine="480"/>
        <w:jc w:val="both"/>
      </w:pPr>
      <w:r>
        <w:rPr>
          <w:spacing w:val="-2"/>
        </w:rPr>
        <w:t>对包含嵌入衍生工具的混合工具，如未指定为以公允价值计量且其变动计入当期损益的金融资产或金</w:t>
      </w:r>
      <w:r>
        <w:rPr/>
        <w:t> 融负债，嵌入衍生工具与该主合同在经济特征及风险方面不存在紧密关系，且与嵌入衍生工具条件相同， 单独存在的工具符合衍生工具定义的，嵌入衍生工具从混合工具中分拆，作为单独的衍生金融工具处理。 </w:t>
      </w:r>
      <w:r>
        <w:rPr>
          <w:spacing w:val="-1"/>
        </w:rPr>
        <w:t>如果无法在取得时或后续的资产负债表日对嵌入衍生工具进行单独计量，则将混合工具整体指定为以公允</w:t>
      </w:r>
      <w:r>
        <w:rPr>
          <w:spacing w:val="-81"/>
        </w:rPr>
        <w:t> </w:t>
      </w:r>
      <w:r>
        <w:rPr>
          <w:spacing w:val="-81"/>
        </w:rPr>
      </w:r>
      <w:r>
        <w:rPr/>
        <w:t>价值计量且其变动计入当期损益的金融资产或金融负债。</w:t>
      </w:r>
    </w:p>
    <w:p>
      <w:pPr>
        <w:pStyle w:val="BodyText"/>
        <w:spacing w:line="256" w:lineRule="auto"/>
        <w:ind w:left="634" w:right="1120"/>
        <w:jc w:val="left"/>
      </w:pPr>
      <w:r>
        <w:rPr/>
        <w:t>（</w:t>
      </w:r>
      <w:r>
        <w:rPr>
          <w:rFonts w:ascii="Times New Roman" w:hAnsi="Times New Roman" w:cs="Times New Roman" w:eastAsia="Times New Roman" w:hint="default"/>
        </w:rPr>
        <w:t>8</w:t>
      </w:r>
      <w:r>
        <w:rPr/>
        <w:t>）金融资产和金融负债的抵销 </w:t>
      </w:r>
      <w:r>
        <w:rPr>
          <w:spacing w:val="-2"/>
        </w:rPr>
        <w:t>当本公司具有抵销已确认金融资产和金融负债的法定权利，且目前可执行该种法定权利，同时本公司</w:t>
      </w:r>
    </w:p>
    <w:p>
      <w:pPr>
        <w:pStyle w:val="BodyText"/>
        <w:spacing w:line="273" w:lineRule="auto" w:before="22"/>
        <w:ind w:left="154" w:right="0"/>
        <w:jc w:val="left"/>
      </w:pPr>
      <w:r>
        <w:rPr>
          <w:spacing w:val="-1"/>
        </w:rPr>
        <w:t>计划以净额结算或同时变现该金融资产和清偿该金融负债时，金融资产和金融负债以相互抵销后的金额在</w:t>
      </w:r>
      <w:r>
        <w:rPr>
          <w:spacing w:val="-81"/>
        </w:rPr>
        <w:t> </w:t>
      </w:r>
      <w:r>
        <w:rPr>
          <w:spacing w:val="-81"/>
        </w:rPr>
      </w:r>
      <w:r>
        <w:rPr/>
        <w:t>资产负债表内列示。除此以外，金融资产和金融负债在资产负债表内分别列示，不予相互抵销。</w:t>
      </w:r>
    </w:p>
    <w:p>
      <w:pPr>
        <w:pStyle w:val="BodyText"/>
        <w:spacing w:line="256" w:lineRule="auto"/>
        <w:ind w:left="633" w:right="1121"/>
        <w:jc w:val="left"/>
      </w:pPr>
      <w:r>
        <w:rPr/>
        <w:t>（</w:t>
      </w:r>
      <w:r>
        <w:rPr>
          <w:rFonts w:ascii="Times New Roman" w:hAnsi="Times New Roman" w:cs="Times New Roman" w:eastAsia="Times New Roman" w:hint="default"/>
        </w:rPr>
        <w:t>9</w:t>
      </w:r>
      <w:r>
        <w:rPr/>
        <w:t>）权益工具 </w:t>
      </w:r>
      <w:r>
        <w:rPr>
          <w:spacing w:val="-2"/>
        </w:rPr>
        <w:t>权益工具是指能证明拥有本公司在扣除所有负债后的资产中的剩余权益的合同。本公司发行（含再融</w:t>
      </w:r>
    </w:p>
    <w:p>
      <w:pPr>
        <w:pStyle w:val="BodyText"/>
        <w:spacing w:line="273" w:lineRule="auto" w:before="22"/>
        <w:ind w:right="0"/>
        <w:jc w:val="left"/>
      </w:pPr>
      <w:r>
        <w:rPr>
          <w:spacing w:val="-1"/>
        </w:rPr>
        <w:t>资）、回购、出售或注销权益工具作为权益的变动处理。本公司不确认权益工具的公允价值变动。与权益</w:t>
      </w:r>
      <w:r>
        <w:rPr>
          <w:spacing w:val="-83"/>
        </w:rPr>
        <w:t> </w:t>
      </w:r>
      <w:r>
        <w:rPr>
          <w:spacing w:val="-83"/>
        </w:rPr>
      </w:r>
      <w:r>
        <w:rPr/>
        <w:t>性交易相关的交易费用从权益中扣减。</w:t>
      </w:r>
    </w:p>
    <w:p>
      <w:pPr>
        <w:pStyle w:val="BodyText"/>
        <w:spacing w:line="273" w:lineRule="auto"/>
        <w:ind w:right="1131" w:firstLine="480"/>
        <w:jc w:val="both"/>
      </w:pPr>
      <w:r>
        <w:rPr>
          <w:spacing w:val="-2"/>
        </w:rPr>
        <w:t>本公司对权益工具持有方的各种分配（不包括股票股利），减少股东权益。本公司不确认权益工具的</w:t>
      </w:r>
      <w:r>
        <w:rPr/>
        <w:t> 公允价值变动额。</w:t>
      </w:r>
    </w:p>
    <w:p>
      <w:pPr>
        <w:spacing w:after="0" w:line="273" w:lineRule="auto"/>
        <w:jc w:val="both"/>
        <w:sectPr>
          <w:footerReference w:type="default" r:id="rId17"/>
          <w:pgSz w:w="11910" w:h="16840"/>
          <w:pgMar w:footer="979" w:header="747"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11、应收款项" w:id="175"/>
      <w:bookmarkEnd w:id="175"/>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1）单项金额重大并单独计提坏账准备的应收款项" w:id="176"/>
      <w:bookmarkEnd w:id="176"/>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本公司将金额为人民币</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万元以上的应收款项确认为单项金 额重大的应收款项。</w:t>
            </w:r>
          </w:p>
        </w:tc>
      </w:tr>
      <w:tr>
        <w:trPr>
          <w:trHeight w:val="1650"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8"/>
              <w:jc w:val="both"/>
              <w:rPr>
                <w:rFonts w:ascii="宋体" w:hAnsi="宋体" w:cs="宋体" w:eastAsia="宋体" w:hint="default"/>
                <w:sz w:val="18"/>
                <w:szCs w:val="18"/>
              </w:rPr>
            </w:pPr>
            <w:r>
              <w:rPr>
                <w:rFonts w:ascii="宋体" w:hAnsi="宋体" w:cs="宋体" w:eastAsia="宋体" w:hint="default"/>
                <w:sz w:val="18"/>
                <w:szCs w:val="18"/>
              </w:rPr>
              <w:t>本公司对单项金额重大的应收款项单独进行减值测试，单独 测试未发生减值的金融资产，包括在具有类似信用风险特征 的金融资产组合中进行减值测试。单项测试已确认减值损失 的应收款项，不再包括在具有类似信用风险特征的应收款项 组合中进行减值测试。</w:t>
            </w:r>
          </w:p>
        </w:tc>
      </w:tr>
    </w:tbl>
    <w:p>
      <w:pPr>
        <w:spacing w:line="240" w:lineRule="auto" w:before="2"/>
        <w:rPr>
          <w:rFonts w:ascii="宋体" w:hAnsi="宋体" w:cs="宋体" w:eastAsia="宋体" w:hint="default"/>
          <w:b/>
          <w:bCs/>
          <w:sz w:val="19"/>
          <w:szCs w:val="19"/>
        </w:rPr>
      </w:pPr>
    </w:p>
    <w:p>
      <w:pPr>
        <w:pStyle w:val="Heading4"/>
        <w:spacing w:line="240" w:lineRule="auto" w:before="35"/>
        <w:ind w:left="154" w:right="0"/>
        <w:jc w:val="left"/>
        <w:rPr>
          <w:b w:val="0"/>
          <w:bCs w:val="0"/>
        </w:rPr>
      </w:pPr>
      <w:bookmarkStart w:name="（2）按信用风险特征组合计提坏账准备的应收款项" w:id="177"/>
      <w:bookmarkEnd w:id="177"/>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7"/>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57" w:lineRule="auto" w:before="117"/>
        <w:ind w:left="154" w:right="7512" w:firstLine="0"/>
        <w:jc w:val="left"/>
        <w:rPr>
          <w:rFonts w:ascii="宋体" w:hAnsi="宋体" w:cs="宋体" w:eastAsia="宋体" w:hint="default"/>
          <w:sz w:val="18"/>
          <w:szCs w:val="18"/>
        </w:rPr>
      </w:pPr>
      <w:r>
        <w:rPr>
          <w:rFonts w:ascii="宋体" w:hAnsi="宋体" w:cs="宋体" w:eastAsia="宋体" w:hint="default"/>
          <w:sz w:val="18"/>
          <w:szCs w:val="18"/>
        </w:rPr>
        <w:t>□ 适用 √ 不适用 组合中，采用其他方法计提坏账准备的：</w:t>
      </w:r>
    </w:p>
    <w:p>
      <w:pPr>
        <w:spacing w:before="29"/>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pStyle w:val="Heading4"/>
        <w:spacing w:line="240" w:lineRule="auto"/>
        <w:ind w:left="154" w:right="0"/>
        <w:jc w:val="left"/>
        <w:rPr>
          <w:b w:val="0"/>
          <w:bCs w:val="0"/>
        </w:rPr>
      </w:pPr>
      <w:bookmarkStart w:name="（3）单项金额不重大但单独计提坏账准备的应收款项" w:id="178"/>
      <w:bookmarkEnd w:id="178"/>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4"/>
          <w:szCs w:val="14"/>
        </w:rPr>
      </w:pPr>
    </w:p>
    <w:p>
      <w:pPr>
        <w:spacing w:before="44"/>
        <w:ind w:left="0" w:right="1139" w:firstLine="0"/>
        <w:jc w:val="right"/>
        <w:rPr>
          <w:rFonts w:ascii="宋体" w:hAnsi="宋体" w:cs="宋体" w:eastAsia="宋体" w:hint="default"/>
          <w:sz w:val="18"/>
          <w:szCs w:val="18"/>
        </w:rPr>
      </w:pPr>
      <w:r>
        <w:rPr/>
        <w:pict>
          <v:shape style="position:absolute;margin-left:56.459999pt;margin-top:-31.988285pt;width:479.2pt;height:114.2pt;mso-position-horizontal-relative:page;mso-position-vertical-relative:paragraph;z-index:22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5"/>
                    <w:gridCol w:w="4784"/>
                  </w:tblGrid>
                  <w:tr>
                    <w:trPr>
                      <w:trHeight w:val="227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本公司对于单项金额虽不重大但具备以下特征的应收款项， 单独进行减值测试，有客观证据表明其发生了减值的，根据 </w:t>
                        </w:r>
                        <w:r>
                          <w:rPr>
                            <w:rFonts w:ascii="宋体" w:hAnsi="宋体" w:cs="宋体" w:eastAsia="宋体" w:hint="default"/>
                            <w:spacing w:val="-2"/>
                            <w:sz w:val="18"/>
                            <w:szCs w:val="18"/>
                          </w:rPr>
                          <w:t>其未来现金流量现值低于其账面价值的差额，确认减值损失</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计提坏账准备。单项金额虽不重大但单项计提坏账准备的应 收款项的特征：应收关联方款项；与对方存在争议或涉及诉 讼、仲裁的应收款项；已有明显迹象表明债务人很可能无法 履行还款义务的应收款项；等等。</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footerReference w:type="default" r:id="rId18"/>
          <w:pgSz w:w="11910" w:h="16840"/>
          <w:pgMar w:footer="979" w:header="747" w:top="1060" w:bottom="1160" w:left="980" w:right="0"/>
          <w:pgNumType w:start="101"/>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有客观证据表明其发生了减值的，根据其未来现金流量现值 低于其账面价值的差额，确认减值损失，计提坏账准备。</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12、存货" w:id="179"/>
      <w:bookmarkEnd w:id="179"/>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4"/>
          <w:szCs w:val="24"/>
        </w:rPr>
      </w:pPr>
    </w:p>
    <w:p>
      <w:pPr>
        <w:pStyle w:val="BodyText"/>
        <w:spacing w:line="256" w:lineRule="auto" w:before="0"/>
        <w:ind w:left="634" w:right="2922"/>
        <w:jc w:val="left"/>
      </w:pPr>
      <w:r>
        <w:rPr/>
        <w:t>（</w:t>
      </w:r>
      <w:r>
        <w:rPr>
          <w:rFonts w:ascii="Times New Roman" w:hAnsi="Times New Roman" w:cs="Times New Roman" w:eastAsia="Times New Roman" w:hint="default"/>
        </w:rPr>
        <w:t>1</w:t>
      </w:r>
      <w:r>
        <w:rPr/>
        <w:t>）存货的分类 存货主要包括原材料、在产品及自制半成品、周转材料、产成品、库存商品等。</w:t>
      </w:r>
    </w:p>
    <w:p>
      <w:pPr>
        <w:pStyle w:val="BodyText"/>
        <w:spacing w:line="256" w:lineRule="auto" w:before="22"/>
        <w:ind w:left="633" w:right="1121"/>
        <w:jc w:val="left"/>
      </w:pPr>
      <w:r>
        <w:rPr/>
        <w:t>（</w:t>
      </w:r>
      <w:r>
        <w:rPr>
          <w:rFonts w:ascii="Times New Roman" w:hAnsi="Times New Roman" w:cs="Times New Roman" w:eastAsia="Times New Roman" w:hint="default"/>
        </w:rPr>
        <w:t>2</w:t>
      </w:r>
      <w:r>
        <w:rPr/>
        <w:t>）存货取得和发出的计价方法 </w:t>
      </w:r>
      <w:r>
        <w:rPr>
          <w:spacing w:val="-2"/>
        </w:rPr>
        <w:t>存货在取得时按实际成本计价，存货成本包括采购成本、加工成本和其他成本。领用和发出时按加权</w:t>
      </w:r>
    </w:p>
    <w:p>
      <w:pPr>
        <w:pStyle w:val="BodyText"/>
        <w:spacing w:line="240" w:lineRule="auto" w:before="22"/>
        <w:ind w:right="0"/>
        <w:jc w:val="left"/>
      </w:pPr>
      <w:r>
        <w:rPr/>
        <w:t>平均法计价。</w:t>
      </w:r>
    </w:p>
    <w:p>
      <w:pPr>
        <w:pStyle w:val="BodyText"/>
        <w:spacing w:line="256" w:lineRule="auto" w:before="37"/>
        <w:ind w:left="633" w:right="1121"/>
        <w:jc w:val="left"/>
      </w:pPr>
      <w:r>
        <w:rPr/>
        <w:t>（</w:t>
      </w:r>
      <w:r>
        <w:rPr>
          <w:rFonts w:ascii="Times New Roman" w:hAnsi="Times New Roman" w:cs="Times New Roman" w:eastAsia="Times New Roman" w:hint="default"/>
        </w:rPr>
        <w:t>3</w:t>
      </w:r>
      <w:r>
        <w:rPr/>
        <w:t>）存货可变现净值的确认和跌价准备的计提方法 </w:t>
      </w:r>
      <w:r>
        <w:rPr>
          <w:spacing w:val="-2"/>
        </w:rPr>
        <w:t>可变现净值是指在日常活动中，存货的估计售价减去至完工时估计将要发生的成本、估计的销售费用</w:t>
      </w:r>
    </w:p>
    <w:p>
      <w:pPr>
        <w:pStyle w:val="BodyText"/>
        <w:spacing w:line="273" w:lineRule="auto" w:before="22"/>
        <w:ind w:right="0"/>
        <w:jc w:val="left"/>
      </w:pPr>
      <w:r>
        <w:rPr>
          <w:spacing w:val="-1"/>
        </w:rPr>
        <w:t>以及相关税费后的金额。在确定存货的可变现净值时，以取得的确凿证据为基础，同时考虑持有存货的目</w:t>
      </w:r>
      <w:r>
        <w:rPr>
          <w:spacing w:val="-83"/>
        </w:rPr>
        <w:t> </w:t>
      </w:r>
      <w:r>
        <w:rPr>
          <w:spacing w:val="-83"/>
        </w:rPr>
      </w:r>
      <w:r>
        <w:rPr/>
        <w:t>的以及资产负债表日后事项的影响。</w:t>
      </w:r>
    </w:p>
    <w:p>
      <w:pPr>
        <w:pStyle w:val="BodyText"/>
        <w:spacing w:line="273" w:lineRule="auto"/>
        <w:ind w:right="1121" w:firstLine="480"/>
        <w:jc w:val="left"/>
      </w:pPr>
      <w:r>
        <w:rPr>
          <w:spacing w:val="-2"/>
        </w:rPr>
        <w:t>在资产负债表日，存货按照成本与可变现净值孰低计量。当其可变现净值低于成本时，提取存货跌价</w:t>
      </w:r>
      <w:r>
        <w:rPr/>
        <w:t> 准备。存货跌价准备按单个存货项目的成本高于其可变现净值的差额提取。</w:t>
      </w:r>
    </w:p>
    <w:p>
      <w:pPr>
        <w:pStyle w:val="BodyText"/>
        <w:spacing w:line="273" w:lineRule="auto"/>
        <w:ind w:right="1121" w:firstLine="480"/>
        <w:jc w:val="left"/>
      </w:pPr>
      <w:r>
        <w:rPr>
          <w:spacing w:val="-2"/>
        </w:rPr>
        <w:t>计提存货跌价准备后，如果以前减记存货价值的影响因素已经消失，导致存货的可变现净值高于其账</w:t>
      </w:r>
      <w:r>
        <w:rPr/>
        <w:t> 面价值的，在原已计提的存货跌价准备金额内予以转回，转回的金额计入当期损益。</w:t>
      </w:r>
    </w:p>
    <w:p>
      <w:pPr>
        <w:pStyle w:val="BodyText"/>
        <w:spacing w:line="240" w:lineRule="auto"/>
        <w:ind w:left="633" w:right="0"/>
        <w:jc w:val="left"/>
      </w:pPr>
      <w:r>
        <w:rPr/>
        <w:t>（</w:t>
      </w:r>
      <w:r>
        <w:rPr>
          <w:rFonts w:ascii="Times New Roman" w:hAnsi="Times New Roman" w:cs="Times New Roman" w:eastAsia="Times New Roman" w:hint="default"/>
        </w:rPr>
        <w:t>4</w:t>
      </w:r>
      <w:r>
        <w:rPr/>
        <w:t>）存货的盘存制度为永续盘存制。</w:t>
      </w:r>
    </w:p>
    <w:p>
      <w:pPr>
        <w:pStyle w:val="BodyText"/>
        <w:spacing w:line="256" w:lineRule="auto" w:before="21"/>
        <w:ind w:right="3613" w:firstLine="480"/>
        <w:jc w:val="left"/>
      </w:pPr>
      <w:r>
        <w:rPr/>
        <w:t>（</w:t>
      </w:r>
      <w:r>
        <w:rPr>
          <w:rFonts w:ascii="Times New Roman" w:hAnsi="Times New Roman" w:cs="Times New Roman" w:eastAsia="Times New Roman" w:hint="default"/>
        </w:rPr>
        <w:t>5</w:t>
      </w:r>
      <w:r>
        <w:rPr/>
        <w:t>）低值易耗品和包装物的摊销方法 低值易耗品于领用时按一次摊销法摊销；包装物于领用时按一次摊销法摊销。</w:t>
      </w:r>
    </w:p>
    <w:p>
      <w:pPr>
        <w:spacing w:line="240" w:lineRule="auto" w:before="10"/>
        <w:rPr>
          <w:rFonts w:ascii="宋体" w:hAnsi="宋体" w:cs="宋体" w:eastAsia="宋体" w:hint="default"/>
          <w:sz w:val="25"/>
          <w:szCs w:val="25"/>
        </w:rPr>
      </w:pPr>
    </w:p>
    <w:p>
      <w:pPr>
        <w:spacing w:line="590" w:lineRule="atLeast" w:before="0"/>
        <w:ind w:left="633" w:right="1121" w:hanging="480"/>
        <w:jc w:val="left"/>
        <w:rPr>
          <w:rFonts w:ascii="宋体" w:hAnsi="宋体" w:cs="宋体" w:eastAsia="宋体" w:hint="default"/>
          <w:sz w:val="21"/>
          <w:szCs w:val="21"/>
        </w:rPr>
      </w:pPr>
      <w:bookmarkStart w:name="13、划分为持有待售资产" w:id="180"/>
      <w:bookmarkEnd w:id="180"/>
      <w:r>
        <w:rPr/>
      </w: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、划分为持有待售资产</w:t>
      </w:r>
      <w:r>
        <w:rPr>
          <w:rFonts w:ascii="宋体" w:hAnsi="宋体" w:cs="宋体" w:eastAsia="宋体" w:hint="default"/>
          <w:b/>
          <w:bCs/>
          <w:w w:val="99"/>
          <w:sz w:val="21"/>
          <w:szCs w:val="21"/>
        </w:rPr>
        <w:t> </w:t>
      </w:r>
      <w:r>
        <w:rPr>
          <w:rFonts w:ascii="宋体" w:hAnsi="宋体" w:cs="宋体" w:eastAsia="宋体" w:hint="default"/>
          <w:spacing w:val="-2"/>
          <w:sz w:val="21"/>
          <w:szCs w:val="21"/>
        </w:rPr>
        <w:t>若某项非流动资产在其当前状况下仅根据出售此类资产的惯常条款即可立即出售，本公司已就处置该</w:t>
      </w:r>
    </w:p>
    <w:p>
      <w:pPr>
        <w:pStyle w:val="BodyText"/>
        <w:spacing w:line="268" w:lineRule="auto" w:before="37"/>
        <w:ind w:right="1027"/>
        <w:jc w:val="both"/>
      </w:pPr>
      <w:r>
        <w:rPr/>
        <w:t>项非流动资产作出决议，已经与受让方签订了不可撤销的转让协议，且该项转让将在一年内完成，则该非 流动资产作为持有待售非流动资产核算，自划分为持有待售之日起不计提折旧或进行摊销，按照账面价值 与公允价值减去处置费用后的净额孰低计量。持有待售的非流动资产包括单项资产和处置组。如果处置组 是一个《企业会计准则第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资产减值》所定义的资产组，并且按照该准则的规定将企业合并中取得</w:t>
      </w:r>
      <w:r>
        <w:rPr>
          <w:spacing w:val="-33"/>
        </w:rPr>
        <w:t> </w:t>
      </w:r>
      <w:r>
        <w:rPr>
          <w:spacing w:val="-33"/>
        </w:rPr>
      </w:r>
      <w:r>
        <w:rPr>
          <w:spacing w:val="-3"/>
        </w:rPr>
        <w:t>的商誉分摊至该资产组，或者该处置组是资产组中的一项经营，则该处置组包括企业合并中所形成的商誉。</w:t>
      </w:r>
    </w:p>
    <w:p>
      <w:pPr>
        <w:pStyle w:val="BodyText"/>
        <w:spacing w:line="273" w:lineRule="auto" w:before="12"/>
        <w:ind w:left="154" w:right="1120" w:firstLine="480"/>
        <w:jc w:val="left"/>
      </w:pPr>
      <w:r>
        <w:rPr>
          <w:spacing w:val="-2"/>
        </w:rPr>
        <w:t>被划分为持有待售的单项非流动资产和处置组中的资产，在资产负债表的流动资产部分单独列报；被</w:t>
      </w:r>
      <w:r>
        <w:rPr/>
        <w:t> 划分为持有待售的处置组中的与转让资产相关的负债，在资产负债表的流动负债部分单独列报。</w:t>
      </w:r>
    </w:p>
    <w:p>
      <w:pPr>
        <w:pStyle w:val="BodyText"/>
        <w:spacing w:line="266" w:lineRule="auto"/>
        <w:ind w:right="1278" w:firstLine="480"/>
        <w:jc w:val="both"/>
      </w:pPr>
      <w:r>
        <w:rPr>
          <w:spacing w:val="-1"/>
        </w:rPr>
        <w:t>某项资产或处置组被划归为持有待售，但后来不再满足持有待售的非流动资产的确认条件，本公司</w:t>
      </w:r>
      <w:r>
        <w:rPr/>
        <w:t> </w:t>
      </w:r>
      <w:r>
        <w:rPr>
          <w:spacing w:val="-2"/>
        </w:rPr>
        <w:t>停止将其划归为持有待售，并按照下列两项金额中较低者进行计量：（</w:t>
      </w:r>
      <w:r>
        <w:rPr>
          <w:rFonts w:ascii="Times New Roman" w:hAnsi="Times New Roman" w:cs="Times New Roman" w:eastAsia="Times New Roman" w:hint="default"/>
          <w:spacing w:val="-2"/>
        </w:rPr>
        <w:t>1</w:t>
      </w:r>
      <w:r>
        <w:rPr>
          <w:spacing w:val="-2"/>
        </w:rPr>
        <w:t>）该资产或处置组被划归为持有</w:t>
      </w:r>
      <w:r>
        <w:rPr>
          <w:spacing w:val="-81"/>
        </w:rPr>
        <w:t> </w:t>
      </w:r>
      <w:r>
        <w:rPr>
          <w:spacing w:val="-81"/>
        </w:rPr>
      </w:r>
      <w:r>
        <w:rPr/>
        <w:t>待售之前的账面价值，按照其假定在没有被划归为持有待售的情况下原应确认的折旧、摊销或减值进行</w:t>
      </w:r>
      <w:r>
        <w:rPr>
          <w:spacing w:val="-70"/>
        </w:rPr>
        <w:t> </w:t>
      </w:r>
      <w:r>
        <w:rPr>
          <w:spacing w:val="-70"/>
        </w:rPr>
      </w:r>
      <w:r>
        <w:rPr/>
        <w:t>调整后的金额；（</w:t>
      </w:r>
      <w:r>
        <w:rPr>
          <w:rFonts w:ascii="Times New Roman" w:hAnsi="Times New Roman" w:cs="Times New Roman" w:eastAsia="Times New Roman" w:hint="default"/>
        </w:rPr>
        <w:t>2</w:t>
      </w:r>
      <w:r>
        <w:rPr/>
        <w:t>）决定不再出售之日的可收回金额。</w:t>
      </w:r>
    </w:p>
    <w:p>
      <w:pPr>
        <w:spacing w:line="240" w:lineRule="auto" w:before="9"/>
        <w:rPr>
          <w:rFonts w:ascii="宋体" w:hAnsi="宋体" w:cs="宋体" w:eastAsia="宋体" w:hint="default"/>
          <w:sz w:val="23"/>
          <w:szCs w:val="23"/>
        </w:rPr>
      </w:pPr>
    </w:p>
    <w:p>
      <w:pPr>
        <w:pStyle w:val="BodyText"/>
        <w:spacing w:line="590" w:lineRule="atLeast" w:before="0"/>
        <w:ind w:left="634" w:right="0" w:hanging="480"/>
        <w:jc w:val="left"/>
      </w:pPr>
      <w:bookmarkStart w:name="14、长期股权投资" w:id="181"/>
      <w:bookmarkEnd w:id="181"/>
      <w:r>
        <w:rPr/>
      </w:r>
      <w:r>
        <w:rPr>
          <w:rFonts w:ascii="Times New Roman" w:hAnsi="Times New Roman" w:cs="Times New Roman" w:eastAsia="Times New Roman" w:hint="default"/>
          <w:b/>
          <w:bCs/>
        </w:rPr>
        <w:t>14</w:t>
      </w:r>
      <w:r>
        <w:rPr>
          <w:rFonts w:ascii="宋体" w:hAnsi="宋体" w:cs="宋体" w:eastAsia="宋体" w:hint="default"/>
          <w:b/>
          <w:bCs/>
        </w:rPr>
        <w:t>、长期股权投资</w:t>
      </w:r>
      <w:r>
        <w:rPr>
          <w:rFonts w:ascii="宋体" w:hAnsi="宋体" w:cs="宋体" w:eastAsia="宋体" w:hint="default"/>
          <w:b/>
          <w:bCs/>
          <w:w w:val="99"/>
        </w:rPr>
        <w:t> </w:t>
      </w:r>
      <w:r>
        <w:rPr>
          <w:spacing w:val="2"/>
        </w:rPr>
        <w:t>本部分所指的长期股权投资是指本公司对被投资单位具有控制、共同控制或重大影响的长期股权投</w:t>
      </w:r>
    </w:p>
    <w:p>
      <w:pPr>
        <w:pStyle w:val="BodyText"/>
        <w:spacing w:line="273" w:lineRule="auto" w:before="37"/>
        <w:ind w:left="154" w:right="0"/>
        <w:jc w:val="left"/>
      </w:pPr>
      <w:r>
        <w:rPr>
          <w:spacing w:val="-1"/>
        </w:rPr>
        <w:t>资。本公司对被投资单位不具有控制、共同控制或重大影响的长期股权投资，作为可供出售金融资产或以</w:t>
      </w:r>
      <w:r>
        <w:rPr>
          <w:spacing w:val="-83"/>
        </w:rPr>
        <w:t> </w:t>
      </w:r>
      <w:r>
        <w:rPr>
          <w:spacing w:val="-83"/>
        </w:rPr>
      </w:r>
      <w:r>
        <w:rPr/>
        <w:t>公允价值计量且其变动计入当期损益的金融资产核算，其会计政策详见附注四、</w:t>
      </w:r>
      <w:r>
        <w:rPr>
          <w:rFonts w:ascii="Times New Roman" w:hAnsi="Times New Roman" w:cs="Times New Roman" w:eastAsia="Times New Roman" w:hint="default"/>
        </w:rPr>
        <w:t>9“</w:t>
      </w:r>
      <w:r>
        <w:rPr/>
        <w:t>金融工具</w:t>
      </w:r>
      <w:r>
        <w:rPr>
          <w:rFonts w:ascii="Times New Roman" w:hAnsi="Times New Roman" w:cs="Times New Roman" w:eastAsia="Times New Roman" w:hint="default"/>
        </w:rPr>
        <w:t>”</w:t>
      </w:r>
      <w:r>
        <w:rPr/>
        <w:t>。</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31" w:firstLine="480"/>
        <w:jc w:val="both"/>
      </w:pPr>
      <w:r>
        <w:rPr>
          <w:spacing w:val="-2"/>
        </w:rPr>
        <w:t>共同控制，是指本公司按照相关约定对某项安排所共有的控制，并且该安排的相关活动必须经过分享</w:t>
      </w:r>
      <w:r>
        <w:rPr/>
        <w:t> </w:t>
      </w:r>
      <w:r>
        <w:rPr>
          <w:spacing w:val="-1"/>
        </w:rPr>
        <w:t>控制权的参与方一致同意后才能决策。重大影响，是指本公司对被投资单位的财务和经营政策有参与决策</w:t>
      </w:r>
      <w:r>
        <w:rPr>
          <w:spacing w:val="-81"/>
        </w:rPr>
        <w:t> </w:t>
      </w:r>
      <w:r>
        <w:rPr>
          <w:spacing w:val="-81"/>
        </w:rPr>
      </w:r>
      <w:r>
        <w:rPr/>
        <w:t>的权力，但并不能够控制或者与其他方一起共同控制这些政策的制定。</w:t>
      </w:r>
    </w:p>
    <w:p>
      <w:pPr>
        <w:pStyle w:val="BodyText"/>
        <w:spacing w:line="256" w:lineRule="auto"/>
        <w:ind w:left="633" w:right="1121"/>
        <w:jc w:val="left"/>
      </w:pPr>
      <w:r>
        <w:rPr/>
        <w:t>（</w:t>
      </w:r>
      <w:r>
        <w:rPr>
          <w:rFonts w:ascii="Times New Roman" w:hAnsi="Times New Roman" w:cs="Times New Roman" w:eastAsia="Times New Roman" w:hint="default"/>
        </w:rPr>
        <w:t>1</w:t>
      </w:r>
      <w:r>
        <w:rPr/>
        <w:t>）投资成本的确定 </w:t>
      </w:r>
      <w:r>
        <w:rPr>
          <w:spacing w:val="-2"/>
        </w:rPr>
        <w:t>对于同一控制下的企业合并取得的长期股权投资，在合并日按照被合并方股东权益在最终控制方合并</w:t>
      </w:r>
    </w:p>
    <w:p>
      <w:pPr>
        <w:pStyle w:val="BodyText"/>
        <w:spacing w:line="268" w:lineRule="auto" w:before="22"/>
        <w:ind w:right="1024"/>
        <w:jc w:val="left"/>
      </w:pPr>
      <w:r>
        <w:rPr/>
        <w:t>财务报表中的账面价值的份额作为长期股权投资的初始投资成本。长期股权投资初始投资成本与支付的现 金、转让的非现金资产以及所承担债务账面价值之间的差额，调整资本公积；资本公积不足冲减的，调整 留存收益。以发行权益性证券作为合并对价的，在合并日按照被合并方股东权益在最终控制方合并财务报 表中的账面价值的份额作为长期股权投资的初始投资成本，按照发行股份的面值总额作为股本，长期股权 投资初始投资成本与所发行股份面值总额之间的差额，调整资本公积；资本公积不足冲减的，调整留存收 益。通过多次交易分步取得同一控制下被合并方的股权，最终形成同一控制下企业合并的，应分别是否属 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进行处理：属于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的，将各项交易作为一项取得控制权的交易进行会计处理。</w:t>
      </w:r>
      <w:r>
        <w:rPr>
          <w:spacing w:val="-87"/>
        </w:rPr>
        <w:t> </w:t>
      </w:r>
      <w:r>
        <w:rPr>
          <w:spacing w:val="-87"/>
        </w:rPr>
      </w:r>
      <w:r>
        <w:rPr/>
        <w:t>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的，在合并日按照应享有被合并方股东权益在最终控制方合并财务报表中的账面价值 的份额作为长期股权投资的初始投资成本，长期股权投资初始投资成本与达到合并前的长期股权投资账面 </w:t>
      </w:r>
      <w:r>
        <w:rPr>
          <w:spacing w:val="-3"/>
        </w:rPr>
        <w:t>价值加上合并日进一步取得股份新支付对价的账面价值之和的差额，调整资本公积；资本公积不足冲减的，</w:t>
      </w:r>
      <w:r>
        <w:rPr>
          <w:spacing w:val="-92"/>
        </w:rPr>
        <w:t> </w:t>
      </w:r>
      <w:r>
        <w:rPr>
          <w:spacing w:val="-92"/>
        </w:rPr>
      </w:r>
      <w:r>
        <w:rPr/>
        <w:t>调整留存收益。合并日之前持有的股权投资因采用权益法核算或为可供出售金融资产而确认的其他综合收</w:t>
      </w:r>
      <w:r>
        <w:rPr/>
        <w:t> 益，暂不进行会计处理。</w:t>
      </w:r>
    </w:p>
    <w:p>
      <w:pPr>
        <w:pStyle w:val="BodyText"/>
        <w:spacing w:line="266" w:lineRule="auto" w:before="12"/>
        <w:ind w:right="1024" w:firstLine="480"/>
        <w:jc w:val="left"/>
      </w:pPr>
      <w:r>
        <w:rPr>
          <w:spacing w:val="-2"/>
        </w:rPr>
        <w:t>对于非同一控制下的企业合并取得的长期股权投资，在购买日按照合并成本作为长期股权投资的初始</w:t>
      </w:r>
      <w:r>
        <w:rPr/>
        <w:t> </w:t>
      </w:r>
      <w:r>
        <w:rPr>
          <w:spacing w:val="-3"/>
        </w:rPr>
        <w:t>投资成本，合并成本包括包括购买方付出的资产、发生或承担的负债、发行的权益性证券的公允价值之和。</w:t>
      </w:r>
      <w:r>
        <w:rPr>
          <w:spacing w:val="-90"/>
        </w:rPr>
        <w:t> </w:t>
      </w:r>
      <w:r>
        <w:rPr>
          <w:spacing w:val="-90"/>
        </w:rPr>
      </w:r>
      <w:r>
        <w:rPr>
          <w:spacing w:val="2"/>
        </w:rPr>
        <w:t>通过多次交易分步取得被购买方的股权，最终形成非同一控制下的企业合并的，应分别是否属于</w:t>
      </w:r>
      <w:r>
        <w:rPr>
          <w:rFonts w:ascii="Times New Roman" w:hAnsi="Times New Roman" w:cs="Times New Roman" w:eastAsia="Times New Roman" w:hint="default"/>
          <w:spacing w:val="2"/>
        </w:rPr>
        <w:t>“</w:t>
      </w:r>
      <w:r>
        <w:rPr>
          <w:spacing w:val="2"/>
        </w:rPr>
        <w:t>一揽子</w:t>
      </w:r>
      <w:r>
        <w:rPr>
          <w:spacing w:val="-103"/>
        </w:rPr>
        <w:t> </w:t>
      </w:r>
      <w:r>
        <w:rPr/>
        <w:t>交易</w:t>
      </w:r>
      <w:r>
        <w:rPr>
          <w:rFonts w:ascii="Times New Roman" w:hAnsi="Times New Roman" w:cs="Times New Roman" w:eastAsia="Times New Roman" w:hint="default"/>
        </w:rPr>
        <w:t>”</w:t>
      </w:r>
      <w:r>
        <w:rPr/>
        <w:t>进行处理：属于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的，将各项交易作为一项取得控制权的交易进行会计处理。不属于</w:t>
      </w:r>
      <w:r>
        <w:rPr>
          <w:rFonts w:ascii="Times New Roman" w:hAnsi="Times New Roman" w:cs="Times New Roman" w:eastAsia="Times New Roman" w:hint="default"/>
        </w:rPr>
        <w:t>“</w:t>
      </w:r>
      <w:r>
        <w:rPr/>
        <w:t>一</w:t>
      </w:r>
      <w:r>
        <w:rPr>
          <w:spacing w:val="-85"/>
        </w:rPr>
        <w:t> </w:t>
      </w:r>
      <w:r>
        <w:rPr/>
        <w:t>揽子交易</w:t>
      </w:r>
      <w:r>
        <w:rPr>
          <w:rFonts w:ascii="Times New Roman" w:hAnsi="Times New Roman" w:cs="Times New Roman" w:eastAsia="Times New Roman" w:hint="default"/>
        </w:rPr>
        <w:t>”</w:t>
      </w:r>
      <w:r>
        <w:rPr/>
        <w:t>的，按照原持有被购买方的股权投资账面价值加上新增投资成本之和，作为改按成本法核算的</w:t>
      </w:r>
      <w:r>
        <w:rPr>
          <w:spacing w:val="-25"/>
        </w:rPr>
        <w:t> </w:t>
      </w:r>
      <w:r>
        <w:rPr>
          <w:spacing w:val="-25"/>
        </w:rPr>
      </w:r>
      <w:r>
        <w:rPr/>
        <w:t>长期股权投资的初始投资成本。原持有的股权采用权益法核算的，相关其他综合收益暂不进行会计处理。 原持有股权投资为可供出售金融资产的，其公允价值与账面价值之间的差额，以及原计入其他综合收益的</w:t>
      </w:r>
      <w:r>
        <w:rPr/>
        <w:t> 累计公允价值变动转入当期损益。</w:t>
      </w:r>
    </w:p>
    <w:p>
      <w:pPr>
        <w:pStyle w:val="BodyText"/>
        <w:spacing w:line="273" w:lineRule="auto" w:before="14"/>
        <w:ind w:right="1132" w:firstLine="480"/>
        <w:jc w:val="both"/>
      </w:pPr>
      <w:r>
        <w:rPr>
          <w:spacing w:val="-2"/>
        </w:rPr>
        <w:t>合并方或购买方为企业合并发生的审计、法律服务、评估咨询等中介费用以及其他相关管理费用，于</w:t>
      </w:r>
      <w:r>
        <w:rPr/>
        <w:t> 发生时计入当期损益。</w:t>
      </w:r>
    </w:p>
    <w:p>
      <w:pPr>
        <w:pStyle w:val="BodyText"/>
        <w:spacing w:line="271" w:lineRule="auto"/>
        <w:ind w:right="1110" w:firstLine="480"/>
        <w:jc w:val="both"/>
      </w:pPr>
      <w:r>
        <w:rPr>
          <w:spacing w:val="-2"/>
        </w:rPr>
        <w:t>除企业合并形成的长期股权投资外的其他股权投资，按成本进行初始计量，该成本视长期股权投资取</w:t>
      </w:r>
      <w:r>
        <w:rPr/>
        <w:t> </w:t>
      </w:r>
      <w:r>
        <w:rPr>
          <w:spacing w:val="-1"/>
        </w:rPr>
        <w:t>得方式的不同，分别按照本公司实际支付的现金购买价款、本公司发行的权益性证券的公允价值、投资合</w:t>
      </w:r>
      <w:r>
        <w:rPr>
          <w:spacing w:val="-83"/>
        </w:rPr>
        <w:t> </w:t>
      </w:r>
      <w:r>
        <w:rPr>
          <w:spacing w:val="-83"/>
        </w:rPr>
      </w:r>
      <w:r>
        <w:rPr>
          <w:spacing w:val="-1"/>
        </w:rPr>
        <w:t>同或协议约定的价值、非货币性资产交换交易中换出资产的公允价值或原账面价值、该项长期股权投资自</w:t>
      </w:r>
      <w:r>
        <w:rPr>
          <w:spacing w:val="-81"/>
        </w:rPr>
        <w:t> </w:t>
      </w:r>
      <w:r>
        <w:rPr>
          <w:spacing w:val="-81"/>
        </w:rPr>
      </w:r>
      <w:r>
        <w:rPr/>
        <w:t>身的公允价值等方式确定。与取得长期股权投资直接相关的费用、税金及其他必要支出也计入投资成本。 </w:t>
      </w:r>
      <w:r>
        <w:rPr>
          <w:spacing w:val="-1"/>
        </w:rPr>
        <w:t>对于因追加投资能够对被投资单位实施重大影响或实施共同控制但不构成控制的，长期股权投资成本为按</w:t>
      </w:r>
      <w:r>
        <w:rPr>
          <w:spacing w:val="-81"/>
        </w:rPr>
        <w:t> </w:t>
      </w:r>
      <w:r>
        <w:rPr>
          <w:spacing w:val="-81"/>
        </w:rPr>
      </w:r>
      <w:r>
        <w:rPr>
          <w:spacing w:val="-1"/>
        </w:rPr>
        <w:t>照《企业会计准则第</w:t>
      </w:r>
      <w:r>
        <w:rPr>
          <w:rFonts w:ascii="Times New Roman" w:hAnsi="Times New Roman" w:cs="Times New Roman" w:eastAsia="Times New Roman" w:hint="default"/>
          <w:spacing w:val="-1"/>
        </w:rPr>
        <w:t>22</w:t>
      </w:r>
      <w:r>
        <w:rPr>
          <w:spacing w:val="-1"/>
        </w:rPr>
        <w:t>号</w:t>
      </w:r>
      <w:r>
        <w:rPr>
          <w:rFonts w:ascii="Times New Roman" w:hAnsi="Times New Roman" w:cs="Times New Roman" w:eastAsia="Times New Roman" w:hint="default"/>
          <w:spacing w:val="-1"/>
        </w:rPr>
        <w:t>——</w:t>
      </w:r>
      <w:r>
        <w:rPr>
          <w:spacing w:val="-1"/>
        </w:rPr>
        <w:t>金融工具确认和计量》确定的原持有股权投资的公允价值加上新增投资成本</w:t>
      </w:r>
      <w:r>
        <w:rPr>
          <w:spacing w:val="-81"/>
        </w:rPr>
        <w:t> </w:t>
      </w:r>
      <w:r>
        <w:rPr>
          <w:spacing w:val="-81"/>
        </w:rPr>
      </w:r>
      <w:r>
        <w:rPr/>
        <w:t>之和。</w:t>
      </w:r>
    </w:p>
    <w:p>
      <w:pPr>
        <w:pStyle w:val="BodyText"/>
        <w:spacing w:line="256" w:lineRule="auto" w:before="10"/>
        <w:ind w:left="634" w:right="1032"/>
        <w:jc w:val="left"/>
      </w:pPr>
      <w:r>
        <w:rPr/>
        <w:t>（</w:t>
      </w:r>
      <w:r>
        <w:rPr>
          <w:rFonts w:ascii="Times New Roman" w:hAnsi="Times New Roman" w:cs="Times New Roman" w:eastAsia="Times New Roman" w:hint="default"/>
        </w:rPr>
        <w:t>2</w:t>
      </w:r>
      <w:r>
        <w:rPr/>
        <w:t>）后续计量及损益确认方法 对被投资单位具有共同控制（构成共同经营者除外）或重大影响的长期股权投资，采用权益法核算。</w:t>
      </w:r>
    </w:p>
    <w:p>
      <w:pPr>
        <w:pStyle w:val="BodyText"/>
        <w:spacing w:line="240" w:lineRule="auto" w:before="22"/>
        <w:ind w:left="154" w:right="0"/>
        <w:jc w:val="left"/>
      </w:pPr>
      <w:r>
        <w:rPr/>
        <w:t>此外，公司财务报表采用成本法核算能够对被投资单位实施控制的长期股权投资。</w:t>
      </w:r>
    </w:p>
    <w:p>
      <w:pPr>
        <w:pStyle w:val="BodyText"/>
        <w:spacing w:line="273" w:lineRule="auto" w:before="37"/>
        <w:ind w:left="633" w:right="1033"/>
        <w:jc w:val="left"/>
      </w:pPr>
      <w:r>
        <w:rPr/>
        <w:t>①成本法核算的长期股权投资 采用成本法核算时，长期股权投资按初始投资成本计价，追加或收回投资调整长期股权投资的成本。</w:t>
      </w:r>
    </w:p>
    <w:p>
      <w:pPr>
        <w:pStyle w:val="BodyText"/>
        <w:spacing w:line="273" w:lineRule="auto"/>
        <w:ind w:right="0"/>
        <w:jc w:val="left"/>
      </w:pPr>
      <w:r>
        <w:rPr>
          <w:spacing w:val="-1"/>
        </w:rPr>
        <w:t>除取得投资时实际支付的价款或者对价中包含的已宣告但尚未发放的现金股利或者利润外，当期投资收益</w:t>
      </w:r>
      <w:r>
        <w:rPr>
          <w:spacing w:val="-81"/>
        </w:rPr>
        <w:t> </w:t>
      </w:r>
      <w:r>
        <w:rPr>
          <w:spacing w:val="-81"/>
        </w:rPr>
      </w:r>
      <w:r>
        <w:rPr/>
        <w:t>按照享有被投资单位宣告发放的现金股利或利润确认。</w:t>
      </w:r>
    </w:p>
    <w:p>
      <w:pPr>
        <w:pStyle w:val="BodyText"/>
        <w:spacing w:line="273" w:lineRule="auto"/>
        <w:ind w:left="634" w:right="1120"/>
        <w:jc w:val="left"/>
      </w:pPr>
      <w:r>
        <w:rPr/>
        <w:t>②权益法核算的长期股权投资 </w:t>
      </w:r>
      <w:r>
        <w:rPr>
          <w:spacing w:val="-2"/>
        </w:rPr>
        <w:t>采用权益法核算时，长期股权投资的初始投资成本大于投资时应享有被投资单位可辨认净资产公允价</w:t>
      </w:r>
    </w:p>
    <w:p>
      <w:pPr>
        <w:pStyle w:val="BodyText"/>
        <w:spacing w:line="240" w:lineRule="auto"/>
        <w:ind w:left="154" w:right="0"/>
        <w:jc w:val="left"/>
      </w:pPr>
      <w:r>
        <w:rPr/>
        <w:t>值份额的，不调整长期股权投资的初始投资成本；初始投资成本小于投资时应享有被投资单位可辨认净资</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left="633" w:right="1121" w:hanging="480"/>
        <w:jc w:val="left"/>
      </w:pPr>
      <w:r>
        <w:rPr/>
        <w:t>产公允价值份额的，其差额计入当期损益，同时调整长期股权投资的成本。 </w:t>
      </w:r>
      <w:r>
        <w:rPr>
          <w:spacing w:val="-2"/>
        </w:rPr>
        <w:t>采用权益法核算时，按照应享有或应分担的被投资单位实现的净损益和其他综合收益的份额，分别确</w:t>
      </w:r>
    </w:p>
    <w:p>
      <w:pPr>
        <w:pStyle w:val="BodyText"/>
        <w:spacing w:line="271" w:lineRule="auto"/>
        <w:ind w:right="1130"/>
        <w:jc w:val="both"/>
      </w:pPr>
      <w:r>
        <w:rPr>
          <w:spacing w:val="-1"/>
        </w:rPr>
        <w:t>认投资收益和其他综合收益，同时调整长期股权投资的账面价值；按照被投资单位宣告分派的利润或现金</w:t>
      </w:r>
      <w:r>
        <w:rPr>
          <w:spacing w:val="-80"/>
        </w:rPr>
        <w:t> </w:t>
      </w:r>
      <w:r>
        <w:rPr>
          <w:spacing w:val="-80"/>
        </w:rPr>
      </w:r>
      <w:r>
        <w:rPr>
          <w:spacing w:val="-1"/>
        </w:rPr>
        <w:t>股利计算应享有的部分，相应减少长期股权投资的账面价值；对于被投资单位除净损益、其他综合收益和</w:t>
      </w:r>
      <w:r>
        <w:rPr>
          <w:spacing w:val="-83"/>
        </w:rPr>
        <w:t> </w:t>
      </w:r>
      <w:r>
        <w:rPr>
          <w:spacing w:val="-83"/>
        </w:rPr>
      </w:r>
      <w:r>
        <w:rPr>
          <w:spacing w:val="-1"/>
        </w:rPr>
        <w:t>利润分配以外所有者权益的其他变动，调整长期股权投资的账面价值并计入资本公积。在确认应享有被投</w:t>
      </w:r>
      <w:r>
        <w:rPr>
          <w:spacing w:val="-81"/>
        </w:rPr>
        <w:t> </w:t>
      </w:r>
      <w:r>
        <w:rPr>
          <w:spacing w:val="-81"/>
        </w:rPr>
      </w:r>
      <w:r>
        <w:rPr>
          <w:spacing w:val="-1"/>
        </w:rPr>
        <w:t>资单位净损益的份额时，以取得投资时被投资单位各项可辨认资产等的公允价值为基础，对被投资单位的</w:t>
      </w:r>
      <w:r>
        <w:rPr>
          <w:spacing w:val="-81"/>
        </w:rPr>
        <w:t> </w:t>
      </w:r>
      <w:r>
        <w:rPr>
          <w:spacing w:val="-81"/>
        </w:rPr>
      </w:r>
      <w:r>
        <w:rPr>
          <w:spacing w:val="-1"/>
        </w:rPr>
        <w:t>净利润进行调整后确认。被投资单位采用的会计政策及会计期间与本公司不一致的，按照本公司的会计政</w:t>
      </w:r>
      <w:r>
        <w:rPr>
          <w:spacing w:val="-81"/>
        </w:rPr>
        <w:t> </w:t>
      </w:r>
      <w:r>
        <w:rPr>
          <w:spacing w:val="-81"/>
        </w:rPr>
      </w:r>
      <w:r>
        <w:rPr>
          <w:spacing w:val="-1"/>
        </w:rPr>
        <w:t>策及会计期间对被投资单位的财务报表进行调整，并据以确认投资收益和其他综合收益。对于本公司与联</w:t>
      </w:r>
      <w:r>
        <w:rPr>
          <w:spacing w:val="-81"/>
        </w:rPr>
        <w:t> </w:t>
      </w:r>
      <w:r>
        <w:rPr>
          <w:spacing w:val="-81"/>
        </w:rPr>
      </w:r>
      <w:r>
        <w:rPr>
          <w:spacing w:val="-1"/>
        </w:rPr>
        <w:t>营企业及合营企业之间发生的交易，投出或出售的资产不构成业务的，未实现内部交易损益按照享有的比</w:t>
      </w:r>
      <w:r>
        <w:rPr>
          <w:spacing w:val="-81"/>
        </w:rPr>
        <w:t> </w:t>
      </w:r>
      <w:r>
        <w:rPr>
          <w:spacing w:val="-81"/>
        </w:rPr>
      </w:r>
      <w:r>
        <w:rPr>
          <w:spacing w:val="-1"/>
        </w:rPr>
        <w:t>例计算归属于本公司的部分予以抵销，在此基础上确认投资损益。但本公司与被投资单位发生的未实现内</w:t>
      </w:r>
      <w:r>
        <w:rPr>
          <w:spacing w:val="-81"/>
        </w:rPr>
        <w:t> </w:t>
      </w:r>
      <w:r>
        <w:rPr>
          <w:spacing w:val="-81"/>
        </w:rPr>
      </w:r>
      <w:r>
        <w:rPr>
          <w:spacing w:val="-1"/>
        </w:rPr>
        <w:t>部交易损失，属于所转让资产减值损失的，不予以抵销。本公司向合营企业或联营企业投出的资产构成业</w:t>
      </w:r>
      <w:r>
        <w:rPr>
          <w:spacing w:val="-83"/>
        </w:rPr>
        <w:t> </w:t>
      </w:r>
      <w:r>
        <w:rPr>
          <w:spacing w:val="-83"/>
        </w:rPr>
      </w:r>
      <w:r>
        <w:rPr>
          <w:spacing w:val="-1"/>
        </w:rPr>
        <w:t>务的，投资方因此取得长期股权投资但未取得控制权的，以投出业务的公允价值作为新增长期股权投资的</w:t>
      </w:r>
      <w:r>
        <w:rPr>
          <w:spacing w:val="-81"/>
        </w:rPr>
        <w:t> </w:t>
      </w:r>
      <w:r>
        <w:rPr>
          <w:spacing w:val="-81"/>
        </w:rPr>
      </w:r>
      <w:r>
        <w:rPr>
          <w:spacing w:val="-1"/>
        </w:rPr>
        <w:t>初始投资成本，初始投资成本与投出业务的账面价值之差，全额计入当期损益。本公司向合营企业或联营</w:t>
      </w:r>
      <w:r>
        <w:rPr>
          <w:spacing w:val="-83"/>
        </w:rPr>
        <w:t> </w:t>
      </w:r>
      <w:r>
        <w:rPr>
          <w:spacing w:val="-83"/>
        </w:rPr>
      </w:r>
      <w:r>
        <w:rPr>
          <w:spacing w:val="-1"/>
        </w:rPr>
        <w:t>企业出售的资产构成业务的，取得的对价与业务的账面价值之差，全额计入当期损益。本公司自联营企业</w:t>
      </w:r>
      <w:r>
        <w:rPr>
          <w:spacing w:val="-82"/>
        </w:rPr>
        <w:t> </w:t>
      </w:r>
      <w:r>
        <w:rPr>
          <w:spacing w:val="-82"/>
        </w:rPr>
      </w:r>
      <w:r>
        <w:rPr>
          <w:spacing w:val="-1"/>
        </w:rPr>
        <w:t>及合营企业购入的资产构成业务的，按《企业会计准则第</w:t>
      </w:r>
      <w:r>
        <w:rPr>
          <w:rFonts w:ascii="Times New Roman" w:hAnsi="Times New Roman" w:cs="Times New Roman" w:eastAsia="Times New Roman" w:hint="default"/>
          <w:spacing w:val="-1"/>
        </w:rPr>
        <w:t>20</w:t>
      </w:r>
      <w:r>
        <w:rPr>
          <w:spacing w:val="-1"/>
        </w:rPr>
        <w:t>号</w:t>
      </w:r>
      <w:r>
        <w:rPr>
          <w:rFonts w:ascii="Times New Roman" w:hAnsi="Times New Roman" w:cs="Times New Roman" w:eastAsia="Times New Roman" w:hint="default"/>
          <w:spacing w:val="-1"/>
        </w:rPr>
        <w:t>——</w:t>
      </w:r>
      <w:r>
        <w:rPr>
          <w:spacing w:val="-1"/>
        </w:rPr>
        <w:t>企业合并》的规定进行会计处理，全额</w:t>
      </w:r>
      <w:r>
        <w:rPr>
          <w:spacing w:val="-86"/>
        </w:rPr>
        <w:t> </w:t>
      </w:r>
      <w:r>
        <w:rPr>
          <w:spacing w:val="-86"/>
        </w:rPr>
      </w:r>
      <w:r>
        <w:rPr/>
        <w:t>确认与交易相关的利得或损失。</w:t>
      </w:r>
    </w:p>
    <w:p>
      <w:pPr>
        <w:pStyle w:val="BodyText"/>
        <w:spacing w:line="273" w:lineRule="auto" w:before="10"/>
        <w:ind w:left="154" w:right="1131" w:firstLine="480"/>
        <w:jc w:val="both"/>
      </w:pPr>
      <w:r>
        <w:rPr>
          <w:spacing w:val="-2"/>
        </w:rPr>
        <w:t>在确认应分担被投资单位发生的净亏损时，以长期股权投资的账面价值和其他实质上构成对被投资单</w:t>
      </w:r>
      <w:r>
        <w:rPr/>
        <w:t> </w:t>
      </w:r>
      <w:r>
        <w:rPr>
          <w:spacing w:val="-1"/>
        </w:rPr>
        <w:t>位净投资的长期权益减记至零为限。此外，如本公司对被投资单位负有承担额外损失的义务，则按预计承</w:t>
      </w:r>
      <w:r>
        <w:rPr>
          <w:spacing w:val="-83"/>
        </w:rPr>
        <w:t> </w:t>
      </w:r>
      <w:r>
        <w:rPr>
          <w:spacing w:val="-83"/>
        </w:rPr>
      </w:r>
      <w:r>
        <w:rPr>
          <w:spacing w:val="-1"/>
        </w:rPr>
        <w:t>担的义务确认预计负债，计入当期投资损失。被投资单位以后期间实现净利润的，本公司在收益分享额弥</w:t>
      </w:r>
      <w:r>
        <w:rPr>
          <w:spacing w:val="-83"/>
        </w:rPr>
        <w:t> </w:t>
      </w:r>
      <w:r>
        <w:rPr>
          <w:spacing w:val="-83"/>
        </w:rPr>
      </w:r>
      <w:r>
        <w:rPr/>
        <w:t>补未确认的亏损分担额后，恢复确认收益分享额。</w:t>
      </w:r>
    </w:p>
    <w:p>
      <w:pPr>
        <w:pStyle w:val="BodyText"/>
        <w:spacing w:line="273" w:lineRule="auto"/>
        <w:ind w:left="154" w:right="1130" w:firstLine="480"/>
        <w:jc w:val="both"/>
      </w:pPr>
      <w:r>
        <w:rPr>
          <w:spacing w:val="-2"/>
        </w:rPr>
        <w:t>对于本公司首次执行新会计准则之前已经持有的对联营企业和合营企业的长期股权投资，如存在与该</w:t>
      </w:r>
      <w:r>
        <w:rPr/>
        <w:t> 投资相关的股权投资借方差额，按原剩余期限直线摊销的金额计入当期损益。</w:t>
      </w:r>
    </w:p>
    <w:p>
      <w:pPr>
        <w:pStyle w:val="BodyText"/>
        <w:spacing w:line="273" w:lineRule="auto" w:before="8"/>
        <w:ind w:left="633" w:right="1121"/>
        <w:jc w:val="left"/>
      </w:pPr>
      <w:r>
        <w:rPr/>
        <w:t>③收购少数股权 </w:t>
      </w:r>
      <w:r>
        <w:rPr>
          <w:spacing w:val="-2"/>
        </w:rPr>
        <w:t>在编制合并财务报表时，因购买少数股权新增的长期股权投资与按照新增持股比例计算应享有子公司</w:t>
      </w:r>
    </w:p>
    <w:p>
      <w:pPr>
        <w:pStyle w:val="BodyText"/>
        <w:spacing w:line="273" w:lineRule="auto"/>
        <w:ind w:right="1133"/>
        <w:jc w:val="both"/>
      </w:pPr>
      <w:r>
        <w:rPr>
          <w:spacing w:val="-1"/>
        </w:rPr>
        <w:t>自购买日（或合并日）开始持续计算的净资产份额之间的差额，调整资本公积，资本公积不足冲减的，调</w:t>
      </w:r>
      <w:r>
        <w:rPr>
          <w:spacing w:val="-83"/>
        </w:rPr>
        <w:t> </w:t>
      </w:r>
      <w:r>
        <w:rPr>
          <w:spacing w:val="-83"/>
        </w:rPr>
      </w:r>
      <w:r>
        <w:rPr/>
        <w:t>整留存收益。</w:t>
      </w:r>
    </w:p>
    <w:p>
      <w:pPr>
        <w:pStyle w:val="BodyText"/>
        <w:spacing w:line="273" w:lineRule="auto"/>
        <w:ind w:left="633" w:right="1121"/>
        <w:jc w:val="left"/>
      </w:pPr>
      <w:r>
        <w:rPr/>
        <w:t>④处置长期股权投资 </w:t>
      </w:r>
      <w:r>
        <w:rPr>
          <w:spacing w:val="-2"/>
        </w:rPr>
        <w:t>在合并财务报表中，母公司在不丧失控制权的情况下部分处置对子公司的长期股权投资，处置价款与</w:t>
      </w:r>
    </w:p>
    <w:p>
      <w:pPr>
        <w:pStyle w:val="BodyText"/>
        <w:spacing w:line="264" w:lineRule="auto"/>
        <w:ind w:right="1132"/>
        <w:jc w:val="both"/>
      </w:pPr>
      <w:r>
        <w:rPr>
          <w:spacing w:val="-1"/>
        </w:rPr>
        <w:t>处置长期股权投资相对应享有子公司净资产的差额计入股东权益；母公司部分处置对子公司的长期股权投</w:t>
      </w:r>
      <w:r>
        <w:rPr>
          <w:spacing w:val="-81"/>
        </w:rPr>
        <w:t> </w:t>
      </w:r>
      <w:r>
        <w:rPr>
          <w:spacing w:val="-81"/>
        </w:rPr>
      </w:r>
      <w:r>
        <w:rPr/>
        <w:t>资导致丧失对子公司控制权的，按本附注四、</w:t>
      </w:r>
      <w:r>
        <w:rPr>
          <w:rFonts w:ascii="Times New Roman" w:hAnsi="Times New Roman" w:cs="Times New Roman" w:eastAsia="Times New Roman" w:hint="default"/>
        </w:rPr>
        <w:t>5</w:t>
      </w: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w:t>
      </w:r>
      <w:r>
        <w:rPr/>
        <w:t>合并财务报表编制的方法</w:t>
      </w:r>
      <w:r>
        <w:rPr>
          <w:rFonts w:ascii="Times New Roman" w:hAnsi="Times New Roman" w:cs="Times New Roman" w:eastAsia="Times New Roman" w:hint="default"/>
        </w:rPr>
        <w:t>”</w:t>
      </w:r>
      <w:r>
        <w:rPr/>
        <w:t>中所述的相关会计政策 处理。</w:t>
      </w:r>
    </w:p>
    <w:p>
      <w:pPr>
        <w:pStyle w:val="BodyText"/>
        <w:spacing w:line="240" w:lineRule="auto" w:before="16"/>
        <w:ind w:left="633" w:right="0"/>
        <w:jc w:val="left"/>
      </w:pPr>
      <w:r>
        <w:rPr/>
        <w:t>其他情形下的长期股权投资处置，对于处置的股权，其账面价值与实际取得价款的差额，计入当期损</w:t>
      </w:r>
    </w:p>
    <w:p>
      <w:pPr>
        <w:pStyle w:val="BodyText"/>
        <w:spacing w:line="240" w:lineRule="auto" w:before="37"/>
        <w:ind w:right="0"/>
        <w:jc w:val="left"/>
      </w:pPr>
      <w:r>
        <w:rPr/>
        <w:t>益。</w:t>
      </w:r>
    </w:p>
    <w:p>
      <w:pPr>
        <w:pStyle w:val="BodyText"/>
        <w:spacing w:line="240" w:lineRule="auto" w:before="37"/>
        <w:ind w:left="634" w:right="0"/>
        <w:jc w:val="left"/>
      </w:pPr>
      <w:r>
        <w:rPr/>
        <w:t>采用权益法核算的长期股权投资，处置后的剩余股权仍采用权益法核算的，在处置时将原计入股东权</w:t>
      </w:r>
    </w:p>
    <w:p>
      <w:pPr>
        <w:pStyle w:val="BodyText"/>
        <w:spacing w:line="273" w:lineRule="auto" w:before="37"/>
        <w:ind w:left="154" w:right="1131"/>
        <w:jc w:val="both"/>
      </w:pPr>
      <w:r>
        <w:rPr>
          <w:spacing w:val="3"/>
        </w:rPr>
        <w:t>益的其他综合收益部分按相应的比例采用与被投资单位直接处置相关资产或负债相同的基础进行会计处</w:t>
      </w:r>
      <w:r>
        <w:rPr>
          <w:spacing w:val="-82"/>
        </w:rPr>
        <w:t> </w:t>
      </w:r>
      <w:r>
        <w:rPr>
          <w:spacing w:val="-82"/>
        </w:rPr>
      </w:r>
      <w:r>
        <w:rPr>
          <w:spacing w:val="-1"/>
        </w:rPr>
        <w:t>理。因被投资方除净损益、其他综合收益和利润分配以外的其他所有者权益变动而确认的所有者权益，按</w:t>
      </w:r>
      <w:r>
        <w:rPr>
          <w:spacing w:val="-83"/>
        </w:rPr>
        <w:t> </w:t>
      </w:r>
      <w:r>
        <w:rPr>
          <w:spacing w:val="-83"/>
        </w:rPr>
      </w:r>
      <w:r>
        <w:rPr/>
        <w:t>比例结转入当期损益。</w:t>
      </w:r>
    </w:p>
    <w:p>
      <w:pPr>
        <w:pStyle w:val="BodyText"/>
        <w:spacing w:line="273" w:lineRule="auto"/>
        <w:ind w:left="154" w:right="1131" w:firstLine="480"/>
        <w:jc w:val="both"/>
      </w:pPr>
      <w:r>
        <w:rPr>
          <w:spacing w:val="-2"/>
        </w:rPr>
        <w:t>采用成本法核算的长期股权投资，处置后剩余股权仍采用成本法核算的，其在取得对被投资单位的控</w:t>
      </w:r>
      <w:r>
        <w:rPr/>
        <w:t> </w:t>
      </w:r>
      <w:r>
        <w:rPr>
          <w:spacing w:val="-1"/>
        </w:rPr>
        <w:t>制之前因采用权益法核算或金融工具确认和计量准则核算而确认的其他综合收益，采用与被投资单位直接</w:t>
      </w:r>
      <w:r>
        <w:rPr>
          <w:spacing w:val="-81"/>
        </w:rPr>
        <w:t> </w:t>
      </w:r>
      <w:r>
        <w:rPr>
          <w:spacing w:val="-81"/>
        </w:rPr>
      </w:r>
      <w:r>
        <w:rPr>
          <w:spacing w:val="-1"/>
        </w:rPr>
        <w:t>处置相关资产或负债相同的基础进行会计处理，并按比例结转当期损益；因采用权益法核算而确认的被投</w:t>
      </w:r>
      <w:r>
        <w:rPr>
          <w:spacing w:val="-81"/>
        </w:rPr>
        <w:t> </w:t>
      </w:r>
      <w:r>
        <w:rPr>
          <w:spacing w:val="-81"/>
        </w:rPr>
      </w:r>
      <w:r>
        <w:rPr/>
        <w:t>资单位净资产中除净损益、其他综合收益和利润分配以外的其他所有者权益变动按比例结转当期损益。</w:t>
      </w:r>
    </w:p>
    <w:p>
      <w:pPr>
        <w:pStyle w:val="BodyText"/>
        <w:spacing w:line="273" w:lineRule="auto"/>
        <w:ind w:right="1130" w:firstLine="480"/>
        <w:jc w:val="both"/>
      </w:pPr>
      <w:r>
        <w:rPr>
          <w:spacing w:val="-2"/>
        </w:rPr>
        <w:t>本公司因处置部分股权投资丧失了对被投资单位的控制的，在编制个别财务报表时，处置后的剩余股</w:t>
      </w:r>
      <w:r>
        <w:rPr/>
        <w:t> </w:t>
      </w:r>
      <w:r>
        <w:rPr>
          <w:spacing w:val="-1"/>
        </w:rPr>
        <w:t>权能够对被投资单位实施共同控制或施加重大影响的，改按权益法核算，并对该剩余股权视同自取得时即</w:t>
      </w:r>
      <w:r>
        <w:rPr>
          <w:spacing w:val="-80"/>
        </w:rPr>
        <w:t> </w:t>
      </w:r>
      <w:r>
        <w:rPr>
          <w:spacing w:val="-80"/>
        </w:rPr>
      </w:r>
      <w:r>
        <w:rPr>
          <w:spacing w:val="-1"/>
        </w:rPr>
        <w:t>采用权益法核算进行调整；处置后的剩余股权不能对被投资单位实施共同控制或施加重大影响的，改按金</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30"/>
        <w:jc w:val="both"/>
      </w:pPr>
      <w:r>
        <w:rPr>
          <w:spacing w:val="-1"/>
        </w:rPr>
        <w:t>融工具确认和计量准则的有关规定进行会计处理，其在丧失控制之日的公允价值与账面价值之间的差额计</w:t>
      </w:r>
      <w:r>
        <w:rPr>
          <w:spacing w:val="-81"/>
        </w:rPr>
        <w:t> </w:t>
      </w:r>
      <w:r>
        <w:rPr>
          <w:spacing w:val="-81"/>
        </w:rPr>
      </w:r>
      <w:r>
        <w:rPr>
          <w:spacing w:val="-1"/>
        </w:rPr>
        <w:t>入当期损益。对于本公司取得对被投资单位的控制之前，因采用权益法核算或金融工具确认和计量准则核</w:t>
      </w:r>
      <w:r>
        <w:rPr>
          <w:spacing w:val="-81"/>
        </w:rPr>
        <w:t> </w:t>
      </w:r>
      <w:r>
        <w:rPr>
          <w:spacing w:val="-81"/>
        </w:rPr>
      </w:r>
      <w:r>
        <w:rPr>
          <w:spacing w:val="-1"/>
        </w:rPr>
        <w:t>算而确认的其他综合收益，在丧失对被投资单位控制时采用与被投资单位直接处置相关资产或负债相同的</w:t>
      </w:r>
      <w:r>
        <w:rPr>
          <w:spacing w:val="-81"/>
        </w:rPr>
        <w:t> </w:t>
      </w:r>
      <w:r>
        <w:rPr>
          <w:spacing w:val="-81"/>
        </w:rPr>
      </w:r>
      <w:r>
        <w:rPr>
          <w:spacing w:val="-1"/>
        </w:rPr>
        <w:t>基础进行会计处理，因采用权益法核算而确认的被投资单位净资产中除净损益、其他综合收益和利润分配</w:t>
      </w:r>
      <w:r>
        <w:rPr>
          <w:spacing w:val="-81"/>
        </w:rPr>
        <w:t> </w:t>
      </w:r>
      <w:r>
        <w:rPr>
          <w:spacing w:val="-81"/>
        </w:rPr>
      </w:r>
      <w:r>
        <w:rPr>
          <w:spacing w:val="-1"/>
        </w:rPr>
        <w:t>以外的其他所有者权益变动在丧失对被投资单位控制时结转入当期损益。其中，处置后的剩余股权采用权</w:t>
      </w:r>
      <w:r>
        <w:rPr>
          <w:spacing w:val="-81"/>
        </w:rPr>
        <w:t> </w:t>
      </w:r>
      <w:r>
        <w:rPr>
          <w:spacing w:val="-81"/>
        </w:rPr>
      </w:r>
      <w:r>
        <w:rPr>
          <w:spacing w:val="-1"/>
        </w:rPr>
        <w:t>益法核算的，其他综合收益和其他所有者权益按比例结转；处置后的剩余股权改按金融工具确认和计量准</w:t>
      </w:r>
      <w:r>
        <w:rPr>
          <w:spacing w:val="-81"/>
        </w:rPr>
        <w:t> </w:t>
      </w:r>
      <w:r>
        <w:rPr>
          <w:spacing w:val="-81"/>
        </w:rPr>
      </w:r>
      <w:r>
        <w:rPr/>
        <w:t>则进行会计处理的，其他综合收益和其他所有者权益全部结转。</w:t>
      </w:r>
    </w:p>
    <w:p>
      <w:pPr>
        <w:pStyle w:val="BodyText"/>
        <w:spacing w:line="273" w:lineRule="auto"/>
        <w:ind w:right="1130" w:firstLine="480"/>
        <w:jc w:val="both"/>
      </w:pPr>
      <w:r>
        <w:rPr>
          <w:spacing w:val="-2"/>
        </w:rPr>
        <w:t>本公司因处置部分股权投资丧失了对被投资单位的共同控制或重大影响的，处置后的剩余股权改按金</w:t>
      </w:r>
      <w:r>
        <w:rPr/>
        <w:t> </w:t>
      </w:r>
      <w:r>
        <w:rPr>
          <w:spacing w:val="-1"/>
        </w:rPr>
        <w:t>融工具确认和计量准则核算，其在丧失共同控制或重大影响之日的公允价值与账面价值之间的差额计入当</w:t>
      </w:r>
      <w:r>
        <w:rPr>
          <w:spacing w:val="-81"/>
        </w:rPr>
        <w:t> </w:t>
      </w:r>
      <w:r>
        <w:rPr>
          <w:spacing w:val="-81"/>
        </w:rPr>
      </w:r>
      <w:r>
        <w:rPr>
          <w:spacing w:val="-1"/>
        </w:rPr>
        <w:t>期损益。原股权投资因采用权益法核算而确认的其他综合收益，在终止采用权益法核算时采用与被投资单</w:t>
      </w:r>
      <w:r>
        <w:rPr>
          <w:spacing w:val="-81"/>
        </w:rPr>
        <w:t> </w:t>
      </w:r>
      <w:r>
        <w:rPr>
          <w:spacing w:val="-81"/>
        </w:rPr>
      </w:r>
      <w:r>
        <w:rPr>
          <w:spacing w:val="-1"/>
        </w:rPr>
        <w:t>位直接处置相关资产或负债相同的基础进行会计处理，因被投资方除净损益、其他综合收益和利润分配以</w:t>
      </w:r>
      <w:r>
        <w:rPr>
          <w:spacing w:val="-81"/>
        </w:rPr>
        <w:t> </w:t>
      </w:r>
      <w:r>
        <w:rPr>
          <w:spacing w:val="-81"/>
        </w:rPr>
      </w:r>
      <w:r>
        <w:rPr/>
        <w:t>外的其他所有者权益变动而确认的所有者权益，在终止采用权益法时全部转入当期投资收益。</w:t>
      </w:r>
    </w:p>
    <w:p>
      <w:pPr>
        <w:pStyle w:val="BodyText"/>
        <w:spacing w:line="273" w:lineRule="auto"/>
        <w:ind w:right="1033" w:firstLine="480"/>
        <w:jc w:val="left"/>
      </w:pPr>
      <w:r>
        <w:rPr/>
        <w:t>本公司通过多次交易分步处置对子公司股权投资直至丧失控制权，如果上述交易属于一揽子交易的， 将各项交易作为一项处置子公司股权投资并丧失控制权的交易进行会计处理，在丧失控制权之前每一次处 置价款与所处置的股权对应的长期股权投资账面价值之间的差额，先确认为其他综合收益，到丧失控制权 时再一并转入丧失控制权的当期损益。</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ind w:right="0"/>
        <w:jc w:val="both"/>
        <w:rPr>
          <w:b w:val="0"/>
          <w:bCs w:val="0"/>
        </w:rPr>
      </w:pPr>
      <w:bookmarkStart w:name="15、投资性房地产" w:id="182"/>
      <w:bookmarkEnd w:id="182"/>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spacing w:line="357" w:lineRule="auto" w:before="0"/>
        <w:ind w:left="154" w:right="8952"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不适用</w:t>
      </w:r>
    </w:p>
    <w:p>
      <w:pPr>
        <w:spacing w:line="240" w:lineRule="auto" w:before="1"/>
        <w:rPr>
          <w:rFonts w:ascii="宋体" w:hAnsi="宋体" w:cs="宋体" w:eastAsia="宋体" w:hint="default"/>
          <w:sz w:val="20"/>
          <w:szCs w:val="20"/>
        </w:rPr>
      </w:pPr>
    </w:p>
    <w:p>
      <w:pPr>
        <w:pStyle w:val="Heading4"/>
        <w:spacing w:line="240" w:lineRule="auto"/>
        <w:ind w:left="154" w:right="0"/>
        <w:jc w:val="both"/>
        <w:rPr>
          <w:b w:val="0"/>
          <w:bCs w:val="0"/>
        </w:rPr>
      </w:pPr>
      <w:bookmarkStart w:name="16、固定资产" w:id="183"/>
      <w:bookmarkEnd w:id="183"/>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both"/>
        <w:rPr>
          <w:b w:val="0"/>
          <w:bCs w:val="0"/>
        </w:rPr>
      </w:pPr>
      <w:bookmarkStart w:name="（1）确认条件" w:id="184"/>
      <w:bookmarkEnd w:id="184"/>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8"/>
        <w:rPr>
          <w:rFonts w:ascii="宋体" w:hAnsi="宋体" w:cs="宋体" w:eastAsia="宋体" w:hint="default"/>
          <w:b/>
          <w:bCs/>
          <w:sz w:val="26"/>
          <w:szCs w:val="26"/>
        </w:rPr>
      </w:pPr>
    </w:p>
    <w:p>
      <w:pPr>
        <w:spacing w:line="319" w:lineRule="auto" w:before="0"/>
        <w:ind w:left="154" w:right="1131" w:firstLine="0"/>
        <w:jc w:val="both"/>
        <w:rPr>
          <w:rFonts w:ascii="宋体" w:hAnsi="宋体" w:cs="宋体" w:eastAsia="宋体" w:hint="default"/>
          <w:sz w:val="18"/>
          <w:szCs w:val="18"/>
        </w:rPr>
      </w:pPr>
      <w:r>
        <w:rPr>
          <w:rFonts w:ascii="宋体" w:hAnsi="宋体" w:cs="宋体" w:eastAsia="宋体" w:hint="default"/>
          <w:spacing w:val="-2"/>
          <w:sz w:val="18"/>
          <w:szCs w:val="18"/>
        </w:rPr>
        <w:t>固定资产是指为生产商品、提供劳务、出租或经营管理而持有的，使用寿命超过一个会计年度的有形资产。固定资产仅在与</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其有关的经济利益很可能流入本公司，且其成本能够可靠地计量时才予以确认。固定资产按成本并考虑预计弃置费用因素的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影响进行初始计量。</w:t>
      </w:r>
    </w:p>
    <w:p>
      <w:pPr>
        <w:spacing w:line="240" w:lineRule="auto" w:before="3"/>
        <w:rPr>
          <w:rFonts w:ascii="宋体" w:hAnsi="宋体" w:cs="宋体" w:eastAsia="宋体" w:hint="default"/>
          <w:sz w:val="22"/>
          <w:szCs w:val="22"/>
        </w:rPr>
      </w:pPr>
    </w:p>
    <w:p>
      <w:pPr>
        <w:pStyle w:val="Heading4"/>
        <w:spacing w:line="240" w:lineRule="auto"/>
        <w:ind w:left="154" w:right="0"/>
        <w:jc w:val="both"/>
        <w:rPr>
          <w:b w:val="0"/>
          <w:bCs w:val="0"/>
        </w:rPr>
      </w:pPr>
      <w:bookmarkStart w:name="（2）折旧方法" w:id="185"/>
      <w:bookmarkEnd w:id="185"/>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3.17-4.75%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光电设备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3.80-4.75%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19%-47.5%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b/>
          <w:bCs/>
          <w:sz w:val="24"/>
          <w:szCs w:val="24"/>
        </w:rPr>
      </w:pPr>
    </w:p>
    <w:p>
      <w:pPr>
        <w:pStyle w:val="Heading4"/>
        <w:spacing w:line="240" w:lineRule="auto" w:before="35"/>
        <w:ind w:right="0"/>
        <w:jc w:val="both"/>
        <w:rPr>
          <w:b w:val="0"/>
          <w:bCs w:val="0"/>
        </w:rPr>
      </w:pPr>
      <w:bookmarkStart w:name="（3）融资租入固定资产的认定依据、计价和折旧方法" w:id="186"/>
      <w:bookmarkEnd w:id="186"/>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spacing w:line="319" w:lineRule="auto" w:before="0"/>
        <w:ind w:left="153" w:right="1131" w:firstLine="0"/>
        <w:jc w:val="both"/>
        <w:rPr>
          <w:rFonts w:ascii="宋体" w:hAnsi="宋体" w:cs="宋体" w:eastAsia="宋体" w:hint="default"/>
          <w:sz w:val="18"/>
          <w:szCs w:val="18"/>
        </w:rPr>
      </w:pPr>
      <w:r>
        <w:rPr>
          <w:rFonts w:ascii="宋体" w:hAnsi="宋体" w:cs="宋体" w:eastAsia="宋体" w:hint="default"/>
          <w:spacing w:val="-2"/>
          <w:sz w:val="18"/>
          <w:szCs w:val="18"/>
        </w:rPr>
        <w:t>融资租赁为实质上转移了与资产所有权有关的全部风险和报酬的租赁，其所有权最终可能转移，也可能不转移。以融资租赁</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方式租入的固定资产采用与自有固定资产一致的政策计提租赁资产折旧。能够合理确定租赁期届满时取得租赁资产所有权的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在租赁资产使用寿命内计提折旧，无法合理确定租赁期届满能够取得租赁资产所有权的，在租赁期与租赁资产使用寿命两者</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中较短的期间内计提折旧。</w:t>
      </w:r>
    </w:p>
    <w:p>
      <w:pPr>
        <w:spacing w:line="240" w:lineRule="auto" w:before="3"/>
        <w:rPr>
          <w:rFonts w:ascii="宋体" w:hAnsi="宋体" w:cs="宋体" w:eastAsia="宋体" w:hint="default"/>
          <w:sz w:val="22"/>
          <w:szCs w:val="22"/>
        </w:rPr>
      </w:pPr>
    </w:p>
    <w:p>
      <w:pPr>
        <w:pStyle w:val="Heading4"/>
        <w:spacing w:line="240" w:lineRule="auto"/>
        <w:ind w:left="154" w:right="0"/>
        <w:jc w:val="both"/>
        <w:rPr>
          <w:b w:val="0"/>
          <w:bCs w:val="0"/>
        </w:rPr>
      </w:pPr>
      <w:bookmarkStart w:name="17、在建工程" w:id="187"/>
      <w:bookmarkEnd w:id="187"/>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8"/>
        <w:rPr>
          <w:rFonts w:ascii="宋体" w:hAnsi="宋体" w:cs="宋体" w:eastAsia="宋体" w:hint="default"/>
          <w:b/>
          <w:bCs/>
          <w:sz w:val="24"/>
          <w:szCs w:val="24"/>
        </w:rPr>
      </w:pPr>
    </w:p>
    <w:p>
      <w:pPr>
        <w:pStyle w:val="BodyText"/>
        <w:spacing w:line="273" w:lineRule="auto" w:before="0"/>
        <w:ind w:left="154" w:right="1131" w:firstLine="480"/>
        <w:jc w:val="both"/>
      </w:pPr>
      <w:r>
        <w:rPr>
          <w:spacing w:val="-2"/>
        </w:rPr>
        <w:t>在建工程成本按实际工程支出确定，包括在建期间发生的各项工程支出、工程达到预定可使用状态前</w:t>
      </w:r>
      <w:r>
        <w:rPr/>
        <w:t> 的资本化的借款费用以及其他相关费用等。在建工程在达到预定可使用状态后结转为固定资产。</w:t>
      </w:r>
    </w:p>
    <w:p>
      <w:pPr>
        <w:pStyle w:val="BodyText"/>
        <w:spacing w:line="240" w:lineRule="auto"/>
        <w:ind w:left="633" w:right="0"/>
        <w:jc w:val="left"/>
      </w:pPr>
      <w:r>
        <w:rPr/>
        <w:t>在建工程的减值测试方法和减值准备计提方法详见附注四、</w:t>
      </w:r>
      <w:r>
        <w:rPr>
          <w:rFonts w:ascii="Times New Roman" w:hAnsi="Times New Roman" w:cs="Times New Roman" w:eastAsia="Times New Roman" w:hint="default"/>
        </w:rPr>
        <w:t>20“</w:t>
      </w:r>
      <w:r>
        <w:rPr/>
        <w:t>长期资产减值</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4"/>
        <w:spacing w:line="240" w:lineRule="auto"/>
        <w:ind w:right="0"/>
        <w:jc w:val="both"/>
        <w:rPr>
          <w:b w:val="0"/>
          <w:bCs w:val="0"/>
        </w:rPr>
      </w:pPr>
      <w:bookmarkStart w:name="18、借款费用" w:id="188"/>
      <w:bookmarkEnd w:id="188"/>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154" w:right="1131" w:firstLine="480"/>
        <w:jc w:val="both"/>
      </w:pPr>
      <w:r>
        <w:rPr>
          <w:spacing w:val="-2"/>
        </w:rPr>
        <w:t>借款费用包括借款利息、折价或溢价的摊销、辅助费用以及因外币借款而发生的汇兑差额等。可直接</w:t>
      </w:r>
      <w:r>
        <w:rPr/>
        <w:t> </w:t>
      </w:r>
      <w:r>
        <w:rPr>
          <w:spacing w:val="-1"/>
        </w:rPr>
        <w:t>归属于符合资本化条件的资产的购建或者生产的借款费用，在资产支出已经发生、借款费用已经发生、为</w:t>
      </w:r>
      <w:r>
        <w:rPr>
          <w:spacing w:val="-83"/>
        </w:rPr>
        <w:t> </w:t>
      </w:r>
      <w:r>
        <w:rPr>
          <w:spacing w:val="-83"/>
        </w:rPr>
      </w:r>
      <w:r>
        <w:rPr>
          <w:spacing w:val="-1"/>
        </w:rPr>
        <w:t>使资产达到预定可使用或可销售状态所必要的购建或生产活动已经开始时，开始资本化；构建或者生产的</w:t>
      </w:r>
      <w:r>
        <w:rPr>
          <w:spacing w:val="-81"/>
        </w:rPr>
        <w:t> </w:t>
      </w:r>
      <w:r>
        <w:rPr>
          <w:spacing w:val="-81"/>
        </w:rPr>
      </w:r>
      <w:r>
        <w:rPr>
          <w:spacing w:val="-1"/>
        </w:rPr>
        <w:t>符合资本化条件的资产达到预定可使用状态或者可销售状态时，停止资本化。其余借款费用在发生当期确</w:t>
      </w:r>
      <w:r>
        <w:rPr>
          <w:spacing w:val="-81"/>
        </w:rPr>
        <w:t> </w:t>
      </w:r>
      <w:r>
        <w:rPr>
          <w:spacing w:val="-81"/>
        </w:rPr>
      </w:r>
      <w:r>
        <w:rPr/>
        <w:t>认为费用。</w:t>
      </w:r>
    </w:p>
    <w:p>
      <w:pPr>
        <w:pStyle w:val="BodyText"/>
        <w:spacing w:line="273" w:lineRule="auto"/>
        <w:ind w:left="154" w:right="1131" w:firstLine="480"/>
        <w:jc w:val="both"/>
      </w:pPr>
      <w:r>
        <w:rPr>
          <w:spacing w:val="-2"/>
        </w:rPr>
        <w:t>专门借款当期实际发生的利息费用，减去尚未动用的借款资金存入银行取得的利息收入或进行暂时性</w:t>
      </w:r>
      <w:r>
        <w:rPr/>
        <w:t> </w:t>
      </w:r>
      <w:r>
        <w:rPr>
          <w:spacing w:val="-1"/>
        </w:rPr>
        <w:t>投资取得的投资收益后的金额予以资本化；一般借款根据累计资产支出超过专门借款部分的资产支出加权</w:t>
      </w:r>
      <w:r>
        <w:rPr>
          <w:spacing w:val="-81"/>
        </w:rPr>
        <w:t> </w:t>
      </w:r>
      <w:r>
        <w:rPr>
          <w:spacing w:val="-81"/>
        </w:rPr>
      </w:r>
      <w:r>
        <w:rPr>
          <w:spacing w:val="-1"/>
        </w:rPr>
        <w:t>平均数乘以所占用一般借款的资本化率，确定资本化金额。资本化率根据一般借款的加权平均利率计算确</w:t>
      </w:r>
      <w:r>
        <w:rPr>
          <w:spacing w:val="-81"/>
        </w:rPr>
        <w:t> </w:t>
      </w:r>
      <w:r>
        <w:rPr>
          <w:spacing w:val="-81"/>
        </w:rPr>
      </w:r>
      <w:r>
        <w:rPr/>
        <w:t>定。</w:t>
      </w:r>
    </w:p>
    <w:p>
      <w:pPr>
        <w:pStyle w:val="BodyText"/>
        <w:spacing w:line="273" w:lineRule="auto"/>
        <w:ind w:left="634" w:right="1032"/>
        <w:jc w:val="left"/>
      </w:pPr>
      <w:r>
        <w:rPr/>
        <w:t>资本化期间内，外币专门借款的汇兑差额全部予以资本化；外币一般借款的汇兑差额计入当期损益。 </w:t>
      </w:r>
      <w:r>
        <w:rPr>
          <w:spacing w:val="2"/>
        </w:rPr>
        <w:t>符合资本化条件的资产指需要经过相当长时间的购建或者生产活动才能达到预定可使用或可销售状</w:t>
      </w:r>
    </w:p>
    <w:p>
      <w:pPr>
        <w:pStyle w:val="BodyText"/>
        <w:spacing w:line="273" w:lineRule="auto"/>
        <w:ind w:left="634" w:right="0" w:hanging="480"/>
        <w:jc w:val="left"/>
      </w:pPr>
      <w:r>
        <w:rPr/>
        <w:t>态的固定资产、投资性房地产和存货等资产。 如果符合资本化条件的资产在购建或生产过程中发生非正常中断、并且中断时间连续超过</w:t>
      </w:r>
      <w:r>
        <w:rPr>
          <w:rFonts w:ascii="Times New Roman" w:hAnsi="Times New Roman" w:cs="Times New Roman" w:eastAsia="Times New Roman" w:hint="default"/>
        </w:rPr>
        <w:t>3</w:t>
      </w:r>
      <w:r>
        <w:rPr/>
        <w:t>个月的，</w:t>
      </w:r>
    </w:p>
    <w:p>
      <w:pPr>
        <w:pStyle w:val="BodyText"/>
        <w:spacing w:line="264" w:lineRule="exact" w:before="0"/>
        <w:ind w:right="0"/>
        <w:jc w:val="left"/>
      </w:pPr>
      <w:r>
        <w:rPr/>
        <w:t>暂停借款费用的资本化，直至资产的购建或生产活动重新开始。</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4"/>
        <w:spacing w:line="240" w:lineRule="auto"/>
        <w:ind w:right="0"/>
        <w:jc w:val="left"/>
        <w:rPr>
          <w:b w:val="0"/>
          <w:bCs w:val="0"/>
        </w:rPr>
      </w:pPr>
      <w:bookmarkStart w:name="19、生物资产" w:id="189"/>
      <w:bookmarkEnd w:id="189"/>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20、油气资产" w:id="190"/>
      <w:bookmarkEnd w:id="190"/>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21、无形资产" w:id="191"/>
      <w:bookmarkEnd w:id="191"/>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1）计价方法、使用寿命、减值测试" w:id="192"/>
      <w:bookmarkEnd w:id="192"/>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9"/>
        <w:rPr>
          <w:rFonts w:ascii="宋体" w:hAnsi="宋体" w:cs="宋体" w:eastAsia="宋体" w:hint="default"/>
          <w:b/>
          <w:bCs/>
          <w:sz w:val="24"/>
          <w:szCs w:val="24"/>
        </w:rPr>
      </w:pPr>
    </w:p>
    <w:p>
      <w:pPr>
        <w:pStyle w:val="BodyText"/>
        <w:spacing w:line="273" w:lineRule="auto" w:before="0"/>
        <w:ind w:left="633" w:right="1121"/>
        <w:jc w:val="left"/>
      </w:pPr>
      <w:r>
        <w:rPr/>
        <w:t>无形资产是指本公司拥有或者控制的没有实物形态的可辨认非货币性资产。 </w:t>
      </w:r>
      <w:r>
        <w:rPr>
          <w:spacing w:val="-2"/>
        </w:rPr>
        <w:t>无形资产按成本进行初始计量。与无形资产有关的支出，如果相关的经济利益很可能流入本公司且其</w:t>
      </w:r>
    </w:p>
    <w:p>
      <w:pPr>
        <w:pStyle w:val="BodyText"/>
        <w:spacing w:line="273" w:lineRule="auto" w:before="6"/>
        <w:ind w:left="633" w:right="1121" w:hanging="480"/>
        <w:jc w:val="left"/>
      </w:pPr>
      <w:r>
        <w:rPr/>
        <w:t>成本能可靠地计量，则计入无形资产成本。除此以外的其他项目的支出，在发生时计入当期损益。 </w:t>
      </w:r>
      <w:r>
        <w:rPr>
          <w:spacing w:val="-2"/>
        </w:rPr>
        <w:t>取得的土地使用权通常作为无形资产核算。自行开发建造厂房等建筑物，相关的土地使用权支出和建</w:t>
      </w:r>
    </w:p>
    <w:p>
      <w:pPr>
        <w:pStyle w:val="BodyText"/>
        <w:spacing w:line="240" w:lineRule="auto"/>
        <w:ind w:right="0"/>
        <w:jc w:val="left"/>
      </w:pPr>
      <w:r>
        <w:rPr/>
        <w:t>筑物建造成本则分别作为无形资产和固定资产核算。如为外购的房屋及建筑物，则将有关价款在土地使用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left="633" w:right="1121" w:hanging="480"/>
        <w:jc w:val="left"/>
      </w:pPr>
      <w:r>
        <w:rPr/>
        <w:t>权和建筑物之间进行分配，难以合理分配的，全部作为固定资产处理。 </w:t>
      </w:r>
      <w:r>
        <w:rPr>
          <w:spacing w:val="-2"/>
        </w:rPr>
        <w:t>使用寿命有限的无形资产自可供使用时起，对其原值减去预计净残值和已计提的减值准备累计金额在</w:t>
      </w:r>
    </w:p>
    <w:p>
      <w:pPr>
        <w:pStyle w:val="BodyText"/>
        <w:spacing w:line="273" w:lineRule="auto"/>
        <w:ind w:left="573" w:right="0" w:hanging="420"/>
        <w:jc w:val="left"/>
      </w:pPr>
      <w:r>
        <w:rPr/>
        <w:t>其预计使用寿命内采用直线法分期平均摊销。使用寿命不确定的无形资产不予摊销。 </w:t>
      </w:r>
      <w:r>
        <w:rPr>
          <w:spacing w:val="-1"/>
        </w:rPr>
        <w:t>期末，对使用寿命有限的无形资产的使用寿命和摊销方法进行复核，如发生变更则作为会计估计变更</w:t>
      </w:r>
    </w:p>
    <w:p>
      <w:pPr>
        <w:pStyle w:val="BodyText"/>
        <w:spacing w:line="273" w:lineRule="auto" w:before="8"/>
        <w:ind w:right="1093"/>
        <w:jc w:val="left"/>
      </w:pPr>
      <w:r>
        <w:rPr>
          <w:spacing w:val="-1"/>
        </w:rPr>
        <w:t>处理。此外，还对使用寿命不确定的无形资产的使用寿命进行复核，如果有证据表明该无形资产为企业带</w:t>
      </w:r>
      <w:r>
        <w:rPr>
          <w:spacing w:val="-83"/>
        </w:rPr>
        <w:t> </w:t>
      </w:r>
      <w:r>
        <w:rPr>
          <w:spacing w:val="-83"/>
        </w:rPr>
      </w:r>
      <w:r>
        <w:rPr/>
        <w:t>来经济利益的期限是可预见的，则估计其使用寿命并按照使用寿命有限的无形资产的摊销政策进行摊销。</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ind w:left="154" w:right="0"/>
        <w:jc w:val="left"/>
        <w:rPr>
          <w:b w:val="0"/>
          <w:bCs w:val="0"/>
        </w:rPr>
      </w:pPr>
      <w:bookmarkStart w:name="（2）内部研究开发支出会计政策" w:id="193"/>
      <w:bookmarkEnd w:id="193"/>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634" w:right="1120"/>
        <w:jc w:val="left"/>
      </w:pPr>
      <w:r>
        <w:rPr/>
        <w:t>本公司内部研究开发项目的支出分为研究阶段支出与开发阶段支出。 研究阶段的支出，于发生时计入当期损益。 </w:t>
      </w:r>
      <w:r>
        <w:rPr>
          <w:spacing w:val="-2"/>
        </w:rPr>
        <w:t>开发阶段的支出同时满足下列条件的，确认为无形资产，不能满足下述条件的开发阶段的支出计入当</w:t>
      </w:r>
    </w:p>
    <w:p>
      <w:pPr>
        <w:pStyle w:val="BodyText"/>
        <w:spacing w:line="240" w:lineRule="auto"/>
        <w:ind w:left="154" w:right="0"/>
        <w:jc w:val="left"/>
      </w:pPr>
      <w:r>
        <w:rPr/>
        <w:t>期损益：</w:t>
      </w:r>
    </w:p>
    <w:p>
      <w:pPr>
        <w:pStyle w:val="BodyText"/>
        <w:spacing w:line="240" w:lineRule="auto" w:before="37"/>
        <w:ind w:left="634" w:right="0"/>
        <w:jc w:val="left"/>
      </w:pPr>
      <w:r>
        <w:rPr/>
        <w:t>①完成该无形资产以使其能够使用或出售在技术上具有可行性；</w:t>
      </w:r>
    </w:p>
    <w:p>
      <w:pPr>
        <w:pStyle w:val="BodyText"/>
        <w:spacing w:line="240" w:lineRule="auto" w:before="37"/>
        <w:ind w:left="633" w:right="0"/>
        <w:jc w:val="left"/>
      </w:pPr>
      <w:r>
        <w:rPr/>
        <w:t>②具有完成该无形资产并使用或出售的意图；</w:t>
      </w:r>
    </w:p>
    <w:p>
      <w:pPr>
        <w:pStyle w:val="BodyText"/>
        <w:spacing w:line="273" w:lineRule="auto" w:before="37"/>
        <w:ind w:left="154" w:right="1132" w:firstLine="480"/>
        <w:jc w:val="both"/>
      </w:pPr>
      <w:r>
        <w:rPr>
          <w:spacing w:val="-2"/>
        </w:rPr>
        <w:t>③无形资产产生经济利益的方式，包括能够证明运用该无形资产生产的产品存在市场或无形资产自身</w:t>
      </w:r>
      <w:r>
        <w:rPr/>
        <w:t> 存在市场，无形资产将在内部使用的，能够证明其有用性；</w:t>
      </w:r>
    </w:p>
    <w:p>
      <w:pPr>
        <w:pStyle w:val="BodyText"/>
        <w:spacing w:line="273" w:lineRule="auto"/>
        <w:ind w:left="154" w:right="1132" w:firstLine="480"/>
        <w:jc w:val="both"/>
      </w:pPr>
      <w:r>
        <w:rPr>
          <w:spacing w:val="-2"/>
        </w:rPr>
        <w:t>④有足够的技术、财务资源和其他资源支持，以完成该无形资产的开发，并有能力使用或出售该无形</w:t>
      </w:r>
      <w:r>
        <w:rPr/>
        <w:t> 资产；</w:t>
      </w:r>
    </w:p>
    <w:p>
      <w:pPr>
        <w:pStyle w:val="BodyText"/>
        <w:spacing w:line="273" w:lineRule="auto"/>
        <w:ind w:left="634" w:right="2712"/>
        <w:jc w:val="left"/>
      </w:pPr>
      <w:r>
        <w:rPr/>
        <w:t>⑤归属于该无形资产开发阶段的支出能够可靠地计量。 无法区分研究阶段支出和开发阶段支出的，将发生的研发支出全部计入当期损益。</w:t>
      </w:r>
    </w:p>
    <w:p>
      <w:pPr>
        <w:spacing w:line="240" w:lineRule="auto" w:before="8"/>
        <w:rPr>
          <w:rFonts w:ascii="宋体" w:hAnsi="宋体" w:cs="宋体" w:eastAsia="宋体" w:hint="default"/>
          <w:sz w:val="24"/>
          <w:szCs w:val="24"/>
        </w:rPr>
      </w:pPr>
    </w:p>
    <w:p>
      <w:pPr>
        <w:pStyle w:val="BodyText"/>
        <w:spacing w:line="590" w:lineRule="atLeast" w:before="0"/>
        <w:ind w:left="634" w:right="1032" w:hanging="480"/>
        <w:jc w:val="left"/>
      </w:pPr>
      <w:bookmarkStart w:name="22、长期资产减值" w:id="194"/>
      <w:bookmarkEnd w:id="194"/>
      <w:r>
        <w:rPr/>
      </w:r>
      <w:r>
        <w:rPr>
          <w:rFonts w:ascii="Times New Roman" w:hAnsi="Times New Roman" w:cs="Times New Roman" w:eastAsia="Times New Roman" w:hint="default"/>
          <w:b/>
          <w:bCs/>
        </w:rPr>
        <w:t>22</w:t>
      </w:r>
      <w:r>
        <w:rPr>
          <w:rFonts w:ascii="宋体" w:hAnsi="宋体" w:cs="宋体" w:eastAsia="宋体" w:hint="default"/>
          <w:b/>
          <w:bCs/>
        </w:rPr>
        <w:t>、长期资产减值</w:t>
      </w:r>
      <w:r>
        <w:rPr>
          <w:rFonts w:ascii="宋体" w:hAnsi="宋体" w:cs="宋体" w:eastAsia="宋体" w:hint="default"/>
          <w:b/>
          <w:bCs/>
          <w:w w:val="99"/>
        </w:rPr>
        <w:t> </w:t>
      </w:r>
      <w:r>
        <w:rPr/>
        <w:t>对于固定资产、在建工程、使用寿命有限的无形资产、以成本模式计量的投资性房地产及对子公司、</w:t>
      </w:r>
    </w:p>
    <w:p>
      <w:pPr>
        <w:pStyle w:val="BodyText"/>
        <w:spacing w:line="273" w:lineRule="auto" w:before="37"/>
        <w:ind w:left="154" w:right="1023"/>
        <w:jc w:val="left"/>
      </w:pPr>
      <w:r>
        <w:rPr>
          <w:spacing w:val="-3"/>
        </w:rPr>
        <w:t>合营企业、联营企业的长期股权投资等非流动非金融资产，本公司于资产负债表日判断是否存在减值迹象。</w:t>
      </w:r>
      <w:r>
        <w:rPr>
          <w:spacing w:val="-92"/>
        </w:rPr>
        <w:t> </w:t>
      </w:r>
      <w:r>
        <w:rPr>
          <w:spacing w:val="-92"/>
        </w:rPr>
      </w:r>
      <w:r>
        <w:rPr/>
        <w:t>如存在减值迹象的，则估计其可收回金额，进行减值测试。商誉、使用寿命不确定的无形资产和尚未达到</w:t>
      </w:r>
      <w:r>
        <w:rPr/>
        <w:t> 可使用状态的无形资产，无论是否存在减值迹象，每年均进行减值测试。</w:t>
      </w:r>
    </w:p>
    <w:p>
      <w:pPr>
        <w:pStyle w:val="BodyText"/>
        <w:spacing w:line="273" w:lineRule="auto"/>
        <w:ind w:right="1109" w:firstLine="480"/>
        <w:jc w:val="both"/>
      </w:pPr>
      <w:r>
        <w:rPr>
          <w:spacing w:val="-2"/>
        </w:rPr>
        <w:t>减值测试结果表明资产的可收回金额低于其账面价值的，按其差额计提减值准备并计入减值损失。可</w:t>
      </w:r>
      <w:r>
        <w:rPr/>
        <w:t> </w:t>
      </w:r>
      <w:r>
        <w:rPr>
          <w:spacing w:val="-1"/>
        </w:rPr>
        <w:t>收回金额为资产的公允价值减去处置费用后的净额与资产预计未来现金流量的现值两者之间的较高者。资</w:t>
      </w:r>
      <w:r>
        <w:rPr>
          <w:spacing w:val="-81"/>
        </w:rPr>
        <w:t> </w:t>
      </w:r>
      <w:r>
        <w:rPr>
          <w:spacing w:val="-81"/>
        </w:rPr>
      </w:r>
      <w:r>
        <w:rPr>
          <w:spacing w:val="-1"/>
        </w:rPr>
        <w:t>产的公允价值根据公平交易中销售协议价格确定；不存在销售协议但存在资产活跃市场的，公允价值按照</w:t>
      </w:r>
      <w:r>
        <w:rPr>
          <w:spacing w:val="-81"/>
        </w:rPr>
        <w:t> </w:t>
      </w:r>
      <w:r>
        <w:rPr>
          <w:spacing w:val="-81"/>
        </w:rPr>
      </w:r>
      <w:r>
        <w:rPr>
          <w:spacing w:val="-1"/>
        </w:rPr>
        <w:t>该资产的买方出价确定；不存在销售协议和资产活跃市场的，则以可获取的最佳信息为基础估计资产的公</w:t>
      </w:r>
      <w:r>
        <w:rPr>
          <w:spacing w:val="-81"/>
        </w:rPr>
        <w:t> </w:t>
      </w:r>
      <w:r>
        <w:rPr>
          <w:spacing w:val="-81"/>
        </w:rPr>
      </w:r>
      <w:r>
        <w:rPr>
          <w:spacing w:val="-1"/>
        </w:rPr>
        <w:t>允价值。处置费用包括与资产处置有关的法律费用、相关税费、搬运费以及为使资产达到可销售状态所发</w:t>
      </w:r>
      <w:r>
        <w:rPr>
          <w:spacing w:val="-83"/>
        </w:rPr>
        <w:t> </w:t>
      </w:r>
      <w:r>
        <w:rPr>
          <w:spacing w:val="-83"/>
        </w:rPr>
      </w:r>
      <w:r>
        <w:rPr>
          <w:spacing w:val="-1"/>
        </w:rPr>
        <w:t>生的直接费用。资产预计未来现金流量的现值，按照资产在持续使用过程中和最终处置时所产生的预计未</w:t>
      </w:r>
      <w:r>
        <w:rPr>
          <w:spacing w:val="-81"/>
        </w:rPr>
        <w:t> </w:t>
      </w:r>
      <w:r>
        <w:rPr>
          <w:spacing w:val="-81"/>
        </w:rPr>
      </w:r>
      <w:r>
        <w:rPr>
          <w:spacing w:val="-1"/>
        </w:rPr>
        <w:t>来现金流量，选择恰当的折现率对其进行折现后的金额加以确定。资产减值准备按单项资产为基础计算并</w:t>
      </w:r>
      <w:r>
        <w:rPr>
          <w:spacing w:val="-81"/>
        </w:rPr>
        <w:t> </w:t>
      </w:r>
      <w:r>
        <w:rPr>
          <w:spacing w:val="-81"/>
        </w:rPr>
      </w:r>
      <w:r>
        <w:rPr/>
        <w:t>确认，如果难以对单项资产的可收回金额进行估计的，以该资产所属的资产组确定资产组的可收回金额。 资产组是能够独立产生现金流入的最小资产组合。</w:t>
      </w:r>
    </w:p>
    <w:p>
      <w:pPr>
        <w:pStyle w:val="BodyText"/>
        <w:spacing w:line="273" w:lineRule="auto"/>
        <w:ind w:left="154" w:right="1131" w:firstLine="480"/>
        <w:jc w:val="both"/>
      </w:pPr>
      <w:r>
        <w:rPr>
          <w:spacing w:val="-2"/>
        </w:rPr>
        <w:t>在财务报表中单独列示的商誉，在进行减值测试时，将商誉的账面价值分摊至预期从企业合并的协同</w:t>
      </w:r>
      <w:r>
        <w:rPr/>
        <w:t> </w:t>
      </w:r>
      <w:r>
        <w:rPr>
          <w:spacing w:val="-1"/>
        </w:rPr>
        <w:t>效应中受益的资产组或资产组组合。测试结果表明包含分摊的商誉的资产组或资产组组合的可收回金额低</w:t>
      </w:r>
      <w:r>
        <w:rPr>
          <w:spacing w:val="-81"/>
        </w:rPr>
        <w:t> </w:t>
      </w:r>
      <w:r>
        <w:rPr>
          <w:spacing w:val="-81"/>
        </w:rPr>
      </w:r>
      <w:r>
        <w:rPr>
          <w:spacing w:val="-1"/>
        </w:rPr>
        <w:t>于其账面价值的，确认相应的减值损失。减值损失金额先抵减分摊至该资产组或资产组组合的商誉的账面</w:t>
      </w:r>
      <w:r>
        <w:rPr>
          <w:spacing w:val="-81"/>
        </w:rPr>
        <w:t> </w:t>
      </w:r>
      <w:r>
        <w:rPr>
          <w:spacing w:val="-81"/>
        </w:rPr>
      </w:r>
      <w:r>
        <w:rPr>
          <w:spacing w:val="-1"/>
        </w:rPr>
        <w:t>价值，再根据资产组或资产组组合中除商誉以外的其他各项资产的账面价值所占比重，按比例抵减其他各</w:t>
      </w:r>
      <w:r>
        <w:rPr>
          <w:spacing w:val="-81"/>
        </w:rPr>
        <w:t> </w:t>
      </w:r>
      <w:r>
        <w:rPr>
          <w:spacing w:val="-81"/>
        </w:rPr>
      </w:r>
      <w:r>
        <w:rPr/>
        <w:t>项资产的账面价值。</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left="633" w:right="0"/>
        <w:jc w:val="left"/>
      </w:pPr>
      <w:r>
        <w:rPr/>
        <w:t>上述资产减值损失一经确认，以后期间不予转回价值得以恢复的部分。</w:t>
      </w:r>
    </w:p>
    <w:p>
      <w:pPr>
        <w:spacing w:line="240" w:lineRule="auto" w:before="11"/>
        <w:rPr>
          <w:rFonts w:ascii="宋体" w:hAnsi="宋体" w:cs="宋体" w:eastAsia="宋体" w:hint="default"/>
          <w:sz w:val="26"/>
          <w:szCs w:val="26"/>
        </w:rPr>
      </w:pPr>
    </w:p>
    <w:p>
      <w:pPr>
        <w:pStyle w:val="BodyText"/>
        <w:spacing w:line="590" w:lineRule="atLeast" w:before="0"/>
        <w:ind w:left="634" w:right="1120" w:hanging="480"/>
        <w:jc w:val="left"/>
      </w:pPr>
      <w:bookmarkStart w:name="23、长期待摊费用" w:id="195"/>
      <w:bookmarkEnd w:id="195"/>
      <w:r>
        <w:rPr/>
      </w:r>
      <w:r>
        <w:rPr>
          <w:rFonts w:ascii="Times New Roman" w:hAnsi="Times New Roman" w:cs="Times New Roman" w:eastAsia="Times New Roman" w:hint="default"/>
          <w:b/>
          <w:bCs/>
        </w:rPr>
        <w:t>23</w:t>
      </w:r>
      <w:r>
        <w:rPr>
          <w:rFonts w:ascii="宋体" w:hAnsi="宋体" w:cs="宋体" w:eastAsia="宋体" w:hint="default"/>
          <w:b/>
          <w:bCs/>
        </w:rPr>
        <w:t>、长期待摊费用</w:t>
      </w:r>
      <w:r>
        <w:rPr>
          <w:rFonts w:ascii="宋体" w:hAnsi="宋体" w:cs="宋体" w:eastAsia="宋体" w:hint="default"/>
          <w:b/>
          <w:bCs/>
          <w:w w:val="99"/>
        </w:rPr>
        <w:t> </w:t>
      </w:r>
      <w:r>
        <w:rPr>
          <w:spacing w:val="-2"/>
        </w:rPr>
        <w:t>长期待摊费用为已经发生但应由报告期和以后各期负担的分摊期限在一年以上的各项费用。本公司的</w:t>
      </w:r>
    </w:p>
    <w:p>
      <w:pPr>
        <w:pStyle w:val="BodyText"/>
        <w:spacing w:line="240" w:lineRule="auto" w:before="37"/>
        <w:ind w:left="154" w:right="0"/>
        <w:jc w:val="left"/>
      </w:pPr>
      <w:r>
        <w:rPr/>
        <w:t>长期待摊费用主要包括装修费及认证费等。长期待摊费用在预计受益期间按直线法摊销。</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4"/>
        <w:spacing w:line="240" w:lineRule="auto"/>
        <w:ind w:right="0"/>
        <w:jc w:val="left"/>
        <w:rPr>
          <w:b w:val="0"/>
          <w:bCs w:val="0"/>
        </w:rPr>
      </w:pPr>
      <w:bookmarkStart w:name="24、职工薪酬" w:id="196"/>
      <w:bookmarkEnd w:id="196"/>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1）短期薪酬的会计处理方法" w:id="197"/>
      <w:bookmarkEnd w:id="197"/>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154" w:right="1109"/>
        <w:jc w:val="both"/>
      </w:pPr>
      <w:r>
        <w:rPr>
          <w:spacing w:val="-1"/>
        </w:rPr>
        <w:t>短期薪酬主要包括工资、奖金、津贴和补贴、职工福利费、医疗保险费、生育保险费、工伤保险费、住房</w:t>
      </w:r>
      <w:r>
        <w:rPr>
          <w:spacing w:val="-85"/>
        </w:rPr>
        <w:t> </w:t>
      </w:r>
      <w:r>
        <w:rPr>
          <w:spacing w:val="-85"/>
        </w:rPr>
      </w:r>
      <w:r>
        <w:rPr>
          <w:spacing w:val="-1"/>
        </w:rPr>
        <w:t>公积金、工会经费和职工教育经费、非货币性福利等。本公司在职工为本公司提供服务的会计期间将实际</w:t>
      </w:r>
      <w:r>
        <w:rPr>
          <w:spacing w:val="-83"/>
        </w:rPr>
        <w:t> </w:t>
      </w:r>
      <w:r>
        <w:rPr>
          <w:spacing w:val="-83"/>
        </w:rPr>
      </w:r>
      <w:r>
        <w:rPr/>
        <w:t>发生的短期职工薪酬确认为负债，并计入当期损益或相关资产成本。其中非货币性福利按公允价值计量。</w:t>
      </w:r>
    </w:p>
    <w:p>
      <w:pPr>
        <w:spacing w:line="240" w:lineRule="auto" w:before="8"/>
        <w:rPr>
          <w:rFonts w:ascii="宋体" w:hAnsi="宋体" w:cs="宋体" w:eastAsia="宋体" w:hint="default"/>
          <w:sz w:val="23"/>
          <w:szCs w:val="23"/>
        </w:rPr>
      </w:pPr>
    </w:p>
    <w:p>
      <w:pPr>
        <w:pStyle w:val="Heading4"/>
        <w:spacing w:line="240" w:lineRule="auto"/>
        <w:ind w:left="154" w:right="0"/>
        <w:jc w:val="left"/>
        <w:rPr>
          <w:b w:val="0"/>
          <w:bCs w:val="0"/>
        </w:rPr>
      </w:pPr>
      <w:bookmarkStart w:name="（2）离职后福利的会计处理方法" w:id="198"/>
      <w:bookmarkEnd w:id="198"/>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154" w:right="0"/>
        <w:jc w:val="left"/>
      </w:pPr>
      <w:r>
        <w:rPr>
          <w:spacing w:val="-1"/>
        </w:rPr>
        <w:t>离职后福利主要包括设定提存计划，设定提存计划主要包括基本养老保险、失业保险以及年金等，相应的</w:t>
      </w:r>
      <w:r>
        <w:rPr>
          <w:spacing w:val="-83"/>
        </w:rPr>
        <w:t> </w:t>
      </w:r>
      <w:r>
        <w:rPr>
          <w:spacing w:val="-83"/>
        </w:rPr>
      </w:r>
      <w:r>
        <w:rPr/>
        <w:t>应缴存金额于发生时计入相关资产成本或当期损益。</w:t>
      </w:r>
    </w:p>
    <w:p>
      <w:pPr>
        <w:spacing w:line="240" w:lineRule="auto" w:before="8"/>
        <w:rPr>
          <w:rFonts w:ascii="宋体" w:hAnsi="宋体" w:cs="宋体" w:eastAsia="宋体" w:hint="default"/>
          <w:sz w:val="23"/>
          <w:szCs w:val="23"/>
        </w:rPr>
      </w:pPr>
    </w:p>
    <w:p>
      <w:pPr>
        <w:pStyle w:val="Heading4"/>
        <w:spacing w:line="240" w:lineRule="auto"/>
        <w:ind w:left="154" w:right="0"/>
        <w:jc w:val="left"/>
        <w:rPr>
          <w:b w:val="0"/>
          <w:bCs w:val="0"/>
        </w:rPr>
      </w:pPr>
      <w:bookmarkStart w:name="（3）辞退福利的会计处理方法" w:id="199"/>
      <w:bookmarkEnd w:id="199"/>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1009"/>
        <w:jc w:val="left"/>
      </w:pPr>
      <w:r>
        <w:rPr/>
        <w:t>在职工劳动合同到期之前解除与职工的劳动关系，或为鼓励职工自愿接受裁减而提出给予补偿的建议，在 本公司不能单方面撤回因解除劳动关系计划或裁减建议所提供的辞退福利时，和本公司确认与涉及支付辞 退福利的重组相关的成本两者孰早日，确认辞退福利产生的职工薪酬负债，并计入当期损益。但辞退福利 预期在年度报告期结束后十二个月不能完全支付的，按照其他长期职工薪酬处理。 职工内部退休计划采用上述辞退福利相同的原则处理。本公司将自职工停止提供服务日至正常退休日的期 </w:t>
      </w:r>
      <w:r>
        <w:rPr>
          <w:spacing w:val="-7"/>
        </w:rPr>
        <w:t>间拟支付的内退人员工资和缴纳的社会保险费等，在符合预计负债确认条件时，计入当期损益（辞退福利）。</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ind w:left="154" w:right="0"/>
        <w:jc w:val="left"/>
        <w:rPr>
          <w:b w:val="0"/>
          <w:bCs w:val="0"/>
        </w:rPr>
      </w:pPr>
      <w:bookmarkStart w:name="（4）其他长期职工福利的会计处理方法" w:id="200"/>
      <w:bookmarkEnd w:id="200"/>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154" w:right="0"/>
        <w:jc w:val="left"/>
      </w:pPr>
      <w:r>
        <w:rPr>
          <w:spacing w:val="-1"/>
        </w:rPr>
        <w:t>本公司向职工提供的其他长期职工福利，符合设定提存计划的，按照设定提存计划进行会计处理，除此之</w:t>
      </w:r>
      <w:r>
        <w:rPr>
          <w:spacing w:val="-83"/>
        </w:rPr>
        <w:t> </w:t>
      </w:r>
      <w:r>
        <w:rPr>
          <w:spacing w:val="-83"/>
        </w:rPr>
      </w:r>
      <w:r>
        <w:rPr/>
        <w:t>外按照设定收益计划进行会计处理。</w:t>
      </w:r>
    </w:p>
    <w:p>
      <w:pPr>
        <w:spacing w:line="240" w:lineRule="auto" w:before="8"/>
        <w:rPr>
          <w:rFonts w:ascii="宋体" w:hAnsi="宋体" w:cs="宋体" w:eastAsia="宋体" w:hint="default"/>
          <w:sz w:val="24"/>
          <w:szCs w:val="24"/>
        </w:rPr>
      </w:pPr>
    </w:p>
    <w:p>
      <w:pPr>
        <w:pStyle w:val="BodyText"/>
        <w:spacing w:line="590" w:lineRule="atLeast" w:before="0"/>
        <w:ind w:left="154" w:right="1197"/>
        <w:jc w:val="left"/>
      </w:pPr>
      <w:bookmarkStart w:name="25、预计负债" w:id="201"/>
      <w:bookmarkEnd w:id="201"/>
      <w:r>
        <w:rPr/>
      </w:r>
      <w:r>
        <w:rPr>
          <w:rFonts w:ascii="Times New Roman" w:hAnsi="Times New Roman" w:cs="Times New Roman" w:eastAsia="Times New Roman" w:hint="default"/>
          <w:b/>
          <w:bCs/>
        </w:rPr>
        <w:t>25</w:t>
      </w:r>
      <w:r>
        <w:rPr>
          <w:rFonts w:ascii="宋体" w:hAnsi="宋体" w:cs="宋体" w:eastAsia="宋体" w:hint="default"/>
          <w:b/>
          <w:bCs/>
        </w:rPr>
        <w:t>、预计负债</w:t>
      </w:r>
      <w:r>
        <w:rPr>
          <w:rFonts w:ascii="宋体" w:hAnsi="宋体" w:cs="宋体" w:eastAsia="宋体" w:hint="default"/>
          <w:b/>
          <w:bCs/>
          <w:w w:val="99"/>
        </w:rPr>
        <w:t> </w:t>
      </w:r>
      <w:r>
        <w:rPr/>
        <w:t>当与或有事项相关的义务同时符合以下条件，确认为预计负债：（</w:t>
      </w:r>
      <w:r>
        <w:rPr>
          <w:rFonts w:ascii="宋体" w:hAnsi="宋体" w:cs="宋体" w:eastAsia="宋体" w:hint="default"/>
        </w:rPr>
        <w:t>1</w:t>
      </w:r>
      <w:r>
        <w:rPr/>
        <w:t>）该义务是本公司承担的现时义务；</w:t>
      </w:r>
    </w:p>
    <w:p>
      <w:pPr>
        <w:pStyle w:val="BodyText"/>
        <w:spacing w:line="273" w:lineRule="auto" w:before="37"/>
        <w:ind w:left="154" w:right="0"/>
        <w:jc w:val="left"/>
      </w:pPr>
      <w:r>
        <w:rPr/>
        <w:t>（</w:t>
      </w:r>
      <w:r>
        <w:rPr>
          <w:rFonts w:ascii="宋体" w:hAnsi="宋体" w:cs="宋体" w:eastAsia="宋体" w:hint="default"/>
        </w:rPr>
        <w:t>2</w:t>
      </w:r>
      <w:r>
        <w:rPr/>
        <w:t>）履行该义务很可能导致经济利益流出；（</w:t>
      </w:r>
      <w:r>
        <w:rPr>
          <w:rFonts w:ascii="宋体" w:hAnsi="宋体" w:cs="宋体" w:eastAsia="宋体" w:hint="default"/>
        </w:rPr>
        <w:t>3</w:t>
      </w:r>
      <w:r>
        <w:rPr/>
        <w:t>）该义务的金额能够可靠地计量。 </w:t>
      </w:r>
      <w:r>
        <w:rPr>
          <w:spacing w:val="-1"/>
        </w:rPr>
        <w:t>在资产负债表日，考虑与或有事项有关的风险、不确定性和货币时间价值等因素，按照履行相关现时义务</w:t>
      </w:r>
      <w:r>
        <w:rPr>
          <w:spacing w:val="-83"/>
        </w:rPr>
        <w:t> </w:t>
      </w:r>
      <w:r>
        <w:rPr>
          <w:spacing w:val="-83"/>
        </w:rPr>
      </w:r>
      <w:r>
        <w:rPr/>
        <w:t>所需支出的最佳估计数对预计负债进行计量。 </w:t>
      </w:r>
      <w:r>
        <w:rPr>
          <w:spacing w:val="-1"/>
        </w:rPr>
        <w:t>如果清偿预计负债所需支出全部或部分预期由第三方补偿的，补偿金额在基本确定能够收到时，作为资产</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right="0"/>
        <w:jc w:val="left"/>
      </w:pPr>
      <w:r>
        <w:rPr/>
        <w:t>单独确认，且确认的补偿金额不超过预计负债的账面价值。</w:t>
      </w:r>
    </w:p>
    <w:p>
      <w:pPr>
        <w:pStyle w:val="BodyText"/>
        <w:spacing w:line="273" w:lineRule="auto" w:before="37"/>
        <w:ind w:left="154" w:right="0"/>
        <w:jc w:val="left"/>
      </w:pPr>
      <w:r>
        <w:rPr/>
        <w:t>（</w:t>
      </w:r>
      <w:r>
        <w:rPr>
          <w:rFonts w:ascii="宋体" w:hAnsi="宋体" w:cs="宋体" w:eastAsia="宋体" w:hint="default"/>
        </w:rPr>
        <w:t>1</w:t>
      </w:r>
      <w:r>
        <w:rPr/>
        <w:t>）亏损合同 </w:t>
      </w:r>
      <w:r>
        <w:rPr>
          <w:spacing w:val="-1"/>
        </w:rPr>
        <w:t>亏损合同是履行合同义务不可避免会发生的成本超过预期经济利益的合同。待执行合同变成亏损合同，且</w:t>
      </w:r>
      <w:r>
        <w:rPr>
          <w:spacing w:val="-81"/>
        </w:rPr>
        <w:t> </w:t>
      </w:r>
      <w:r>
        <w:rPr>
          <w:spacing w:val="-81"/>
        </w:rPr>
      </w:r>
      <w:r>
        <w:rPr>
          <w:spacing w:val="-1"/>
        </w:rPr>
        <w:t>该亏损合同产生的义务满足上述预计负债的确认条件的，将合同预计损失超过合同标的资产已确认的减值</w:t>
      </w:r>
      <w:r>
        <w:rPr>
          <w:spacing w:val="-81"/>
        </w:rPr>
        <w:t> </w:t>
      </w:r>
      <w:r>
        <w:rPr>
          <w:spacing w:val="-81"/>
        </w:rPr>
      </w:r>
      <w:r>
        <w:rPr/>
        <w:t>损失（如有）的部分，确认为预计负债。</w:t>
      </w:r>
    </w:p>
    <w:p>
      <w:pPr>
        <w:pStyle w:val="BodyText"/>
        <w:spacing w:line="273" w:lineRule="auto"/>
        <w:ind w:left="154" w:right="0"/>
        <w:jc w:val="left"/>
      </w:pPr>
      <w:r>
        <w:rPr/>
        <w:t>（</w:t>
      </w:r>
      <w:r>
        <w:rPr>
          <w:rFonts w:ascii="宋体" w:hAnsi="宋体" w:cs="宋体" w:eastAsia="宋体" w:hint="default"/>
        </w:rPr>
        <w:t>2</w:t>
      </w:r>
      <w:r>
        <w:rPr/>
        <w:t>）重组义务 </w:t>
      </w:r>
      <w:r>
        <w:rPr>
          <w:spacing w:val="-1"/>
        </w:rPr>
        <w:t>对于有详细、正式并且已经对外公告的重组计划，在满足前述预计负债的确认条件的情况下，按照与重组</w:t>
      </w:r>
      <w:r>
        <w:rPr>
          <w:spacing w:val="-83"/>
        </w:rPr>
        <w:t> </w:t>
      </w:r>
      <w:r>
        <w:rPr>
          <w:spacing w:val="-83"/>
        </w:rPr>
      </w:r>
      <w:r>
        <w:rPr>
          <w:spacing w:val="-1"/>
        </w:rPr>
        <w:t>有关的直接支出确定预计负债金额。对于出售部分业务的重组义务，只有在本公司承诺出售部分业务（即</w:t>
      </w:r>
      <w:r>
        <w:rPr>
          <w:spacing w:val="-83"/>
        </w:rPr>
        <w:t> </w:t>
      </w:r>
      <w:r>
        <w:rPr>
          <w:spacing w:val="-83"/>
        </w:rPr>
      </w:r>
      <w:r>
        <w:rPr/>
        <w:t>签订了约束性出售协议时），才确认与重组相关的义务。</w:t>
      </w:r>
    </w:p>
    <w:p>
      <w:pPr>
        <w:spacing w:line="240" w:lineRule="auto" w:before="6"/>
        <w:rPr>
          <w:rFonts w:ascii="宋体" w:hAnsi="宋体" w:cs="宋体" w:eastAsia="宋体" w:hint="default"/>
          <w:sz w:val="24"/>
          <w:szCs w:val="24"/>
        </w:rPr>
      </w:pPr>
    </w:p>
    <w:p>
      <w:pPr>
        <w:pStyle w:val="BodyText"/>
        <w:spacing w:line="240" w:lineRule="auto" w:before="0"/>
        <w:ind w:right="0"/>
        <w:jc w:val="left"/>
      </w:pPr>
      <w:r>
        <w:rPr>
          <w:rFonts w:ascii="宋体" w:hAnsi="宋体" w:cs="宋体" w:eastAsia="宋体" w:hint="default"/>
        </w:rPr>
        <w:t>26</w:t>
      </w:r>
      <w:r>
        <w:rPr/>
        <w:t>、股份支付</w:t>
      </w:r>
    </w:p>
    <w:p>
      <w:pPr>
        <w:pStyle w:val="BodyText"/>
        <w:spacing w:line="273" w:lineRule="auto" w:before="37"/>
        <w:ind w:right="1303"/>
        <w:jc w:val="left"/>
      </w:pPr>
      <w:r>
        <w:rPr/>
        <w:t>（</w:t>
      </w:r>
      <w:r>
        <w:rPr>
          <w:rFonts w:ascii="宋体" w:hAnsi="宋体" w:cs="宋体" w:eastAsia="宋体" w:hint="default"/>
        </w:rPr>
        <w:t>1</w:t>
      </w:r>
      <w:r>
        <w:rPr/>
        <w:t>）股份支付的会计处理方法 股份支付是为了获取职工或其他方提供服务而授予权益工具或者承担以权益工具为基础确定的负债的交 易。股份支付分为以权益结算的股份支付和以现金结算的股份支付。</w:t>
      </w:r>
    </w:p>
    <w:p>
      <w:pPr>
        <w:pStyle w:val="BodyText"/>
        <w:spacing w:line="273" w:lineRule="auto"/>
        <w:ind w:right="0"/>
        <w:jc w:val="left"/>
      </w:pPr>
      <w:r>
        <w:rPr/>
        <w:t>①以权益结算的股份支付 </w:t>
      </w:r>
      <w:r>
        <w:rPr>
          <w:spacing w:val="-1"/>
        </w:rPr>
        <w:t>用以换取职工提供的服务的权益结算的股份支付，以授予职工权益工具在授予日的公允价值计量。该公允</w:t>
      </w:r>
      <w:r>
        <w:rPr>
          <w:spacing w:val="-81"/>
        </w:rPr>
        <w:t> </w:t>
      </w:r>
      <w:r>
        <w:rPr>
          <w:spacing w:val="-81"/>
        </w:rPr>
      </w:r>
      <w:r>
        <w:rPr>
          <w:spacing w:val="-1"/>
        </w:rPr>
        <w:t>价值的金额在完成等待期内的服务或达到规定业绩条件才可行权的情况下，在等待期内以对可行权权益工</w:t>
      </w:r>
      <w:r>
        <w:rPr>
          <w:spacing w:val="-81"/>
        </w:rPr>
        <w:t> </w:t>
      </w:r>
      <w:r>
        <w:rPr>
          <w:spacing w:val="-81"/>
        </w:rPr>
      </w:r>
      <w:r>
        <w:rPr/>
        <w:t>具数量的最佳估计为基础，按直线法计算计入相关成本或费用</w:t>
      </w:r>
      <w:r>
        <w:rPr>
          <w:rFonts w:ascii="宋体" w:hAnsi="宋体" w:cs="宋体" w:eastAsia="宋体" w:hint="default"/>
        </w:rPr>
        <w:t>/</w:t>
      </w:r>
      <w:r>
        <w:rPr/>
        <w:t>在授予后立即可行权时，在授予日计入相 关成本或费用，相应增加资本公积。 </w:t>
      </w:r>
      <w:r>
        <w:rPr>
          <w:spacing w:val="-1"/>
        </w:rPr>
        <w:t>在等待期内每个资产负债表日，本公司根据最新取得的可行权职工人数变动等后续信息做出最佳估计，修</w:t>
      </w:r>
      <w:r>
        <w:rPr>
          <w:spacing w:val="-81"/>
        </w:rPr>
        <w:t> </w:t>
      </w:r>
      <w:r>
        <w:rPr>
          <w:spacing w:val="-81"/>
        </w:rPr>
      </w:r>
      <w:r>
        <w:rPr/>
        <w:t>正预计可行权的权益工具数量。上述估计的影响计入当期相关成本或费用，并相应调整资本公积。 </w:t>
      </w:r>
      <w:r>
        <w:rPr>
          <w:spacing w:val="-1"/>
        </w:rPr>
        <w:t>用以换取其他方服务的权益结算的股份支付，如果其他方服务的公允价值能够可靠计量，按照其他方服务</w:t>
      </w:r>
      <w:r>
        <w:rPr>
          <w:spacing w:val="-81"/>
        </w:rPr>
        <w:t> </w:t>
      </w:r>
      <w:r>
        <w:rPr>
          <w:spacing w:val="-81"/>
        </w:rPr>
      </w:r>
      <w:r>
        <w:rPr>
          <w:spacing w:val="-1"/>
        </w:rPr>
        <w:t>在取得日的公允价值计量，如果其他方服务的公允价值不能可靠计量，但权益工具的公允价值能够可靠计</w:t>
      </w:r>
      <w:r>
        <w:rPr>
          <w:spacing w:val="-81"/>
        </w:rPr>
        <w:t> </w:t>
      </w:r>
      <w:r>
        <w:rPr>
          <w:spacing w:val="-81"/>
        </w:rPr>
      </w:r>
      <w:r>
        <w:rPr/>
        <w:t>量的，按照权益工具在服务取得日的公允价值计量，计入相关成本或费用，相应增加股东权益。 </w:t>
      </w:r>
      <w:r>
        <w:rPr>
          <w:spacing w:val="-1"/>
        </w:rPr>
        <w:t>当授予权益工具的公允价值无法可靠计量时，在服务取得日、后续的每个资产负债表日以及结算日，按权</w:t>
      </w:r>
      <w:r>
        <w:rPr>
          <w:spacing w:val="-83"/>
        </w:rPr>
        <w:t> </w:t>
      </w:r>
      <w:r>
        <w:rPr>
          <w:spacing w:val="-83"/>
        </w:rPr>
      </w:r>
      <w:r>
        <w:rPr/>
        <w:t>益工具的内在价值计量，内在价值变动计入当期损益。</w:t>
      </w:r>
    </w:p>
    <w:p>
      <w:pPr>
        <w:pStyle w:val="BodyText"/>
        <w:spacing w:line="273" w:lineRule="auto"/>
        <w:ind w:left="154" w:right="1092"/>
        <w:jc w:val="left"/>
      </w:pPr>
      <w:r>
        <w:rPr/>
        <w:t>②以现金结算的股份支付 </w:t>
      </w:r>
      <w:r>
        <w:rPr>
          <w:spacing w:val="-1"/>
        </w:rPr>
        <w:t>以现金结算的股份支付，按照本公司承担的以股份或其他权益工具为基础确定的负债的公允价值计量。如</w:t>
      </w:r>
      <w:r>
        <w:rPr>
          <w:spacing w:val="-81"/>
        </w:rPr>
        <w:t> </w:t>
      </w:r>
      <w:r>
        <w:rPr>
          <w:spacing w:val="-81"/>
        </w:rPr>
      </w:r>
      <w:r>
        <w:rPr>
          <w:spacing w:val="-1"/>
        </w:rPr>
        <w:t>授予后立即可行权，在授予日计入相关成本或费用，相应增加负债；如须完成等待期内的服务或达到规定</w:t>
      </w:r>
      <w:r>
        <w:rPr>
          <w:spacing w:val="-83"/>
        </w:rPr>
        <w:t> </w:t>
      </w:r>
      <w:r>
        <w:rPr>
          <w:spacing w:val="-83"/>
        </w:rPr>
      </w:r>
      <w:r>
        <w:rPr>
          <w:spacing w:val="-1"/>
        </w:rPr>
        <w:t>业绩条件以后才可行权，在等待期的每个资产负债表日，以对可行权情况的最佳估计为基础，按照本公司</w:t>
      </w:r>
      <w:r>
        <w:rPr>
          <w:spacing w:val="-83"/>
        </w:rPr>
        <w:t> </w:t>
      </w:r>
      <w:r>
        <w:rPr>
          <w:spacing w:val="-83"/>
        </w:rPr>
      </w:r>
      <w:r>
        <w:rPr/>
        <w:t>承担负债的公允价值金额，将当期取得的服务计入成本或费用，相应增加负债。 在相关负债结算前的每个资产负债表日以及结算日，对负债的公允价值重新计量，其变动计入当期损益。</w:t>
      </w:r>
    </w:p>
    <w:p>
      <w:pPr>
        <w:pStyle w:val="BodyText"/>
        <w:spacing w:line="273" w:lineRule="auto"/>
        <w:ind w:right="0"/>
        <w:jc w:val="left"/>
      </w:pPr>
      <w:r>
        <w:rPr/>
        <w:t>（</w:t>
      </w:r>
      <w:r>
        <w:rPr>
          <w:rFonts w:ascii="宋体" w:hAnsi="宋体" w:cs="宋体" w:eastAsia="宋体" w:hint="default"/>
        </w:rPr>
        <w:t>2</w:t>
      </w:r>
      <w:r>
        <w:rPr/>
        <w:t>）修改、终止股份支付计划的相关会计处理 </w:t>
      </w:r>
      <w:r>
        <w:rPr>
          <w:spacing w:val="-1"/>
        </w:rPr>
        <w:t>本公司对股份支付计划进行修改时，若修改增加了所授予权益工具的公允价值，按照权益工具公允价值的</w:t>
      </w:r>
      <w:r>
        <w:rPr>
          <w:spacing w:val="-80"/>
        </w:rPr>
        <w:t> </w:t>
      </w:r>
      <w:r>
        <w:rPr>
          <w:spacing w:val="-80"/>
        </w:rPr>
      </w:r>
      <w:r>
        <w:rPr>
          <w:spacing w:val="-1"/>
        </w:rPr>
        <w:t>增加相应确认取得服务的增加。权益工具公允价值的增加是指修改前后的权益工具在修改日的公允价值之</w:t>
      </w:r>
      <w:r>
        <w:rPr>
          <w:spacing w:val="-81"/>
        </w:rPr>
        <w:t> </w:t>
      </w:r>
      <w:r>
        <w:rPr>
          <w:spacing w:val="-81"/>
        </w:rPr>
      </w:r>
      <w:r>
        <w:rPr>
          <w:spacing w:val="-1"/>
        </w:rPr>
        <w:t>间的差额。若修改减少了股份支付公允价值总额或采用了其他不利于职工的方式，则仍继续对取得的服务</w:t>
      </w:r>
      <w:r>
        <w:rPr>
          <w:spacing w:val="-81"/>
        </w:rPr>
        <w:t> </w:t>
      </w:r>
      <w:r>
        <w:rPr>
          <w:spacing w:val="-81"/>
        </w:rPr>
      </w:r>
      <w:r>
        <w:rPr/>
        <w:t>进行会计处理，视同该变更从未发生，除非本公司取消了部分或全部已授予的权益工具。 </w:t>
      </w:r>
      <w:r>
        <w:rPr>
          <w:spacing w:val="-1"/>
        </w:rPr>
        <w:t>在等待期内，如果取消了授予的权益工具，本公司对取消所授予的权益性工具作为加速行权处理，将剩余</w:t>
      </w:r>
      <w:r>
        <w:rPr>
          <w:spacing w:val="-83"/>
        </w:rPr>
        <w:t> </w:t>
      </w:r>
      <w:r>
        <w:rPr>
          <w:spacing w:val="-83"/>
        </w:rPr>
      </w:r>
      <w:r>
        <w:rPr>
          <w:spacing w:val="-1"/>
        </w:rPr>
        <w:t>等待期内应确认的金额立即计入当期损益，同时确认资本公积。职工或其他方能够选择满足非可行权条件</w:t>
      </w:r>
      <w:r>
        <w:rPr>
          <w:spacing w:val="-81"/>
        </w:rPr>
        <w:t> </w:t>
      </w:r>
      <w:r>
        <w:rPr>
          <w:spacing w:val="-81"/>
        </w:rPr>
      </w:r>
      <w:r>
        <w:rPr/>
        <w:t>但在等待期内未满足的，本公司将其作为授予权益工具的取消处理。</w:t>
      </w:r>
    </w:p>
    <w:p>
      <w:pPr>
        <w:pStyle w:val="BodyText"/>
        <w:spacing w:line="273" w:lineRule="auto" w:before="8"/>
        <w:ind w:left="154" w:right="0"/>
        <w:jc w:val="left"/>
      </w:pPr>
      <w:r>
        <w:rPr/>
        <w:t>（</w:t>
      </w:r>
      <w:r>
        <w:rPr>
          <w:rFonts w:ascii="宋体" w:hAnsi="宋体" w:cs="宋体" w:eastAsia="宋体" w:hint="default"/>
        </w:rPr>
        <w:t>3</w:t>
      </w:r>
      <w:r>
        <w:rPr/>
        <w:t>）涉及本公司与本公司股东或实际控制人的股份支付交易的会计处理 </w:t>
      </w:r>
      <w:r>
        <w:rPr>
          <w:spacing w:val="-1"/>
        </w:rPr>
        <w:t>涉及本公司与本公司股东或实际控制人的股份支付交易，结算企业与接受服务企业中其一在本公司内，另</w:t>
      </w:r>
      <w:r>
        <w:rPr>
          <w:spacing w:val="-81"/>
        </w:rPr>
        <w:t> </w:t>
      </w:r>
      <w:r>
        <w:rPr>
          <w:spacing w:val="-81"/>
        </w:rPr>
      </w:r>
      <w:r>
        <w:rPr/>
        <w:t>一在本公司外的，在本公司合并财务报表中按照以下规定进行会计处理：</w:t>
      </w:r>
    </w:p>
    <w:p>
      <w:pPr>
        <w:pStyle w:val="BodyText"/>
        <w:spacing w:line="240" w:lineRule="auto"/>
        <w:ind w:left="154" w:right="0"/>
        <w:jc w:val="left"/>
      </w:pPr>
      <w:r>
        <w:rPr/>
        <w:t>①结算企业以其本身权益工具结算的，将该股份支付交易作为权益结算的股份支付处理；除此之外，作为</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0"/>
        <w:jc w:val="left"/>
      </w:pPr>
      <w:r>
        <w:rPr/>
        <w:t>现金结算的股份支付处理。 </w:t>
      </w:r>
      <w:r>
        <w:rPr>
          <w:spacing w:val="-1"/>
        </w:rPr>
        <w:t>结算企业是接受服务企业的投资者的，按照授予日权益工具的公允价值或应承担负债的公允价值确认为对</w:t>
      </w:r>
      <w:r>
        <w:rPr>
          <w:spacing w:val="-81"/>
        </w:rPr>
        <w:t> </w:t>
      </w:r>
      <w:r>
        <w:rPr>
          <w:spacing w:val="-81"/>
        </w:rPr>
      </w:r>
      <w:r>
        <w:rPr/>
        <w:t>接受服务企业的长期股权投资，同时确认资本公积（其他资本公积）或负债。</w:t>
      </w:r>
    </w:p>
    <w:p>
      <w:pPr>
        <w:pStyle w:val="BodyText"/>
        <w:spacing w:line="273" w:lineRule="auto"/>
        <w:ind w:right="0"/>
        <w:jc w:val="left"/>
      </w:pPr>
      <w:r>
        <w:rPr>
          <w:spacing w:val="-1"/>
        </w:rPr>
        <w:t>②接受服务企业没有结算义务或授予本企业职工的是其本身权益工具的，将该股份支付交易作为权益结算</w:t>
      </w:r>
      <w:r>
        <w:rPr>
          <w:spacing w:val="-81"/>
        </w:rPr>
        <w:t> </w:t>
      </w:r>
      <w:r>
        <w:rPr>
          <w:spacing w:val="-81"/>
        </w:rPr>
      </w:r>
      <w:r>
        <w:rPr>
          <w:spacing w:val="-1"/>
        </w:rPr>
        <w:t>的股份支付处理；接受服务企业具有结算义务且授予本企业职工的并非其本身权益工具的，将该股份支付</w:t>
      </w:r>
      <w:r>
        <w:rPr>
          <w:spacing w:val="-81"/>
        </w:rPr>
        <w:t> </w:t>
      </w:r>
      <w:r>
        <w:rPr>
          <w:spacing w:val="-81"/>
        </w:rPr>
      </w:r>
      <w:r>
        <w:rPr/>
        <w:t>交易作为现金结算的股份支付处理。 </w:t>
      </w:r>
      <w:r>
        <w:rPr>
          <w:spacing w:val="-1"/>
        </w:rPr>
        <w:t>本公司内各企业之间发生的股份支付交易，接受服务企业和结算企业不是同一企业的，在接受服务企业和</w:t>
      </w:r>
      <w:r>
        <w:rPr>
          <w:spacing w:val="-81"/>
        </w:rPr>
        <w:t> </w:t>
      </w:r>
      <w:r>
        <w:rPr>
          <w:spacing w:val="-81"/>
        </w:rPr>
      </w:r>
      <w:r>
        <w:rPr/>
        <w:t>结算企业各自的个别财务报表中对该股份支付交易的确认和计量，比照上述原则处理。</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ind w:right="0"/>
        <w:jc w:val="left"/>
        <w:rPr>
          <w:b w:val="0"/>
          <w:bCs w:val="0"/>
        </w:rPr>
      </w:pPr>
      <w:bookmarkStart w:name="27、优先股、永续债等其他金融工具" w:id="202"/>
      <w:bookmarkEnd w:id="202"/>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8、收入" w:id="203"/>
      <w:bookmarkEnd w:id="203"/>
      <w:r>
        <w:rPr>
          <w:b w:val="0"/>
          <w:bCs w:val="0"/>
        </w:rPr>
      </w:r>
      <w:r>
        <w:rPr>
          <w:rFonts w:ascii="Times New Roman" w:hAnsi="Times New Roman" w:cs="Times New Roman" w:eastAsia="Times New Roman" w:hint="default"/>
        </w:rPr>
        <w:t>28</w:t>
      </w:r>
      <w:r>
        <w:rPr/>
        <w:t>、收入</w:t>
      </w:r>
      <w:r>
        <w:rPr>
          <w:b w:val="0"/>
          <w:bCs w:val="0"/>
        </w:rPr>
      </w:r>
    </w:p>
    <w:p>
      <w:pPr>
        <w:spacing w:line="240" w:lineRule="auto" w:before="8"/>
        <w:rPr>
          <w:rFonts w:ascii="宋体" w:hAnsi="宋体" w:cs="宋体" w:eastAsia="宋体" w:hint="default"/>
          <w:b/>
          <w:bCs/>
          <w:sz w:val="24"/>
          <w:szCs w:val="24"/>
        </w:rPr>
      </w:pPr>
    </w:p>
    <w:p>
      <w:pPr>
        <w:pStyle w:val="BodyText"/>
        <w:spacing w:line="273" w:lineRule="auto" w:before="0"/>
        <w:ind w:left="154" w:right="0"/>
        <w:jc w:val="left"/>
      </w:pPr>
      <w:r>
        <w:rPr/>
        <w:t>（</w:t>
      </w:r>
      <w:r>
        <w:rPr>
          <w:rFonts w:ascii="宋体" w:hAnsi="宋体" w:cs="宋体" w:eastAsia="宋体" w:hint="default"/>
        </w:rPr>
        <w:t>1</w:t>
      </w:r>
      <w:r>
        <w:rPr/>
        <w:t>）商品销售收入 </w:t>
      </w:r>
      <w:r>
        <w:rPr>
          <w:spacing w:val="-1"/>
        </w:rPr>
        <w:t>在已将商品所有权上的主要风险和报酬转移给买方，既没有保留通常与所有权相联系的继续管理权，也没</w:t>
      </w:r>
      <w:r>
        <w:rPr>
          <w:spacing w:val="-81"/>
        </w:rPr>
        <w:t> </w:t>
      </w:r>
      <w:r>
        <w:rPr>
          <w:spacing w:val="-81"/>
        </w:rPr>
      </w:r>
      <w:r>
        <w:rPr>
          <w:spacing w:val="-1"/>
        </w:rPr>
        <w:t>有对已售商品实施有效控制，收入的金额能够可靠地计量，相关的经济利益很可能流入企业，相关的已发</w:t>
      </w:r>
      <w:r>
        <w:rPr>
          <w:spacing w:val="-83"/>
        </w:rPr>
        <w:t> </w:t>
      </w:r>
      <w:r>
        <w:rPr>
          <w:spacing w:val="-83"/>
        </w:rPr>
      </w:r>
      <w:r>
        <w:rPr/>
        <w:t>生或将发生的成本能够可靠地计量时，确认商品销售收入的实现。</w:t>
      </w:r>
    </w:p>
    <w:p>
      <w:pPr>
        <w:pStyle w:val="BodyText"/>
        <w:spacing w:line="273" w:lineRule="auto"/>
        <w:ind w:right="1024"/>
        <w:jc w:val="left"/>
      </w:pPr>
      <w:r>
        <w:rPr/>
        <w:t>（</w:t>
      </w:r>
      <w:r>
        <w:rPr>
          <w:rFonts w:ascii="宋体" w:hAnsi="宋体" w:cs="宋体" w:eastAsia="宋体" w:hint="default"/>
        </w:rPr>
        <w:t>2</w:t>
      </w:r>
      <w:r>
        <w:rPr/>
        <w:t>）提供劳务收入 在提供劳务交易的结果能够可靠估计的情况下，于资产负债表日按照完工百分比法确认提供的劳务收入。 劳务交易的完工进度按已经发生的劳务成本占估计总成本的比例确定。 提供劳务交易的结果能够可靠估计是指同时满足：①收入的金额能够可靠地计量；②相关的经济利益很可 能流入企业；③交易的完工程度能够可靠地确定；④交易中已发生和将发生的成本能够可靠地计量。 如果提供劳务交易的结果不能够可靠估计，则按已经发生并预计能够得到补偿的劳务成本金额确认提供的 劳务收入，并将已发生的劳务成本作为当期费用。已经发生的劳务成本如预计不能得到补偿的，则不确认 收入。 本公司与其他企业签订的合同或协议包括销售商品和提供劳务时，如销售商品部分和提供劳务部分能够区 </w:t>
      </w:r>
      <w:r>
        <w:rPr>
          <w:spacing w:val="-3"/>
        </w:rPr>
        <w:t>分并单独计量的，将销售商品部分和提供劳务部分分别处理；如销售商品部分和提供劳务部分不能够区分，</w:t>
      </w:r>
      <w:r>
        <w:rPr>
          <w:spacing w:val="-92"/>
        </w:rPr>
        <w:t> </w:t>
      </w:r>
      <w:r>
        <w:rPr>
          <w:spacing w:val="-92"/>
        </w:rPr>
      </w:r>
      <w:r>
        <w:rPr/>
        <w:t>或虽能区分但不能够单独计量的，将该合同全部作为销售商品处理。</w:t>
      </w:r>
    </w:p>
    <w:p>
      <w:pPr>
        <w:pStyle w:val="BodyText"/>
        <w:spacing w:line="273" w:lineRule="auto"/>
        <w:ind w:right="1024"/>
        <w:jc w:val="left"/>
      </w:pPr>
      <w:r>
        <w:rPr/>
        <w:t>（</w:t>
      </w:r>
      <w:r>
        <w:rPr>
          <w:rFonts w:ascii="宋体" w:hAnsi="宋体" w:cs="宋体" w:eastAsia="宋体" w:hint="default"/>
        </w:rPr>
        <w:t>3</w:t>
      </w:r>
      <w:r>
        <w:rPr/>
        <w:t>）建造合同收入 在建造合同的结果能够可靠估计的情况下，于资产负债表日按照完工百分比法确认合同收入和合同费用。 合同完工进度按已经完成的合同工作量占合同预计总工作量的比例确定。 建造合同的结果能够可靠估计是指同时满足：①合同总收入能够可靠地计量；②与合同相关的经济利益很 可能流入企业；③实际发生的合同成本能够清楚地区分和可靠地计量；④合同完工进度和为完成合同尚需 发生的成本能够可靠地确定。 如建造合同的结果不能可靠地估计，但合同成本能够收回的，合同收入根据能够收回的实际合同成本予以 </w:t>
      </w:r>
      <w:r>
        <w:rPr>
          <w:spacing w:val="-3"/>
        </w:rPr>
        <w:t>确认，合同成本在其发生的当期确认为合同费用；合同成本不可能收回的，在发生时立即确认为合同费用，</w:t>
      </w:r>
      <w:r>
        <w:rPr>
          <w:spacing w:val="-90"/>
        </w:rPr>
        <w:t> </w:t>
      </w:r>
      <w:r>
        <w:rPr>
          <w:spacing w:val="-90"/>
        </w:rPr>
      </w:r>
      <w:r>
        <w:rPr/>
        <w:t>不确认合同收入。使建造合同的结果不能可靠估计的不确定因素不复存在的，按照完工百分比法确定与建</w:t>
      </w:r>
      <w:r>
        <w:rPr/>
        <w:t> 造合同有关的收入和费用。</w:t>
      </w:r>
    </w:p>
    <w:p>
      <w:pPr>
        <w:pStyle w:val="BodyText"/>
        <w:spacing w:line="273" w:lineRule="auto"/>
        <w:ind w:right="1093"/>
        <w:jc w:val="left"/>
      </w:pPr>
      <w:r>
        <w:rPr/>
        <w:t>合同预计总成本超过合同总收入的，将预计损失确认为当期费用。 在建合同累计已发生的成本和累计已确认的毛利</w:t>
      </w:r>
      <w:r>
        <w:rPr>
          <w:rFonts w:ascii="宋体" w:hAnsi="宋体" w:cs="宋体" w:eastAsia="宋体" w:hint="default"/>
        </w:rPr>
        <w:t>(</w:t>
      </w:r>
      <w:r>
        <w:rPr/>
        <w:t>亏损</w:t>
      </w:r>
      <w:r>
        <w:rPr>
          <w:rFonts w:ascii="宋体" w:hAnsi="宋体" w:cs="宋体" w:eastAsia="宋体" w:hint="default"/>
        </w:rPr>
        <w:t>)</w:t>
      </w:r>
      <w:r>
        <w:rPr/>
        <w:t>与已结算的价款在资产负债表中以抵销后的净额 列示。在建合同累计已发生的成本和累计已确认的毛利</w:t>
      </w:r>
      <w:r>
        <w:rPr>
          <w:rFonts w:ascii="宋体" w:hAnsi="宋体" w:cs="宋体" w:eastAsia="宋体" w:hint="default"/>
        </w:rPr>
        <w:t>(</w:t>
      </w:r>
      <w:r>
        <w:rPr/>
        <w:t>亏损</w:t>
      </w:r>
      <w:r>
        <w:rPr>
          <w:rFonts w:ascii="宋体" w:hAnsi="宋体" w:cs="宋体" w:eastAsia="宋体" w:hint="default"/>
        </w:rPr>
        <w:t>)</w:t>
      </w:r>
      <w:r>
        <w:rPr/>
        <w:t>之和超过已结算价款的部分作为存货列示；</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left="154" w:right="0"/>
        <w:jc w:val="left"/>
      </w:pPr>
      <w:r>
        <w:rPr/>
        <w:t>在建合同已结算的价款超过累计已发生的成本与累计已确认的毛利</w:t>
      </w:r>
      <w:r>
        <w:rPr>
          <w:rFonts w:ascii="宋体" w:hAnsi="宋体" w:cs="宋体" w:eastAsia="宋体" w:hint="default"/>
        </w:rPr>
        <w:t>(</w:t>
      </w:r>
      <w:r>
        <w:rPr/>
        <w:t>亏损</w:t>
      </w:r>
      <w:r>
        <w:rPr>
          <w:rFonts w:ascii="宋体" w:hAnsi="宋体" w:cs="宋体" w:eastAsia="宋体" w:hint="default"/>
        </w:rPr>
        <w:t>)</w:t>
      </w:r>
      <w:r>
        <w:rPr/>
        <w:t>之和的部分作为预收款项列示。</w:t>
      </w:r>
    </w:p>
    <w:p>
      <w:pPr>
        <w:pStyle w:val="BodyText"/>
        <w:spacing w:line="273" w:lineRule="auto" w:before="37"/>
        <w:ind w:left="154" w:right="6342"/>
        <w:jc w:val="left"/>
      </w:pPr>
      <w:r>
        <w:rPr/>
        <w:t>（</w:t>
      </w:r>
      <w:r>
        <w:rPr>
          <w:rFonts w:ascii="宋体" w:hAnsi="宋体" w:cs="宋体" w:eastAsia="宋体" w:hint="default"/>
        </w:rPr>
        <w:t>4</w:t>
      </w:r>
      <w:r>
        <w:rPr/>
        <w:t>）使用费收入 根据有关合同或协议，按权责发生制确认收入。</w:t>
      </w:r>
    </w:p>
    <w:p>
      <w:pPr>
        <w:pStyle w:val="BodyText"/>
        <w:spacing w:line="273" w:lineRule="auto"/>
        <w:ind w:right="5503"/>
        <w:jc w:val="left"/>
      </w:pPr>
      <w:r>
        <w:rPr/>
        <w:t>（</w:t>
      </w:r>
      <w:r>
        <w:rPr>
          <w:rFonts w:ascii="宋体" w:hAnsi="宋体" w:cs="宋体" w:eastAsia="宋体" w:hint="default"/>
        </w:rPr>
        <w:t>5</w:t>
      </w:r>
      <w:r>
        <w:rPr/>
        <w:t>）利息收入 按照他人使用本公司货币资金的时间和实际利率计算确定</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ind w:right="0"/>
        <w:jc w:val="left"/>
        <w:rPr>
          <w:b w:val="0"/>
          <w:bCs w:val="0"/>
        </w:rPr>
      </w:pPr>
      <w:bookmarkStart w:name="29、政府补助" w:id="204"/>
      <w:bookmarkEnd w:id="204"/>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1）与资产相关的政府补助判断依据及会计处理方法" w:id="205"/>
      <w:bookmarkEnd w:id="205"/>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154" w:right="0"/>
        <w:jc w:val="left"/>
      </w:pPr>
      <w:r>
        <w:rPr>
          <w:spacing w:val="-1"/>
        </w:rPr>
        <w:t>政府补助是指本公司从政府无偿取得货币性资产和非货币性资产，不包括政府作为所有者投入的资本。政</w:t>
      </w:r>
      <w:r>
        <w:rPr>
          <w:spacing w:val="-81"/>
        </w:rPr>
        <w:t> </w:t>
      </w:r>
      <w:r>
        <w:rPr>
          <w:spacing w:val="-81"/>
        </w:rPr>
      </w:r>
      <w:r>
        <w:rPr>
          <w:spacing w:val="-1"/>
        </w:rPr>
        <w:t>府补助分为与资产相关的政府补助和与收益相关的政府补助。本公司将所取得的用于购建或以其他方式形</w:t>
      </w:r>
      <w:r>
        <w:rPr>
          <w:spacing w:val="-81"/>
        </w:rPr>
        <w:t> </w:t>
      </w:r>
      <w:r>
        <w:rPr>
          <w:spacing w:val="-81"/>
        </w:rPr>
      </w:r>
      <w:r>
        <w:rPr>
          <w:spacing w:val="-1"/>
        </w:rPr>
        <w:t>成长期资产的政府补助界定为与资产相关的政府补助；其余政府补助界定为与收益相关的政府补助。若政</w:t>
      </w:r>
      <w:r>
        <w:rPr>
          <w:spacing w:val="-81"/>
        </w:rPr>
        <w:t> </w:t>
      </w:r>
      <w:r>
        <w:rPr>
          <w:spacing w:val="-81"/>
        </w:rPr>
      </w:r>
      <w:r>
        <w:rPr>
          <w:spacing w:val="-1"/>
        </w:rPr>
        <w:t>府文件未明确规定补助对象，则采用以下方式将补助款划分为与收益相关的政府补助和与资产相关的政府</w:t>
      </w:r>
      <w:r>
        <w:rPr>
          <w:spacing w:val="-81"/>
        </w:rPr>
        <w:t> </w:t>
      </w:r>
      <w:r>
        <w:rPr>
          <w:spacing w:val="-81"/>
        </w:rPr>
      </w:r>
      <w:r>
        <w:rPr/>
        <w:t>补助：（</w:t>
      </w:r>
      <w:r>
        <w:rPr>
          <w:rFonts w:ascii="宋体" w:hAnsi="宋体" w:cs="宋体" w:eastAsia="宋体" w:hint="default"/>
        </w:rPr>
        <w:t>1</w:t>
      </w:r>
      <w:r>
        <w:rPr/>
        <w:t>）政府文件明确了补助所针对的特定项目的，根据该特定项目的预算中将形成资产的支出金额 </w:t>
      </w:r>
      <w:r>
        <w:rPr>
          <w:spacing w:val="-1"/>
        </w:rPr>
        <w:t>和计入费用的支出金额的相对比例进行划分，对该划分比例需在每个资产负债表日进行复核，必要时进行</w:t>
      </w:r>
      <w:r>
        <w:rPr>
          <w:spacing w:val="-81"/>
        </w:rPr>
        <w:t> </w:t>
      </w:r>
      <w:r>
        <w:rPr>
          <w:spacing w:val="-81"/>
        </w:rPr>
      </w:r>
      <w:r>
        <w:rPr/>
        <w:t>变更；（</w:t>
      </w:r>
      <w:r>
        <w:rPr>
          <w:rFonts w:ascii="宋体" w:hAnsi="宋体" w:cs="宋体" w:eastAsia="宋体" w:hint="default"/>
        </w:rPr>
        <w:t>2</w:t>
      </w:r>
      <w:r>
        <w:rPr/>
        <w:t>）政府文件中对用途仅作一般性表述，没有指明特定项目的，作为与收益相关的政府补助。与 资产相关的政府补助，确认为递延收益，并在相关资产的使用寿命内平均分配计入当期损益。</w:t>
      </w:r>
    </w:p>
    <w:p>
      <w:pPr>
        <w:spacing w:line="240" w:lineRule="auto" w:before="8"/>
        <w:rPr>
          <w:rFonts w:ascii="宋体" w:hAnsi="宋体" w:cs="宋体" w:eastAsia="宋体" w:hint="default"/>
          <w:sz w:val="23"/>
          <w:szCs w:val="23"/>
        </w:rPr>
      </w:pPr>
    </w:p>
    <w:p>
      <w:pPr>
        <w:pStyle w:val="Heading4"/>
        <w:spacing w:line="240" w:lineRule="auto"/>
        <w:ind w:left="154" w:right="0"/>
        <w:jc w:val="left"/>
        <w:rPr>
          <w:b w:val="0"/>
          <w:bCs w:val="0"/>
        </w:rPr>
      </w:pPr>
      <w:bookmarkStart w:name="（2）与收益相关的政府补助判断依据及会计处理方法" w:id="206"/>
      <w:bookmarkEnd w:id="206"/>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8"/>
        <w:rPr>
          <w:rFonts w:ascii="宋体" w:hAnsi="宋体" w:cs="宋体" w:eastAsia="宋体" w:hint="default"/>
          <w:b/>
          <w:bCs/>
          <w:sz w:val="24"/>
          <w:szCs w:val="24"/>
        </w:rPr>
      </w:pPr>
    </w:p>
    <w:p>
      <w:pPr>
        <w:pStyle w:val="BodyText"/>
        <w:spacing w:line="273" w:lineRule="auto" w:before="0"/>
        <w:ind w:right="0"/>
        <w:jc w:val="left"/>
      </w:pPr>
      <w:r>
        <w:rPr>
          <w:spacing w:val="-1"/>
        </w:rPr>
        <w:t>与收益相关的政府补助，用于补偿以后期间的相关费用和损失的，确认为递延收益，并在确认相关费用的</w:t>
      </w:r>
      <w:r>
        <w:rPr>
          <w:spacing w:val="-83"/>
        </w:rPr>
        <w:t> </w:t>
      </w:r>
      <w:r>
        <w:rPr>
          <w:spacing w:val="-83"/>
        </w:rPr>
      </w:r>
      <w:r>
        <w:rPr/>
        <w:t>期间计入当期损益；用于补偿已经发生的相关费用和损失的，直接计入当期损益。</w:t>
      </w:r>
    </w:p>
    <w:p>
      <w:pPr>
        <w:spacing w:line="240" w:lineRule="auto" w:before="8"/>
        <w:rPr>
          <w:rFonts w:ascii="宋体" w:hAnsi="宋体" w:cs="宋体" w:eastAsia="宋体" w:hint="default"/>
          <w:sz w:val="23"/>
          <w:szCs w:val="23"/>
        </w:rPr>
      </w:pPr>
    </w:p>
    <w:p>
      <w:pPr>
        <w:pStyle w:val="Heading4"/>
        <w:spacing w:line="240" w:lineRule="auto"/>
        <w:ind w:right="0"/>
        <w:jc w:val="left"/>
        <w:rPr>
          <w:b w:val="0"/>
          <w:bCs w:val="0"/>
        </w:rPr>
      </w:pPr>
      <w:bookmarkStart w:name="30、递延所得税资产/递延所得税负债" w:id="207"/>
      <w:bookmarkEnd w:id="207"/>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154" w:right="0"/>
        <w:jc w:val="left"/>
      </w:pPr>
      <w:r>
        <w:rPr/>
        <w:t>（</w:t>
      </w:r>
      <w:r>
        <w:rPr>
          <w:rFonts w:ascii="宋体" w:hAnsi="宋体" w:cs="宋体" w:eastAsia="宋体" w:hint="default"/>
        </w:rPr>
        <w:t>1</w:t>
      </w:r>
      <w:r>
        <w:rPr/>
        <w:t>）当期所得税 </w:t>
      </w:r>
      <w:r>
        <w:rPr>
          <w:spacing w:val="-1"/>
        </w:rPr>
        <w:t>资产负债表日，对于当期和以前期间形成的当期所得税负债（或资产），以按照税法规定计算的预期应交</w:t>
      </w:r>
      <w:r>
        <w:rPr>
          <w:spacing w:val="-86"/>
        </w:rPr>
        <w:t> </w:t>
      </w:r>
      <w:r>
        <w:rPr>
          <w:spacing w:val="-86"/>
        </w:rPr>
      </w:r>
      <w:r>
        <w:rPr>
          <w:spacing w:val="-1"/>
        </w:rPr>
        <w:t>纳（或返还）的所得税金额计量。计算当期所得税费用所依据的应纳税所得额系根据有关税法规定对本年</w:t>
      </w:r>
      <w:r>
        <w:rPr>
          <w:spacing w:val="-83"/>
        </w:rPr>
        <w:t> </w:t>
      </w:r>
      <w:r>
        <w:rPr>
          <w:spacing w:val="-83"/>
        </w:rPr>
      </w:r>
      <w:r>
        <w:rPr/>
        <w:t>度税前会计利润作相应调整后计算得出。</w:t>
      </w:r>
    </w:p>
    <w:p>
      <w:pPr>
        <w:pStyle w:val="BodyText"/>
        <w:spacing w:line="273" w:lineRule="auto"/>
        <w:ind w:right="1093"/>
        <w:jc w:val="left"/>
      </w:pPr>
      <w:r>
        <w:rPr/>
        <w:t>（</w:t>
      </w:r>
      <w:r>
        <w:rPr>
          <w:rFonts w:ascii="宋体" w:hAnsi="宋体" w:cs="宋体" w:eastAsia="宋体" w:hint="default"/>
        </w:rPr>
        <w:t>2</w:t>
      </w:r>
      <w:r>
        <w:rPr/>
        <w:t>）递延所得税资产及递延所得税负债 </w:t>
      </w:r>
      <w:r>
        <w:rPr>
          <w:spacing w:val="-1"/>
        </w:rPr>
        <w:t>某些资产、负债项目的账面价值与其计税基础之间的差额，以及未作为资产和负债确认但按照税法规定可</w:t>
      </w:r>
      <w:r>
        <w:rPr>
          <w:spacing w:val="-80"/>
        </w:rPr>
        <w:t> </w:t>
      </w:r>
      <w:r>
        <w:rPr>
          <w:spacing w:val="-80"/>
        </w:rPr>
      </w:r>
      <w:r>
        <w:rPr>
          <w:spacing w:val="-1"/>
        </w:rPr>
        <w:t>以确定其计税基础的项目的账面价值与计税基础之间的差额产生的暂时性差异，采用资产负债表债务法确</w:t>
      </w:r>
      <w:r>
        <w:rPr>
          <w:spacing w:val="-81"/>
        </w:rPr>
        <w:t> </w:t>
      </w:r>
      <w:r>
        <w:rPr>
          <w:spacing w:val="-81"/>
        </w:rPr>
      </w:r>
      <w:r>
        <w:rPr/>
        <w:t>认递延所得税资产及递延所得税负债。 </w:t>
      </w:r>
      <w:r>
        <w:rPr>
          <w:spacing w:val="-1"/>
        </w:rPr>
        <w:t>与商誉的初始确认有关，以及与既不是企业合并、发生时也不影响会计利润和应纳税所得额（或可抵扣亏</w:t>
      </w:r>
      <w:r>
        <w:rPr>
          <w:spacing w:val="-83"/>
        </w:rPr>
        <w:t> </w:t>
      </w:r>
      <w:r>
        <w:rPr>
          <w:spacing w:val="-83"/>
        </w:rPr>
      </w:r>
      <w:r>
        <w:rPr/>
        <w:t>损）的交易中产生的资产或负债的初始确认有关的应纳税暂时性差异，不予确认有关的递延所得税负债。 </w:t>
      </w:r>
      <w:r>
        <w:rPr>
          <w:spacing w:val="-1"/>
        </w:rPr>
        <w:t>此外，对与子公司、联营企业及合营企业投资相关的应纳税暂时性差异，如果本公司能够控制暂时性差异</w:t>
      </w:r>
      <w:r>
        <w:rPr>
          <w:spacing w:val="-83"/>
        </w:rPr>
        <w:t> </w:t>
      </w:r>
      <w:r>
        <w:rPr>
          <w:spacing w:val="-83"/>
        </w:rPr>
      </w:r>
      <w:r>
        <w:rPr>
          <w:spacing w:val="-1"/>
        </w:rPr>
        <w:t>转回的时间，而且该暂时性差异在可预见的未来很可能不会转回，也不予确认有关的递延所得税负债。除</w:t>
      </w:r>
      <w:r>
        <w:rPr>
          <w:spacing w:val="-83"/>
        </w:rPr>
        <w:t> </w:t>
      </w:r>
      <w:r>
        <w:rPr>
          <w:spacing w:val="-83"/>
        </w:rPr>
      </w:r>
      <w:r>
        <w:rPr/>
        <w:t>上述例外情况，本公司确认其他所有应纳税暂时性差异产生的递延所得税负债。 </w:t>
      </w:r>
      <w:r>
        <w:rPr>
          <w:spacing w:val="-1"/>
        </w:rPr>
        <w:t>与既不是企业合并、发生时也不影响会计利润和应纳税所得额（或可抵扣亏损）的交易中产生的资产或负</w:t>
      </w:r>
      <w:r>
        <w:rPr>
          <w:spacing w:val="-83"/>
        </w:rPr>
        <w:t> </w:t>
      </w:r>
      <w:r>
        <w:rPr>
          <w:spacing w:val="-83"/>
        </w:rPr>
      </w:r>
      <w:r>
        <w:rPr>
          <w:spacing w:val="-1"/>
        </w:rPr>
        <w:t>债的初始确认有关的可抵扣暂时性差异，不予确认有关的递延所得税资产。此外，对与子公司、联营企业</w:t>
      </w:r>
      <w:r>
        <w:rPr>
          <w:spacing w:val="-86"/>
        </w:rPr>
        <w:t> </w:t>
      </w:r>
      <w:r>
        <w:rPr>
          <w:spacing w:val="-86"/>
        </w:rPr>
      </w:r>
      <w:r>
        <w:rPr>
          <w:spacing w:val="-1"/>
        </w:rPr>
        <w:t>及合营企业投资相关的可抵扣暂时性差异，如果暂时性差异在可预见的未来不是很可能转回，或者未来不</w:t>
      </w:r>
      <w:r>
        <w:rPr>
          <w:spacing w:val="-81"/>
        </w:rPr>
        <w:t> </w:t>
      </w:r>
      <w:r>
        <w:rPr>
          <w:spacing w:val="-81"/>
        </w:rPr>
      </w:r>
      <w:r>
        <w:rPr>
          <w:spacing w:val="-1"/>
        </w:rPr>
        <w:t>是很可能获得用来抵扣可抵扣暂时性差异的应纳税所得额，不予确认有关的递延所得税资产。除上述例外</w:t>
      </w:r>
      <w:r>
        <w:rPr>
          <w:spacing w:val="-81"/>
        </w:rPr>
        <w:t> </w:t>
      </w:r>
      <w:r>
        <w:rPr>
          <w:spacing w:val="-81"/>
        </w:rPr>
      </w:r>
      <w:r>
        <w:rPr>
          <w:spacing w:val="-1"/>
        </w:rPr>
        <w:t>情况，本公司以很可能取得用来抵扣可抵扣暂时性差异的应纳税所得额为限，确认其他可抵扣暂时性差异</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0"/>
        <w:jc w:val="left"/>
      </w:pPr>
      <w:r>
        <w:rPr/>
        <w:t>产生的递延所得税资产。 </w:t>
      </w:r>
      <w:r>
        <w:rPr>
          <w:spacing w:val="-1"/>
        </w:rPr>
        <w:t>对于能够结转以后年度的可抵扣亏损和税款抵减，以很可能获得用来抵扣可抵扣亏损和税款抵减的未来应</w:t>
      </w:r>
      <w:r>
        <w:rPr>
          <w:spacing w:val="-81"/>
        </w:rPr>
        <w:t> </w:t>
      </w:r>
      <w:r>
        <w:rPr>
          <w:spacing w:val="-81"/>
        </w:rPr>
      </w:r>
      <w:r>
        <w:rPr/>
        <w:t>纳税所得额为限，确认相应的递延所得税资产。 </w:t>
      </w:r>
      <w:r>
        <w:rPr>
          <w:spacing w:val="-1"/>
        </w:rPr>
        <w:t>资产负债表日，对于递延所得税资产和递延所得税负债，根据税法规定，按照预期收回相关资产或清偿相</w:t>
      </w:r>
      <w:r>
        <w:rPr>
          <w:spacing w:val="-83"/>
        </w:rPr>
        <w:t> </w:t>
      </w:r>
      <w:r>
        <w:rPr>
          <w:spacing w:val="-83"/>
        </w:rPr>
      </w:r>
      <w:r>
        <w:rPr/>
        <w:t>关负债期间的适用税率计量。 </w:t>
      </w:r>
      <w:r>
        <w:rPr>
          <w:spacing w:val="-1"/>
        </w:rPr>
        <w:t>于资产负债表日，对递延所得税资产的账面价值进行复核，如果未来很可能无法获得足够的应纳税所得额</w:t>
      </w:r>
      <w:r>
        <w:rPr>
          <w:spacing w:val="-81"/>
        </w:rPr>
        <w:t> </w:t>
      </w:r>
      <w:r>
        <w:rPr>
          <w:spacing w:val="-81"/>
        </w:rPr>
      </w:r>
      <w:r>
        <w:rPr>
          <w:spacing w:val="-1"/>
        </w:rPr>
        <w:t>用以抵扣递延所得税资产的利益，则减记递延所得税资产的账面价值。在很可能获得足够的应纳税所得额</w:t>
      </w:r>
      <w:r>
        <w:rPr>
          <w:spacing w:val="-81"/>
        </w:rPr>
        <w:t> </w:t>
      </w:r>
      <w:r>
        <w:rPr>
          <w:spacing w:val="-81"/>
        </w:rPr>
      </w:r>
      <w:r>
        <w:rPr/>
        <w:t>时，减记的金额予以转回。</w:t>
      </w:r>
    </w:p>
    <w:p>
      <w:pPr>
        <w:pStyle w:val="BodyText"/>
        <w:spacing w:line="273" w:lineRule="auto"/>
        <w:ind w:left="154" w:right="6762"/>
        <w:jc w:val="left"/>
      </w:pPr>
      <w:r>
        <w:rPr/>
        <w:t>（</w:t>
      </w:r>
      <w:r>
        <w:rPr>
          <w:rFonts w:ascii="宋体" w:hAnsi="宋体" w:cs="宋体" w:eastAsia="宋体" w:hint="default"/>
        </w:rPr>
        <w:t>3</w:t>
      </w:r>
      <w:r>
        <w:rPr/>
        <w:t>）所得税费用 所得税费用包括当期所得税和递延所得税。</w:t>
      </w:r>
    </w:p>
    <w:p>
      <w:pPr>
        <w:pStyle w:val="BodyText"/>
        <w:spacing w:line="273" w:lineRule="auto"/>
        <w:ind w:left="154" w:right="0"/>
        <w:jc w:val="left"/>
      </w:pPr>
      <w:r>
        <w:rPr/>
        <w:t>除确认为其他综合收益或直接计入股东权益的交易和事项相关的当期所得税和递延所得税计入其他综合 </w:t>
      </w:r>
      <w:r>
        <w:rPr>
          <w:spacing w:val="-1"/>
        </w:rPr>
        <w:t>收益或股东权益，以及企业合并产生的递延所得税调整商誉的账面价值外，其余当期所得税和递延所得税</w:t>
      </w:r>
      <w:r>
        <w:rPr>
          <w:spacing w:val="-81"/>
        </w:rPr>
        <w:t> </w:t>
      </w:r>
      <w:r>
        <w:rPr>
          <w:spacing w:val="-81"/>
        </w:rPr>
      </w:r>
      <w:r>
        <w:rPr/>
        <w:t>费用或收益计入当期损益。</w:t>
      </w:r>
    </w:p>
    <w:p>
      <w:pPr>
        <w:pStyle w:val="BodyText"/>
        <w:spacing w:line="273" w:lineRule="auto"/>
        <w:ind w:right="0"/>
        <w:jc w:val="left"/>
      </w:pPr>
      <w:r>
        <w:rPr/>
        <w:t>（</w:t>
      </w:r>
      <w:r>
        <w:rPr>
          <w:rFonts w:ascii="宋体" w:hAnsi="宋体" w:cs="宋体" w:eastAsia="宋体" w:hint="default"/>
        </w:rPr>
        <w:t>4</w:t>
      </w:r>
      <w:r>
        <w:rPr/>
        <w:t>）所得税的抵销 </w:t>
      </w:r>
      <w:r>
        <w:rPr>
          <w:spacing w:val="-1"/>
        </w:rPr>
        <w:t>当拥有以净额结算的法定权利，且意图以净额结算或取得资产、清偿负债同时进行时，本公司当期所得税</w:t>
      </w:r>
      <w:r>
        <w:rPr>
          <w:spacing w:val="-83"/>
        </w:rPr>
        <w:t> </w:t>
      </w:r>
      <w:r>
        <w:rPr>
          <w:spacing w:val="-83"/>
        </w:rPr>
      </w:r>
      <w:r>
        <w:rPr/>
        <w:t>资产及当期所得税负债以抵销后的净额列报。 </w:t>
      </w:r>
      <w:r>
        <w:rPr>
          <w:spacing w:val="-1"/>
        </w:rPr>
        <w:t>当拥有以净额结算当期所得税资产及当期所得税负债的法定权利，且递延所得税资产及递延所得税负债是</w:t>
      </w:r>
      <w:r>
        <w:rPr>
          <w:spacing w:val="-81"/>
        </w:rPr>
        <w:t> </w:t>
      </w:r>
      <w:r>
        <w:rPr>
          <w:spacing w:val="-81"/>
        </w:rPr>
      </w:r>
      <w:r>
        <w:rPr>
          <w:spacing w:val="-1"/>
        </w:rPr>
        <w:t>与同一税收征管部门对同一纳税主体征收的所得税相关或者是对不同的纳税主体相关，但在未来每一具有</w:t>
      </w:r>
      <w:r>
        <w:rPr>
          <w:spacing w:val="-81"/>
        </w:rPr>
        <w:t> </w:t>
      </w:r>
      <w:r>
        <w:rPr>
          <w:spacing w:val="-81"/>
        </w:rPr>
      </w:r>
      <w:r>
        <w:rPr>
          <w:spacing w:val="-1"/>
        </w:rPr>
        <w:t>重要性的递延所得税资产及负债转回的期间内，涉及的纳税主体意图以净额结算当期所得税资产和负债或</w:t>
      </w:r>
      <w:r>
        <w:rPr>
          <w:spacing w:val="-81"/>
        </w:rPr>
        <w:t> </w:t>
      </w:r>
      <w:r>
        <w:rPr>
          <w:spacing w:val="-81"/>
        </w:rPr>
      </w:r>
      <w:r>
        <w:rPr/>
        <w:t>是同时取得资产、清偿负债时，本公司递延所得税资产及递延所得税负债以抵销后的净额列报。</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ind w:right="0"/>
        <w:jc w:val="left"/>
        <w:rPr>
          <w:b w:val="0"/>
          <w:bCs w:val="0"/>
        </w:rPr>
      </w:pPr>
      <w:bookmarkStart w:name="31、租赁" w:id="208"/>
      <w:bookmarkEnd w:id="208"/>
      <w:r>
        <w:rPr>
          <w:b w:val="0"/>
          <w:bCs w:val="0"/>
        </w:rPr>
      </w:r>
      <w:r>
        <w:rPr>
          <w:rFonts w:ascii="Times New Roman" w:hAnsi="Times New Roman" w:cs="Times New Roman" w:eastAsia="Times New Roman" w:hint="default"/>
        </w:rPr>
        <w:t>31</w:t>
      </w:r>
      <w:r>
        <w:rPr/>
        <w:t>、租赁</w:t>
      </w:r>
      <w:r>
        <w:rPr>
          <w:b w:val="0"/>
          <w:bCs w:val="0"/>
        </w:rPr>
      </w:r>
    </w:p>
    <w:p>
      <w:pPr>
        <w:spacing w:line="590" w:lineRule="atLeast" w:before="23"/>
        <w:ind w:left="154" w:right="7182" w:firstLine="0"/>
        <w:jc w:val="left"/>
        <w:rPr>
          <w:rFonts w:ascii="宋体" w:hAnsi="宋体" w:cs="宋体" w:eastAsia="宋体" w:hint="default"/>
          <w:sz w:val="21"/>
          <w:szCs w:val="21"/>
        </w:rPr>
      </w:pPr>
      <w:bookmarkStart w:name="（1）经营租赁的会计处理方法" w:id="209"/>
      <w:bookmarkEnd w:id="20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b/>
          <w:bCs/>
          <w:w w:val="99"/>
          <w:sz w:val="21"/>
          <w:szCs w:val="21"/>
        </w:rPr>
        <w:t> </w:t>
      </w:r>
      <w:r>
        <w:rPr>
          <w:rFonts w:ascii="宋体" w:hAnsi="宋体" w:cs="宋体" w:eastAsia="宋体" w:hint="default"/>
          <w:sz w:val="21"/>
          <w:szCs w:val="21"/>
        </w:rPr>
        <w:t>融资租赁以外的其他租赁为经营租赁。</w:t>
      </w:r>
    </w:p>
    <w:p>
      <w:pPr>
        <w:pStyle w:val="BodyText"/>
        <w:spacing w:line="273" w:lineRule="auto" w:before="37"/>
        <w:ind w:right="0"/>
        <w:jc w:val="left"/>
      </w:pPr>
      <w:r>
        <w:rPr/>
        <w:t>（</w:t>
      </w:r>
      <w:r>
        <w:rPr>
          <w:rFonts w:ascii="宋体" w:hAnsi="宋体" w:cs="宋体" w:eastAsia="宋体" w:hint="default"/>
        </w:rPr>
        <w:t>1</w:t>
      </w:r>
      <w:r>
        <w:rPr/>
        <w:t>）本公司作为承租人记录经营租赁业务 </w:t>
      </w:r>
      <w:r>
        <w:rPr>
          <w:spacing w:val="-1"/>
        </w:rPr>
        <w:t>经营租赁的租金支出在租赁期内的各个期间按直线法计入相关资产成本或当期损益。初始直接费用计入当</w:t>
      </w:r>
      <w:r>
        <w:rPr>
          <w:spacing w:val="-81"/>
        </w:rPr>
        <w:t> </w:t>
      </w:r>
      <w:r>
        <w:rPr>
          <w:spacing w:val="-81"/>
        </w:rPr>
      </w:r>
      <w:r>
        <w:rPr/>
        <w:t>期损益。或有租金于实际发生时计入当期损益。</w:t>
      </w:r>
    </w:p>
    <w:p>
      <w:pPr>
        <w:pStyle w:val="BodyText"/>
        <w:spacing w:line="273" w:lineRule="auto"/>
        <w:ind w:right="0"/>
        <w:jc w:val="left"/>
      </w:pPr>
      <w:r>
        <w:rPr/>
        <w:t>（</w:t>
      </w:r>
      <w:r>
        <w:rPr>
          <w:rFonts w:ascii="宋体" w:hAnsi="宋体" w:cs="宋体" w:eastAsia="宋体" w:hint="default"/>
        </w:rPr>
        <w:t>2</w:t>
      </w:r>
      <w:r>
        <w:rPr/>
        <w:t>）本公司作为出租人记录经营租赁业务 </w:t>
      </w:r>
      <w:r>
        <w:rPr>
          <w:spacing w:val="-1"/>
        </w:rPr>
        <w:t>经营租赁的租金收入在租赁期内的各个期间按直线法确认为当期损益。对金额较大的初始直接费用于发生</w:t>
      </w:r>
      <w:r>
        <w:rPr>
          <w:spacing w:val="-81"/>
        </w:rPr>
        <w:t> </w:t>
      </w:r>
      <w:r>
        <w:rPr>
          <w:spacing w:val="-81"/>
        </w:rPr>
      </w:r>
      <w:r>
        <w:rPr>
          <w:spacing w:val="-1"/>
        </w:rPr>
        <w:t>时予以资本化，在整个租赁期间内按照与确认租金收入相同的基础分期计入当期损益；其他金额较小的初</w:t>
      </w:r>
      <w:r>
        <w:rPr>
          <w:spacing w:val="-81"/>
        </w:rPr>
        <w:t> </w:t>
      </w:r>
      <w:r>
        <w:rPr>
          <w:spacing w:val="-81"/>
        </w:rPr>
      </w:r>
      <w:r>
        <w:rPr/>
        <w:t>始直接费用于发生时计入当期损益。或有租金于实际发生时计入当期损益。</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ind w:right="0"/>
        <w:jc w:val="left"/>
        <w:rPr>
          <w:b w:val="0"/>
          <w:bCs w:val="0"/>
        </w:rPr>
      </w:pPr>
      <w:bookmarkStart w:name="（2）融资租赁的会计处理方法" w:id="210"/>
      <w:bookmarkEnd w:id="210"/>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1118"/>
        <w:jc w:val="left"/>
      </w:pPr>
      <w:r>
        <w:rPr>
          <w:spacing w:val="-1"/>
        </w:rPr>
        <w:t>融资租赁为实质上转移了与资产所有权有关的全部风险和报酬的租赁，其所有权最终可能转移，也可能不</w:t>
      </w:r>
      <w:r>
        <w:rPr>
          <w:spacing w:val="-81"/>
        </w:rPr>
        <w:t> </w:t>
      </w:r>
      <w:r>
        <w:rPr>
          <w:spacing w:val="-81"/>
        </w:rPr>
      </w:r>
      <w:r>
        <w:rPr/>
        <w:t>转移。</w:t>
      </w:r>
    </w:p>
    <w:p>
      <w:pPr>
        <w:pStyle w:val="BodyText"/>
        <w:spacing w:line="273" w:lineRule="auto" w:before="8"/>
        <w:ind w:right="0"/>
        <w:jc w:val="left"/>
      </w:pPr>
      <w:r>
        <w:rPr/>
        <w:t>（</w:t>
      </w:r>
      <w:r>
        <w:rPr>
          <w:rFonts w:ascii="宋体" w:hAnsi="宋体" w:cs="宋体" w:eastAsia="宋体" w:hint="default"/>
        </w:rPr>
        <w:t>1</w:t>
      </w:r>
      <w:r>
        <w:rPr/>
        <w:t>）本公司作为承租人记录融资租赁业务 </w:t>
      </w:r>
      <w:r>
        <w:rPr>
          <w:spacing w:val="-1"/>
        </w:rPr>
        <w:t>于租赁期开始日，将租赁开始日租赁资产的公允价值与最低租赁付款额现值两者中较低者作为租入资产的</w:t>
      </w:r>
      <w:r>
        <w:rPr>
          <w:spacing w:val="-81"/>
        </w:rPr>
        <w:t> </w:t>
      </w:r>
      <w:r>
        <w:rPr>
          <w:spacing w:val="-81"/>
        </w:rPr>
      </w:r>
      <w:r>
        <w:rPr>
          <w:spacing w:val="-1"/>
        </w:rPr>
        <w:t>入账价值，将最低租赁付款额作为长期应付款的入账价值，其差额作为未确认融资费用。此外，在租赁谈</w:t>
      </w:r>
      <w:r>
        <w:rPr>
          <w:spacing w:val="-86"/>
        </w:rPr>
        <w:t> </w:t>
      </w:r>
      <w:r>
        <w:rPr>
          <w:spacing w:val="-86"/>
        </w:rPr>
      </w:r>
      <w:r>
        <w:rPr>
          <w:spacing w:val="-1"/>
        </w:rPr>
        <w:t>判和签订租赁合同过程中发生的，可归属于租赁项目的初始直接费用也计入租入资产价值。最低租赁付款</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right="0"/>
        <w:jc w:val="left"/>
      </w:pPr>
      <w:r>
        <w:rPr/>
        <w:t>额扣除未确认融资费用后的余额分别长期负债和一年内到期的长期负债列示。</w:t>
      </w:r>
    </w:p>
    <w:p>
      <w:pPr>
        <w:pStyle w:val="BodyText"/>
        <w:spacing w:line="273" w:lineRule="auto" w:before="37"/>
        <w:ind w:right="1093"/>
        <w:jc w:val="left"/>
      </w:pPr>
      <w:r>
        <w:rPr/>
        <w:t>（</w:t>
      </w:r>
      <w:r>
        <w:rPr>
          <w:rFonts w:ascii="宋体" w:hAnsi="宋体" w:cs="宋体" w:eastAsia="宋体" w:hint="default"/>
        </w:rPr>
        <w:t>2</w:t>
      </w:r>
      <w:r>
        <w:rPr/>
        <w:t>）本公司作为出租人记录融资租赁业务 </w:t>
      </w:r>
      <w:r>
        <w:rPr>
          <w:spacing w:val="-1"/>
        </w:rPr>
        <w:t>于租赁期开始日，将租赁开始日最低租赁收款额与初始直接费用之和作为应收融资租赁款的入账价值，同</w:t>
      </w:r>
      <w:r>
        <w:rPr>
          <w:spacing w:val="-81"/>
        </w:rPr>
        <w:t> </w:t>
      </w:r>
      <w:r>
        <w:rPr>
          <w:spacing w:val="-81"/>
        </w:rPr>
      </w:r>
      <w:r>
        <w:rPr>
          <w:spacing w:val="-1"/>
        </w:rPr>
        <w:t>时记录未担保余值；将最低租赁收款额、初始直接费用及未担保余值之和与其现值之和的差额确认为未实</w:t>
      </w:r>
      <w:r>
        <w:rPr>
          <w:spacing w:val="-80"/>
        </w:rPr>
        <w:t> </w:t>
      </w:r>
      <w:r>
        <w:rPr>
          <w:spacing w:val="-80"/>
        </w:rPr>
      </w:r>
      <w:r>
        <w:rPr/>
        <w:t>现融资收益。应收融资租赁款扣除未实现融资收益后的余额分别长期债权和一年内到期的长期债权列示。</w:t>
      </w:r>
    </w:p>
    <w:p>
      <w:pPr>
        <w:pStyle w:val="BodyText"/>
        <w:spacing w:line="273" w:lineRule="auto"/>
        <w:ind w:left="154" w:right="1118" w:firstLine="421"/>
        <w:jc w:val="left"/>
      </w:pPr>
      <w:r>
        <w:rPr>
          <w:spacing w:val="-1"/>
        </w:rPr>
        <w:t>未实现融资收益在租赁期内采用实际利率法计算确认当期的融资收入。或有租金于实际发生时计入当</w:t>
      </w:r>
      <w:r>
        <w:rPr/>
        <w:t> 期损益。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48"/>
        <w:ind w:left="154" w:right="0"/>
        <w:jc w:val="left"/>
        <w:rPr>
          <w:b w:val="0"/>
          <w:bCs w:val="0"/>
        </w:rPr>
      </w:pPr>
      <w:bookmarkStart w:name="32、其他重要的会计政策和会计估计" w:id="211"/>
      <w:bookmarkEnd w:id="211"/>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154" w:right="1118"/>
        <w:jc w:val="left"/>
      </w:pPr>
      <w:r>
        <w:rPr/>
        <w:t>（</w:t>
      </w:r>
      <w:r>
        <w:rPr>
          <w:rFonts w:ascii="宋体" w:hAnsi="宋体" w:cs="宋体" w:eastAsia="宋体" w:hint="default"/>
        </w:rPr>
        <w:t>1</w:t>
      </w:r>
      <w:r>
        <w:rPr/>
        <w:t>）终止经营 </w:t>
      </w:r>
      <w:r>
        <w:rPr>
          <w:spacing w:val="-1"/>
        </w:rPr>
        <w:t>终止经营，是指满足下列条件之一的已被本公司处置或划归为持有待售的、在经营和编制财务报表时能够</w:t>
      </w:r>
      <w:r>
        <w:rPr>
          <w:spacing w:val="-81"/>
        </w:rPr>
        <w:t> </w:t>
      </w:r>
      <w:r>
        <w:rPr>
          <w:spacing w:val="-81"/>
        </w:rPr>
      </w:r>
      <w:r>
        <w:rPr>
          <w:spacing w:val="-1"/>
        </w:rPr>
        <w:t>单独区分的组成部分：①该组成部分代表一项独立的主要业务或一个主要经营地区；②该组成部分是拟对</w:t>
      </w:r>
      <w:r>
        <w:rPr>
          <w:spacing w:val="-81"/>
        </w:rPr>
        <w:t> </w:t>
      </w:r>
      <w:r>
        <w:rPr>
          <w:spacing w:val="-81"/>
        </w:rPr>
      </w:r>
      <w:r>
        <w:rPr>
          <w:spacing w:val="-1"/>
        </w:rPr>
        <w:t>一项独立的主要业务或一个主要经营地区进行处置计划的一部分；③该组成部分是仅仅为了再出售而取得</w:t>
      </w:r>
      <w:r>
        <w:rPr>
          <w:spacing w:val="-80"/>
        </w:rPr>
        <w:t> </w:t>
      </w:r>
      <w:r>
        <w:rPr>
          <w:spacing w:val="-80"/>
        </w:rPr>
      </w:r>
      <w:r>
        <w:rPr/>
        <w:t>的子公司。</w:t>
      </w:r>
    </w:p>
    <w:p>
      <w:pPr>
        <w:pStyle w:val="BodyText"/>
        <w:spacing w:line="240" w:lineRule="auto"/>
        <w:ind w:right="0"/>
        <w:jc w:val="left"/>
      </w:pPr>
      <w:r>
        <w:rPr/>
        <w:t>终止经营的会计处理方法参见本附注四、</w:t>
      </w:r>
      <w:r>
        <w:rPr>
          <w:rFonts w:ascii="宋体" w:hAnsi="宋体" w:cs="宋体" w:eastAsia="宋体" w:hint="default"/>
        </w:rPr>
        <w:t>12</w:t>
      </w:r>
      <w:r>
        <w:rPr/>
        <w:t>“划分为持有待售资产”相关描述。</w:t>
      </w:r>
    </w:p>
    <w:p>
      <w:pPr>
        <w:pStyle w:val="BodyText"/>
        <w:spacing w:line="273" w:lineRule="auto" w:before="37"/>
        <w:ind w:left="154" w:right="9387"/>
        <w:jc w:val="left"/>
      </w:pPr>
      <w:r>
        <w:rPr/>
        <w:t>（</w:t>
      </w:r>
      <w:r>
        <w:rPr>
          <w:rFonts w:ascii="宋体" w:hAnsi="宋体" w:cs="宋体" w:eastAsia="宋体" w:hint="default"/>
        </w:rPr>
        <w:t>2</w:t>
      </w:r>
      <w:r>
        <w:rPr/>
        <w:t>）套期会计 无。</w:t>
      </w:r>
    </w:p>
    <w:p>
      <w:pPr>
        <w:pStyle w:val="BodyText"/>
        <w:spacing w:line="273" w:lineRule="auto"/>
        <w:ind w:left="154" w:right="9387"/>
        <w:jc w:val="left"/>
      </w:pPr>
      <w:r>
        <w:rPr/>
        <w:t>（</w:t>
      </w:r>
      <w:r>
        <w:rPr>
          <w:rFonts w:ascii="宋体" w:hAnsi="宋体" w:cs="宋体" w:eastAsia="宋体" w:hint="default"/>
        </w:rPr>
        <w:t>3</w:t>
      </w:r>
      <w:r>
        <w:rPr/>
        <w:t>）回购股份 无。</w:t>
      </w:r>
    </w:p>
    <w:p>
      <w:pPr>
        <w:pStyle w:val="BodyText"/>
        <w:spacing w:line="273" w:lineRule="auto" w:before="8"/>
        <w:ind w:left="154" w:right="9177"/>
        <w:jc w:val="left"/>
      </w:pPr>
      <w:r>
        <w:rPr/>
        <w:t>（</w:t>
      </w:r>
      <w:r>
        <w:rPr>
          <w:rFonts w:ascii="宋体" w:hAnsi="宋体" w:cs="宋体" w:eastAsia="宋体" w:hint="default"/>
        </w:rPr>
        <w:t>4</w:t>
      </w:r>
      <w:r>
        <w:rPr/>
        <w:t>）资产证券化 无。</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ind w:left="154" w:right="0"/>
        <w:jc w:val="left"/>
        <w:rPr>
          <w:b w:val="0"/>
          <w:bCs w:val="0"/>
        </w:rPr>
      </w:pPr>
      <w:bookmarkStart w:name="33、重要会计政策和会计估计变更" w:id="212"/>
      <w:bookmarkEnd w:id="212"/>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重要会计政策变更" w:id="213"/>
      <w:bookmarkEnd w:id="213"/>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重要会计估计变更" w:id="214"/>
      <w:bookmarkEnd w:id="214"/>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34、其他" w:id="215"/>
      <w:bookmarkEnd w:id="215"/>
      <w:r>
        <w:rPr>
          <w:b w:val="0"/>
          <w:bCs w:val="0"/>
        </w:rPr>
      </w:r>
      <w:r>
        <w:rPr>
          <w:rFonts w:ascii="Times New Roman" w:hAnsi="Times New Roman" w:cs="Times New Roman" w:eastAsia="Times New Roman" w:hint="default"/>
        </w:rPr>
        <w:t>34</w:t>
      </w:r>
      <w:r>
        <w:rPr/>
        <w:t>、其他</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154" w:right="1092"/>
        <w:jc w:val="left"/>
      </w:pPr>
      <w:r>
        <w:rPr>
          <w:spacing w:val="-1"/>
        </w:rPr>
        <w:t>本公司在运用会计政策过程中，由于经营活动内在的不确定性，本公司需要对无法准确计量的报表项目的</w:t>
      </w:r>
      <w:r>
        <w:rPr>
          <w:spacing w:val="-81"/>
        </w:rPr>
        <w:t> </w:t>
      </w:r>
      <w:r>
        <w:rPr>
          <w:spacing w:val="-81"/>
        </w:rPr>
      </w:r>
      <w:r>
        <w:rPr>
          <w:spacing w:val="-1"/>
        </w:rPr>
        <w:t>账面价值进行判断、估计和假设。这些判断、估计和假设是基于本公司管理层过去的历史经验，并在考虑</w:t>
      </w:r>
      <w:r>
        <w:rPr>
          <w:spacing w:val="-84"/>
        </w:rPr>
        <w:t> </w:t>
      </w:r>
      <w:r>
        <w:rPr>
          <w:spacing w:val="-84"/>
        </w:rPr>
      </w:r>
      <w:r>
        <w:rPr>
          <w:spacing w:val="-1"/>
        </w:rPr>
        <w:t>其他相关因素的基础上做出的。这些判断、估计和假设会影响收入、费用、资产和负债的报告金额以及资</w:t>
      </w:r>
      <w:r>
        <w:rPr>
          <w:spacing w:val="-86"/>
        </w:rPr>
        <w:t> </w:t>
      </w:r>
      <w:r>
        <w:rPr>
          <w:spacing w:val="-86"/>
        </w:rPr>
      </w:r>
      <w:r>
        <w:rPr>
          <w:spacing w:val="-1"/>
        </w:rPr>
        <w:t>产负债表日或有负债的披露。然而，这些估计的不确定性所导致的实际结果可能与本公司管理层当前的估</w:t>
      </w:r>
      <w:r>
        <w:rPr>
          <w:spacing w:val="-81"/>
        </w:rPr>
        <w:t> </w:t>
      </w:r>
      <w:r>
        <w:rPr>
          <w:spacing w:val="-81"/>
        </w:rPr>
      </w:r>
      <w:r>
        <w:rPr/>
        <w:t>计存在差异，进而造成对未来受影响的资产或负债的账面金额进行重大调整。 本公司对前述判断、估计和假设在持续经营的基础上进行定期复核，会计估计的变更仅影响变更当期的， </w:t>
      </w:r>
      <w:r>
        <w:rPr>
          <w:spacing w:val="-1"/>
        </w:rPr>
        <w:t>其影响数在变更当期予以确认；既影响变更当期又影响未来期间的，其影响数在变更当期和未来期间予以</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2563"/>
        <w:jc w:val="left"/>
      </w:pPr>
      <w:r>
        <w:rPr/>
        <w:t>确认。 于资产负债表日，本公司需对财务报表项目金额进行判断、估计和假设的重要领域如下：</w:t>
      </w:r>
    </w:p>
    <w:p>
      <w:pPr>
        <w:pStyle w:val="BodyText"/>
        <w:spacing w:line="273" w:lineRule="auto"/>
        <w:ind w:right="0"/>
        <w:jc w:val="left"/>
      </w:pPr>
      <w:r>
        <w:rPr/>
        <w:t>（</w:t>
      </w:r>
      <w:r>
        <w:rPr>
          <w:rFonts w:ascii="宋体" w:hAnsi="宋体" w:cs="宋体" w:eastAsia="宋体" w:hint="default"/>
        </w:rPr>
        <w:t>1</w:t>
      </w:r>
      <w:r>
        <w:rPr/>
        <w:t>）租赁的归类 </w:t>
      </w:r>
      <w:r>
        <w:rPr>
          <w:spacing w:val="-3"/>
        </w:rPr>
        <w:t>本公司根据《企业会计准则第</w:t>
      </w:r>
      <w:r>
        <w:rPr>
          <w:rFonts w:ascii="宋体" w:hAnsi="宋体" w:cs="宋体" w:eastAsia="宋体" w:hint="default"/>
          <w:spacing w:val="-3"/>
        </w:rPr>
        <w:t>21</w:t>
      </w:r>
      <w:r>
        <w:rPr>
          <w:spacing w:val="-3"/>
        </w:rPr>
        <w:t>号——租赁》的规定，将租赁归类为经营租赁和融资租赁，在进行归类时，</w:t>
      </w:r>
      <w:r>
        <w:rPr>
          <w:spacing w:val="-95"/>
        </w:rPr>
        <w:t> </w:t>
      </w:r>
      <w:r>
        <w:rPr>
          <w:spacing w:val="-95"/>
        </w:rPr>
      </w:r>
      <w:r>
        <w:rPr/>
        <w:t>管理层需要对是否已将与租出资产所有权有关的全部风险和报酬实质上转移给承租人，或者本公司是否已</w:t>
      </w:r>
      <w:r>
        <w:rPr/>
        <w:t> 经实质上承担与租入资产所有权有关的全部风险和报酬，作出分析和判断。</w:t>
      </w:r>
    </w:p>
    <w:p>
      <w:pPr>
        <w:pStyle w:val="BodyText"/>
        <w:spacing w:line="273" w:lineRule="auto"/>
        <w:ind w:left="154" w:right="0"/>
        <w:jc w:val="left"/>
      </w:pPr>
      <w:r>
        <w:rPr/>
        <w:t>（</w:t>
      </w:r>
      <w:r>
        <w:rPr>
          <w:rFonts w:ascii="宋体" w:hAnsi="宋体" w:cs="宋体" w:eastAsia="宋体" w:hint="default"/>
        </w:rPr>
        <w:t>2</w:t>
      </w:r>
      <w:r>
        <w:rPr/>
        <w:t>）坏账准备计提 </w:t>
      </w:r>
      <w:r>
        <w:rPr>
          <w:spacing w:val="-1"/>
        </w:rPr>
        <w:t>本公司根据应收款项的会计政策，采用备抵法核算坏账损失。应收账款减值是基于评估应收账款的可收回</w:t>
      </w:r>
      <w:r>
        <w:rPr>
          <w:spacing w:val="-81"/>
        </w:rPr>
        <w:t> </w:t>
      </w:r>
      <w:r>
        <w:rPr>
          <w:spacing w:val="-81"/>
        </w:rPr>
      </w:r>
      <w:r>
        <w:rPr>
          <w:spacing w:val="-1"/>
        </w:rPr>
        <w:t>性。鉴定应收账款减值要求管理层的判断和估计。实际的结果与原先估计的差异将在估计被改变的期间影</w:t>
      </w:r>
      <w:r>
        <w:rPr>
          <w:spacing w:val="-81"/>
        </w:rPr>
        <w:t> </w:t>
      </w:r>
      <w:r>
        <w:rPr>
          <w:spacing w:val="-81"/>
        </w:rPr>
      </w:r>
      <w:r>
        <w:rPr/>
        <w:t>响应收账款的账面价值及应收账款坏账准备的计提或转回。</w:t>
      </w:r>
    </w:p>
    <w:p>
      <w:pPr>
        <w:pStyle w:val="BodyText"/>
        <w:spacing w:line="273" w:lineRule="auto"/>
        <w:ind w:left="154" w:right="1023"/>
        <w:jc w:val="left"/>
      </w:pPr>
      <w:r>
        <w:rPr/>
        <w:t>（</w:t>
      </w:r>
      <w:r>
        <w:rPr>
          <w:rFonts w:ascii="宋体" w:hAnsi="宋体" w:cs="宋体" w:eastAsia="宋体" w:hint="default"/>
        </w:rPr>
        <w:t>3</w:t>
      </w:r>
      <w:r>
        <w:rPr/>
        <w:t>）存货跌价准备 </w:t>
      </w:r>
      <w:r>
        <w:rPr>
          <w:spacing w:val="-3"/>
        </w:rPr>
        <w:t>本公司根据存货会计政策，按照成本与可变现净值孰低计量，对成本高于可变现净值及陈旧和滞销的存货，</w:t>
      </w:r>
      <w:r>
        <w:rPr>
          <w:spacing w:val="-92"/>
        </w:rPr>
        <w:t> </w:t>
      </w:r>
      <w:r>
        <w:rPr>
          <w:spacing w:val="-92"/>
        </w:rPr>
      </w:r>
      <w:r>
        <w:rPr/>
        <w:t>计提存货跌价准备。存货减值至可变现净值是基于评估存货的可售性及其可变现净值。鉴定存货减值要求</w:t>
      </w:r>
      <w:r>
        <w:rPr/>
        <w:t> 管理层在取得确凿证据，并且考虑持有存货的目的、资产负债表日后事项的影响等因素的基础上作出判断 和估计。实际的结果与原先估计的差异将在估计被改变的期间影响存货的账面价值及存货跌价准备的计提 或转回。</w:t>
      </w:r>
    </w:p>
    <w:p>
      <w:pPr>
        <w:pStyle w:val="BodyText"/>
        <w:spacing w:line="273" w:lineRule="auto"/>
        <w:ind w:left="154" w:right="0"/>
        <w:jc w:val="left"/>
      </w:pPr>
      <w:r>
        <w:rPr/>
        <w:t>（</w:t>
      </w:r>
      <w:r>
        <w:rPr>
          <w:rFonts w:ascii="宋体" w:hAnsi="宋体" w:cs="宋体" w:eastAsia="宋体" w:hint="default"/>
        </w:rPr>
        <w:t>4</w:t>
      </w:r>
      <w:r>
        <w:rPr/>
        <w:t>）金融工具公允价值 </w:t>
      </w:r>
      <w:r>
        <w:rPr>
          <w:spacing w:val="-1"/>
        </w:rPr>
        <w:t>对不存在活跃交易市场的金融工具，本公司通过各种估值方法确定其公允价值。这些估值方法包括贴现现</w:t>
      </w:r>
      <w:r>
        <w:rPr>
          <w:spacing w:val="-81"/>
        </w:rPr>
        <w:t> </w:t>
      </w:r>
      <w:r>
        <w:rPr>
          <w:spacing w:val="-81"/>
        </w:rPr>
      </w:r>
      <w:r>
        <w:rPr>
          <w:spacing w:val="-1"/>
        </w:rPr>
        <w:t>金流模型分析等。估值时本公司需对未来现金流量、信用风险、市场波动率和相关性等方面进行估计，并</w:t>
      </w:r>
      <w:r>
        <w:rPr>
          <w:spacing w:val="-85"/>
        </w:rPr>
        <w:t> </w:t>
      </w:r>
      <w:r>
        <w:rPr>
          <w:spacing w:val="-85"/>
        </w:rPr>
      </w:r>
      <w:r>
        <w:rPr/>
        <w:t>选择适当的折现率。这些相关假设具有不确定性，其变化会对金融工具的公允价值产生影响。</w:t>
      </w:r>
    </w:p>
    <w:p>
      <w:pPr>
        <w:pStyle w:val="BodyText"/>
        <w:spacing w:line="273" w:lineRule="auto"/>
        <w:ind w:left="154" w:right="0"/>
        <w:jc w:val="left"/>
      </w:pPr>
      <w:r>
        <w:rPr/>
        <w:t>（</w:t>
      </w:r>
      <w:r>
        <w:rPr>
          <w:rFonts w:ascii="宋体" w:hAnsi="宋体" w:cs="宋体" w:eastAsia="宋体" w:hint="default"/>
        </w:rPr>
        <w:t>5</w:t>
      </w:r>
      <w:r>
        <w:rPr/>
        <w:t>）持有至到期投资 本公司将符合条件的有固定或可确定还款金额和固定到期日且本公司有明确意图和能力持有至到期的非 </w:t>
      </w:r>
      <w:r>
        <w:rPr>
          <w:spacing w:val="-1"/>
        </w:rPr>
        <w:t>衍生金融资产归类为持有至到期投资。进行此项归类工作需涉及大量的判断。在进行判断的过程中，本公</w:t>
      </w:r>
      <w:r>
        <w:rPr>
          <w:spacing w:val="-83"/>
        </w:rPr>
        <w:t> </w:t>
      </w:r>
      <w:r>
        <w:rPr>
          <w:spacing w:val="-83"/>
        </w:rPr>
      </w:r>
      <w:r>
        <w:rPr>
          <w:spacing w:val="-1"/>
        </w:rPr>
        <w:t>司会对其持有该类投资至到期日的意愿和能力进行评估。除特定情况外（例如在接近到期日时出售金额不</w:t>
      </w:r>
      <w:r>
        <w:rPr>
          <w:spacing w:val="-80"/>
        </w:rPr>
        <w:t> </w:t>
      </w:r>
      <w:r>
        <w:rPr>
          <w:spacing w:val="-80"/>
        </w:rPr>
      </w:r>
      <w:r>
        <w:rPr>
          <w:spacing w:val="-1"/>
        </w:rPr>
        <w:t>重大的投资），如果本公司未能将这些投资持有至到期日，则须将全部该类投资重分类至可供出售金融资</w:t>
      </w:r>
      <w:r>
        <w:rPr>
          <w:spacing w:val="-83"/>
        </w:rPr>
        <w:t> </w:t>
      </w:r>
      <w:r>
        <w:rPr>
          <w:spacing w:val="-83"/>
        </w:rPr>
      </w:r>
      <w:r>
        <w:rPr>
          <w:spacing w:val="-1"/>
        </w:rPr>
        <w:t>产，且在本会计年度及以后两个完整的会计年度内不得再将该金融资产划分为持有至到期投资。如出现此</w:t>
      </w:r>
      <w:r>
        <w:rPr>
          <w:spacing w:val="-81"/>
        </w:rPr>
        <w:t> </w:t>
      </w:r>
      <w:r>
        <w:rPr>
          <w:spacing w:val="-81"/>
        </w:rPr>
      </w:r>
      <w:r>
        <w:rPr>
          <w:spacing w:val="-1"/>
        </w:rPr>
        <w:t>类情况，可能对财务报表上所列报的相关金融资产价值产生重大的影响，并且可能影响本公司的金融工具</w:t>
      </w:r>
      <w:r>
        <w:rPr>
          <w:spacing w:val="-81"/>
        </w:rPr>
        <w:t> </w:t>
      </w:r>
      <w:r>
        <w:rPr>
          <w:spacing w:val="-81"/>
        </w:rPr>
      </w:r>
      <w:r>
        <w:rPr/>
        <w:t>风险管理策略。</w:t>
      </w:r>
    </w:p>
    <w:p>
      <w:pPr>
        <w:pStyle w:val="BodyText"/>
        <w:spacing w:line="273" w:lineRule="auto"/>
        <w:ind w:left="154" w:right="1023"/>
        <w:jc w:val="left"/>
      </w:pPr>
      <w:r>
        <w:rPr/>
        <w:t>（</w:t>
      </w:r>
      <w:r>
        <w:rPr>
          <w:rFonts w:ascii="宋体" w:hAnsi="宋体" w:cs="宋体" w:eastAsia="宋体" w:hint="default"/>
        </w:rPr>
        <w:t>6</w:t>
      </w:r>
      <w:r>
        <w:rPr/>
        <w:t>）持有至到期投资减值 本公司确定持有至到期投资是否减值在很大程度上依赖于管理层的判断。发生减值的客观证据包括发行方 发生严重财务困难使该金融资产无法在活跃市场继续交易、无法履行合同条款（例如，偿付利息或本金发 </w:t>
      </w:r>
      <w:r>
        <w:rPr>
          <w:spacing w:val="-3"/>
        </w:rPr>
        <w:t>生违约）等。在进行判断的过程中，本公司需评估发生减值的客观证据对该项投资预计未来现金流的影响。</w:t>
      </w:r>
    </w:p>
    <w:p>
      <w:pPr>
        <w:pStyle w:val="BodyText"/>
        <w:spacing w:line="273" w:lineRule="auto"/>
        <w:ind w:right="0"/>
        <w:jc w:val="left"/>
      </w:pPr>
      <w:r>
        <w:rPr/>
        <w:t>（</w:t>
      </w:r>
      <w:r>
        <w:rPr>
          <w:rFonts w:ascii="宋体" w:hAnsi="宋体" w:cs="宋体" w:eastAsia="宋体" w:hint="default"/>
        </w:rPr>
        <w:t>7</w:t>
      </w:r>
      <w:r>
        <w:rPr/>
        <w:t>）可供出售金融资产减值 </w:t>
      </w:r>
      <w:r>
        <w:rPr>
          <w:spacing w:val="-1"/>
        </w:rPr>
        <w:t>本公司确定可供出售金融资产是否减值在很大程度上依赖于管理层的判断和假设，以确定是否需要在利润</w:t>
      </w:r>
      <w:r>
        <w:rPr>
          <w:spacing w:val="-81"/>
        </w:rPr>
        <w:t> </w:t>
      </w:r>
      <w:r>
        <w:rPr>
          <w:spacing w:val="-81"/>
        </w:rPr>
      </w:r>
      <w:r>
        <w:rPr>
          <w:spacing w:val="-1"/>
        </w:rPr>
        <w:t>表中确认其减值损失。在进行判断和作出假设的过程中，本公司需评估该项投资的公允价值低于成本的程</w:t>
      </w:r>
      <w:r>
        <w:rPr>
          <w:spacing w:val="-81"/>
        </w:rPr>
        <w:t> </w:t>
      </w:r>
      <w:r>
        <w:rPr>
          <w:spacing w:val="-81"/>
        </w:rPr>
      </w:r>
      <w:r>
        <w:rPr>
          <w:spacing w:val="-1"/>
        </w:rPr>
        <w:t>度和持续期间，以及被投资对象的财务状况和短期业务展望，包括行业状况、技术变革、信用评级、违约</w:t>
      </w:r>
      <w:r>
        <w:rPr>
          <w:spacing w:val="-83"/>
        </w:rPr>
        <w:t> </w:t>
      </w:r>
      <w:r>
        <w:rPr>
          <w:spacing w:val="-83"/>
        </w:rPr>
      </w:r>
      <w:r>
        <w:rPr/>
        <w:t>率和对手方的风险。</w:t>
      </w:r>
    </w:p>
    <w:p>
      <w:pPr>
        <w:pStyle w:val="BodyText"/>
        <w:spacing w:line="273" w:lineRule="auto"/>
        <w:ind w:right="0"/>
        <w:jc w:val="left"/>
      </w:pPr>
      <w:r>
        <w:rPr/>
        <w:t>（</w:t>
      </w:r>
      <w:r>
        <w:rPr>
          <w:rFonts w:ascii="宋体" w:hAnsi="宋体" w:cs="宋体" w:eastAsia="宋体" w:hint="default"/>
        </w:rPr>
        <w:t>8</w:t>
      </w:r>
      <w:r>
        <w:rPr/>
        <w:t>）非金融非流动资产减值准备 </w:t>
      </w:r>
      <w:r>
        <w:rPr>
          <w:spacing w:val="-1"/>
        </w:rPr>
        <w:t>本公司于资产负债表日对除金融资产之外的非流动资产判断是否存在可能发生减值的迹象。对使用寿命不</w:t>
      </w:r>
      <w:r>
        <w:rPr>
          <w:spacing w:val="-80"/>
        </w:rPr>
        <w:t> </w:t>
      </w:r>
      <w:r>
        <w:rPr>
          <w:spacing w:val="-80"/>
        </w:rPr>
      </w:r>
      <w:r>
        <w:rPr>
          <w:spacing w:val="-1"/>
        </w:rPr>
        <w:t>确定的无形资产，除每年进行的减值测试外，当其存在减值迹象时，也进行减值测试。其他除金融资产之</w:t>
      </w:r>
      <w:r>
        <w:rPr>
          <w:spacing w:val="-86"/>
        </w:rPr>
        <w:t> </w:t>
      </w:r>
      <w:r>
        <w:rPr>
          <w:spacing w:val="-86"/>
        </w:rPr>
      </w:r>
      <w:r>
        <w:rPr/>
        <w:t>外的非流动资产，当存在迹象表明其账面金额不可收回时，进行减值测试。 </w:t>
      </w:r>
      <w:r>
        <w:rPr>
          <w:spacing w:val="-1"/>
        </w:rPr>
        <w:t>当资产或资产组的账面价值高于可收回金额，即公允价值减去处置费用后的净额和预计未来现金流量的现</w:t>
      </w:r>
      <w:r>
        <w:rPr>
          <w:spacing w:val="-81"/>
        </w:rPr>
        <w:t> </w:t>
      </w:r>
      <w:r>
        <w:rPr>
          <w:spacing w:val="-81"/>
        </w:rPr>
      </w:r>
      <w:r>
        <w:rPr/>
        <w:t>值中的较高者，表明发生了减值。 </w:t>
      </w:r>
      <w:r>
        <w:rPr>
          <w:spacing w:val="-1"/>
        </w:rPr>
        <w:t>公允价值减去处置费用后的净额，参考公平交易中类似资产的销售协议价格或可观察到的市场价格，减去</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0"/>
        <w:jc w:val="left"/>
      </w:pPr>
      <w:r>
        <w:rPr/>
        <w:t>可直接归属于该资产处置的增量成本确定。 </w:t>
      </w:r>
      <w:r>
        <w:rPr>
          <w:spacing w:val="-1"/>
        </w:rPr>
        <w:t>在预计未来现金流量现值时，需要对该资产（或资产组）的产量、售价、相关经营成本以及计算现值时使</w:t>
      </w:r>
      <w:r>
        <w:rPr>
          <w:spacing w:val="-82"/>
        </w:rPr>
        <w:t> </w:t>
      </w:r>
      <w:r>
        <w:rPr>
          <w:spacing w:val="-82"/>
        </w:rPr>
      </w:r>
      <w:r>
        <w:rPr>
          <w:spacing w:val="-1"/>
        </w:rPr>
        <w:t>用的折现率等作出重大判断。本公司在估计可收回金额时会采用所有能够获得的相关资料，包括根据合理</w:t>
      </w:r>
      <w:r>
        <w:rPr>
          <w:spacing w:val="-81"/>
        </w:rPr>
        <w:t> </w:t>
      </w:r>
      <w:r>
        <w:rPr>
          <w:spacing w:val="-81"/>
        </w:rPr>
      </w:r>
      <w:r>
        <w:rPr/>
        <w:t>和可支持的假设所作出有关产量、售价和相关经营成本的预测。 </w:t>
      </w:r>
      <w:r>
        <w:rPr>
          <w:spacing w:val="-1"/>
        </w:rPr>
        <w:t>本公司至少每年测试商誉是否发生减值。这要求对分配了商誉的资产组或者资产组组合的未来现金流量的</w:t>
      </w:r>
      <w:r>
        <w:rPr>
          <w:spacing w:val="-81"/>
        </w:rPr>
        <w:t> </w:t>
      </w:r>
      <w:r>
        <w:rPr>
          <w:spacing w:val="-81"/>
        </w:rPr>
      </w:r>
      <w:r>
        <w:rPr>
          <w:spacing w:val="-1"/>
        </w:rPr>
        <w:t>现值进行预计。对未来现金流量的现值进行预计时，本公司需要预计未来资产组或者资产组组合产生的现</w:t>
      </w:r>
      <w:r>
        <w:rPr>
          <w:spacing w:val="-81"/>
        </w:rPr>
        <w:t> </w:t>
      </w:r>
      <w:r>
        <w:rPr>
          <w:spacing w:val="-81"/>
        </w:rPr>
      </w:r>
      <w:r>
        <w:rPr/>
        <w:t>金流量，同时选择恰当的折现率确定未来现金流量的现值。</w:t>
      </w:r>
    </w:p>
    <w:p>
      <w:pPr>
        <w:pStyle w:val="BodyText"/>
        <w:spacing w:line="273" w:lineRule="auto"/>
        <w:ind w:left="154" w:right="1092"/>
        <w:jc w:val="left"/>
      </w:pPr>
      <w:r>
        <w:rPr/>
        <w:t>（</w:t>
      </w:r>
      <w:r>
        <w:rPr>
          <w:rFonts w:ascii="宋体" w:hAnsi="宋体" w:cs="宋体" w:eastAsia="宋体" w:hint="default"/>
        </w:rPr>
        <w:t>9</w:t>
      </w:r>
      <w:r>
        <w:rPr/>
        <w:t>）折旧和摊销 本公司对投资性房地产、固定资产和无形资产在考虑其残值后，在使用寿命内按直线法计提折旧和摊销。 </w:t>
      </w:r>
      <w:r>
        <w:rPr>
          <w:spacing w:val="-1"/>
        </w:rPr>
        <w:t>本公司定期复核使用寿命，以决定将计入每个报告期的折旧和摊销费用数额。使用寿命是本公司根据对同</w:t>
      </w:r>
      <w:r>
        <w:rPr>
          <w:spacing w:val="-81"/>
        </w:rPr>
        <w:t> </w:t>
      </w:r>
      <w:r>
        <w:rPr>
          <w:spacing w:val="-81"/>
        </w:rPr>
      </w:r>
      <w:r>
        <w:rPr>
          <w:spacing w:val="-1"/>
        </w:rPr>
        <w:t>类资产的以往经验并结合预期的技术更新而确定的。如果以前的估计发生重大变化，则会在未来期间对折</w:t>
      </w:r>
      <w:r>
        <w:rPr>
          <w:spacing w:val="-81"/>
        </w:rPr>
        <w:t> </w:t>
      </w:r>
      <w:r>
        <w:rPr>
          <w:spacing w:val="-81"/>
        </w:rPr>
      </w:r>
      <w:r>
        <w:rPr/>
        <w:t>旧和摊销费用进行调整。</w:t>
      </w:r>
    </w:p>
    <w:p>
      <w:pPr>
        <w:pStyle w:val="BodyText"/>
        <w:spacing w:line="273" w:lineRule="auto"/>
        <w:ind w:left="154" w:right="0"/>
        <w:jc w:val="left"/>
      </w:pPr>
      <w:r>
        <w:rPr/>
        <w:t>（</w:t>
      </w:r>
      <w:r>
        <w:rPr>
          <w:rFonts w:ascii="宋体" w:hAnsi="宋体" w:cs="宋体" w:eastAsia="宋体" w:hint="default"/>
        </w:rPr>
        <w:t>10</w:t>
      </w:r>
      <w:r>
        <w:rPr/>
        <w:t>）开发支出 </w:t>
      </w:r>
      <w:r>
        <w:rPr>
          <w:spacing w:val="-1"/>
        </w:rPr>
        <w:t>确定资本化的金额时，本公司管理层需要作出有关资产的预计未来现金流量、适用的折现率以及预计受益</w:t>
      </w:r>
      <w:r>
        <w:rPr>
          <w:spacing w:val="-81"/>
        </w:rPr>
        <w:t> </w:t>
      </w:r>
      <w:r>
        <w:rPr>
          <w:spacing w:val="-81"/>
        </w:rPr>
      </w:r>
      <w:r>
        <w:rPr/>
        <w:t>期间的假设。</w:t>
      </w:r>
    </w:p>
    <w:p>
      <w:pPr>
        <w:pStyle w:val="BodyText"/>
        <w:spacing w:line="273" w:lineRule="auto"/>
        <w:ind w:left="154" w:right="1092"/>
        <w:jc w:val="left"/>
      </w:pPr>
      <w:r>
        <w:rPr/>
        <w:t>（</w:t>
      </w:r>
      <w:r>
        <w:rPr>
          <w:rFonts w:ascii="宋体" w:hAnsi="宋体" w:cs="宋体" w:eastAsia="宋体" w:hint="default"/>
        </w:rPr>
        <w:t>11</w:t>
      </w:r>
      <w:r>
        <w:rPr/>
        <w:t>）递延所得税资产 </w:t>
      </w:r>
      <w:r>
        <w:rPr>
          <w:spacing w:val="-1"/>
        </w:rPr>
        <w:t>在很有可能有足够的应纳税利润来抵扣亏损的限度内，本公司就所有未利用的税务亏损确认递延所得税资</w:t>
      </w:r>
      <w:r>
        <w:rPr>
          <w:spacing w:val="-81"/>
        </w:rPr>
        <w:t> </w:t>
      </w:r>
      <w:r>
        <w:rPr>
          <w:spacing w:val="-81"/>
        </w:rPr>
      </w:r>
      <w:r>
        <w:rPr/>
        <w:t>产。这需要本公司管理层运用大量的判断来估计未来应纳税利润发生的时间和金额，结合纳税筹划策略， 以决定应确认的递延所得税资产的金额。</w:t>
      </w:r>
    </w:p>
    <w:p>
      <w:pPr>
        <w:pStyle w:val="BodyText"/>
        <w:spacing w:line="273" w:lineRule="auto"/>
        <w:ind w:right="1093"/>
        <w:jc w:val="left"/>
      </w:pPr>
      <w:r>
        <w:rPr/>
        <w:t>（</w:t>
      </w:r>
      <w:r>
        <w:rPr>
          <w:rFonts w:ascii="宋体" w:hAnsi="宋体" w:cs="宋体" w:eastAsia="宋体" w:hint="default"/>
        </w:rPr>
        <w:t>12</w:t>
      </w:r>
      <w:r>
        <w:rPr/>
        <w:t>）所得税 </w:t>
      </w:r>
      <w:r>
        <w:rPr>
          <w:spacing w:val="-1"/>
        </w:rPr>
        <w:t>本公司在正常的经营活动中，有部分交易其最终的税务处理和计算存在一定的不确定性。部分项目是否能</w:t>
      </w:r>
      <w:r>
        <w:rPr>
          <w:spacing w:val="-81"/>
        </w:rPr>
        <w:t> </w:t>
      </w:r>
      <w:r>
        <w:rPr>
          <w:spacing w:val="-81"/>
        </w:rPr>
      </w:r>
      <w:r>
        <w:rPr/>
        <w:t>够在税前列支需要税收主管机关的审批。如果这些税务事项的最终认定结果同最初估计的金额存在差异， 则该差异将对其最终认定期间的当期所得税和递延所得税产生影响。</w:t>
      </w:r>
    </w:p>
    <w:p>
      <w:pPr>
        <w:pStyle w:val="BodyText"/>
        <w:spacing w:line="273" w:lineRule="auto"/>
        <w:ind w:left="154" w:right="0"/>
        <w:jc w:val="left"/>
      </w:pPr>
      <w:r>
        <w:rPr/>
        <w:t>（</w:t>
      </w:r>
      <w:r>
        <w:rPr>
          <w:rFonts w:ascii="宋体" w:hAnsi="宋体" w:cs="宋体" w:eastAsia="宋体" w:hint="default"/>
        </w:rPr>
        <w:t>13</w:t>
      </w:r>
      <w:r>
        <w:rPr/>
        <w:t>）预计负债 </w:t>
      </w:r>
      <w:r>
        <w:rPr>
          <w:spacing w:val="-1"/>
        </w:rPr>
        <w:t>本公司根据合约条款、现有知识及历史经验，对产品质量保证、预计合同亏损、延迟交货违约金等估计并</w:t>
      </w:r>
      <w:r>
        <w:rPr>
          <w:spacing w:val="-86"/>
        </w:rPr>
        <w:t> </w:t>
      </w:r>
      <w:r>
        <w:rPr>
          <w:spacing w:val="-86"/>
        </w:rPr>
      </w:r>
      <w:r>
        <w:rPr>
          <w:spacing w:val="-1"/>
        </w:rPr>
        <w:t>计提相应准备。在该等或有事项已经形成一项现时义务，且履行该等现时义务很可能导致经济利益流出本</w:t>
      </w:r>
      <w:r>
        <w:rPr>
          <w:spacing w:val="-80"/>
        </w:rPr>
        <w:t> </w:t>
      </w:r>
      <w:r>
        <w:rPr>
          <w:spacing w:val="-80"/>
        </w:rPr>
      </w:r>
      <w:r>
        <w:rPr>
          <w:spacing w:val="-1"/>
        </w:rPr>
        <w:t>公司的情况下，本公司对或有事项按履行相关现时义务所需支出的最佳估计数确认为预计负债。预计负债</w:t>
      </w:r>
      <w:r>
        <w:rPr>
          <w:spacing w:val="-81"/>
        </w:rPr>
        <w:t> </w:t>
      </w:r>
      <w:r>
        <w:rPr>
          <w:spacing w:val="-81"/>
        </w:rPr>
      </w:r>
      <w:r>
        <w:rPr>
          <w:spacing w:val="-1"/>
        </w:rPr>
        <w:t>的确认和计量在很大程度上依赖于管理层的判断。在进行判断过程中本公司需评估该等或有事项相关的风</w:t>
      </w:r>
      <w:r>
        <w:rPr>
          <w:spacing w:val="-81"/>
        </w:rPr>
        <w:t> </w:t>
      </w:r>
      <w:r>
        <w:rPr>
          <w:spacing w:val="-81"/>
        </w:rPr>
      </w:r>
      <w:r>
        <w:rPr/>
        <w:t>险、不确定性及货币时间价值等因素。 </w:t>
      </w:r>
      <w:r>
        <w:rPr>
          <w:spacing w:val="-1"/>
        </w:rPr>
        <w:t>其中，本公司会就出售、维修及改造所售商品向客户提供的售后质量维修承诺预计负债。预计负债时已考</w:t>
      </w:r>
      <w:r>
        <w:rPr>
          <w:spacing w:val="-83"/>
        </w:rPr>
        <w:t> </w:t>
      </w:r>
      <w:r>
        <w:rPr>
          <w:spacing w:val="-83"/>
        </w:rPr>
      </w:r>
      <w:r>
        <w:rPr>
          <w:spacing w:val="-1"/>
        </w:rPr>
        <w:t>虑本公司近期的维修经验数据，但近期的维修经验可能无法反映将来的维修情况。这项准备的任何增加或</w:t>
      </w:r>
      <w:r>
        <w:rPr>
          <w:spacing w:val="-81"/>
        </w:rPr>
        <w:t> </w:t>
      </w:r>
      <w:r>
        <w:rPr>
          <w:spacing w:val="-81"/>
        </w:rPr>
      </w:r>
      <w:r>
        <w:rPr/>
        <w:t>减少，均可能影响未来年度的损益。</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pStyle w:val="Heading2"/>
        <w:spacing w:line="240" w:lineRule="auto"/>
        <w:ind w:left="154" w:right="0"/>
        <w:jc w:val="left"/>
        <w:rPr>
          <w:b w:val="0"/>
          <w:bCs w:val="0"/>
        </w:rPr>
      </w:pPr>
      <w:bookmarkStart w:name="六、税项" w:id="216"/>
      <w:bookmarkEnd w:id="216"/>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1、主要税种及税率" w:id="217"/>
      <w:bookmarkEnd w:id="217"/>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90"/>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17"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09" w:lineRule="auto" w:before="51"/>
              <w:ind w:left="16" w:right="80"/>
              <w:jc w:val="both"/>
              <w:rPr>
                <w:rFonts w:ascii="宋体" w:hAnsi="宋体" w:cs="宋体" w:eastAsia="宋体" w:hint="default"/>
                <w:sz w:val="18"/>
                <w:szCs w:val="18"/>
              </w:rPr>
            </w:pPr>
            <w:r>
              <w:rPr>
                <w:rFonts w:ascii="宋体" w:hAnsi="宋体" w:cs="宋体" w:eastAsia="宋体" w:hint="default"/>
                <w:sz w:val="18"/>
                <w:szCs w:val="18"/>
              </w:rPr>
              <w:t>应税收入按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宋体" w:hAnsi="宋体" w:cs="宋体" w:eastAsia="宋体" w:hint="default"/>
                <w:sz w:val="18"/>
                <w:szCs w:val="18"/>
              </w:rPr>
              <w:t>的税率计算销项税，并 按扣除当期允许抵扣的进项税额后的差 额计缴增值税</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17%</w:t>
            </w:r>
          </w:p>
        </w:tc>
      </w:tr>
      <w:tr>
        <w:trPr>
          <w:trHeight w:val="393"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317"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按应缴纳的流转税的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按应缴纳的流转税的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茂硕能源科技（香港）国际有限公司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税收优惠" w:id="218"/>
      <w:bookmarkEnd w:id="218"/>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1026"/>
        <w:jc w:val="both"/>
      </w:pPr>
      <w:r>
        <w:rPr/>
        <w:t>（</w:t>
      </w:r>
      <w:r>
        <w:rPr>
          <w:rFonts w:ascii="宋体" w:hAnsi="宋体" w:cs="宋体" w:eastAsia="宋体" w:hint="default"/>
        </w:rPr>
        <w:t>1</w:t>
      </w:r>
      <w:r>
        <w:rPr/>
        <w:t>）</w:t>
      </w:r>
      <w:r>
        <w:rPr>
          <w:rFonts w:ascii="宋体" w:hAnsi="宋体" w:cs="宋体" w:eastAsia="宋体" w:hint="default"/>
        </w:rPr>
        <w:t>2012</w:t>
      </w:r>
      <w:r>
        <w:rPr/>
        <w:t>年</w:t>
      </w:r>
      <w:r>
        <w:rPr>
          <w:rFonts w:ascii="宋体" w:hAnsi="宋体" w:cs="宋体" w:eastAsia="宋体" w:hint="default"/>
        </w:rPr>
        <w:t>9</w:t>
      </w:r>
      <w:r>
        <w:rPr/>
        <w:t>月</w:t>
      </w:r>
      <w:r>
        <w:rPr>
          <w:rFonts w:ascii="宋体" w:hAnsi="宋体" w:cs="宋体" w:eastAsia="宋体" w:hint="default"/>
        </w:rPr>
        <w:t>12</w:t>
      </w:r>
      <w:r>
        <w:rPr/>
        <w:t>日，本公司取得深圳市科技创新委员会、深圳市财政委员会、深圳市国家税务局、深圳 市地方税务局联合颁发的高新技术企业证书，证书编号：</w:t>
      </w:r>
      <w:r>
        <w:rPr>
          <w:rFonts w:ascii="宋体" w:hAnsi="宋体" w:cs="宋体" w:eastAsia="宋体" w:hint="default"/>
        </w:rPr>
        <w:t>GF201244200443</w:t>
      </w:r>
      <w:r>
        <w:rPr/>
        <w:t>，有效期</w:t>
      </w:r>
      <w:r>
        <w:rPr>
          <w:rFonts w:ascii="宋体" w:hAnsi="宋体" w:cs="宋体" w:eastAsia="宋体" w:hint="default"/>
        </w:rPr>
        <w:t>3</w:t>
      </w:r>
      <w:r>
        <w:rPr/>
        <w:t>年；</w:t>
      </w:r>
      <w:r>
        <w:rPr>
          <w:rFonts w:ascii="宋体" w:hAnsi="宋体" w:cs="宋体" w:eastAsia="宋体" w:hint="default"/>
        </w:rPr>
        <w:t>2015</w:t>
      </w:r>
      <w:r>
        <w:rPr/>
        <w:t>年</w:t>
      </w:r>
      <w:r>
        <w:rPr>
          <w:rFonts w:ascii="宋体" w:hAnsi="宋体" w:cs="宋体" w:eastAsia="宋体" w:hint="default"/>
        </w:rPr>
        <w:t>11</w:t>
      </w:r>
      <w:r>
        <w:rPr/>
        <w:t>月</w:t>
      </w:r>
      <w:r>
        <w:rPr>
          <w:rFonts w:ascii="宋体" w:hAnsi="宋体" w:cs="宋体" w:eastAsia="宋体" w:hint="default"/>
        </w:rPr>
        <w:t>2</w:t>
      </w:r>
      <w:r>
        <w:rPr/>
        <w:t>日，</w:t>
      </w:r>
      <w:r>
        <w:rPr>
          <w:spacing w:val="1"/>
        </w:rPr>
        <w:t> </w:t>
      </w:r>
      <w:r>
        <w:rPr/>
        <w:t>本公司取得深圳市科技创新委员会、深圳市财政委员会、深圳市国家税务局、深圳市地方税务局联合颁发</w:t>
      </w:r>
      <w:r>
        <w:rPr/>
        <w:t> </w:t>
      </w:r>
      <w:r>
        <w:rPr>
          <w:spacing w:val="-3"/>
        </w:rPr>
        <w:t>的高新技术企业证书，证书编号：</w:t>
      </w:r>
      <w:r>
        <w:rPr>
          <w:rFonts w:ascii="宋体" w:hAnsi="宋体" w:cs="宋体" w:eastAsia="宋体" w:hint="default"/>
          <w:spacing w:val="-3"/>
        </w:rPr>
        <w:t>GR201544201516</w:t>
      </w:r>
      <w:r>
        <w:rPr>
          <w:spacing w:val="-3"/>
        </w:rPr>
        <w:t>，有效期</w:t>
      </w:r>
      <w:r>
        <w:rPr>
          <w:rFonts w:ascii="宋体" w:hAnsi="宋体" w:cs="宋体" w:eastAsia="宋体" w:hint="default"/>
          <w:spacing w:val="-3"/>
        </w:rPr>
        <w:t>3</w:t>
      </w:r>
      <w:r>
        <w:rPr>
          <w:spacing w:val="-3"/>
        </w:rPr>
        <w:t>年；本公司</w:t>
      </w:r>
      <w:r>
        <w:rPr>
          <w:rFonts w:ascii="宋体" w:hAnsi="宋体" w:cs="宋体" w:eastAsia="宋体" w:hint="default"/>
          <w:spacing w:val="-3"/>
        </w:rPr>
        <w:t>2015</w:t>
      </w:r>
      <w:r>
        <w:rPr>
          <w:spacing w:val="-3"/>
        </w:rPr>
        <w:t>年度的企业所得税税率为</w:t>
      </w:r>
      <w:r>
        <w:rPr>
          <w:rFonts w:ascii="宋体" w:hAnsi="宋体" w:cs="宋体" w:eastAsia="宋体" w:hint="default"/>
          <w:spacing w:val="-3"/>
        </w:rPr>
        <w:t>15%</w:t>
      </w:r>
      <w:r>
        <w:rPr>
          <w:spacing w:val="-3"/>
        </w:rPr>
        <w:t>。</w:t>
      </w:r>
    </w:p>
    <w:p>
      <w:pPr>
        <w:pStyle w:val="BodyText"/>
        <w:spacing w:line="273" w:lineRule="auto"/>
        <w:ind w:left="154" w:right="1131"/>
        <w:jc w:val="both"/>
      </w:pPr>
      <w:r>
        <w:rPr>
          <w:spacing w:val="-1"/>
        </w:rPr>
        <w:t>（</w:t>
      </w:r>
      <w:r>
        <w:rPr>
          <w:rFonts w:ascii="宋体" w:hAnsi="宋体" w:cs="宋体" w:eastAsia="宋体" w:hint="default"/>
          <w:spacing w:val="-1"/>
        </w:rPr>
        <w:t>2</w:t>
      </w:r>
      <w:r>
        <w:rPr>
          <w:spacing w:val="-1"/>
        </w:rPr>
        <w:t>）</w:t>
      </w:r>
      <w:r>
        <w:rPr>
          <w:rFonts w:ascii="宋体" w:hAnsi="宋体" w:cs="宋体" w:eastAsia="宋体" w:hint="default"/>
          <w:spacing w:val="-1"/>
        </w:rPr>
        <w:t>2015</w:t>
      </w:r>
      <w:r>
        <w:rPr>
          <w:spacing w:val="-1"/>
        </w:rPr>
        <w:t>年</w:t>
      </w:r>
      <w:r>
        <w:rPr>
          <w:rFonts w:ascii="宋体" w:hAnsi="宋体" w:cs="宋体" w:eastAsia="宋体" w:hint="default"/>
          <w:spacing w:val="-1"/>
        </w:rPr>
        <w:t>6</w:t>
      </w:r>
      <w:r>
        <w:rPr>
          <w:spacing w:val="-1"/>
        </w:rPr>
        <w:t>月</w:t>
      </w:r>
      <w:r>
        <w:rPr>
          <w:rFonts w:ascii="宋体" w:hAnsi="宋体" w:cs="宋体" w:eastAsia="宋体" w:hint="default"/>
          <w:spacing w:val="-1"/>
        </w:rPr>
        <w:t>19</w:t>
      </w:r>
      <w:r>
        <w:rPr>
          <w:spacing w:val="-1"/>
        </w:rPr>
        <w:t>日，控制子公司深圳茂硕新能源科技有限公司（以下简称“茂硕新能源”）取得深圳市</w:t>
      </w:r>
      <w:r>
        <w:rPr>
          <w:spacing w:val="-85"/>
        </w:rPr>
        <w:t> </w:t>
      </w:r>
      <w:r>
        <w:rPr>
          <w:spacing w:val="-85"/>
        </w:rPr>
      </w:r>
      <w:r>
        <w:rPr>
          <w:spacing w:val="-1"/>
        </w:rPr>
        <w:t>科技创新委员会、深圳市财政委员会、深圳市国家税务局、深圳市地方税务局联合颁发的高新技术企业证</w:t>
      </w:r>
      <w:r>
        <w:rPr>
          <w:spacing w:val="-83"/>
        </w:rPr>
        <w:t> </w:t>
      </w:r>
      <w:r>
        <w:rPr>
          <w:spacing w:val="-83"/>
        </w:rPr>
      </w:r>
      <w:r>
        <w:rPr/>
        <w:t>书，证书编号：</w:t>
      </w:r>
      <w:r>
        <w:rPr>
          <w:rFonts w:ascii="宋体" w:hAnsi="宋体" w:cs="宋体" w:eastAsia="宋体" w:hint="default"/>
        </w:rPr>
        <w:t>GR201544200775,</w:t>
      </w:r>
      <w:r>
        <w:rPr/>
        <w:t>有效期</w:t>
      </w:r>
      <w:r>
        <w:rPr>
          <w:rFonts w:ascii="宋体" w:hAnsi="宋体" w:cs="宋体" w:eastAsia="宋体" w:hint="default"/>
        </w:rPr>
        <w:t>3</w:t>
      </w:r>
      <w:r>
        <w:rPr/>
        <w:t>年，茂硕新能源</w:t>
      </w:r>
      <w:r>
        <w:rPr>
          <w:rFonts w:ascii="宋体" w:hAnsi="宋体" w:cs="宋体" w:eastAsia="宋体" w:hint="default"/>
        </w:rPr>
        <w:t>2015</w:t>
      </w:r>
      <w:r>
        <w:rPr/>
        <w:t>年度的企业所得税税率为</w:t>
      </w:r>
      <w:r>
        <w:rPr>
          <w:rFonts w:ascii="宋体" w:hAnsi="宋体" w:cs="宋体" w:eastAsia="宋体" w:hint="default"/>
        </w:rPr>
        <w:t>15%</w:t>
      </w:r>
      <w:r>
        <w:rPr/>
        <w:t>。</w:t>
      </w:r>
    </w:p>
    <w:p>
      <w:pPr>
        <w:pStyle w:val="BodyText"/>
        <w:spacing w:line="273" w:lineRule="auto"/>
        <w:ind w:left="154" w:right="0"/>
        <w:jc w:val="left"/>
      </w:pPr>
      <w:r>
        <w:rPr/>
        <w:t>（</w:t>
      </w:r>
      <w:r>
        <w:rPr>
          <w:rFonts w:ascii="宋体" w:hAnsi="宋体" w:cs="宋体" w:eastAsia="宋体" w:hint="default"/>
        </w:rPr>
        <w:t>3</w:t>
      </w:r>
      <w:r>
        <w:rPr/>
        <w:t>）</w:t>
      </w:r>
      <w:r>
        <w:rPr>
          <w:rFonts w:ascii="宋体" w:hAnsi="宋体" w:cs="宋体" w:eastAsia="宋体" w:hint="default"/>
        </w:rPr>
        <w:t>2015</w:t>
      </w:r>
      <w:r>
        <w:rPr/>
        <w:t>年</w:t>
      </w:r>
      <w:r>
        <w:rPr>
          <w:rFonts w:ascii="宋体" w:hAnsi="宋体" w:cs="宋体" w:eastAsia="宋体" w:hint="default"/>
        </w:rPr>
        <w:t>10</w:t>
      </w:r>
      <w:r>
        <w:rPr/>
        <w:t>月</w:t>
      </w:r>
      <w:r>
        <w:rPr>
          <w:rFonts w:ascii="宋体" w:hAnsi="宋体" w:cs="宋体" w:eastAsia="宋体" w:hint="default"/>
        </w:rPr>
        <w:t>28</w:t>
      </w:r>
      <w:r>
        <w:rPr/>
        <w:t>日控股子公司湖南省方正达电子科技有限公司（以下简称“湖南方正达”）取得湖南 </w:t>
      </w:r>
      <w:r>
        <w:rPr>
          <w:spacing w:val="-1"/>
        </w:rPr>
        <w:t>省科学技术厅、湖南省财政厅、湖南省国家税务局、湖南省税务局联合颁发的高新技术企业证书，证书编</w:t>
      </w:r>
      <w:r>
        <w:rPr>
          <w:spacing w:val="-86"/>
        </w:rPr>
        <w:t> </w:t>
      </w:r>
      <w:r>
        <w:rPr>
          <w:spacing w:val="-86"/>
        </w:rPr>
      </w:r>
      <w:r>
        <w:rPr/>
        <w:t>号：</w:t>
      </w:r>
      <w:r>
        <w:rPr>
          <w:rFonts w:ascii="宋体" w:hAnsi="宋体" w:cs="宋体" w:eastAsia="宋体" w:hint="default"/>
        </w:rPr>
        <w:t>GF201543000040</w:t>
      </w:r>
      <w:r>
        <w:rPr/>
        <w:t>，有效期</w:t>
      </w:r>
      <w:r>
        <w:rPr>
          <w:rFonts w:ascii="宋体" w:hAnsi="宋体" w:cs="宋体" w:eastAsia="宋体" w:hint="default"/>
        </w:rPr>
        <w:t>3</w:t>
      </w:r>
      <w:r>
        <w:rPr/>
        <w:t>年，湖南方正达</w:t>
      </w:r>
      <w:r>
        <w:rPr>
          <w:rFonts w:ascii="宋体" w:hAnsi="宋体" w:cs="宋体" w:eastAsia="宋体" w:hint="default"/>
        </w:rPr>
        <w:t>2014</w:t>
      </w:r>
      <w:r>
        <w:rPr/>
        <w:t>年度、</w:t>
      </w:r>
      <w:r>
        <w:rPr>
          <w:rFonts w:ascii="宋体" w:hAnsi="宋体" w:cs="宋体" w:eastAsia="宋体" w:hint="default"/>
        </w:rPr>
        <w:t>2015</w:t>
      </w:r>
      <w:r>
        <w:rPr/>
        <w:t>年度的企业所得税税率为</w:t>
      </w:r>
      <w:r>
        <w:rPr>
          <w:rFonts w:ascii="宋体" w:hAnsi="宋体" w:cs="宋体" w:eastAsia="宋体" w:hint="default"/>
        </w:rPr>
        <w:t>15%</w:t>
      </w:r>
      <w:r>
        <w:rPr/>
        <w:t>。</w:t>
      </w:r>
    </w:p>
    <w:p>
      <w:pPr>
        <w:pStyle w:val="BodyText"/>
        <w:spacing w:line="273" w:lineRule="auto" w:before="8"/>
        <w:ind w:left="154" w:right="0"/>
        <w:jc w:val="left"/>
      </w:pPr>
      <w:r>
        <w:rPr/>
        <w:t>（</w:t>
      </w:r>
      <w:r>
        <w:rPr>
          <w:rFonts w:ascii="宋体" w:hAnsi="宋体" w:cs="宋体" w:eastAsia="宋体" w:hint="default"/>
        </w:rPr>
        <w:t>4</w:t>
      </w:r>
      <w:r>
        <w:rPr/>
        <w:t>）控股子公司海宁茂硕诺华能源有限公司（以下简称“海宁茂硕”）从事的行业属于“符合条件的环 </w:t>
      </w:r>
      <w:r>
        <w:rPr>
          <w:spacing w:val="-1"/>
        </w:rPr>
        <w:t>境保护、节能节水项目”，根据《中华人民共和国企业所得税法》中华人民共和国主席令第</w:t>
      </w:r>
      <w:r>
        <w:rPr>
          <w:rFonts w:ascii="宋体" w:hAnsi="宋体" w:cs="宋体" w:eastAsia="宋体" w:hint="default"/>
          <w:spacing w:val="-1"/>
        </w:rPr>
        <w:t>63</w:t>
      </w:r>
      <w:r>
        <w:rPr>
          <w:spacing w:val="-1"/>
        </w:rPr>
        <w:t>号文件，海</w:t>
      </w:r>
      <w:r>
        <w:rPr>
          <w:spacing w:val="-83"/>
        </w:rPr>
        <w:t> </w:t>
      </w:r>
      <w:r>
        <w:rPr>
          <w:spacing w:val="-83"/>
        </w:rPr>
      </w:r>
      <w:r>
        <w:rPr>
          <w:spacing w:val="-1"/>
        </w:rPr>
        <w:t>宁茂硕享受“自项目取得第一笔生产经营收入所属纳税年度起，第一年至第三年免征企业所得税，第四年</w:t>
      </w:r>
      <w:r>
        <w:rPr>
          <w:spacing w:val="-83"/>
        </w:rPr>
        <w:t> </w:t>
      </w:r>
      <w:r>
        <w:rPr>
          <w:spacing w:val="-83"/>
        </w:rPr>
      </w:r>
      <w:r>
        <w:rPr/>
        <w:t>至第六年减半征收企业所得税”的优惠政策，据此海宁茂硕</w:t>
      </w:r>
      <w:r>
        <w:rPr>
          <w:rFonts w:ascii="宋体" w:hAnsi="宋体" w:cs="宋体" w:eastAsia="宋体" w:hint="default"/>
        </w:rPr>
        <w:t>2015</w:t>
      </w:r>
      <w:r>
        <w:rPr/>
        <w:t>年度免征企业所得税。</w:t>
      </w:r>
    </w:p>
    <w:p>
      <w:pPr>
        <w:pStyle w:val="BodyText"/>
        <w:spacing w:line="240" w:lineRule="auto"/>
        <w:ind w:right="0"/>
        <w:jc w:val="left"/>
      </w:pPr>
      <w:r>
        <w:rPr/>
        <w:t>（</w:t>
      </w:r>
      <w:r>
        <w:rPr>
          <w:rFonts w:ascii="宋体" w:hAnsi="宋体" w:cs="宋体" w:eastAsia="宋体" w:hint="default"/>
        </w:rPr>
        <w:t>5</w:t>
      </w:r>
      <w:r>
        <w:rPr/>
        <w:t>）深圳曦港科技有限公司、深圳茂硕钜泽科技有限公司为小型微利企业，适用</w:t>
      </w:r>
      <w:r>
        <w:rPr>
          <w:rFonts w:ascii="宋体" w:hAnsi="宋体" w:cs="宋体" w:eastAsia="宋体" w:hint="default"/>
        </w:rPr>
        <w:t>10%</w:t>
      </w:r>
      <w:r>
        <w:rPr/>
        <w:t>的企业所得税税率。</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4"/>
        <w:spacing w:line="240" w:lineRule="auto"/>
        <w:ind w:right="0"/>
        <w:jc w:val="left"/>
        <w:rPr>
          <w:b w:val="0"/>
          <w:bCs w:val="0"/>
        </w:rPr>
      </w:pPr>
      <w:bookmarkStart w:name="3、其他" w:id="219"/>
      <w:bookmarkEnd w:id="219"/>
      <w:r>
        <w:rPr>
          <w:b w:val="0"/>
          <w:bCs w:val="0"/>
        </w:rPr>
      </w: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0"/>
        <w:jc w:val="left"/>
      </w:pPr>
      <w:r>
        <w:rPr>
          <w:spacing w:val="-1"/>
        </w:rPr>
        <w:t>本公司之控股子公司茂硕能源科技（香港）国际有限公司（以下简称“香港茂硕”）依照香港立法局颁布</w:t>
      </w:r>
      <w:r>
        <w:rPr>
          <w:spacing w:val="-82"/>
        </w:rPr>
        <w:t> </w:t>
      </w:r>
      <w:r>
        <w:rPr>
          <w:spacing w:val="-82"/>
        </w:rPr>
      </w:r>
      <w:r>
        <w:rPr/>
        <w:t>的《税务条例》，依据课税年度的应纳税所得额按</w:t>
      </w:r>
      <w:r>
        <w:rPr>
          <w:rFonts w:ascii="宋体" w:hAnsi="宋体" w:cs="宋体" w:eastAsia="宋体" w:hint="default"/>
        </w:rPr>
        <w:t>16.5%</w:t>
      </w:r>
      <w:r>
        <w:rPr/>
        <w:t>的税率缴纳利得税。</w:t>
      </w:r>
    </w:p>
    <w:p>
      <w:pPr>
        <w:spacing w:line="240" w:lineRule="auto" w:before="11"/>
        <w:rPr>
          <w:rFonts w:ascii="宋体" w:hAnsi="宋体" w:cs="宋体" w:eastAsia="宋体" w:hint="default"/>
          <w:sz w:val="21"/>
          <w:szCs w:val="21"/>
        </w:rPr>
      </w:pPr>
    </w:p>
    <w:p>
      <w:pPr>
        <w:pStyle w:val="Heading2"/>
        <w:spacing w:line="240" w:lineRule="auto"/>
        <w:ind w:right="0"/>
        <w:jc w:val="left"/>
        <w:rPr>
          <w:b w:val="0"/>
          <w:bCs w:val="0"/>
        </w:rPr>
      </w:pPr>
      <w:bookmarkStart w:name="七、合并财务报表项目注释" w:id="220"/>
      <w:bookmarkEnd w:id="220"/>
      <w:r>
        <w:rPr>
          <w:b w:val="0"/>
          <w:bCs w:val="0"/>
        </w:rPr>
      </w:r>
      <w:r>
        <w:rPr/>
        <w:t>七、合并财务报表项目注释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货币资金" w:id="221"/>
      <w:bookmarkEnd w:id="221"/>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154,179.26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82,516.69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244,547,871.63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227,782,314.44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51,501,871.57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5,607,045.48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296,203,922.46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233,471,876.61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2,399,347.69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236,139.54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1"/>
        <w:ind w:right="0"/>
        <w:jc w:val="left"/>
      </w:pPr>
      <w:r>
        <w:rPr/>
        <w:t>其他货币资金为银行承兑汇票保证金。</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4"/>
        <w:spacing w:line="240" w:lineRule="auto"/>
        <w:ind w:right="0"/>
        <w:jc w:val="left"/>
        <w:rPr>
          <w:b w:val="0"/>
          <w:bCs w:val="0"/>
        </w:rPr>
      </w:pPr>
      <w:bookmarkStart w:name="2、以公允价值计量且其变动计入当期损益的金融资产" w:id="222"/>
      <w:bookmarkEnd w:id="222"/>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3,654,795.71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3,654,795.71</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3,654,795.71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衍生金融资产" w:id="223"/>
      <w:bookmarkEnd w:id="223"/>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4、应收票据" w:id="224"/>
      <w:bookmarkEnd w:id="224"/>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应收票据分类列示" w:id="225"/>
      <w:bookmarkEnd w:id="225"/>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14,009,362.95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20,112,631.38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34,677,547.35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15,754,611.51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48,686,910.30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35,867,242.89</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期末公司已质押的应收票据" w:id="226"/>
      <w:bookmarkEnd w:id="226"/>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403"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3）期末公司已背书或贴现且在资产负债表日尚未到期的应收票据" w:id="227"/>
      <w:bookmarkEnd w:id="227"/>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44,170,852.04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2,408,355.17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46,579,207.21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4）期末公司因出票人未履约而将其转应收账款的票据" w:id="228"/>
      <w:bookmarkEnd w:id="228"/>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应收账款" w:id="229"/>
      <w:bookmarkEnd w:id="229"/>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1）应收账款分类披露" w:id="230"/>
      <w:bookmarkEnd w:id="230"/>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8"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20,938,6</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74.89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9,070,34</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8.84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43.32%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11,868,32</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6.05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432,837</w:t>
            </w:r>
          </w:p>
          <w:p>
            <w:pPr>
              <w:pStyle w:val="TableParagraph"/>
              <w:spacing w:line="240" w:lineRule="auto" w:before="106"/>
              <w:ind w:left="395" w:right="0"/>
              <w:jc w:val="left"/>
              <w:rPr>
                <w:rFonts w:ascii="Times New Roman" w:hAnsi="Times New Roman" w:cs="Times New Roman" w:eastAsia="Times New Roman" w:hint="default"/>
                <w:sz w:val="18"/>
                <w:szCs w:val="18"/>
              </w:rPr>
            </w:pPr>
            <w:r>
              <w:rPr>
                <w:rFonts w:ascii="Times New Roman"/>
                <w:sz w:val="18"/>
              </w:rPr>
              <w:t>.45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0.14%</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432,837.4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84" w:right="0"/>
              <w:jc w:val="lef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505,841,</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954.91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96.03%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28,097,5</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32.33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477,744,4</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22.58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317,000</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,657.17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99.86%</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20,069,95</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4.29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296,930,70</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2.88</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526,780,</w:t>
            </w:r>
          </w:p>
          <w:p>
            <w:pPr>
              <w:pStyle w:val="TableParagraph"/>
              <w:spacing w:line="240" w:lineRule="auto" w:before="106"/>
              <w:ind w:left="217" w:right="0"/>
              <w:jc w:val="center"/>
              <w:rPr>
                <w:rFonts w:ascii="Times New Roman" w:hAnsi="Times New Roman" w:cs="Times New Roman" w:eastAsia="Times New Roman" w:hint="default"/>
                <w:sz w:val="18"/>
                <w:szCs w:val="18"/>
              </w:rPr>
            </w:pPr>
            <w:r>
              <w:rPr>
                <w:rFonts w:ascii="Times New Roman"/>
                <w:sz w:val="18"/>
              </w:rPr>
              <w:t>629.80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37,167,8</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81.17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7.06%</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489,612,7</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48.63</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317,433</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,494.62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20,502,79</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1.74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6.46%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296,930,70</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2.88</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before="117"/>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5" w:space="453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65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东莞建永数码科技有限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1" w:right="0"/>
              <w:jc w:val="left"/>
              <w:rPr>
                <w:rFonts w:ascii="Times New Roman" w:hAnsi="Times New Roman" w:cs="Times New Roman" w:eastAsia="Times New Roman" w:hint="default"/>
                <w:sz w:val="18"/>
                <w:szCs w:val="18"/>
              </w:rPr>
            </w:pPr>
            <w:r>
              <w:rPr>
                <w:rFonts w:ascii="Times New Roman"/>
                <w:sz w:val="18"/>
              </w:rPr>
              <w:t>432,837.45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0" w:right="0"/>
              <w:jc w:val="left"/>
              <w:rPr>
                <w:rFonts w:ascii="Times New Roman" w:hAnsi="Times New Roman" w:cs="Times New Roman" w:eastAsia="Times New Roman" w:hint="default"/>
                <w:sz w:val="18"/>
                <w:szCs w:val="18"/>
              </w:rPr>
            </w:pPr>
            <w:r>
              <w:rPr>
                <w:rFonts w:ascii="Times New Roman"/>
                <w:sz w:val="18"/>
              </w:rPr>
              <w:t>432,837.45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36" w:right="0"/>
              <w:jc w:val="lef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该公司破产</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Energy Solar Pty</w:t>
            </w:r>
            <w:r>
              <w:rPr>
                <w:rFonts w:ascii="Times New Roman"/>
                <w:spacing w:val="-8"/>
                <w:sz w:val="18"/>
              </w:rPr>
              <w:t> </w:t>
            </w:r>
            <w:r>
              <w:rPr>
                <w:rFonts w:ascii="Times New Roman"/>
                <w:sz w:val="18"/>
              </w:rPr>
              <w:t>Ltd</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6,213,800.78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1,242,760.16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经营不善</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584"/>
              <w:jc w:val="left"/>
              <w:rPr>
                <w:rFonts w:ascii="Times New Roman" w:hAnsi="Times New Roman" w:cs="Times New Roman" w:eastAsia="Times New Roman" w:hint="default"/>
                <w:sz w:val="18"/>
                <w:szCs w:val="18"/>
              </w:rPr>
            </w:pPr>
            <w:r>
              <w:rPr>
                <w:rFonts w:ascii="Times New Roman"/>
                <w:sz w:val="18"/>
              </w:rPr>
              <w:t>Coded</w:t>
            </w:r>
            <w:r>
              <w:rPr>
                <w:rFonts w:ascii="Times New Roman"/>
                <w:spacing w:val="-3"/>
                <w:sz w:val="18"/>
              </w:rPr>
              <w:t> </w:t>
            </w:r>
            <w:r>
              <w:rPr>
                <w:rFonts w:ascii="Times New Roman"/>
                <w:sz w:val="18"/>
              </w:rPr>
              <w:t>Instruction</w:t>
            </w:r>
            <w:r>
              <w:rPr>
                <w:rFonts w:ascii="Times New Roman"/>
                <w:sz w:val="18"/>
              </w:rPr>
              <w:t> Security Corp</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854,162.95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854,162.95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该公司破产</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广东海博威视电子科技 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5,107,506.16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2,375,404.50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质量纠纷</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933"/>
              <w:jc w:val="left"/>
              <w:rPr>
                <w:rFonts w:ascii="Times New Roman" w:hAnsi="Times New Roman" w:cs="Times New Roman" w:eastAsia="Times New Roman" w:hint="default"/>
                <w:sz w:val="18"/>
                <w:szCs w:val="18"/>
              </w:rPr>
            </w:pPr>
            <w:r>
              <w:rPr>
                <w:rFonts w:ascii="Times New Roman"/>
                <w:sz w:val="18"/>
              </w:rPr>
              <w:t>Brilliant</w:t>
            </w:r>
            <w:r>
              <w:rPr>
                <w:rFonts w:ascii="Times New Roman"/>
                <w:spacing w:val="-1"/>
                <w:sz w:val="18"/>
              </w:rPr>
              <w:t> </w:t>
            </w:r>
            <w:r>
              <w:rPr>
                <w:rFonts w:ascii="Times New Roman"/>
                <w:sz w:val="18"/>
              </w:rPr>
              <w:t>Info</w:t>
            </w:r>
            <w:r>
              <w:rPr>
                <w:rFonts w:ascii="Times New Roman"/>
                <w:w w:val="99"/>
                <w:sz w:val="18"/>
              </w:rPr>
              <w:t> </w:t>
            </w:r>
            <w:r>
              <w:rPr>
                <w:rFonts w:ascii="Times New Roman"/>
                <w:sz w:val="18"/>
              </w:rPr>
              <w:t>Corporation</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8,330,367.55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4,165,183.78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诉讼中</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20,938,674.89</w:t>
            </w:r>
          </w:p>
        </w:tc>
        <w:tc>
          <w:tcPr>
            <w:tcW w:w="191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9,070,348.84</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组合中，按账龄分析法计提坏账准备的应收账款：</w:t>
      </w:r>
    </w:p>
    <w:p>
      <w:pPr>
        <w:spacing w:before="117"/>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115" w:space="471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336,954,991.96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76,675,549.55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3,833,777.48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413,630,541.51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3,833,777.48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54,006,878.99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5,400,687.91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18,442,691.93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3,688,538.39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9,174,627.86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4,587,313.94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10,587,214.62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10,587,214.62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505,841,954.91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28,097,532.34</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w:t>
      </w:r>
    </w:p>
    <w:p>
      <w:pPr>
        <w:pStyle w:val="BodyText"/>
        <w:spacing w:line="240" w:lineRule="auto" w:before="90"/>
        <w:ind w:left="154" w:right="0"/>
        <w:jc w:val="left"/>
      </w:pPr>
      <w:r>
        <w:rPr/>
        <w:t>相同账龄的应收款项具有类似信用风险特征</w:t>
      </w:r>
    </w:p>
    <w:p>
      <w:pPr>
        <w:spacing w:line="240" w:lineRule="auto" w:before="0"/>
        <w:rPr>
          <w:rFonts w:ascii="宋体" w:hAnsi="宋体" w:cs="宋体" w:eastAsia="宋体" w:hint="default"/>
          <w:sz w:val="20"/>
          <w:szCs w:val="20"/>
        </w:rPr>
      </w:pPr>
    </w:p>
    <w:p>
      <w:pPr>
        <w:spacing w:before="153"/>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40" w:lineRule="auto" w:before="116"/>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2）本期计提、收回或转回的坏账准备情况" w:id="231"/>
      <w:bookmarkEnd w:id="23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980" w:right="0"/>
        </w:sectPr>
      </w:pPr>
    </w:p>
    <w:p>
      <w:pPr>
        <w:spacing w:line="338" w:lineRule="auto" w:before="44"/>
        <w:ind w:left="153" w:right="-13"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14,481,656.86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544" w:space="2285"/>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3）本期实际核销的应收账款情况" w:id="232"/>
      <w:bookmarkEnd w:id="232"/>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实际核销应收款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112,753.80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11"/>
        <w:rPr>
          <w:rFonts w:ascii="宋体" w:hAnsi="宋体" w:cs="宋体" w:eastAsia="宋体" w:hint="default"/>
          <w:sz w:val="26"/>
          <w:szCs w:val="26"/>
        </w:rPr>
      </w:pPr>
    </w:p>
    <w:p>
      <w:pPr>
        <w:pStyle w:val="Heading4"/>
        <w:spacing w:line="240" w:lineRule="auto"/>
        <w:ind w:left="154" w:right="0"/>
        <w:jc w:val="left"/>
        <w:rPr>
          <w:b w:val="0"/>
          <w:bCs w:val="0"/>
        </w:rPr>
      </w:pPr>
      <w:bookmarkStart w:name="（4）按欠款方归集的期末余额前五名的应收账款情况" w:id="233"/>
      <w:bookmarkEnd w:id="233"/>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left="154" w:right="0"/>
        <w:jc w:val="left"/>
      </w:pPr>
      <w:r>
        <w:rPr>
          <w:spacing w:val="-3"/>
        </w:rPr>
        <w:t>本公司年末余额前五名应收账款金额为</w:t>
      </w:r>
      <w:r>
        <w:rPr>
          <w:rFonts w:ascii="Times New Roman" w:hAnsi="Times New Roman" w:cs="Times New Roman" w:eastAsia="Times New Roman" w:hint="default"/>
          <w:spacing w:val="-3"/>
        </w:rPr>
        <w:t>122,753,253.46</w:t>
      </w:r>
      <w:r>
        <w:rPr>
          <w:spacing w:val="-3"/>
        </w:rPr>
        <w:t>元，占应收账款年末余额合计数的比例为</w:t>
      </w:r>
      <w:r>
        <w:rPr>
          <w:rFonts w:ascii="Times New Roman" w:hAnsi="Times New Roman" w:cs="Times New Roman" w:eastAsia="Times New Roman" w:hint="default"/>
          <w:spacing w:val="-3"/>
        </w:rPr>
        <w:t>23.20%</w:t>
      </w:r>
      <w:r>
        <w:rPr>
          <w:spacing w:val="-3"/>
        </w:rPr>
        <w:t>，相</w:t>
      </w:r>
      <w:r>
        <w:rPr>
          <w:spacing w:val="-76"/>
        </w:rPr>
        <w:t> </w:t>
      </w:r>
      <w:r>
        <w:rPr/>
        <w:t>应计提的坏账准备年末余额汇总金额为</w:t>
      </w:r>
      <w:r>
        <w:rPr>
          <w:rFonts w:ascii="Times New Roman" w:hAnsi="Times New Roman" w:cs="Times New Roman" w:eastAsia="Times New Roman" w:hint="default"/>
        </w:rPr>
        <w:t>2,533,097.86</w:t>
      </w:r>
      <w:r>
        <w:rPr/>
        <w:t>元。</w:t>
      </w:r>
    </w:p>
    <w:p>
      <w:pPr>
        <w:spacing w:line="240" w:lineRule="auto" w:before="5"/>
        <w:rPr>
          <w:rFonts w:ascii="宋体" w:hAnsi="宋体" w:cs="宋体" w:eastAsia="宋体" w:hint="default"/>
          <w:sz w:val="23"/>
          <w:szCs w:val="23"/>
        </w:rPr>
      </w:pPr>
    </w:p>
    <w:p>
      <w:pPr>
        <w:spacing w:line="506" w:lineRule="auto" w:before="0"/>
        <w:ind w:left="154" w:right="6641" w:firstLine="0"/>
        <w:jc w:val="left"/>
        <w:rPr>
          <w:rFonts w:ascii="宋体" w:hAnsi="宋体" w:cs="宋体" w:eastAsia="宋体" w:hint="default"/>
          <w:sz w:val="21"/>
          <w:szCs w:val="21"/>
        </w:rPr>
      </w:pPr>
      <w:bookmarkStart w:name="（5）因金融资产转移而终止确认的应收账款" w:id="234"/>
      <w:bookmarkEnd w:id="23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）因金融资产转移而终止确认的应收账款</w:t>
      </w:r>
      <w:r>
        <w:rPr>
          <w:rFonts w:ascii="宋体" w:hAnsi="宋体" w:cs="宋体" w:eastAsia="宋体" w:hint="default"/>
          <w:b/>
          <w:bCs/>
          <w:w w:val="99"/>
          <w:sz w:val="21"/>
          <w:szCs w:val="21"/>
        </w:rPr>
        <w:t> </w:t>
      </w:r>
      <w:r>
        <w:rPr>
          <w:rFonts w:ascii="宋体" w:hAnsi="宋体" w:cs="宋体" w:eastAsia="宋体" w:hint="default"/>
          <w:sz w:val="21"/>
          <w:szCs w:val="21"/>
        </w:rPr>
        <w:t>无因金融资产转移而终止确认的应收账款；</w:t>
      </w:r>
    </w:p>
    <w:p>
      <w:pPr>
        <w:pStyle w:val="Heading4"/>
        <w:spacing w:line="240" w:lineRule="auto" w:before="105"/>
        <w:ind w:left="154" w:right="0"/>
        <w:jc w:val="left"/>
        <w:rPr>
          <w:b w:val="0"/>
          <w:bCs w:val="0"/>
        </w:rPr>
      </w:pPr>
      <w:bookmarkStart w:name="（6）转移应收账款且继续涉入形成的资产、负债金额" w:id="235"/>
      <w:bookmarkEnd w:id="235"/>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0"/>
        <w:ind w:left="154" w:right="0"/>
        <w:jc w:val="left"/>
        <w:rPr>
          <w:sz w:val="24"/>
          <w:szCs w:val="24"/>
        </w:rPr>
      </w:pPr>
      <w:r>
        <w:rPr/>
        <w:t>年末无转移应收账款且继续涉入形成的资产、负债金额</w:t>
      </w:r>
      <w:r>
        <w:rPr>
          <w:sz w:val="24"/>
          <w:szCs w:val="24"/>
        </w:rPr>
        <w:t>。</w:t>
      </w:r>
    </w:p>
    <w:p>
      <w:pPr>
        <w:spacing w:before="88"/>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6、预付款项" w:id="236"/>
      <w:bookmarkEnd w:id="236"/>
      <w:r>
        <w:rPr>
          <w:b w:val="0"/>
          <w:bCs w:val="0"/>
        </w:rPr>
      </w:r>
      <w:r>
        <w:rPr>
          <w:rFonts w:ascii="Times New Roman" w:hAnsi="Times New Roman" w:cs="Times New Roman" w:eastAsia="Times New Roman" w:hint="default"/>
        </w:rPr>
        <w:t>6</w:t>
      </w:r>
      <w:r>
        <w:rPr/>
        <w:t>、预付款项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0"/>
        <w:jc w:val="left"/>
        <w:rPr>
          <w:b w:val="0"/>
          <w:bCs w:val="0"/>
        </w:rPr>
      </w:pPr>
      <w:bookmarkStart w:name="（1）预付款项按账龄列示" w:id="237"/>
      <w:bookmarkEnd w:id="237"/>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2,599,744.76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98.83%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6,470,813.06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37" w:right="0"/>
              <w:jc w:val="lef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30,905.42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1.17%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2,630,650.18</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6,470,813.06</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w:t>
      </w:r>
    </w:p>
    <w:p>
      <w:pPr>
        <w:spacing w:line="240" w:lineRule="auto" w:before="9"/>
        <w:rPr>
          <w:rFonts w:ascii="宋体" w:hAnsi="宋体" w:cs="宋体" w:eastAsia="宋体" w:hint="default"/>
          <w:sz w:val="25"/>
          <w:szCs w:val="25"/>
        </w:rPr>
      </w:pPr>
    </w:p>
    <w:p>
      <w:pPr>
        <w:pStyle w:val="Heading4"/>
        <w:spacing w:line="240" w:lineRule="auto"/>
        <w:ind w:left="154" w:right="0"/>
        <w:jc w:val="left"/>
        <w:rPr>
          <w:b w:val="0"/>
          <w:bCs w:val="0"/>
        </w:rPr>
      </w:pPr>
      <w:bookmarkStart w:name="（2）按预付对象归集的期末余额前五名的预付款情况" w:id="238"/>
      <w:bookmarkEnd w:id="238"/>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8"/>
        <w:rPr>
          <w:rFonts w:ascii="宋体" w:hAnsi="宋体" w:cs="宋体" w:eastAsia="宋体" w:hint="default"/>
          <w:b/>
          <w:bCs/>
          <w:sz w:val="24"/>
          <w:szCs w:val="24"/>
        </w:rPr>
      </w:pPr>
    </w:p>
    <w:p>
      <w:pPr>
        <w:pStyle w:val="BodyText"/>
        <w:spacing w:line="273" w:lineRule="auto" w:before="0"/>
        <w:ind w:right="0"/>
        <w:jc w:val="left"/>
      </w:pPr>
      <w:r>
        <w:rPr>
          <w:spacing w:val="-1"/>
        </w:rPr>
        <w:t>本公司按预付对象归集的年末余额前五名预付账款汇总金额为</w:t>
      </w:r>
      <w:r>
        <w:rPr>
          <w:rFonts w:ascii="宋体" w:hAnsi="宋体" w:cs="宋体" w:eastAsia="宋体" w:hint="default"/>
          <w:spacing w:val="-1"/>
        </w:rPr>
        <w:t>1,595,963.28</w:t>
      </w:r>
      <w:r>
        <w:rPr>
          <w:spacing w:val="-1"/>
        </w:rPr>
        <w:t>元，占预付账款年末余额合计</w:t>
      </w:r>
      <w:r>
        <w:rPr>
          <w:spacing w:val="-77"/>
        </w:rPr>
        <w:t> </w:t>
      </w:r>
      <w:r>
        <w:rPr>
          <w:spacing w:val="-77"/>
        </w:rPr>
      </w:r>
      <w:r>
        <w:rPr/>
        <w:t>数的比例为</w:t>
      </w:r>
      <w:r>
        <w:rPr>
          <w:rFonts w:ascii="宋体" w:hAnsi="宋体" w:cs="宋体" w:eastAsia="宋体" w:hint="default"/>
        </w:rPr>
        <w:t>60.67%</w:t>
      </w:r>
      <w:r>
        <w:rPr/>
        <w:t>。</w:t>
      </w:r>
    </w:p>
    <w:p>
      <w:pPr>
        <w:spacing w:after="0" w:line="273"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7、应收利息" w:id="239"/>
      <w:bookmarkEnd w:id="239"/>
      <w:r>
        <w:rPr>
          <w:b w:val="0"/>
          <w:bCs w:val="0"/>
        </w:rPr>
      </w:r>
      <w:r>
        <w:rPr>
          <w:rFonts w:ascii="Times New Roman" w:hAnsi="Times New Roman" w:cs="Times New Roman" w:eastAsia="Times New Roman" w:hint="default"/>
        </w:rPr>
        <w:t>7</w:t>
      </w:r>
      <w:r>
        <w:rPr/>
        <w:t>、应收利息</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应收利息分类" w:id="240"/>
      <w:bookmarkEnd w:id="240"/>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1"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428,302.07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3,895.90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432,197.97</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重要逾期利息" w:id="241"/>
      <w:bookmarkEnd w:id="241"/>
      <w:r>
        <w:rPr>
          <w:b w:val="0"/>
          <w:bCs w:val="0"/>
        </w:rPr>
      </w:r>
      <w:r>
        <w:rPr/>
        <w:t>（</w:t>
      </w:r>
      <w:r>
        <w:rPr>
          <w:rFonts w:ascii="Times New Roman" w:hAnsi="Times New Roman" w:cs="Times New Roman" w:eastAsia="Times New Roman" w:hint="default"/>
        </w:rPr>
        <w:t>2</w:t>
      </w:r>
      <w:r>
        <w:rPr/>
        <w:t>）重要逾期利息</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8、应收股利" w:id="242"/>
      <w:bookmarkEnd w:id="242"/>
      <w:r>
        <w:rPr>
          <w:b w:val="0"/>
          <w:bCs w:val="0"/>
        </w:rPr>
      </w:r>
      <w:r>
        <w:rPr>
          <w:rFonts w:ascii="Times New Roman" w:hAnsi="Times New Roman" w:cs="Times New Roman" w:eastAsia="Times New Roman" w:hint="default"/>
        </w:rPr>
        <w:t>8</w:t>
      </w:r>
      <w:r>
        <w:rPr/>
        <w:t>、应收股利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0"/>
        <w:jc w:val="left"/>
        <w:rPr>
          <w:b w:val="0"/>
          <w:bCs w:val="0"/>
        </w:rPr>
      </w:pPr>
      <w:bookmarkStart w:name="（1）应收股利" w:id="243"/>
      <w:bookmarkEnd w:id="243"/>
      <w:r>
        <w:rPr>
          <w:b w:val="0"/>
          <w:bCs w:val="0"/>
        </w:rPr>
      </w:r>
      <w:r>
        <w:rPr/>
        <w:t>（</w:t>
      </w:r>
      <w:r>
        <w:rPr>
          <w:rFonts w:ascii="Times New Roman" w:hAnsi="Times New Roman" w:cs="Times New Roman" w:eastAsia="Times New Roman" w:hint="default"/>
        </w:rPr>
        <w:t>1</w:t>
      </w:r>
      <w:r>
        <w:rPr/>
        <w:t>）应收股利</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4"/>
        <w:spacing w:line="240" w:lineRule="auto" w:before="35"/>
        <w:ind w:left="154" w:right="0"/>
        <w:jc w:val="left"/>
        <w:rPr>
          <w:b w:val="0"/>
          <w:bCs w:val="0"/>
        </w:rPr>
      </w:pPr>
      <w:bookmarkStart w:name="（2）重要的账龄超过1年的应收股利" w:id="244"/>
      <w:bookmarkEnd w:id="244"/>
      <w:r>
        <w:rPr>
          <w:b w:val="0"/>
          <w:bCs w:val="0"/>
        </w:rPr>
      </w:r>
      <w:r>
        <w:rPr/>
        <w:t>（</w:t>
      </w:r>
      <w:r>
        <w:rPr>
          <w:rFonts w:ascii="Times New Roman" w:hAnsi="Times New Roman" w:cs="Times New Roman" w:eastAsia="Times New Roman" w:hint="default"/>
        </w:rPr>
        <w:t>2</w:t>
      </w:r>
      <w:r>
        <w:rPr/>
        <w:t>）重要的账龄超过</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年的应收股利</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9、其他应收款" w:id="245"/>
      <w:bookmarkEnd w:id="245"/>
      <w:r>
        <w:rPr>
          <w:b w:val="0"/>
          <w:bCs w:val="0"/>
        </w:rPr>
      </w:r>
      <w:r>
        <w:rPr>
          <w:rFonts w:ascii="Times New Roman" w:hAnsi="Times New Roman" w:cs="Times New Roman" w:eastAsia="Times New Roman" w:hint="default"/>
        </w:rPr>
        <w:t>9</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其他应收款分类披露" w:id="246"/>
      <w:bookmarkEnd w:id="246"/>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5" w:right="0"/>
              <w:jc w:val="left"/>
              <w:rPr>
                <w:rFonts w:ascii="宋体" w:hAnsi="宋体" w:cs="宋体" w:eastAsia="宋体" w:hint="default"/>
                <w:sz w:val="18"/>
                <w:szCs w:val="18"/>
              </w:rPr>
            </w:pPr>
            <w:r>
              <w:rPr>
                <w:rFonts w:ascii="宋体" w:hAnsi="宋体" w:cs="宋体" w:eastAsia="宋体" w:hint="default"/>
                <w:sz w:val="18"/>
                <w:szCs w:val="18"/>
              </w:rPr>
              <w:t>计提比</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62"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例</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6,493,60</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24.71%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3,246,80</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3,246,800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6,119,0</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35.50%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3,059,500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3,059,500.0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19,786,0</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80.23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75.29%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885,683.</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36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18,900,39</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6.87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pacing w:val="-3"/>
                <w:sz w:val="18"/>
              </w:rPr>
              <w:t>11,119,</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818.13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64.50%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481,275.4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10,638,542.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72</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26,279,6</w:t>
            </w:r>
          </w:p>
          <w:p>
            <w:pPr>
              <w:pStyle w:val="TableParagraph"/>
              <w:spacing w:line="240" w:lineRule="auto" w:before="105"/>
              <w:ind w:left="330" w:right="0"/>
              <w:jc w:val="left"/>
              <w:rPr>
                <w:rFonts w:ascii="Times New Roman" w:hAnsi="Times New Roman" w:cs="Times New Roman" w:eastAsia="Times New Roman" w:hint="default"/>
                <w:sz w:val="18"/>
                <w:szCs w:val="18"/>
              </w:rPr>
            </w:pPr>
            <w:r>
              <w:rPr>
                <w:rFonts w:ascii="Times New Roman"/>
                <w:sz w:val="18"/>
              </w:rPr>
              <w:t>80.23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4,132,48</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3.36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15.73%</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22,147,19</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6.87</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17,238,</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818.13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3,540,775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20.54%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13,698,042.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72</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before="117"/>
        <w:ind w:left="154" w:right="-2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475" w:space="435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On-Q,LLC</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6,493,600.00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3,246,800.00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0"/>
              <w:jc w:val="left"/>
              <w:rPr>
                <w:rFonts w:ascii="宋体" w:hAnsi="宋体" w:cs="宋体" w:eastAsia="宋体" w:hint="default"/>
                <w:sz w:val="18"/>
                <w:szCs w:val="18"/>
              </w:rPr>
            </w:pPr>
            <w:r>
              <w:rPr>
                <w:rFonts w:ascii="宋体" w:hAnsi="宋体" w:cs="宋体" w:eastAsia="宋体" w:hint="default"/>
                <w:sz w:val="18"/>
                <w:szCs w:val="18"/>
              </w:rPr>
              <w:t>诉讼中，按预计不可回 收比例计提</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6,493,600.00</w:t>
            </w:r>
          </w:p>
        </w:tc>
        <w:tc>
          <w:tcPr>
            <w:tcW w:w="191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pacing w:val="-1"/>
                <w:sz w:val="18"/>
              </w:rPr>
              <w:t>3,246,800.00</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组合中，按账龄分析法计提坏账准备的其他应收款：</w:t>
      </w:r>
    </w:p>
    <w:p>
      <w:pPr>
        <w:spacing w:before="116"/>
        <w:ind w:left="154" w:right="-2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5" w:space="453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4"/>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17,444,136.11</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336,568.55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16,828.43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17,780,704.66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16,828.43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910,727.23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91,072.73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220,182.67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44,036.53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281,440.00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140,720.00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593,025.67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593,025.67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19,786,080.23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885,683.36</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w:t>
      </w:r>
    </w:p>
    <w:p>
      <w:pPr>
        <w:pStyle w:val="BodyText"/>
        <w:spacing w:line="240" w:lineRule="auto" w:before="90"/>
        <w:ind w:left="154" w:right="0"/>
        <w:jc w:val="left"/>
      </w:pPr>
      <w:r>
        <w:rPr/>
        <w:t>相同账龄的其他应收款具有类似信用风险特征</w:t>
      </w:r>
    </w:p>
    <w:p>
      <w:pPr>
        <w:spacing w:line="240" w:lineRule="auto" w:before="0"/>
        <w:rPr>
          <w:rFonts w:ascii="宋体" w:hAnsi="宋体" w:cs="宋体" w:eastAsia="宋体" w:hint="default"/>
          <w:sz w:val="20"/>
          <w:szCs w:val="20"/>
        </w:rPr>
      </w:pPr>
    </w:p>
    <w:p>
      <w:pPr>
        <w:spacing w:before="154"/>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57" w:lineRule="auto" w:before="117"/>
        <w:ind w:left="154" w:right="6612" w:firstLine="0"/>
        <w:jc w:val="left"/>
        <w:rPr>
          <w:rFonts w:ascii="宋体" w:hAnsi="宋体" w:cs="宋体" w:eastAsia="宋体" w:hint="default"/>
          <w:sz w:val="18"/>
          <w:szCs w:val="18"/>
        </w:rPr>
      </w:pPr>
      <w:r>
        <w:rPr>
          <w:rFonts w:ascii="宋体" w:hAnsi="宋体" w:cs="宋体" w:eastAsia="宋体" w:hint="default"/>
          <w:sz w:val="18"/>
          <w:szCs w:val="18"/>
        </w:rPr>
        <w:t>□ 适用 √ 不适用 组合中，采用其他方法计提坏账准备的其他应收款：</w:t>
      </w:r>
    </w:p>
    <w:p>
      <w:pPr>
        <w:spacing w:after="0" w:line="357"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pStyle w:val="Heading4"/>
        <w:spacing w:line="240" w:lineRule="auto"/>
        <w:ind w:left="154" w:right="0"/>
        <w:jc w:val="left"/>
        <w:rPr>
          <w:b w:val="0"/>
          <w:bCs w:val="0"/>
        </w:rPr>
      </w:pPr>
      <w:bookmarkStart w:name="（2）本期计提、收回或转回的坏账准备情况" w:id="247"/>
      <w:bookmarkEnd w:id="247"/>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line="338" w:lineRule="auto" w:before="44"/>
        <w:ind w:left="153" w:right="-15"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570,818.32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320" w:space="2510"/>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3）本期实际核销的其他应收款情况" w:id="248"/>
      <w:bookmarkEnd w:id="248"/>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pStyle w:val="BodyText"/>
        <w:spacing w:line="240" w:lineRule="auto" w:before="90"/>
        <w:ind w:left="154" w:right="0"/>
        <w:jc w:val="left"/>
      </w:pPr>
      <w:r>
        <w:rPr/>
        <w:t>本年无实际核销的其他应收款</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Heading4"/>
        <w:spacing w:line="240" w:lineRule="auto"/>
        <w:ind w:left="154" w:right="0"/>
        <w:jc w:val="left"/>
        <w:rPr>
          <w:b w:val="0"/>
          <w:bCs w:val="0"/>
        </w:rPr>
      </w:pPr>
      <w:bookmarkStart w:name="（4）其他应收款按款项性质分类情况" w:id="249"/>
      <w:bookmarkEnd w:id="249"/>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12,842,121.12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2,503,641.44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3,478,172.65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5,379,417.18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员工借款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1,657,303.95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2,165,682.03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8,302,082.51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7,190,077.48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26,279,680.23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17,238,818.13</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5）按欠款方归集的期末余额前五名的其他应收款情况" w:id="250"/>
      <w:bookmarkEnd w:id="250"/>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应收出口退税</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12,842,121.12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48.87%</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On-Q,LLC</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6,493,600.00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24.71%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3,246,800.00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深圳市桑泰实业发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3.81%</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36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展有限公司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深圳创维数字技术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浪潮软件集团有限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21,835,721.12</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83.09%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3,246,800.00</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6）涉及政府补助的应收款项" w:id="251"/>
      <w:bookmarkEnd w:id="251"/>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83" w:right="39"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3"/>
        <w:rPr>
          <w:rFonts w:ascii="宋体" w:hAnsi="宋体" w:cs="宋体" w:eastAsia="宋体" w:hint="default"/>
          <w:sz w:val="19"/>
          <w:szCs w:val="19"/>
        </w:rPr>
      </w:pPr>
    </w:p>
    <w:p>
      <w:pPr>
        <w:spacing w:line="506" w:lineRule="auto" w:before="35"/>
        <w:ind w:left="154" w:right="5712" w:firstLine="0"/>
        <w:jc w:val="left"/>
        <w:rPr>
          <w:rFonts w:ascii="宋体" w:hAnsi="宋体" w:cs="宋体" w:eastAsia="宋体" w:hint="default"/>
          <w:sz w:val="21"/>
          <w:szCs w:val="21"/>
        </w:rPr>
      </w:pPr>
      <w:bookmarkStart w:name="（7）因金融资产转移而终止确认的其他应收款" w:id="252"/>
      <w:bookmarkEnd w:id="25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）因金融资产转移而终止确认的其他应收款</w:t>
      </w:r>
      <w:r>
        <w:rPr>
          <w:rFonts w:ascii="宋体" w:hAnsi="宋体" w:cs="宋体" w:eastAsia="宋体" w:hint="default"/>
          <w:b/>
          <w:bCs/>
          <w:w w:val="99"/>
          <w:sz w:val="21"/>
          <w:szCs w:val="21"/>
        </w:rPr>
        <w:t> </w:t>
      </w:r>
      <w:r>
        <w:rPr>
          <w:rFonts w:ascii="宋体" w:hAnsi="宋体" w:cs="宋体" w:eastAsia="宋体" w:hint="default"/>
          <w:sz w:val="21"/>
          <w:szCs w:val="21"/>
        </w:rPr>
        <w:t>本报告期无因金融资产转移而终止确认的其他应收款；</w:t>
      </w:r>
    </w:p>
    <w:p>
      <w:pPr>
        <w:pStyle w:val="Heading4"/>
        <w:spacing w:line="240" w:lineRule="auto" w:before="105"/>
        <w:ind w:left="154" w:right="0"/>
        <w:jc w:val="left"/>
        <w:rPr>
          <w:b w:val="0"/>
          <w:bCs w:val="0"/>
        </w:rPr>
      </w:pPr>
      <w:bookmarkStart w:name="（8）转移其他应收款且继续涉入形成的资产、负债金额" w:id="253"/>
      <w:bookmarkEnd w:id="253"/>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4663"/>
        <w:jc w:val="left"/>
      </w:pPr>
      <w:r>
        <w:rPr/>
        <w:t>本报告期无转移其他应收款且继续涉入形成的资产、负债的情况。 其他说明：</w:t>
      </w:r>
    </w:p>
    <w:p>
      <w:pPr>
        <w:spacing w:line="240" w:lineRule="auto" w:before="8"/>
        <w:rPr>
          <w:rFonts w:ascii="宋体" w:hAnsi="宋体" w:cs="宋体" w:eastAsia="宋体" w:hint="default"/>
          <w:sz w:val="23"/>
          <w:szCs w:val="23"/>
        </w:rPr>
      </w:pPr>
    </w:p>
    <w:p>
      <w:pPr>
        <w:pStyle w:val="Heading4"/>
        <w:spacing w:line="240" w:lineRule="auto"/>
        <w:ind w:right="0"/>
        <w:jc w:val="left"/>
        <w:rPr>
          <w:b w:val="0"/>
          <w:bCs w:val="0"/>
        </w:rPr>
      </w:pPr>
      <w:bookmarkStart w:name="10、存货" w:id="254"/>
      <w:bookmarkEnd w:id="254"/>
      <w:r>
        <w:rPr>
          <w:b w:val="0"/>
          <w:bCs w:val="0"/>
        </w:rPr>
      </w:r>
      <w:r>
        <w:rPr>
          <w:rFonts w:ascii="Times New Roman" w:hAnsi="Times New Roman" w:cs="Times New Roman" w:eastAsia="Times New Roman" w:hint="default"/>
        </w:rPr>
        <w:t>10</w:t>
      </w:r>
      <w:r>
        <w:rPr/>
        <w:t>、存货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1）存货分类" w:id="255"/>
      <w:bookmarkEnd w:id="255"/>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64,627,741.35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3,990,814.81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60,636,926.54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31,120,224.17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1,345,669.96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29,774,554.21</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22,382,961.85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180,487.81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22,202,474.04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9,250,177.00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119,242.37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9,130,934.63</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96,093,895.64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13,769,047.35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82,324,848.29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44,254,503.29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3,478,437.23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40,776,066.06</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1,178,077.33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1,178,077.33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2,532,095.91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2,532,095.91</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184,282,676.17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17,940,349.97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166,342,326.20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87,157,000.37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4,943,349.56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82,213,650.81</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存货跌价准备" w:id="256"/>
      <w:bookmarkEnd w:id="256"/>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383"/>
        <w:gridCol w:w="1353"/>
        <w:gridCol w:w="1367"/>
        <w:gridCol w:w="293"/>
        <w:gridCol w:w="1074"/>
        <w:gridCol w:w="1368"/>
        <w:gridCol w:w="180"/>
        <w:gridCol w:w="1187"/>
        <w:gridCol w:w="1367"/>
      </w:tblGrid>
      <w:tr>
        <w:trPr>
          <w:trHeight w:val="402" w:hRule="exact"/>
        </w:trPr>
        <w:tc>
          <w:tcPr>
            <w:tcW w:w="1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1,345,669.96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3,041,656.03</w:t>
            </w:r>
          </w:p>
        </w:tc>
        <w:tc>
          <w:tcPr>
            <w:tcW w:w="1367" w:type="dxa"/>
            <w:gridSpan w:val="2"/>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396,511.18</w:t>
            </w:r>
          </w:p>
        </w:tc>
        <w:tc>
          <w:tcPr>
            <w:tcW w:w="1367"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3,990,814.81</w:t>
            </w:r>
          </w:p>
        </w:tc>
      </w:tr>
      <w:tr>
        <w:trPr>
          <w:trHeight w:val="402" w:hRule="exact"/>
        </w:trPr>
        <w:tc>
          <w:tcPr>
            <w:tcW w:w="1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119,242.37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61,245.44</w:t>
            </w:r>
          </w:p>
        </w:tc>
        <w:tc>
          <w:tcPr>
            <w:tcW w:w="1367" w:type="dxa"/>
            <w:gridSpan w:val="2"/>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180,487.81</w:t>
            </w:r>
          </w:p>
        </w:tc>
      </w:tr>
      <w:tr>
        <w:trPr>
          <w:trHeight w:val="402" w:hRule="exact"/>
        </w:trPr>
        <w:tc>
          <w:tcPr>
            <w:tcW w:w="1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3,478,437.23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14,298,198.70</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4" w:right="0"/>
              <w:jc w:val="left"/>
              <w:rPr>
                <w:rFonts w:ascii="Times New Roman" w:hAnsi="Times New Roman" w:cs="Times New Roman" w:eastAsia="Times New Roman" w:hint="default"/>
                <w:sz w:val="18"/>
                <w:szCs w:val="18"/>
              </w:rPr>
            </w:pPr>
            <w:r>
              <w:rPr>
                <w:rFonts w:ascii="Times New Roman"/>
                <w:sz w:val="18"/>
              </w:rPr>
              <w:t>447,385.89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4,454,974.47</w:t>
            </w:r>
          </w:p>
        </w:tc>
        <w:tc>
          <w:tcPr>
            <w:tcW w:w="1367"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13,769,047.35</w:t>
            </w:r>
          </w:p>
        </w:tc>
      </w:tr>
      <w:tr>
        <w:trPr>
          <w:trHeight w:val="405" w:hRule="exact"/>
        </w:trPr>
        <w:tc>
          <w:tcPr>
            <w:tcW w:w="1383" w:type="dxa"/>
            <w:tcBorders>
              <w:top w:val="single" w:sz="4" w:space="0" w:color="000000"/>
              <w:left w:val="single" w:sz="4" w:space="0" w:color="000000"/>
              <w:bottom w:val="single" w:sz="6"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53" w:type="dxa"/>
            <w:tcBorders>
              <w:top w:val="single" w:sz="4" w:space="0" w:color="000000"/>
              <w:left w:val="single" w:sz="13" w:space="0" w:color="D2D2D2"/>
              <w:bottom w:val="single" w:sz="6"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4,943,349.56</w:t>
            </w:r>
          </w:p>
        </w:tc>
        <w:tc>
          <w:tcPr>
            <w:tcW w:w="1367"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17,401,100.17</w:t>
            </w:r>
          </w:p>
        </w:tc>
        <w:tc>
          <w:tcPr>
            <w:tcW w:w="1367" w:type="dxa"/>
            <w:gridSpan w:val="2"/>
            <w:tcBorders>
              <w:top w:val="single" w:sz="4" w:space="0" w:color="000000"/>
              <w:left w:val="single" w:sz="4" w:space="0" w:color="000000"/>
              <w:bottom w:val="single" w:sz="6" w:space="0" w:color="000000"/>
              <w:right w:val="single" w:sz="4" w:space="0" w:color="000000"/>
            </w:tcBorders>
          </w:tcPr>
          <w:p>
            <w:pPr>
              <w:pStyle w:val="TableParagraph"/>
              <w:spacing w:line="240" w:lineRule="auto" w:before="91"/>
              <w:ind w:left="524" w:right="0"/>
              <w:jc w:val="left"/>
              <w:rPr>
                <w:rFonts w:ascii="Times New Roman" w:hAnsi="Times New Roman" w:cs="Times New Roman" w:eastAsia="Times New Roman" w:hint="default"/>
                <w:sz w:val="18"/>
                <w:szCs w:val="18"/>
              </w:rPr>
            </w:pPr>
            <w:r>
              <w:rPr>
                <w:rFonts w:ascii="Times New Roman"/>
                <w:sz w:val="18"/>
              </w:rPr>
              <w:t>447,385.89</w:t>
            </w:r>
          </w:p>
        </w:tc>
        <w:tc>
          <w:tcPr>
            <w:tcW w:w="1368"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4,851,485.65</w:t>
            </w:r>
          </w:p>
        </w:tc>
        <w:tc>
          <w:tcPr>
            <w:tcW w:w="1367" w:type="dxa"/>
            <w:gridSpan w:val="2"/>
            <w:tcBorders>
              <w:top w:val="single" w:sz="4" w:space="0" w:color="000000"/>
              <w:left w:val="single" w:sz="4" w:space="0" w:color="000000"/>
              <w:bottom w:val="single" w:sz="6" w:space="0" w:color="000000"/>
              <w:right w:val="single" w:sz="4" w:space="0" w:color="000000"/>
            </w:tcBorders>
          </w:tcPr>
          <w:p>
            <w:pPr/>
          </w:p>
        </w:tc>
        <w:tc>
          <w:tcPr>
            <w:tcW w:w="1367"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17,940,349.97</w:t>
            </w:r>
          </w:p>
        </w:tc>
      </w:tr>
      <w:tr>
        <w:trPr>
          <w:trHeight w:val="355" w:hRule="exact"/>
        </w:trPr>
        <w:tc>
          <w:tcPr>
            <w:tcW w:w="138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3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13" w:type="dxa"/>
            <w:gridSpan w:val="3"/>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346" w:right="0"/>
              <w:jc w:val="left"/>
              <w:rPr>
                <w:rFonts w:ascii="宋体" w:hAnsi="宋体" w:cs="宋体" w:eastAsia="宋体" w:hint="default"/>
                <w:sz w:val="18"/>
                <w:szCs w:val="18"/>
              </w:rPr>
            </w:pPr>
            <w:r>
              <w:rPr>
                <w:rFonts w:ascii="宋体" w:hAnsi="宋体" w:cs="宋体" w:eastAsia="宋体" w:hint="default"/>
                <w:sz w:val="18"/>
                <w:szCs w:val="18"/>
              </w:rPr>
              <w:t>计提存货跌价准备的具体依据</w:t>
            </w:r>
          </w:p>
        </w:tc>
        <w:tc>
          <w:tcPr>
            <w:tcW w:w="2622" w:type="dxa"/>
            <w:gridSpan w:val="3"/>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33" w:right="0"/>
              <w:jc w:val="left"/>
              <w:rPr>
                <w:rFonts w:ascii="宋体" w:hAnsi="宋体" w:cs="宋体" w:eastAsia="宋体" w:hint="default"/>
                <w:sz w:val="18"/>
                <w:szCs w:val="18"/>
              </w:rPr>
            </w:pPr>
            <w:r>
              <w:rPr>
                <w:rFonts w:ascii="宋体" w:hAnsi="宋体" w:cs="宋体" w:eastAsia="宋体" w:hint="default"/>
                <w:sz w:val="18"/>
                <w:szCs w:val="18"/>
              </w:rPr>
              <w:t>本年转回存货跌价准备的原因</w:t>
            </w:r>
          </w:p>
        </w:tc>
        <w:tc>
          <w:tcPr>
            <w:tcW w:w="2554" w:type="dxa"/>
            <w:gridSpan w:val="2"/>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133" w:right="0"/>
              <w:jc w:val="left"/>
              <w:rPr>
                <w:rFonts w:ascii="宋体" w:hAnsi="宋体" w:cs="宋体" w:eastAsia="宋体" w:hint="default"/>
                <w:sz w:val="18"/>
                <w:szCs w:val="18"/>
              </w:rPr>
            </w:pPr>
            <w:r>
              <w:rPr>
                <w:rFonts w:ascii="宋体" w:hAnsi="宋体" w:cs="宋体" w:eastAsia="宋体" w:hint="default"/>
                <w:sz w:val="18"/>
                <w:szCs w:val="18"/>
              </w:rPr>
              <w:t>本年转销存货跌价准备的原因</w:t>
            </w:r>
          </w:p>
        </w:tc>
      </w:tr>
      <w:tr>
        <w:trPr>
          <w:trHeight w:val="352" w:hRule="exact"/>
        </w:trPr>
        <w:tc>
          <w:tcPr>
            <w:tcW w:w="13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3013" w:type="dxa"/>
            <w:gridSpan w:val="3"/>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3" w:right="0"/>
              <w:jc w:val="center"/>
              <w:rPr>
                <w:rFonts w:ascii="宋体" w:hAnsi="宋体" w:cs="宋体" w:eastAsia="宋体" w:hint="default"/>
                <w:sz w:val="18"/>
                <w:szCs w:val="18"/>
              </w:rPr>
            </w:pPr>
            <w:r>
              <w:rPr>
                <w:rFonts w:ascii="宋体" w:hAnsi="宋体" w:cs="宋体" w:eastAsia="宋体" w:hint="default"/>
                <w:sz w:val="18"/>
                <w:szCs w:val="18"/>
              </w:rPr>
              <w:t>呆滞料</w:t>
            </w:r>
          </w:p>
        </w:tc>
        <w:tc>
          <w:tcPr>
            <w:tcW w:w="2622" w:type="dxa"/>
            <w:gridSpan w:val="3"/>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已被领用</w:t>
            </w:r>
          </w:p>
        </w:tc>
        <w:tc>
          <w:tcPr>
            <w:tcW w:w="2554" w:type="dxa"/>
            <w:gridSpan w:val="2"/>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60" w:right="0"/>
              <w:jc w:val="center"/>
              <w:rPr>
                <w:rFonts w:ascii="宋体" w:hAnsi="宋体" w:cs="宋体" w:eastAsia="宋体" w:hint="default"/>
                <w:sz w:val="18"/>
                <w:szCs w:val="18"/>
              </w:rPr>
            </w:pPr>
            <w:r>
              <w:rPr>
                <w:rFonts w:ascii="宋体" w:hAnsi="宋体" w:cs="宋体" w:eastAsia="宋体" w:hint="default"/>
                <w:sz w:val="18"/>
                <w:szCs w:val="18"/>
              </w:rPr>
              <w:t>报废</w:t>
            </w:r>
          </w:p>
        </w:tc>
      </w:tr>
      <w:tr>
        <w:trPr>
          <w:trHeight w:val="353" w:hRule="exact"/>
        </w:trPr>
        <w:tc>
          <w:tcPr>
            <w:tcW w:w="13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产成品</w:t>
            </w:r>
          </w:p>
        </w:tc>
        <w:tc>
          <w:tcPr>
            <w:tcW w:w="3013" w:type="dxa"/>
            <w:gridSpan w:val="3"/>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3" w:right="0"/>
              <w:jc w:val="center"/>
              <w:rPr>
                <w:rFonts w:ascii="宋体" w:hAnsi="宋体" w:cs="宋体" w:eastAsia="宋体" w:hint="default"/>
                <w:sz w:val="18"/>
                <w:szCs w:val="18"/>
              </w:rPr>
            </w:pPr>
            <w:r>
              <w:rPr>
                <w:rFonts w:ascii="宋体" w:hAnsi="宋体" w:cs="宋体" w:eastAsia="宋体" w:hint="default"/>
                <w:sz w:val="18"/>
                <w:szCs w:val="18"/>
              </w:rPr>
              <w:t>不良产品</w:t>
            </w:r>
          </w:p>
        </w:tc>
        <w:tc>
          <w:tcPr>
            <w:tcW w:w="2622" w:type="dxa"/>
            <w:gridSpan w:val="3"/>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w:t>
            </w:r>
          </w:p>
        </w:tc>
        <w:tc>
          <w:tcPr>
            <w:tcW w:w="2554" w:type="dxa"/>
            <w:gridSpan w:val="2"/>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60" w:right="0"/>
              <w:jc w:val="center"/>
              <w:rPr>
                <w:rFonts w:ascii="宋体" w:hAnsi="宋体" w:cs="宋体" w:eastAsia="宋体" w:hint="default"/>
                <w:sz w:val="18"/>
                <w:szCs w:val="18"/>
              </w:rPr>
            </w:pPr>
            <w:r>
              <w:rPr>
                <w:rFonts w:ascii="宋体" w:hAnsi="宋体" w:cs="宋体" w:eastAsia="宋体" w:hint="default"/>
                <w:sz w:val="18"/>
                <w:szCs w:val="18"/>
              </w:rPr>
              <w:t>报废</w:t>
            </w:r>
          </w:p>
        </w:tc>
      </w:tr>
    </w:tbl>
    <w:p>
      <w:pPr>
        <w:pStyle w:val="BodyText"/>
        <w:spacing w:line="260" w:lineRule="exact" w:before="0"/>
        <w:ind w:left="154" w:right="0"/>
        <w:jc w:val="left"/>
      </w:pPr>
      <w:r>
        <w:rPr>
          <w:rFonts w:ascii="宋体" w:hAnsi="宋体" w:cs="宋体" w:eastAsia="宋体" w:hint="default"/>
        </w:rPr>
        <w:t>2015</w:t>
      </w:r>
      <w:r>
        <w:rPr/>
        <w:t>年度计提存货跌价准备的产成品主要为客退不良品、产线不良品、呆滞品；由于产品的更新换代，导</w:t>
      </w:r>
    </w:p>
    <w:p>
      <w:pPr>
        <w:pStyle w:val="BodyText"/>
        <w:spacing w:line="240" w:lineRule="auto" w:before="37"/>
        <w:ind w:left="154" w:right="0"/>
        <w:jc w:val="left"/>
      </w:pPr>
      <w:r>
        <w:rPr/>
        <w:t>致公司部分前期备料变为呆滞料，上述原因使存货可变现净值低于存货成本。</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spacing w:line="506" w:lineRule="auto" w:before="0"/>
        <w:ind w:left="153" w:right="2653" w:firstLine="0"/>
        <w:jc w:val="left"/>
        <w:rPr>
          <w:rFonts w:ascii="宋体" w:hAnsi="宋体" w:cs="宋体" w:eastAsia="宋体" w:hint="default"/>
          <w:sz w:val="21"/>
          <w:szCs w:val="21"/>
        </w:rPr>
      </w:pPr>
      <w:bookmarkStart w:name="（3）存货期末余额含有借款费用资本化金额的说明" w:id="257"/>
      <w:bookmarkEnd w:id="257"/>
      <w:r>
        <w:rPr/>
      </w:r>
      <w:r>
        <w:rPr>
          <w:rFonts w:ascii="宋体" w:hAnsi="宋体" w:cs="宋体" w:eastAsia="宋体" w:hint="default"/>
          <w:b/>
          <w:bCs/>
          <w:w w:val="95"/>
          <w:sz w:val="21"/>
          <w:szCs w:val="21"/>
        </w:rPr>
        <w:t>（</w:t>
      </w:r>
      <w:r>
        <w:rPr>
          <w:rFonts w:ascii="Times New Roman" w:hAnsi="Times New Roman" w:cs="Times New Roman" w:eastAsia="Times New Roman" w:hint="default"/>
          <w:b/>
          <w:bCs/>
          <w:w w:val="95"/>
          <w:sz w:val="21"/>
          <w:szCs w:val="21"/>
        </w:rPr>
        <w:t>3</w:t>
      </w:r>
      <w:r>
        <w:rPr>
          <w:rFonts w:ascii="宋体" w:hAnsi="宋体" w:cs="宋体" w:eastAsia="宋体" w:hint="default"/>
          <w:b/>
          <w:bCs/>
          <w:w w:val="95"/>
          <w:sz w:val="21"/>
          <w:szCs w:val="21"/>
        </w:rPr>
        <w:t>）存货期末余额含有借款费用资本化金额的说明</w:t>
      </w:r>
      <w:r>
        <w:rPr>
          <w:rFonts w:ascii="宋体" w:hAnsi="宋体" w:cs="宋体" w:eastAsia="宋体" w:hint="default"/>
          <w:b/>
          <w:bCs/>
          <w:spacing w:val="30"/>
          <w:w w:val="95"/>
          <w:sz w:val="21"/>
          <w:szCs w:val="21"/>
        </w:rPr>
        <w:t> </w:t>
      </w:r>
      <w:r>
        <w:rPr>
          <w:rFonts w:ascii="宋体" w:hAnsi="宋体" w:cs="宋体" w:eastAsia="宋体" w:hint="default"/>
          <w:b/>
          <w:bCs/>
          <w:spacing w:val="30"/>
          <w:w w:val="95"/>
          <w:sz w:val="21"/>
          <w:szCs w:val="21"/>
        </w:rPr>
      </w:r>
      <w:r>
        <w:rPr>
          <w:rFonts w:ascii="宋体" w:hAnsi="宋体" w:cs="宋体" w:eastAsia="宋体" w:hint="default"/>
          <w:sz w:val="21"/>
          <w:szCs w:val="21"/>
        </w:rPr>
        <w:t>存货年末余额中无借款费用资本化金额。</w:t>
      </w:r>
    </w:p>
    <w:p>
      <w:pPr>
        <w:pStyle w:val="Heading4"/>
        <w:spacing w:line="240" w:lineRule="auto" w:before="105"/>
        <w:ind w:right="0"/>
        <w:jc w:val="left"/>
        <w:rPr>
          <w:b w:val="0"/>
          <w:bCs w:val="0"/>
        </w:rPr>
      </w:pPr>
      <w:bookmarkStart w:name="（4）期末建造合同形成的已完工未结算资产情况" w:id="258"/>
      <w:bookmarkEnd w:id="258"/>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11、划分为持有待售的资产" w:id="259"/>
      <w:bookmarkEnd w:id="259"/>
      <w:r>
        <w:rPr>
          <w:b w:val="0"/>
          <w:bCs w:val="0"/>
        </w:rPr>
      </w:r>
      <w:r>
        <w:rPr>
          <w:rFonts w:ascii="Times New Roman" w:hAnsi="Times New Roman" w:cs="Times New Roman" w:eastAsia="Times New Roman" w:hint="default"/>
        </w:rPr>
        <w:t>11</w:t>
      </w:r>
      <w:r>
        <w:rPr/>
        <w:t>、划分为持有待售的资产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12、一年内到期的非流动资产" w:id="260"/>
      <w:bookmarkEnd w:id="260"/>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一年内到期的其他非流动资产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5,461,760.84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2,396,919.77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5,461,760.84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2,396,919.77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13、其他流动资产" w:id="261"/>
      <w:bookmarkEnd w:id="261"/>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待摊租金、保险等</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372,216.89</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非公开发行费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预交税款及待抵扣增值税进项税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14,427,916.23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12,695,716.67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16,800,133.12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13,195,716.67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14、可供出售金融资产" w:id="262"/>
      <w:bookmarkEnd w:id="262"/>
      <w:r>
        <w:rPr>
          <w:b w:val="0"/>
          <w:bCs w:val="0"/>
        </w:rPr>
      </w:r>
      <w:r>
        <w:rPr>
          <w:rFonts w:ascii="Times New Roman" w:hAnsi="Times New Roman" w:cs="Times New Roman" w:eastAsia="Times New Roman" w:hint="default"/>
        </w:rPr>
        <w:t>14</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可供出售金融资产情况" w:id="263"/>
      <w:bookmarkEnd w:id="263"/>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001"/>
        <w:gridCol w:w="1195"/>
        <w:gridCol w:w="1196"/>
        <w:gridCol w:w="1196"/>
        <w:gridCol w:w="1248"/>
        <w:gridCol w:w="1367"/>
        <w:gridCol w:w="1367"/>
      </w:tblGrid>
      <w:tr>
        <w:trPr>
          <w:trHeight w:val="206" w:hRule="exact"/>
        </w:trPr>
        <w:tc>
          <w:tcPr>
            <w:tcW w:w="2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2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001"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2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23,520,860.00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615,230.00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22,905,630.00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12,125,860.00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12,125,860.00</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23,520,860.00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615,230.00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22,905,630.00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12,125,860.00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12,125,860.00</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23,520,860.00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615,230.00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22,905,630.00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12,125,860.00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12,125,860.00</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期末按公允价值计量的可供出售金融资产" w:id="264"/>
      <w:bookmarkEnd w:id="264"/>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3）期末按成本计量的可供出售金融资产" w:id="265"/>
      <w:bookmarkEnd w:id="265"/>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65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佛山市南 海区联合 广东新光 源产业创 新中心</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河南弘康 茂硕新能 源科技有 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22" w:right="47"/>
              <w:jc w:val="left"/>
              <w:rPr>
                <w:rFonts w:ascii="Times New Roman" w:hAnsi="Times New Roman" w:cs="Times New Roman" w:eastAsia="Times New Roman" w:hint="default"/>
                <w:sz w:val="18"/>
                <w:szCs w:val="18"/>
              </w:rPr>
            </w:pPr>
            <w:r>
              <w:rPr>
                <w:rFonts w:ascii="Times New Roman"/>
                <w:sz w:val="18"/>
              </w:rPr>
              <w:t>Brilliant</w:t>
            </w:r>
            <w:r>
              <w:rPr>
                <w:rFonts w:ascii="Times New Roman"/>
                <w:w w:val="99"/>
                <w:sz w:val="18"/>
              </w:rPr>
              <w:t> </w:t>
            </w:r>
            <w:r>
              <w:rPr>
                <w:rFonts w:ascii="Times New Roman"/>
                <w:sz w:val="18"/>
              </w:rPr>
              <w:t>Info</w:t>
            </w:r>
            <w:r>
              <w:rPr>
                <w:rFonts w:ascii="Times New Roman"/>
                <w:w w:val="99"/>
                <w:sz w:val="18"/>
              </w:rPr>
              <w:t> </w:t>
            </w:r>
            <w:r>
              <w:rPr>
                <w:rFonts w:ascii="Times New Roman"/>
                <w:sz w:val="18"/>
              </w:rPr>
              <w:t>Corporatio</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1,230,460.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1,230,460.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3" w:right="0"/>
              <w:jc w:val="center"/>
              <w:rPr>
                <w:rFonts w:ascii="Times New Roman" w:hAnsi="Times New Roman" w:cs="Times New Roman" w:eastAsia="Times New Roman" w:hint="default"/>
                <w:sz w:val="18"/>
                <w:szCs w:val="18"/>
              </w:rPr>
            </w:pPr>
            <w:r>
              <w:rPr>
                <w:rFonts w:ascii="Times New Roman"/>
                <w:sz w:val="18"/>
              </w:rPr>
              <w:t>615,230.00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3" w:right="0"/>
              <w:jc w:val="center"/>
              <w:rPr>
                <w:rFonts w:ascii="Times New Roman" w:hAnsi="Times New Roman" w:cs="Times New Roman" w:eastAsia="Times New Roman" w:hint="default"/>
                <w:sz w:val="18"/>
                <w:szCs w:val="18"/>
              </w:rPr>
            </w:pPr>
            <w:r>
              <w:rPr>
                <w:rFonts w:ascii="Times New Roman"/>
                <w:sz w:val="18"/>
              </w:rPr>
              <w:t>615,230.00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z w:val="18"/>
              </w:rPr>
              <w:t>20.00%</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362"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n</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35"/>
              <w:jc w:val="left"/>
              <w:rPr>
                <w:rFonts w:ascii="Times New Roman" w:hAnsi="Times New Roman" w:cs="Times New Roman" w:eastAsia="Times New Roman" w:hint="default"/>
                <w:sz w:val="18"/>
                <w:szCs w:val="18"/>
              </w:rPr>
            </w:pPr>
            <w:r>
              <w:rPr>
                <w:rFonts w:ascii="Times New Roman"/>
                <w:spacing w:val="-2"/>
                <w:sz w:val="18"/>
              </w:rPr>
              <w:t>glamorsky,</w:t>
            </w:r>
            <w:r>
              <w:rPr>
                <w:rFonts w:ascii="Times New Roman"/>
                <w:spacing w:val="-38"/>
                <w:sz w:val="18"/>
              </w:rPr>
              <w:t> </w:t>
            </w:r>
            <w:r>
              <w:rPr>
                <w:rFonts w:ascii="Times New Roman"/>
                <w:spacing w:val="-38"/>
                <w:sz w:val="18"/>
              </w:rPr>
            </w:r>
            <w:r>
              <w:rPr>
                <w:rFonts w:ascii="Times New Roman"/>
                <w:sz w:val="18"/>
              </w:rPr>
              <w:t>inc</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7,395,400.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7,395,400.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深圳市聚 电网络科 技有限公 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13.50%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深圳茂硕 祥泰科技 有限公司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150,000.00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深圳市迈 斯达尔医 疗器械有 限公司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45,000.00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12,125,860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11,395,000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23,520,860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615,230.00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615,230.00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4）报告期内可供出售金融资产减值的变动情况" w:id="266"/>
      <w:bookmarkEnd w:id="266"/>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2"/>
        <w:gridCol w:w="1926"/>
        <w:gridCol w:w="1914"/>
        <w:gridCol w:w="1914"/>
        <w:gridCol w:w="1914"/>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0"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3"/>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615,230.00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期末已计提减值余额</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615,230.00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5）可供出售权益工具期末公允价值严重下跌或非暂时性下跌但未计提减值准备的相关说" w:id="267"/>
      <w:bookmarkEnd w:id="267"/>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08"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0"/>
        <w:ind w:right="0"/>
        <w:jc w:val="left"/>
      </w:pPr>
      <w:r>
        <w:rPr/>
        <w:t>本年无可供出售权益工具年末公允价值严重下跌或非暂时性下跌但未计提减值准备的事项。</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15、持有至到期投资" w:id="268"/>
      <w:bookmarkEnd w:id="268"/>
      <w:r>
        <w:rPr>
          <w:b w:val="0"/>
          <w:bCs w:val="0"/>
        </w:rPr>
      </w:r>
      <w:r>
        <w:rPr>
          <w:rFonts w:ascii="Times New Roman" w:hAnsi="Times New Roman" w:cs="Times New Roman" w:eastAsia="Times New Roman" w:hint="default"/>
        </w:rPr>
        <w:t>15</w:t>
      </w:r>
      <w:r>
        <w:rPr/>
        <w:t>、持有至到期投资</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持有至到期投资情况" w:id="269"/>
      <w:bookmarkEnd w:id="269"/>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期末重要的持有至到期投资" w:id="270"/>
      <w:bookmarkEnd w:id="270"/>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0"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3"/>
        <w:rPr>
          <w:rFonts w:ascii="宋体" w:hAnsi="宋体" w:cs="宋体" w:eastAsia="宋体" w:hint="default"/>
          <w:sz w:val="19"/>
          <w:szCs w:val="19"/>
        </w:rPr>
      </w:pPr>
    </w:p>
    <w:p>
      <w:pPr>
        <w:pStyle w:val="Heading4"/>
        <w:spacing w:line="240" w:lineRule="auto" w:before="35"/>
        <w:ind w:left="154" w:right="0"/>
        <w:jc w:val="left"/>
        <w:rPr>
          <w:b w:val="0"/>
          <w:bCs w:val="0"/>
        </w:rPr>
      </w:pPr>
      <w:bookmarkStart w:name="（3）本期重分类的持有至到期投资" w:id="271"/>
      <w:bookmarkEnd w:id="271"/>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left="154" w:right="0"/>
        <w:jc w:val="left"/>
        <w:rPr>
          <w:b w:val="0"/>
          <w:bCs w:val="0"/>
        </w:rPr>
      </w:pPr>
      <w:bookmarkStart w:name="16、长期应收款" w:id="272"/>
      <w:bookmarkEnd w:id="272"/>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0"/>
        <w:jc w:val="left"/>
        <w:rPr>
          <w:b w:val="0"/>
          <w:bCs w:val="0"/>
        </w:rPr>
      </w:pPr>
      <w:bookmarkStart w:name="（1）长期应收款情况" w:id="273"/>
      <w:bookmarkEnd w:id="273"/>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03"/>
        <w:gridCol w:w="1168"/>
        <w:gridCol w:w="1167"/>
        <w:gridCol w:w="1168"/>
        <w:gridCol w:w="1166"/>
        <w:gridCol w:w="1169"/>
        <w:gridCol w:w="1164"/>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4"/>
        <w:spacing w:line="240" w:lineRule="auto" w:before="35"/>
        <w:ind w:left="154" w:right="0"/>
        <w:jc w:val="left"/>
        <w:rPr>
          <w:b w:val="0"/>
          <w:bCs w:val="0"/>
        </w:rPr>
      </w:pPr>
      <w:bookmarkStart w:name="（2）因金融资产转移而终止确认的长期应收款" w:id="274"/>
      <w:bookmarkEnd w:id="274"/>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3）转移长期应收款且继续涉入形成的资产、负债金额" w:id="275"/>
      <w:bookmarkEnd w:id="275"/>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17、长期股权投资" w:id="276"/>
      <w:bookmarkEnd w:id="276"/>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深圳华智 测控技术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1,684,641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-405,658.</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1,278,982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深圳市通 新源物业 管理有限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17,609,16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7.50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-17,609,1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67.50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41"/>
              <w:jc w:val="left"/>
              <w:rPr>
                <w:rFonts w:ascii="宋体" w:hAnsi="宋体" w:cs="宋体" w:eastAsia="宋体" w:hint="default"/>
                <w:sz w:val="18"/>
                <w:szCs w:val="18"/>
              </w:rPr>
            </w:pPr>
            <w:r>
              <w:rPr>
                <w:rFonts w:ascii="宋体" w:hAnsi="宋体" w:cs="宋体" w:eastAsia="宋体" w:hint="default"/>
                <w:sz w:val="18"/>
                <w:szCs w:val="18"/>
              </w:rPr>
              <w:t>深圳茂硕 投资发展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4,543,916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409,419.3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4,953,336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.22</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36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国利英核 </w:t>
            </w:r>
            <w:r>
              <w:rPr>
                <w:rFonts w:ascii="Times New Roman" w:hAnsi="Times New Roman" w:cs="Times New Roman" w:eastAsia="Times New Roman" w:hint="default"/>
                <w:sz w:val="18"/>
                <w:szCs w:val="18"/>
              </w:rPr>
              <w:t>(</w:t>
            </w:r>
            <w:r>
              <w:rPr>
                <w:rFonts w:ascii="宋体" w:hAnsi="宋体" w:cs="宋体" w:eastAsia="宋体" w:hint="default"/>
                <w:sz w:val="18"/>
                <w:szCs w:val="18"/>
              </w:rPr>
              <w:t>浙江</w:t>
            </w:r>
            <w:r>
              <w:rPr>
                <w:rFonts w:ascii="Times New Roman" w:hAnsi="Times New Roman" w:cs="Times New Roman" w:eastAsia="Times New Roman" w:hint="default"/>
                <w:sz w:val="18"/>
                <w:szCs w:val="18"/>
              </w:rPr>
              <w:t>)</w:t>
            </w:r>
            <w:r>
              <w:rPr>
                <w:rFonts w:ascii="宋体" w:hAnsi="宋体" w:cs="宋体" w:eastAsia="宋体" w:hint="default"/>
                <w:sz w:val="18"/>
                <w:szCs w:val="18"/>
              </w:rPr>
              <w:t>能 源有限公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1,816,151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45,778.43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1,861,929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深圳鑫四 方检测科 技有限公 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1,663,317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13,317.28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1,663,317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新余市茂 硕海量投 资企业</w:t>
            </w:r>
          </w:p>
          <w:p>
            <w:pPr>
              <w:pStyle w:val="TableParagraph"/>
              <w:spacing w:line="319" w:lineRule="auto" w:before="19"/>
              <w:ind w:left="22" w:right="41"/>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2,430.71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5,002,430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瑞盈茂硕 融资租赁</w:t>
            </w:r>
          </w:p>
          <w:p>
            <w:pPr>
              <w:pStyle w:val="TableParagraph"/>
              <w:spacing w:line="319" w:lineRule="auto" w:before="19"/>
              <w:ind w:left="22" w:right="41"/>
              <w:jc w:val="left"/>
              <w:rPr>
                <w:rFonts w:ascii="宋体" w:hAnsi="宋体" w:cs="宋体" w:eastAsia="宋体" w:hint="default"/>
                <w:sz w:val="18"/>
                <w:szCs w:val="18"/>
              </w:rPr>
            </w:pPr>
            <w:r>
              <w:rPr>
                <w:rFonts w:ascii="宋体" w:hAnsi="宋体" w:cs="宋体" w:eastAsia="宋体" w:hint="default"/>
                <w:sz w:val="18"/>
                <w:szCs w:val="18"/>
              </w:rPr>
              <w:t>（深圳） 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-72,955.8</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8,927,044</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3"/>
                <w:sz w:val="18"/>
              </w:rPr>
              <w:t>.11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25,653,87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7.09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15,663,31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7.28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-7,668.91</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-17,609,1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67.50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23,687,04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0.68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25,653,87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7.09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15,663,31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7.28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-7,668.91</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-17,609,1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67.50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23,687,04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0.68</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73" w:lineRule="auto" w:before="90"/>
        <w:ind w:right="1130"/>
        <w:jc w:val="both"/>
      </w:pPr>
      <w:r>
        <w:rPr>
          <w:spacing w:val="-1"/>
        </w:rPr>
        <w:t>深圳市通新源物业管理有限公司长期股权投资减少的原因为：本公司通过投资深圳市通新源物业管理有限</w:t>
      </w:r>
      <w:r>
        <w:rPr>
          <w:spacing w:val="-81"/>
        </w:rPr>
        <w:t> </w:t>
      </w:r>
      <w:r>
        <w:rPr>
          <w:spacing w:val="-81"/>
        </w:rPr>
      </w:r>
      <w:r>
        <w:rPr>
          <w:spacing w:val="-1"/>
        </w:rPr>
        <w:t>公司获得南山创意大厦</w:t>
      </w:r>
      <w:r>
        <w:rPr>
          <w:rFonts w:ascii="宋体" w:hAnsi="宋体" w:cs="宋体" w:eastAsia="宋体" w:hint="default"/>
          <w:spacing w:val="-1"/>
        </w:rPr>
        <w:t>22.57</w:t>
      </w:r>
      <w:r>
        <w:rPr>
          <w:spacing w:val="-1"/>
        </w:rPr>
        <w:t>％的建筑面积使用权，使用楼层为</w:t>
      </w:r>
      <w:r>
        <w:rPr>
          <w:rFonts w:ascii="宋体" w:hAnsi="宋体" w:cs="宋体" w:eastAsia="宋体" w:hint="default"/>
          <w:spacing w:val="-1"/>
        </w:rPr>
        <w:t>10-12</w:t>
      </w:r>
      <w:r>
        <w:rPr>
          <w:spacing w:val="-1"/>
        </w:rPr>
        <w:t>层。由于公司投资该公司的目的即为</w:t>
      </w:r>
      <w:r>
        <w:rPr>
          <w:spacing w:val="-82"/>
        </w:rPr>
        <w:t> </w:t>
      </w:r>
      <w:r>
        <w:rPr>
          <w:spacing w:val="-82"/>
        </w:rPr>
      </w:r>
      <w:r>
        <w:rPr>
          <w:spacing w:val="-1"/>
        </w:rPr>
        <w:t>建设创意大厦并获得使用权，持有通新源股权的唯一经济利益实现方式是通过行使房屋使用权，该股权本</w:t>
      </w:r>
      <w:r>
        <w:rPr>
          <w:spacing w:val="-81"/>
        </w:rPr>
        <w:t> </w:t>
      </w:r>
      <w:r>
        <w:rPr>
          <w:spacing w:val="-81"/>
        </w:rPr>
      </w:r>
      <w:r>
        <w:rPr>
          <w:spacing w:val="-1"/>
        </w:rPr>
        <w:t>身不能为企业带来经济利益，</w:t>
      </w:r>
      <w:r>
        <w:rPr>
          <w:rFonts w:ascii="宋体" w:hAnsi="宋体" w:cs="宋体" w:eastAsia="宋体" w:hint="default"/>
          <w:spacing w:val="-1"/>
        </w:rPr>
        <w:t>2015</w:t>
      </w:r>
      <w:r>
        <w:rPr>
          <w:spacing w:val="-1"/>
        </w:rPr>
        <w:t>年公司已经取得创意大厦的使用权，因此将对深圳市通新源物业管理有</w:t>
      </w:r>
      <w:r>
        <w:rPr>
          <w:spacing w:val="-79"/>
        </w:rPr>
        <w:t> </w:t>
      </w:r>
      <w:r>
        <w:rPr>
          <w:spacing w:val="-79"/>
        </w:rPr>
      </w:r>
      <w:r>
        <w:rPr/>
        <w:t>限公司长期股权投资列示为其他非流动资产。</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ind w:left="154" w:right="0"/>
        <w:jc w:val="both"/>
        <w:rPr>
          <w:b w:val="0"/>
          <w:bCs w:val="0"/>
        </w:rPr>
      </w:pPr>
      <w:bookmarkStart w:name="18、投资性房地产" w:id="277"/>
      <w:bookmarkEnd w:id="277"/>
      <w:r>
        <w:rPr>
          <w:b w:val="0"/>
          <w:bCs w:val="0"/>
        </w:rPr>
      </w:r>
      <w:r>
        <w:rPr>
          <w:rFonts w:ascii="Times New Roman" w:hAnsi="Times New Roman" w:cs="Times New Roman" w:eastAsia="Times New Roman" w:hint="default"/>
        </w:rPr>
        <w:t>18</w:t>
      </w:r>
      <w:r>
        <w:rPr/>
        <w:t>、投资性房地产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both"/>
        <w:rPr>
          <w:b w:val="0"/>
          <w:bCs w:val="0"/>
        </w:rPr>
      </w:pPr>
      <w:bookmarkStart w:name="（1）采用成本计量模式的投资性房地产" w:id="278"/>
      <w:bookmarkEnd w:id="278"/>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both"/>
        <w:rPr>
          <w:b w:val="0"/>
          <w:bCs w:val="0"/>
        </w:rPr>
      </w:pPr>
      <w:bookmarkStart w:name="（2）采用公允价值计量模式的投资性房地产" w:id="279"/>
      <w:bookmarkEnd w:id="279"/>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3）未办妥产权证书的投资性房地产情况" w:id="280"/>
      <w:bookmarkEnd w:id="280"/>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19、固定资产" w:id="281"/>
      <w:bookmarkEnd w:id="281"/>
      <w:r>
        <w:rPr>
          <w:b w:val="0"/>
          <w:bCs w:val="0"/>
        </w:rPr>
      </w:r>
      <w:r>
        <w:rPr>
          <w:rFonts w:ascii="Times New Roman" w:hAnsi="Times New Roman" w:cs="Times New Roman" w:eastAsia="Times New Roman" w:hint="default"/>
        </w:rPr>
        <w:t>19</w:t>
      </w:r>
      <w:r>
        <w:rPr/>
        <w:t>、固定资产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0"/>
        <w:jc w:val="left"/>
        <w:rPr>
          <w:b w:val="0"/>
          <w:bCs w:val="0"/>
        </w:rPr>
      </w:pPr>
      <w:bookmarkStart w:name="（1）固定资产情况" w:id="282"/>
      <w:bookmarkEnd w:id="282"/>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22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1"/>
              <w:ind w:left="137"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光电设备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办公及其他设备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232,030,643.14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103,475,780.15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30,381,533.36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25,429,039.97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16,196,179.90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407,513,176.52</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48,513,188.01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56,331,961.18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1,854,193.56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9,380,235.66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116,079,578.41</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1,256,763.45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15,112,939.73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1,259,085.14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4,789,585.66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22,418,373.98</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w:t>
            </w:r>
            <w:r>
              <w:rPr>
                <w:rFonts w:ascii="宋体" w:hAnsi="宋体" w:cs="宋体" w:eastAsia="宋体" w:hint="default"/>
                <w:sz w:val="18"/>
                <w:szCs w:val="18"/>
              </w:rPr>
              <w:t> 程转入</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3,028,690.00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2,478,215.40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5,506,905.40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w:t>
            </w:r>
            <w:r>
              <w:rPr>
                <w:rFonts w:ascii="宋体" w:hAnsi="宋体" w:cs="宋体" w:eastAsia="宋体" w:hint="default"/>
                <w:sz w:val="18"/>
                <w:szCs w:val="18"/>
              </w:rPr>
              <w:t> 并增加</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44,227,734.56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38,740,806.05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595,108.42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4,590,650.00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88,154,299.03</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2,810,053.40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2,063,952.77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4,162,883.00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513,577.46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9,550,466.63</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2,810,053.40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2,063,952.77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4,162,883.00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513,577.46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9,550,466.63</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277,733,777.75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103,475,780.15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84,649,541.77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23,120,350.53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25,062,838.10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514,042,288.30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1,179,842.26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8,782,358.32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17,079,298.93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6,522,011.21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33,563,510.72</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14,703,647.32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4,998,420.29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16,535,038.52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3,132,268.35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4,430,229.72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43,799,604.20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9,651,971.86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4,998,420.29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6,595,815.31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3,007,520.45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2,980,730.84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27,234,458.75</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51"/>
              <w:ind w:left="22" w:right="12"/>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）企业合并增</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加</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5,051,675.46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9,939,223.21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124,747.90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1,449,498.88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16,565,145.45</w:t>
            </w:r>
          </w:p>
        </w:tc>
      </w:tr>
      <w:tr>
        <w:trPr>
          <w:trHeight w:val="71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29,697.64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642,418.77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3,481,114.90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355,775.29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4,509,006.60</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63"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29,697.64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642,418.77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3,481,114.90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355,775.29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4,509,006.60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36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15,853,791.94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4,998,420.29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24,674,978.07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16,730,452.38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10,596,465.64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72,854,108.32</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261,879,985.81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98,477,359.86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59,974,563.70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6,389,898.15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14,466,372.46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441,188,179.98</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230,850,800.88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103,475,780.15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21,599,175.04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8,349,741.04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9,674,168.69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373,949,665.80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4"/>
        <w:spacing w:line="240" w:lineRule="auto" w:before="35"/>
        <w:ind w:left="154" w:right="0"/>
        <w:jc w:val="left"/>
        <w:rPr>
          <w:b w:val="0"/>
          <w:bCs w:val="0"/>
        </w:rPr>
      </w:pPr>
      <w:bookmarkStart w:name="（2）暂时闲置的固定资产情况" w:id="283"/>
      <w:bookmarkEnd w:id="283"/>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9" w:right="0"/>
              <w:jc w:val="left"/>
              <w:rPr>
                <w:rFonts w:ascii="Times New Roman" w:hAnsi="Times New Roman" w:cs="Times New Roman" w:eastAsia="Times New Roman" w:hint="default"/>
                <w:sz w:val="18"/>
                <w:szCs w:val="18"/>
              </w:rPr>
            </w:pPr>
            <w:r>
              <w:rPr>
                <w:rFonts w:ascii="Times New Roman"/>
                <w:sz w:val="18"/>
              </w:rPr>
              <w:t>5,288,413.17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2" w:right="0"/>
              <w:jc w:val="left"/>
              <w:rPr>
                <w:rFonts w:ascii="Times New Roman" w:hAnsi="Times New Roman" w:cs="Times New Roman" w:eastAsia="Times New Roman" w:hint="default"/>
                <w:sz w:val="18"/>
                <w:szCs w:val="18"/>
              </w:rPr>
            </w:pPr>
            <w:r>
              <w:rPr>
                <w:rFonts w:ascii="Times New Roman"/>
                <w:sz w:val="18"/>
              </w:rPr>
              <w:t>848,377.92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7" w:right="0"/>
              <w:jc w:val="left"/>
              <w:rPr>
                <w:rFonts w:ascii="Times New Roman" w:hAnsi="Times New Roman" w:cs="Times New Roman" w:eastAsia="Times New Roman" w:hint="default"/>
                <w:sz w:val="18"/>
                <w:szCs w:val="18"/>
              </w:rPr>
            </w:pPr>
            <w:r>
              <w:rPr>
                <w:rFonts w:ascii="Times New Roman"/>
                <w:sz w:val="18"/>
              </w:rPr>
              <w:t>4,440,035.25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10"/>
                <w:sz w:val="18"/>
                <w:szCs w:val="18"/>
              </w:rPr>
              <w:t>产线调整，设备暂时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闲置</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3）通过融资租赁租入的固定资产情况" w:id="284"/>
      <w:bookmarkEnd w:id="284"/>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4"/>
        <w:spacing w:line="240" w:lineRule="auto" w:before="35"/>
        <w:ind w:left="154" w:right="0"/>
        <w:jc w:val="left"/>
        <w:rPr>
          <w:b w:val="0"/>
          <w:bCs w:val="0"/>
        </w:rPr>
      </w:pPr>
      <w:bookmarkStart w:name="（4）通过经营租赁租出的固定资产" w:id="285"/>
      <w:bookmarkEnd w:id="285"/>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5）未办妥产权证书的固定资产情况" w:id="286"/>
      <w:bookmarkEnd w:id="286"/>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72"/>
              <w:jc w:val="right"/>
              <w:rPr>
                <w:rFonts w:ascii="宋体" w:hAnsi="宋体" w:cs="宋体" w:eastAsia="宋体" w:hint="default"/>
                <w:sz w:val="18"/>
                <w:szCs w:val="18"/>
              </w:rPr>
            </w:pPr>
            <w:r>
              <w:rPr>
                <w:rFonts w:ascii="宋体" w:hAnsi="宋体" w:cs="宋体" w:eastAsia="宋体" w:hint="default"/>
                <w:sz w:val="18"/>
                <w:szCs w:val="18"/>
              </w:rPr>
              <w:t>房屋建筑物</w:t>
            </w:r>
            <w:r>
              <w:rPr>
                <w:rFonts w:ascii="Times New Roman" w:hAnsi="Times New Roman" w:cs="Times New Roman" w:eastAsia="Times New Roman" w:hint="default"/>
                <w:sz w:val="18"/>
                <w:szCs w:val="18"/>
              </w:rPr>
              <w:t>-</w:t>
            </w:r>
            <w:r>
              <w:rPr>
                <w:rFonts w:ascii="宋体" w:hAnsi="宋体" w:cs="宋体" w:eastAsia="宋体" w:hint="default"/>
                <w:sz w:val="18"/>
                <w:szCs w:val="18"/>
              </w:rPr>
              <w:t>菁英家园</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19,197,414.15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人才安居工程，目前尚无法办理</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72"/>
              <w:jc w:val="right"/>
              <w:rPr>
                <w:rFonts w:ascii="宋体" w:hAnsi="宋体" w:cs="宋体" w:eastAsia="宋体" w:hint="default"/>
                <w:sz w:val="18"/>
                <w:szCs w:val="18"/>
              </w:rPr>
            </w:pPr>
            <w:r>
              <w:rPr>
                <w:rFonts w:ascii="宋体" w:hAnsi="宋体" w:cs="宋体" w:eastAsia="宋体" w:hint="default"/>
                <w:sz w:val="18"/>
                <w:szCs w:val="18"/>
              </w:rPr>
              <w:t>房屋建筑物</w:t>
            </w:r>
            <w:r>
              <w:rPr>
                <w:rFonts w:ascii="Times New Roman" w:hAnsi="Times New Roman" w:cs="Times New Roman" w:eastAsia="Times New Roman" w:hint="default"/>
                <w:sz w:val="18"/>
                <w:szCs w:val="18"/>
              </w:rPr>
              <w:t>-</w:t>
            </w:r>
            <w:r>
              <w:rPr>
                <w:rFonts w:ascii="宋体" w:hAnsi="宋体" w:cs="宋体" w:eastAsia="宋体" w:hint="default"/>
                <w:sz w:val="18"/>
                <w:szCs w:val="18"/>
              </w:rPr>
              <w:t>惠州厂房</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188,921,980.48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办理中</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0、在建工程" w:id="287"/>
      <w:bookmarkEnd w:id="287"/>
      <w:r>
        <w:rPr>
          <w:b w:val="0"/>
          <w:bCs w:val="0"/>
        </w:rPr>
      </w:r>
      <w:r>
        <w:rPr>
          <w:rFonts w:ascii="Times New Roman" w:hAnsi="Times New Roman" w:cs="Times New Roman" w:eastAsia="Times New Roman" w:hint="default"/>
        </w:rPr>
        <w:t>20</w:t>
      </w:r>
      <w:r>
        <w:rPr/>
        <w:t>、在建工程</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0"/>
        <w:jc w:val="left"/>
        <w:rPr>
          <w:b w:val="0"/>
          <w:bCs w:val="0"/>
        </w:rPr>
      </w:pPr>
      <w:bookmarkStart w:name="（1）在建工程情况" w:id="288"/>
      <w:bookmarkEnd w:id="288"/>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自动线设备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9,430,011.26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9,430,011.26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1,486,250.62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1,486,250.62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节能老化房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245,299.14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245,299.14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838,899.14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838,899.14</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远荣工业机器人 系统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2,735,042.74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2,735,042.74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1,641,025.60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1,641,025.60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电梯安装工程</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2,374,445.00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2,374,445.00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装修配套工程</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50,746,074.83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50,746,074.83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湖南方正达厂房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12,201,678.98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12,201,678.98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75,358,106.95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75,358,106.95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7,840,620.36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7,840,620.36</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重要在建工程项目本期变动情况" w:id="289"/>
      <w:bookmarkEnd w:id="289"/>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7"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65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2"/>
              <w:ind w:left="22" w:right="89"/>
              <w:jc w:val="left"/>
              <w:rPr>
                <w:rFonts w:ascii="Times New Roman" w:hAnsi="Times New Roman" w:cs="Times New Roman" w:eastAsia="Times New Roman" w:hint="default"/>
                <w:sz w:val="18"/>
                <w:szCs w:val="18"/>
              </w:rPr>
            </w:pPr>
            <w:r>
              <w:rPr>
                <w:rFonts w:ascii="宋体" w:hAnsi="宋体" w:cs="宋体" w:eastAsia="宋体" w:hint="default"/>
                <w:sz w:val="18"/>
                <w:szCs w:val="18"/>
              </w:rPr>
              <w:t>新余何 家边 </w:t>
            </w:r>
            <w:r>
              <w:rPr>
                <w:rFonts w:ascii="Times New Roman" w:hAnsi="Times New Roman" w:cs="Times New Roman" w:eastAsia="Times New Roman" w:hint="default"/>
                <w:sz w:val="18"/>
                <w:szCs w:val="18"/>
              </w:rPr>
              <w:t>20MWP</w:t>
            </w:r>
          </w:p>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光伏发</w:t>
            </w:r>
          </w:p>
          <w:p>
            <w:pPr>
              <w:pStyle w:val="TableParagraph"/>
              <w:spacing w:line="240" w:lineRule="auto" w:before="78"/>
              <w:ind w:left="22" w:right="0"/>
              <w:jc w:val="left"/>
              <w:rPr>
                <w:rFonts w:ascii="宋体" w:hAnsi="宋体" w:cs="宋体" w:eastAsia="宋体" w:hint="default"/>
                <w:sz w:val="18"/>
                <w:szCs w:val="18"/>
              </w:rPr>
            </w:pPr>
            <w:r>
              <w:rPr>
                <w:rFonts w:ascii="宋体" w:hAnsi="宋体" w:cs="宋体" w:eastAsia="宋体" w:hint="default"/>
                <w:sz w:val="18"/>
                <w:szCs w:val="18"/>
              </w:rPr>
              <w:t>电项目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144,509,</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699.95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751,502.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751,502.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16" w:right="0"/>
              <w:jc w:val="center"/>
              <w:rPr>
                <w:rFonts w:ascii="Times New Roman" w:hAnsi="Times New Roman" w:cs="Times New Roman" w:eastAsia="Times New Roman" w:hint="default"/>
                <w:sz w:val="18"/>
                <w:szCs w:val="18"/>
              </w:rPr>
            </w:pPr>
            <w:r>
              <w:rPr>
                <w:rFonts w:ascii="Times New Roman"/>
                <w:sz w:val="18"/>
              </w:rPr>
              <w:t>0.52%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0.52%</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南瑞</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4.39MW</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30,043,6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91.31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12,156,8</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37.26</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12,156,8</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37.26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40.46%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40.46%</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98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分布式 光伏电 站</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萍乡</w:t>
            </w:r>
          </w:p>
          <w:p>
            <w:pPr>
              <w:pStyle w:val="TableParagraph"/>
              <w:spacing w:line="240" w:lineRule="auto" w:before="115"/>
              <w:ind w:left="22" w:right="0"/>
              <w:jc w:val="left"/>
              <w:rPr>
                <w:rFonts w:ascii="Times New Roman" w:hAnsi="Times New Roman" w:cs="Times New Roman" w:eastAsia="Times New Roman" w:hint="default"/>
                <w:sz w:val="18"/>
                <w:szCs w:val="18"/>
              </w:rPr>
            </w:pPr>
            <w:r>
              <w:rPr>
                <w:rFonts w:ascii="Times New Roman"/>
                <w:sz w:val="18"/>
              </w:rPr>
              <w:t>11.5MW</w:t>
            </w:r>
          </w:p>
          <w:p>
            <w:pPr>
              <w:pStyle w:val="TableParagraph"/>
              <w:spacing w:line="302" w:lineRule="auto" w:before="65"/>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光伏发 电项目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81,704,1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80.50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37,657,7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35.57</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37,657,7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35.57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46.09%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21"/>
              <w:jc w:val="center"/>
              <w:rPr>
                <w:rFonts w:ascii="Times New Roman" w:hAnsi="Times New Roman" w:cs="Times New Roman" w:eastAsia="Times New Roman" w:hint="default"/>
                <w:sz w:val="18"/>
                <w:szCs w:val="18"/>
              </w:rPr>
            </w:pPr>
            <w:r>
              <w:rPr>
                <w:rFonts w:ascii="Times New Roman"/>
                <w:sz w:val="18"/>
              </w:rPr>
              <w:t>46.09%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湖南方 正达厂 房</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15,000,0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12,201,6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78.98</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12,201,6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78.98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81.34%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21"/>
              <w:jc w:val="center"/>
              <w:rPr>
                <w:rFonts w:ascii="Times New Roman" w:hAnsi="Times New Roman" w:cs="Times New Roman" w:eastAsia="Times New Roman" w:hint="default"/>
                <w:sz w:val="18"/>
                <w:szCs w:val="18"/>
              </w:rPr>
            </w:pPr>
            <w:r>
              <w:rPr>
                <w:rFonts w:ascii="Times New Roman"/>
                <w:sz w:val="18"/>
              </w:rPr>
              <w:t>81.34%</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271,257,</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571.76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62,767,7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53.81</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62,767,7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53.81</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3）本期计提在建工程减值准备情况" w:id="290"/>
      <w:bookmarkEnd w:id="290"/>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1、工程物资" w:id="291"/>
      <w:bookmarkEnd w:id="291"/>
      <w:r>
        <w:rPr>
          <w:b w:val="0"/>
          <w:bCs w:val="0"/>
        </w:rPr>
      </w:r>
      <w:r>
        <w:rPr>
          <w:rFonts w:ascii="Times New Roman" w:hAnsi="Times New Roman" w:cs="Times New Roman" w:eastAsia="Times New Roman" w:hint="default"/>
        </w:rPr>
        <w:t>21</w:t>
      </w:r>
      <w:r>
        <w:rPr/>
        <w:t>、工程物资</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2、固定资产清理" w:id="292"/>
      <w:bookmarkEnd w:id="292"/>
      <w:r>
        <w:rPr>
          <w:b w:val="0"/>
          <w:bCs w:val="0"/>
        </w:rPr>
      </w:r>
      <w:r>
        <w:rPr>
          <w:rFonts w:ascii="Times New Roman" w:hAnsi="Times New Roman" w:cs="Times New Roman" w:eastAsia="Times New Roman" w:hint="default"/>
        </w:rPr>
        <w:t>22</w:t>
      </w:r>
      <w:r>
        <w:rPr/>
        <w:t>、固定资产清理</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3、生产性生物资产" w:id="293"/>
      <w:bookmarkEnd w:id="293"/>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采用成本计量模式的生产性生物资产" w:id="294"/>
      <w:bookmarkEnd w:id="294"/>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采用公允价值计量模式的生产性生物资产" w:id="295"/>
      <w:bookmarkEnd w:id="295"/>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24、油气资产" w:id="296"/>
      <w:bookmarkEnd w:id="296"/>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5、无形资产" w:id="297"/>
      <w:bookmarkEnd w:id="297"/>
      <w:r>
        <w:rPr>
          <w:b w:val="0"/>
          <w:bCs w:val="0"/>
        </w:rPr>
      </w:r>
      <w:r>
        <w:rPr>
          <w:rFonts w:ascii="Times New Roman" w:hAnsi="Times New Roman" w:cs="Times New Roman" w:eastAsia="Times New Roman" w:hint="default"/>
        </w:rPr>
        <w:t>25</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0"/>
        <w:jc w:val="left"/>
        <w:rPr>
          <w:b w:val="0"/>
          <w:bCs w:val="0"/>
        </w:rPr>
      </w:pPr>
      <w:bookmarkStart w:name="（1）无形资产情况" w:id="298"/>
      <w:bookmarkEnd w:id="298"/>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9,684,021.77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1,689,913.23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10,084,767.64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21,758,702.64</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5,414,346.37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734,530.09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75,280.06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6,224,156.52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60,750.15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60,750.15</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734,530.09</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734,530.09</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5,414,346.37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14,529.91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5,428,876.28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15,098,368.14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1,689,913.23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1,034,530.09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10,160,047.70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27,982,859.16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843,306.23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228,997.12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6,142,947.85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7,290,251.20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558,810.68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337,982.64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182,421.68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1,619,171.24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2,698,386.24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288,814.05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337,982.64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182,421.68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1,610,695.46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2,419,913.83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269,996.63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8,475.78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278,472.41</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1,402,116.91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566,979.76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257,421.68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7,762,119.09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9,988,637.44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13,696,251.23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1,122,933.47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777,108.41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2,397,928.61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17,994,221.72</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8,840,715.54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1,460,916.11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225,000.00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3,941,819.79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14,468,451.44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7.38%</w:t>
      </w:r>
      <w:r>
        <w:rPr>
          <w:rFonts w:ascii="宋体" w:hAnsi="宋体" w:cs="宋体" w:eastAsia="宋体" w:hint="default"/>
          <w:sz w:val="18"/>
          <w:szCs w:val="18"/>
        </w:rPr>
        <w:t>。</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未办妥产权证书的土地使用权情况" w:id="299"/>
      <w:bookmarkEnd w:id="299"/>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Heading3"/>
        <w:spacing w:line="240" w:lineRule="auto" w:before="66"/>
        <w:ind w:right="0"/>
        <w:jc w:val="left"/>
      </w:pPr>
      <w:r>
        <w:rPr/>
        <w:t>无未办妥产权证书的土地使用权。</w:t>
      </w:r>
    </w:p>
    <w:p>
      <w:pPr>
        <w:spacing w:line="240" w:lineRule="auto" w:before="9"/>
        <w:rPr>
          <w:rFonts w:ascii="宋体" w:hAnsi="宋体" w:cs="宋体" w:eastAsia="宋体" w:hint="default"/>
          <w:sz w:val="24"/>
          <w:szCs w:val="24"/>
        </w:rPr>
      </w:pPr>
    </w:p>
    <w:p>
      <w:pPr>
        <w:pStyle w:val="Heading4"/>
        <w:spacing w:line="240" w:lineRule="auto"/>
        <w:ind w:right="0"/>
        <w:jc w:val="left"/>
        <w:rPr>
          <w:b w:val="0"/>
          <w:bCs w:val="0"/>
        </w:rPr>
      </w:pPr>
      <w:bookmarkStart w:name="26、开发支出" w:id="300"/>
      <w:bookmarkEnd w:id="300"/>
      <w:r>
        <w:rPr>
          <w:b w:val="0"/>
          <w:bCs w:val="0"/>
        </w:rPr>
      </w:r>
      <w:r>
        <w:rPr>
          <w:rFonts w:ascii="Times New Roman" w:hAnsi="Times New Roman" w:cs="Times New Roman" w:eastAsia="Times New Roman" w:hint="default"/>
        </w:rPr>
        <w:t>26</w:t>
      </w:r>
      <w:r>
        <w:rPr/>
        <w:t>、开发支出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401"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346"/>
              <w:jc w:val="righ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高性能中大 功率光伏逆 变器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84,285.43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19,960.45</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104,245.88</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中小型离网 及储能智能 光伏发电系 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630,284.21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630,284.21</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模块化大功 率新能源智 能充电机</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65,722.88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871.83</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66,594.71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346"/>
              <w:jc w:val="righ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780,292.52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20,832.28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734,530.09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66,594.71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27、商誉" w:id="301"/>
      <w:bookmarkEnd w:id="301"/>
      <w:r>
        <w:rPr>
          <w:b w:val="0"/>
          <w:bCs w:val="0"/>
        </w:rPr>
      </w:r>
      <w:r>
        <w:rPr>
          <w:rFonts w:ascii="Times New Roman" w:hAnsi="Times New Roman" w:cs="Times New Roman" w:eastAsia="Times New Roman" w:hint="default"/>
        </w:rPr>
        <w:t>27</w:t>
      </w:r>
      <w:r>
        <w:rPr/>
        <w:t>、商誉</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0"/>
        <w:jc w:val="left"/>
        <w:rPr>
          <w:b w:val="0"/>
          <w:bCs w:val="0"/>
        </w:rPr>
      </w:pPr>
      <w:bookmarkStart w:name="（1）商誉账面原值" w:id="302"/>
      <w:bookmarkEnd w:id="302"/>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1025"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深圳茂硕新能源 科技有限公司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5" w:right="0"/>
              <w:jc w:val="left"/>
              <w:rPr>
                <w:rFonts w:ascii="Times New Roman" w:hAnsi="Times New Roman" w:cs="Times New Roman" w:eastAsia="Times New Roman" w:hint="default"/>
                <w:sz w:val="18"/>
                <w:szCs w:val="18"/>
              </w:rPr>
            </w:pPr>
            <w:r>
              <w:rPr>
                <w:rFonts w:ascii="Times New Roman"/>
                <w:sz w:val="18"/>
              </w:rPr>
              <w:t>10,451,110.03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10,451,110.03</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湖南省方正达电 子科技有限公司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131,038,709.71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131,038,709.71</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台州南瑞新能源 有限公司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台州与与新能源 有限公司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305" w:right="0"/>
              <w:jc w:val="left"/>
              <w:rPr>
                <w:rFonts w:ascii="Times New Roman" w:hAnsi="Times New Roman" w:cs="Times New Roman" w:eastAsia="Times New Roman" w:hint="default"/>
                <w:sz w:val="18"/>
                <w:szCs w:val="18"/>
              </w:rPr>
            </w:pPr>
            <w:r>
              <w:rPr>
                <w:rFonts w:ascii="Times New Roman"/>
                <w:sz w:val="18"/>
              </w:rPr>
              <w:t>10,451,110.03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131,038,711.71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141,489,821.74</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商誉减值准备" w:id="303"/>
      <w:bookmarkEnd w:id="303"/>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2735"/>
        <w:gridCol w:w="2734"/>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line="357" w:lineRule="auto" w:before="52"/>
        <w:ind w:left="154" w:right="6072" w:firstLine="0"/>
        <w:jc w:val="left"/>
        <w:rPr>
          <w:rFonts w:ascii="宋体" w:hAnsi="宋体" w:cs="宋体" w:eastAsia="宋体" w:hint="default"/>
          <w:sz w:val="18"/>
          <w:szCs w:val="18"/>
        </w:rPr>
      </w:pPr>
      <w:r>
        <w:rPr>
          <w:rFonts w:ascii="宋体" w:hAnsi="宋体" w:cs="宋体" w:eastAsia="宋体" w:hint="default"/>
          <w:sz w:val="18"/>
          <w:szCs w:val="18"/>
        </w:rPr>
        <w:t>说明商誉减值测试过程、参数及商誉减值损失的确认方法： 其他说明</w:t>
      </w:r>
    </w:p>
    <w:p>
      <w:pPr>
        <w:pStyle w:val="Heading3"/>
        <w:spacing w:line="292" w:lineRule="exact"/>
        <w:ind w:left="154" w:right="0"/>
        <w:jc w:val="left"/>
      </w:pPr>
      <w:r>
        <w:rPr/>
        <w:t>经测试本公司商誉未发生减值</w:t>
      </w:r>
    </w:p>
    <w:p>
      <w:pPr>
        <w:spacing w:line="240" w:lineRule="auto" w:before="9"/>
        <w:rPr>
          <w:rFonts w:ascii="宋体" w:hAnsi="宋体" w:cs="宋体" w:eastAsia="宋体" w:hint="default"/>
          <w:sz w:val="24"/>
          <w:szCs w:val="24"/>
        </w:rPr>
      </w:pPr>
    </w:p>
    <w:p>
      <w:pPr>
        <w:pStyle w:val="Heading4"/>
        <w:spacing w:line="240" w:lineRule="auto"/>
        <w:ind w:left="154" w:right="0"/>
        <w:jc w:val="left"/>
        <w:rPr>
          <w:b w:val="0"/>
          <w:bCs w:val="0"/>
        </w:rPr>
      </w:pPr>
      <w:bookmarkStart w:name="28、长期待摊费用" w:id="304"/>
      <w:bookmarkEnd w:id="304"/>
      <w:r>
        <w:rPr>
          <w:b w:val="0"/>
          <w:bCs w:val="0"/>
        </w:rPr>
      </w:r>
      <w:r>
        <w:rPr>
          <w:rFonts w:ascii="Times New Roman" w:hAnsi="Times New Roman" w:cs="Times New Roman" w:eastAsia="Times New Roman" w:hint="default"/>
        </w:rPr>
        <w:t>28</w:t>
      </w:r>
      <w:r>
        <w:rPr/>
        <w:t>、长期待摊费用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5,142,578.30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16,320,726.84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3,206,198.73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2,906,201.79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15,350,904.62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认证费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3,749,323.59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2,491,035.99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3,761,165.72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31,174.77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2,448,019.09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土地租金</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3,989,240.00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230,300.00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3,758,940.00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24"/>
              <w:jc w:val="left"/>
              <w:rPr>
                <w:rFonts w:ascii="宋体" w:hAnsi="宋体" w:cs="宋体" w:eastAsia="宋体" w:hint="default"/>
                <w:sz w:val="18"/>
                <w:szCs w:val="18"/>
              </w:rPr>
            </w:pP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楼无尘房改 造工程</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196,000.00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196,000.00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24"/>
              <w:jc w:val="left"/>
              <w:rPr>
                <w:rFonts w:ascii="宋体" w:hAnsi="宋体" w:cs="宋体" w:eastAsia="宋体" w:hint="default"/>
                <w:sz w:val="18"/>
                <w:szCs w:val="18"/>
              </w:rPr>
            </w:pP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栋新建蚀液循环 车间</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118,409.20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118,409.20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8,891,901.89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23,115,412.03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7,197,664.45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2,937,376.56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21,872,272.91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Heading3"/>
        <w:spacing w:line="312" w:lineRule="exact" w:before="96"/>
        <w:ind w:right="1130" w:firstLine="480"/>
        <w:jc w:val="both"/>
      </w:pPr>
      <w:r>
        <w:rPr>
          <w:spacing w:val="17"/>
        </w:rPr>
        <w:t>（</w:t>
      </w:r>
      <w:r>
        <w:rPr>
          <w:rFonts w:ascii="Times New Roman" w:hAnsi="Times New Roman" w:cs="Times New Roman" w:eastAsia="Times New Roman" w:hint="default"/>
          <w:spacing w:val="17"/>
        </w:rPr>
        <w:t>1</w:t>
      </w:r>
      <w:r>
        <w:rPr>
          <w:spacing w:val="17"/>
        </w:rPr>
        <w:t>）长期待摊费用主要为装修费、认证费及长期租金，</w:t>
      </w:r>
      <w:r>
        <w:rPr>
          <w:spacing w:val="-95"/>
        </w:rPr>
        <w:t> </w:t>
      </w:r>
      <w:r>
        <w:rPr>
          <w:rFonts w:ascii="Times New Roman" w:hAnsi="Times New Roman" w:cs="Times New Roman" w:eastAsia="Times New Roman" w:hint="default"/>
          <w:spacing w:val="12"/>
        </w:rPr>
        <w:t>2015</w:t>
      </w:r>
      <w:r>
        <w:rPr>
          <w:spacing w:val="12"/>
        </w:rPr>
        <w:t>年度新增为：装修费</w:t>
      </w:r>
      <w:r>
        <w:rPr/>
        <w:t> </w:t>
      </w:r>
      <w:r>
        <w:rPr>
          <w:rFonts w:ascii="Times New Roman" w:hAnsi="Times New Roman" w:cs="Times New Roman" w:eastAsia="Times New Roman" w:hint="default"/>
          <w:spacing w:val="-1"/>
        </w:rPr>
        <w:t>18,368,278.16</w:t>
      </w:r>
      <w:r>
        <w:rPr>
          <w:spacing w:val="-1"/>
        </w:rPr>
        <w:t>元、认证费</w:t>
      </w:r>
      <w:r>
        <w:rPr>
          <w:rFonts w:ascii="Times New Roman" w:hAnsi="Times New Roman" w:cs="Times New Roman" w:eastAsia="Times New Roman" w:hint="default"/>
          <w:spacing w:val="-1"/>
        </w:rPr>
        <w:t>2,491,035.99</w:t>
      </w:r>
      <w:r>
        <w:rPr>
          <w:spacing w:val="-1"/>
        </w:rPr>
        <w:t>元、长期租金</w:t>
      </w:r>
      <w:r>
        <w:rPr>
          <w:rFonts w:ascii="Times New Roman" w:hAnsi="Times New Roman" w:cs="Times New Roman" w:eastAsia="Times New Roman" w:hint="default"/>
          <w:spacing w:val="-1"/>
        </w:rPr>
        <w:t>3,989,240.00</w:t>
      </w:r>
      <w:r>
        <w:rPr>
          <w:spacing w:val="-1"/>
        </w:rPr>
        <w:t>元；其他减少主要为已摊销完</w:t>
      </w:r>
      <w:r>
        <w:rPr>
          <w:spacing w:val="-83"/>
        </w:rPr>
        <w:t> </w:t>
      </w:r>
      <w:r>
        <w:rPr>
          <w:spacing w:val="-83"/>
        </w:rPr>
      </w:r>
      <w:r>
        <w:rPr/>
        <w:t>的项目，同时减少原值与累计摊销。</w:t>
      </w:r>
    </w:p>
    <w:p>
      <w:pPr>
        <w:pStyle w:val="Heading3"/>
        <w:spacing w:line="302" w:lineRule="exact"/>
        <w:ind w:left="633" w:right="0"/>
        <w:jc w:val="left"/>
      </w:pPr>
      <w:r>
        <w:rPr/>
        <w:t>（</w:t>
      </w:r>
      <w:r>
        <w:rPr>
          <w:rFonts w:ascii="Times New Roman" w:hAnsi="Times New Roman" w:cs="Times New Roman" w:eastAsia="Times New Roman" w:hint="default"/>
        </w:rPr>
        <w:t>2</w:t>
      </w:r>
      <w:r>
        <w:rPr/>
        <w:t>）对于在未来</w:t>
      </w:r>
      <w:r>
        <w:rPr>
          <w:rFonts w:ascii="Times New Roman" w:hAnsi="Times New Roman" w:cs="Times New Roman" w:eastAsia="Times New Roman" w:hint="default"/>
        </w:rPr>
        <w:t>1</w:t>
      </w:r>
      <w:r>
        <w:rPr/>
        <w:t>年内应摊销的金额转入</w:t>
      </w:r>
      <w:r>
        <w:rPr>
          <w:rFonts w:ascii="Times New Roman" w:hAnsi="Times New Roman" w:cs="Times New Roman" w:eastAsia="Times New Roman" w:hint="default"/>
        </w:rPr>
        <w:t>“</w:t>
      </w:r>
      <w:r>
        <w:rPr/>
        <w:t>一年内到期的非流动资产</w:t>
      </w:r>
      <w:r>
        <w:rPr>
          <w:rFonts w:ascii="Times New Roman" w:hAnsi="Times New Roman" w:cs="Times New Roman" w:eastAsia="Times New Roman" w:hint="default"/>
        </w:rPr>
        <w:t>”</w:t>
      </w:r>
      <w:r>
        <w:rPr/>
        <w:t>科目。</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3"/>
          <w:szCs w:val="23"/>
        </w:rPr>
      </w:pPr>
    </w:p>
    <w:p>
      <w:pPr>
        <w:pStyle w:val="Heading4"/>
        <w:spacing w:line="240" w:lineRule="auto"/>
        <w:ind w:right="0"/>
        <w:jc w:val="left"/>
        <w:rPr>
          <w:b w:val="0"/>
          <w:bCs w:val="0"/>
        </w:rPr>
      </w:pPr>
      <w:bookmarkStart w:name="29、递延所得税资产/递延所得税负债" w:id="305"/>
      <w:bookmarkEnd w:id="305"/>
      <w:r>
        <w:rPr>
          <w:b w:val="0"/>
          <w:bCs w:val="0"/>
        </w:rPr>
      </w: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未经抵销的递延所得税资产" w:id="306"/>
      <w:bookmarkEnd w:id="306"/>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01"/>
        <w:gridCol w:w="1928"/>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55,963,803.15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10,188,825.44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28,986,916.71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4,420,632.09</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4,862,907.00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1,215,726.75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5,118,849.46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1,279,712.37</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66,257,091.13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15,925,687.96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62,426,013.89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10,813,333.17</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131,787.70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32,946.93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61,186.61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15,296.65</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公允价值变动</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1,686,707.72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253,006.16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128,902,296.70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27,616,193.24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96,592,966.67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16,528,974.28</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未经抵销的递延所得税负债" w:id="307"/>
      <w:bookmarkEnd w:id="307"/>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205"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6"/>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8,614,486.40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1,292,172.96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6"/>
              <w:jc w:val="left"/>
              <w:rPr>
                <w:rFonts w:ascii="宋体" w:hAnsi="宋体" w:cs="宋体" w:eastAsia="宋体" w:hint="default"/>
                <w:sz w:val="18"/>
                <w:szCs w:val="18"/>
              </w:rPr>
            </w:pPr>
            <w:r>
              <w:rPr>
                <w:rFonts w:ascii="宋体" w:hAnsi="宋体" w:cs="宋体" w:eastAsia="宋体" w:hint="default"/>
                <w:sz w:val="18"/>
                <w:szCs w:val="18"/>
              </w:rPr>
              <w:t>可供出售金融资产公允 价值变动</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3,654,795.71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548,219.36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8,614,486.40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1,292,172.96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3,654,795.71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548,219.36</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3）以抵销后净额列示的递延所得税资产或负债" w:id="308"/>
      <w:bookmarkEnd w:id="308"/>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162"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27,616,193.24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16,528,974.28</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1,292,172.96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548,219.36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4）未确认递延所得税资产明细" w:id="309"/>
      <w:bookmarkEnd w:id="309"/>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3,892,141.35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12,425,012.90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7,758,276.42</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16,317,154.25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7,758,276.42</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5）未确认递延所得税资产的可抵扣亏损将于以下年度到期" w:id="310"/>
      <w:bookmarkEnd w:id="310"/>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383,630.35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724,273.74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724,273.74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3,282,607.12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3,282,607.12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3,339,783.06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2,041,384.23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2,783,210.47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1,326,380.98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2,295,138.51</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12,425,012.90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7,758,276.42</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0、其他非流动资产" w:id="311"/>
      <w:bookmarkEnd w:id="311"/>
      <w:r>
        <w:rPr>
          <w:b w:val="0"/>
          <w:bCs w:val="0"/>
        </w:rPr>
      </w:r>
      <w:r>
        <w:rPr>
          <w:rFonts w:ascii="Times New Roman" w:hAnsi="Times New Roman" w:cs="Times New Roman" w:eastAsia="Times New Roman" w:hint="default"/>
        </w:rPr>
        <w:t>30</w:t>
      </w:r>
      <w:r>
        <w:rPr/>
        <w:t>、其他非流动资产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预付设备及工程款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21,563,060.60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2,830,292.24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创意大厦使用权</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18,581,155.95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40,144,216.55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2,830,292.24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73" w:lineRule="auto" w:before="89"/>
        <w:ind w:right="1131"/>
        <w:jc w:val="left"/>
      </w:pPr>
      <w:r>
        <w:rPr/>
        <w:t>本公司通过投资深圳市通新源物业管理有限公司获得南山创意大厦</w:t>
      </w:r>
      <w:r>
        <w:rPr>
          <w:rFonts w:ascii="宋体" w:hAnsi="宋体" w:cs="宋体" w:eastAsia="宋体" w:hint="default"/>
        </w:rPr>
        <w:t>22.57</w:t>
      </w:r>
      <w:r>
        <w:rPr/>
        <w:t>％的建筑面积使用权，使用楼层 为</w:t>
      </w:r>
      <w:r>
        <w:rPr>
          <w:rFonts w:ascii="宋体" w:hAnsi="宋体" w:cs="宋体" w:eastAsia="宋体" w:hint="default"/>
        </w:rPr>
        <w:t>10-12</w:t>
      </w:r>
      <w:r>
        <w:rPr/>
        <w:t>层。由于公司投资该公司的目的即为建设创意大厦并获得使用权，持有通新源股权的唯一经济利 </w:t>
      </w:r>
      <w:r>
        <w:rPr>
          <w:spacing w:val="-1"/>
        </w:rPr>
        <w:t>益实现方式是通过行使房屋使用权，该股权本身不能为本公司带来经济利益，</w:t>
      </w:r>
      <w:r>
        <w:rPr>
          <w:rFonts w:ascii="宋体" w:hAnsi="宋体" w:cs="宋体" w:eastAsia="宋体" w:hint="default"/>
          <w:spacing w:val="-1"/>
        </w:rPr>
        <w:t>2015</w:t>
      </w:r>
      <w:r>
        <w:rPr>
          <w:spacing w:val="-1"/>
        </w:rPr>
        <w:t>年本公司已经获得创意</w:t>
      </w:r>
      <w:r>
        <w:rPr>
          <w:spacing w:val="-80"/>
        </w:rPr>
        <w:t> </w:t>
      </w:r>
      <w:r>
        <w:rPr>
          <w:spacing w:val="-80"/>
        </w:rPr>
      </w:r>
      <w:r>
        <w:rPr>
          <w:spacing w:val="-1"/>
        </w:rPr>
        <w:t>大厦的使用权，因此将深圳市通新源物业管理有限公司股权投资列示为其他非流动资产，前期由于对通新</w:t>
      </w:r>
      <w:r>
        <w:rPr>
          <w:spacing w:val="-81"/>
        </w:rPr>
        <w:t> </w:t>
      </w:r>
      <w:r>
        <w:rPr>
          <w:spacing w:val="-81"/>
        </w:rPr>
      </w:r>
      <w:r>
        <w:rPr/>
        <w:t>源持股比例的变动导致的资本公积的变动</w:t>
      </w:r>
      <w:r>
        <w:rPr>
          <w:rFonts w:ascii="宋体" w:hAnsi="宋体" w:cs="宋体" w:eastAsia="宋体" w:hint="default"/>
        </w:rPr>
        <w:t>778,844.03</w:t>
      </w:r>
      <w:r>
        <w:rPr/>
        <w:t>一并转入其他非流动资产。</w:t>
      </w:r>
    </w:p>
    <w:p>
      <w:pPr>
        <w:spacing w:after="0" w:line="273"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31、短期借款" w:id="312"/>
      <w:bookmarkEnd w:id="312"/>
      <w:r>
        <w:rPr>
          <w:b w:val="0"/>
          <w:bCs w:val="0"/>
        </w:rPr>
      </w:r>
      <w:r>
        <w:rPr>
          <w:rFonts w:ascii="Times New Roman" w:hAnsi="Times New Roman" w:cs="Times New Roman" w:eastAsia="Times New Roman" w:hint="default"/>
        </w:rPr>
        <w:t>31</w:t>
      </w:r>
      <w:r>
        <w:rPr/>
        <w:t>、短期借款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1）短期借款分类" w:id="313"/>
      <w:bookmarkEnd w:id="313"/>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18,454,904.00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149,400,000.00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114,940,000.00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299,400,000.00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133,394,904.00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10"/>
        <w:rPr>
          <w:rFonts w:ascii="宋体" w:hAnsi="宋体" w:cs="宋体" w:eastAsia="宋体" w:hint="default"/>
          <w:sz w:val="26"/>
          <w:szCs w:val="26"/>
        </w:rPr>
      </w:pPr>
    </w:p>
    <w:p>
      <w:pPr>
        <w:pStyle w:val="Heading4"/>
        <w:spacing w:line="240" w:lineRule="auto"/>
        <w:ind w:left="154" w:right="0"/>
        <w:jc w:val="left"/>
        <w:rPr>
          <w:b w:val="0"/>
          <w:bCs w:val="0"/>
        </w:rPr>
      </w:pPr>
      <w:bookmarkStart w:name="（2）已逾期未偿还的短期借款情况" w:id="314"/>
      <w:bookmarkEnd w:id="314"/>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本期末已逾期未偿还的短期借款总额为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元，其中重要的已逾期未偿还的短期借款情况如下：</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2、以公允价值计量且其变动计入当期损益的金融负债" w:id="315"/>
      <w:bookmarkEnd w:id="315"/>
      <w:r>
        <w:rPr>
          <w:b w:val="0"/>
          <w:bCs w:val="0"/>
        </w:rPr>
      </w: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1,686,707.72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1,686,707.72</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3、衍生金融负债" w:id="316"/>
      <w:bookmarkEnd w:id="316"/>
      <w:r>
        <w:rPr>
          <w:b w:val="0"/>
          <w:bCs w:val="0"/>
        </w:rPr>
      </w:r>
      <w:r>
        <w:rPr>
          <w:rFonts w:ascii="Times New Roman" w:hAnsi="Times New Roman" w:cs="Times New Roman" w:eastAsia="Times New Roman" w:hint="default"/>
        </w:rPr>
        <w:t>33</w:t>
      </w:r>
      <w:r>
        <w:rPr/>
        <w:t>、衍生金融负债</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4、应付票据" w:id="317"/>
      <w:bookmarkEnd w:id="317"/>
      <w:r>
        <w:rPr>
          <w:b w:val="0"/>
          <w:bCs w:val="0"/>
        </w:rPr>
      </w:r>
      <w:r>
        <w:rPr>
          <w:rFonts w:ascii="Times New Roman" w:hAnsi="Times New Roman" w:cs="Times New Roman" w:eastAsia="Times New Roman" w:hint="default"/>
        </w:rPr>
        <w:t>34</w:t>
      </w:r>
      <w:r>
        <w:rPr/>
        <w:t>、应付票据</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126,111,046.90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83,635,471.42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126,111,046.90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83,635,471.42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35、应付账款" w:id="318"/>
      <w:bookmarkEnd w:id="318"/>
      <w:r>
        <w:rPr>
          <w:b w:val="0"/>
          <w:bCs w:val="0"/>
        </w:rPr>
      </w:r>
      <w:r>
        <w:rPr>
          <w:rFonts w:ascii="Times New Roman" w:hAnsi="Times New Roman" w:cs="Times New Roman" w:eastAsia="Times New Roman" w:hint="default"/>
        </w:rPr>
        <w:t>35</w:t>
      </w:r>
      <w:r>
        <w:rPr/>
        <w:t>、应付账款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0"/>
        <w:jc w:val="left"/>
        <w:rPr>
          <w:b w:val="0"/>
          <w:bCs w:val="0"/>
        </w:rPr>
      </w:pPr>
      <w:bookmarkStart w:name="（1）应付账款列示" w:id="319"/>
      <w:bookmarkEnd w:id="319"/>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340,336,729.97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193,236,314.66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8,557,694.36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160,959.54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468,980.34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57,740.62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1,381,111.21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4,844.04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350,744,515.88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193,459,858.86</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账龄超过1年的重要应付账款" w:id="320"/>
      <w:bookmarkEnd w:id="320"/>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3"/>
              <w:jc w:val="left"/>
              <w:rPr>
                <w:rFonts w:ascii="宋体" w:hAnsi="宋体" w:cs="宋体" w:eastAsia="宋体" w:hint="default"/>
                <w:sz w:val="18"/>
                <w:szCs w:val="18"/>
              </w:rPr>
            </w:pPr>
            <w:r>
              <w:rPr>
                <w:rFonts w:ascii="宋体" w:hAnsi="宋体" w:cs="宋体" w:eastAsia="宋体" w:hint="default"/>
                <w:sz w:val="18"/>
                <w:szCs w:val="18"/>
              </w:rPr>
              <w:t>海宁市诺耶科华太阳能电力工程有限公 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3,341,820.06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工程尾款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深圳市中兴昆腾有限公司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1,863,650.00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设备尾款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深圳市新纶科技股份有限公司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1,250,018.50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设备尾款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深圳市华弘电子材料有限公司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878,439.55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质量纠纷</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7,333,928.11</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6、预收款项" w:id="321"/>
      <w:bookmarkEnd w:id="321"/>
      <w:r>
        <w:rPr>
          <w:b w:val="0"/>
          <w:bCs w:val="0"/>
        </w:rPr>
      </w:r>
      <w:r>
        <w:rPr>
          <w:rFonts w:ascii="Times New Roman" w:hAnsi="Times New Roman" w:cs="Times New Roman" w:eastAsia="Times New Roman" w:hint="default"/>
        </w:rPr>
        <w:t>36</w:t>
      </w:r>
      <w:r>
        <w:rPr/>
        <w:t>、预收款项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0"/>
        <w:jc w:val="left"/>
        <w:rPr>
          <w:b w:val="0"/>
          <w:bCs w:val="0"/>
        </w:rPr>
      </w:pPr>
      <w:bookmarkStart w:name="（1）预收款项列示" w:id="322"/>
      <w:bookmarkEnd w:id="322"/>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5,577,471.02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9,827,764.05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2,282,648.49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1,107,458.07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872,631.72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228,183.77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140,381.18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8,873,132.41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11,163,405.89</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账龄超过1年的重要预收款项" w:id="323"/>
      <w:bookmarkEnd w:id="323"/>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3）期末建造合同形成的已结算未完工项目情况" w:id="324"/>
      <w:bookmarkEnd w:id="324"/>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7、应付职工薪酬" w:id="325"/>
      <w:bookmarkEnd w:id="325"/>
      <w:r>
        <w:rPr>
          <w:b w:val="0"/>
          <w:bCs w:val="0"/>
        </w:rPr>
      </w:r>
      <w:r>
        <w:rPr>
          <w:rFonts w:ascii="Times New Roman" w:hAnsi="Times New Roman" w:cs="Times New Roman" w:eastAsia="Times New Roman" w:hint="default"/>
        </w:rPr>
        <w:t>37</w:t>
      </w:r>
      <w:r>
        <w:rPr/>
        <w:t>、应付职工薪酬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1）应付职工薪酬列示" w:id="326"/>
      <w:bookmarkEnd w:id="326"/>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9,369,092.47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187,553,431.04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175,784,802.21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21,137,721.30</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7,561,330.92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7,406,874.10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154,456.82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9,369,092.47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195,114,761.96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183,191,676.31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21,292,178.12</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短期薪酬列示" w:id="327"/>
      <w:bookmarkEnd w:id="327"/>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9,369,092.47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177,590,659.64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165,944,191.73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21,015,560.38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5,541,773.18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5,541,773.18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2,488,468.92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2,371,258.00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117,210.92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1,585,144.33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1,554,440.87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30,703.46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720,507.51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634,000.05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86,507.46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182,817.08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182,817.08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1,932,529.30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1,927,579.30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4,950.00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9,369,092.47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187,553,431.04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175,784,802.21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21,137,721.30</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3）设定提存计划列示" w:id="328"/>
      <w:bookmarkEnd w:id="328"/>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7,231,480.47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7,077,023.65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70" w:right="0"/>
              <w:jc w:val="left"/>
              <w:rPr>
                <w:rFonts w:ascii="Times New Roman" w:hAnsi="Times New Roman" w:cs="Times New Roman" w:eastAsia="Times New Roman" w:hint="default"/>
                <w:sz w:val="18"/>
                <w:szCs w:val="18"/>
              </w:rPr>
            </w:pPr>
            <w:r>
              <w:rPr>
                <w:rFonts w:ascii="Times New Roman"/>
                <w:sz w:val="18"/>
              </w:rPr>
              <w:t>154,456.82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329,850.45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329,850.45</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7,561,330.92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5" w:right="0"/>
              <w:jc w:val="left"/>
              <w:rPr>
                <w:rFonts w:ascii="Times New Roman" w:hAnsi="Times New Roman" w:cs="Times New Roman" w:eastAsia="Times New Roman" w:hint="default"/>
                <w:sz w:val="18"/>
                <w:szCs w:val="18"/>
              </w:rPr>
            </w:pPr>
            <w:r>
              <w:rPr>
                <w:rFonts w:ascii="Times New Roman"/>
                <w:sz w:val="18"/>
              </w:rPr>
              <w:t>7,406,874.10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0" w:right="0"/>
              <w:jc w:val="left"/>
              <w:rPr>
                <w:rFonts w:ascii="Times New Roman" w:hAnsi="Times New Roman" w:cs="Times New Roman" w:eastAsia="Times New Roman" w:hint="default"/>
                <w:sz w:val="18"/>
                <w:szCs w:val="18"/>
              </w:rPr>
            </w:pPr>
            <w:r>
              <w:rPr>
                <w:rFonts w:ascii="Times New Roman"/>
                <w:sz w:val="18"/>
              </w:rPr>
              <w:t>154,456.82</w:t>
            </w: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73" w:lineRule="auto" w:before="90"/>
        <w:ind w:right="1131"/>
        <w:jc w:val="both"/>
      </w:pPr>
      <w:r>
        <w:rPr>
          <w:spacing w:val="-1"/>
        </w:rPr>
        <w:t>本公司及下属子公司均按当地规定参加由政府机构设立的养老保险、失业保险计划，根据该等计划每月向</w:t>
      </w:r>
      <w:r>
        <w:rPr>
          <w:spacing w:val="-81"/>
        </w:rPr>
        <w:t> </w:t>
      </w:r>
      <w:r>
        <w:rPr>
          <w:spacing w:val="-81"/>
        </w:rPr>
      </w:r>
      <w:r>
        <w:rPr>
          <w:spacing w:val="-1"/>
        </w:rPr>
        <w:t>该等计划缴存费用。除上述每月缴存费用外，本公司不再承担进一步支付义务。相应的支出于发生时计入</w:t>
      </w:r>
      <w:r>
        <w:rPr>
          <w:spacing w:val="-83"/>
        </w:rPr>
        <w:t> </w:t>
      </w:r>
      <w:r>
        <w:rPr>
          <w:spacing w:val="-83"/>
        </w:rPr>
      </w:r>
      <w:r>
        <w:rPr/>
        <w:t>当期损益或相关资产的成本。</w:t>
      </w:r>
    </w:p>
    <w:p>
      <w:pPr>
        <w:spacing w:line="240" w:lineRule="auto" w:before="8"/>
        <w:rPr>
          <w:rFonts w:ascii="宋体" w:hAnsi="宋体" w:cs="宋体" w:eastAsia="宋体" w:hint="default"/>
          <w:sz w:val="23"/>
          <w:szCs w:val="23"/>
        </w:rPr>
      </w:pPr>
    </w:p>
    <w:p>
      <w:pPr>
        <w:pStyle w:val="Heading4"/>
        <w:spacing w:line="240" w:lineRule="auto"/>
        <w:ind w:right="0"/>
        <w:jc w:val="both"/>
        <w:rPr>
          <w:b w:val="0"/>
          <w:bCs w:val="0"/>
        </w:rPr>
      </w:pPr>
      <w:bookmarkStart w:name="38、应交税费" w:id="329"/>
      <w:bookmarkEnd w:id="329"/>
      <w:r>
        <w:rPr>
          <w:b w:val="0"/>
          <w:bCs w:val="0"/>
        </w:rPr>
      </w:r>
      <w:r>
        <w:rPr>
          <w:rFonts w:ascii="Times New Roman" w:hAnsi="Times New Roman" w:cs="Times New Roman" w:eastAsia="Times New Roman" w:hint="default"/>
        </w:rPr>
        <w:t>38</w:t>
      </w:r>
      <w:r>
        <w:rPr/>
        <w:t>、应交税费</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13,764,452.38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1,915,601.11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532,095.59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162,404.02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9,488,352.00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13.12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235,731.52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379,915.67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221,095.12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94,700.22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123,035.82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41,282.24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82,023.88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27,521.49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300,593.24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48,918.59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105,972.00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264,090.55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25,117,442.10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2,670,356.46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9、应付利息" w:id="330"/>
      <w:bookmarkEnd w:id="330"/>
      <w:r>
        <w:rPr>
          <w:b w:val="0"/>
          <w:bCs w:val="0"/>
        </w:rPr>
      </w:r>
      <w:r>
        <w:rPr>
          <w:rFonts w:ascii="Times New Roman" w:hAnsi="Times New Roman" w:cs="Times New Roman" w:eastAsia="Times New Roman" w:hint="default"/>
        </w:rPr>
        <w:t>39</w:t>
      </w:r>
      <w:r>
        <w:rPr/>
        <w:t>、应付利息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496,780.87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769,602.11</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496,780.87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769,602.11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0、应付股利" w:id="331"/>
      <w:bookmarkEnd w:id="331"/>
      <w:r>
        <w:rPr>
          <w:b w:val="0"/>
          <w:bCs w:val="0"/>
        </w:rPr>
      </w:r>
      <w:r>
        <w:rPr>
          <w:rFonts w:ascii="Times New Roman" w:hAnsi="Times New Roman" w:cs="Times New Roman" w:eastAsia="Times New Roman" w:hint="default"/>
        </w:rPr>
        <w:t>40</w:t>
      </w:r>
      <w:r>
        <w:rPr/>
        <w:t>、应付股利</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其他说明，包括重要的超过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年未支付的应付股利，应披露未支付原因：</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41、其他应付款" w:id="332"/>
      <w:bookmarkEnd w:id="332"/>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0"/>
        <w:jc w:val="left"/>
        <w:rPr>
          <w:b w:val="0"/>
          <w:bCs w:val="0"/>
        </w:rPr>
      </w:pPr>
      <w:bookmarkStart w:name="（1）按款项性质列示其他应付款" w:id="333"/>
      <w:bookmarkEnd w:id="333"/>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4,569,248.80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3,615,519.46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384,102.04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583,314.00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554,314.00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233,650.00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231,650.00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79,061.36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72,061.36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5,811,376.20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4,511,544.82</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账龄超过1年的重要其他应付款" w:id="334"/>
      <w:bookmarkEnd w:id="334"/>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42、划分为持有待售的负债" w:id="335"/>
      <w:bookmarkEnd w:id="335"/>
      <w:r>
        <w:rPr>
          <w:b w:val="0"/>
          <w:bCs w:val="0"/>
        </w:rPr>
      </w:r>
      <w:r>
        <w:rPr>
          <w:rFonts w:ascii="Times New Roman" w:hAnsi="Times New Roman" w:cs="Times New Roman" w:eastAsia="Times New Roman" w:hint="default"/>
        </w:rPr>
        <w:t>42</w:t>
      </w:r>
      <w:r>
        <w:rPr/>
        <w:t>、划分为持有待售的负债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43、一年内到期的非流动负债" w:id="336"/>
      <w:bookmarkEnd w:id="336"/>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44、其他流动负债" w:id="337"/>
      <w:bookmarkEnd w:id="337"/>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短期应付债券的增减变动：</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87"/>
        <w:gridCol w:w="821"/>
        <w:gridCol w:w="787"/>
      </w:tblGrid>
      <w:tr>
        <w:trPr>
          <w:trHeight w:val="402"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3" w:right="0"/>
              <w:jc w:val="left"/>
              <w:rPr>
                <w:rFonts w:ascii="宋体" w:hAnsi="宋体" w:cs="宋体" w:eastAsia="宋体" w:hint="default"/>
                <w:sz w:val="18"/>
                <w:szCs w:val="18"/>
              </w:rPr>
            </w:pPr>
            <w:r>
              <w:rPr>
                <w:rFonts w:ascii="宋体" w:hAnsi="宋体" w:cs="宋体" w:eastAsia="宋体" w:hint="default"/>
                <w:sz w:val="18"/>
                <w:szCs w:val="18"/>
              </w:rPr>
              <w:t>按面值计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3" w:right="0"/>
              <w:jc w:val="left"/>
              <w:rPr>
                <w:rFonts w:ascii="宋体" w:hAnsi="宋体" w:cs="宋体" w:eastAsia="宋体" w:hint="default"/>
                <w:sz w:val="18"/>
                <w:szCs w:val="18"/>
              </w:rPr>
            </w:pPr>
            <w:r>
              <w:rPr>
                <w:rFonts w:ascii="宋体" w:hAnsi="宋体" w:cs="宋体" w:eastAsia="宋体" w:hint="default"/>
                <w:sz w:val="18"/>
                <w:szCs w:val="18"/>
              </w:rPr>
              <w:t>溢折价摊</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821" w:type="dxa"/>
            <w:tcBorders>
              <w:top w:val="single" w:sz="4" w:space="0" w:color="000000"/>
              <w:left w:val="single" w:sz="13" w:space="0" w:color="D2D2D2"/>
              <w:bottom w:val="single" w:sz="4" w:space="0" w:color="000000"/>
              <w:right w:val="single" w:sz="9" w:space="0" w:color="D2D2D2"/>
            </w:tcBorders>
            <w:shd w:val="clear" w:color="auto" w:fill="E0FFFF"/>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362"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23" w:right="0"/>
              <w:jc w:val="left"/>
              <w:rPr>
                <w:rFonts w:ascii="宋体" w:hAnsi="宋体" w:cs="宋体" w:eastAsia="宋体" w:hint="default"/>
                <w:sz w:val="18"/>
                <w:szCs w:val="18"/>
              </w:rPr>
            </w:pPr>
            <w:r>
              <w:rPr>
                <w:rFonts w:ascii="宋体" w:hAnsi="宋体" w:cs="宋体" w:eastAsia="宋体" w:hint="default"/>
                <w:sz w:val="18"/>
                <w:szCs w:val="18"/>
              </w:rPr>
              <w:t>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5、长期借款" w:id="338"/>
      <w:bookmarkEnd w:id="338"/>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4" w:right="0"/>
        <w:jc w:val="left"/>
        <w:rPr>
          <w:b w:val="0"/>
          <w:bCs w:val="0"/>
        </w:rPr>
      </w:pPr>
      <w:bookmarkStart w:name="（1）长期借款分类" w:id="339"/>
      <w:bookmarkEnd w:id="339"/>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360" w:lineRule="auto" w:before="51"/>
        <w:ind w:left="154" w:right="8592" w:firstLine="0"/>
        <w:jc w:val="left"/>
        <w:rPr>
          <w:rFonts w:ascii="宋体" w:hAnsi="宋体" w:cs="宋体" w:eastAsia="宋体" w:hint="default"/>
          <w:sz w:val="18"/>
          <w:szCs w:val="18"/>
        </w:rPr>
      </w:pPr>
      <w:r>
        <w:rPr>
          <w:rFonts w:ascii="宋体" w:hAnsi="宋体" w:cs="宋体" w:eastAsia="宋体" w:hint="default"/>
          <w:sz w:val="18"/>
          <w:szCs w:val="18"/>
        </w:rPr>
        <w:t>长期借款分类的说明： 其他说明，包括利率区间：</w:t>
      </w:r>
    </w:p>
    <w:p>
      <w:pPr>
        <w:spacing w:line="240" w:lineRule="auto" w:before="11"/>
        <w:rPr>
          <w:rFonts w:ascii="宋体" w:hAnsi="宋体" w:cs="宋体" w:eastAsia="宋体" w:hint="default"/>
          <w:sz w:val="19"/>
          <w:szCs w:val="19"/>
        </w:rPr>
      </w:pPr>
    </w:p>
    <w:p>
      <w:pPr>
        <w:pStyle w:val="Heading4"/>
        <w:spacing w:line="240" w:lineRule="auto"/>
        <w:ind w:left="154" w:right="0"/>
        <w:jc w:val="left"/>
        <w:rPr>
          <w:b w:val="0"/>
          <w:bCs w:val="0"/>
        </w:rPr>
      </w:pPr>
      <w:bookmarkStart w:name="46、应付债券" w:id="340"/>
      <w:bookmarkEnd w:id="340"/>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0"/>
        <w:jc w:val="left"/>
        <w:rPr>
          <w:b w:val="0"/>
          <w:bCs w:val="0"/>
        </w:rPr>
      </w:pPr>
      <w:bookmarkStart w:name="（1）应付债券" w:id="341"/>
      <w:bookmarkEnd w:id="341"/>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4"/>
        <w:spacing w:line="240" w:lineRule="auto" w:before="35"/>
        <w:ind w:left="154" w:right="0"/>
        <w:jc w:val="left"/>
        <w:rPr>
          <w:b w:val="0"/>
          <w:bCs w:val="0"/>
        </w:rPr>
      </w:pPr>
      <w:bookmarkStart w:name="（2）应付债券的增减变动（不包括划分为金融负债的优先股、永续债等其他金融工具）" w:id="342"/>
      <w:bookmarkEnd w:id="342"/>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24"/>
          <w:szCs w:val="24"/>
        </w:rPr>
      </w:pPr>
    </w:p>
    <w:p>
      <w:pPr>
        <w:pStyle w:val="Heading4"/>
        <w:spacing w:line="240" w:lineRule="auto" w:before="35"/>
        <w:ind w:right="0"/>
        <w:jc w:val="left"/>
        <w:rPr>
          <w:b w:val="0"/>
          <w:bCs w:val="0"/>
        </w:rPr>
      </w:pPr>
      <w:bookmarkStart w:name="（3）可转换公司债券的转股条件、转股时间说明" w:id="343"/>
      <w:bookmarkEnd w:id="343"/>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4）划分为金融负债的其他金融工具说明" w:id="344"/>
      <w:bookmarkEnd w:id="344"/>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line="357" w:lineRule="auto" w:before="44"/>
        <w:ind w:left="153" w:right="-19" w:firstLine="0"/>
        <w:jc w:val="left"/>
        <w:rPr>
          <w:rFonts w:ascii="宋体" w:hAnsi="宋体" w:cs="宋体" w:eastAsia="宋体" w:hint="default"/>
          <w:sz w:val="18"/>
          <w:szCs w:val="18"/>
        </w:rPr>
      </w:pPr>
      <w:r>
        <w:rPr>
          <w:rFonts w:ascii="宋体" w:hAnsi="宋体" w:cs="宋体" w:eastAsia="宋体" w:hint="default"/>
          <w:sz w:val="18"/>
          <w:szCs w:val="18"/>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655" w:space="417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60" w:lineRule="auto" w:before="51"/>
        <w:ind w:left="154" w:right="7512" w:firstLine="0"/>
        <w:jc w:val="left"/>
        <w:rPr>
          <w:rFonts w:ascii="宋体" w:hAnsi="宋体" w:cs="宋体" w:eastAsia="宋体" w:hint="default"/>
          <w:sz w:val="18"/>
          <w:szCs w:val="18"/>
        </w:rPr>
      </w:pPr>
      <w:r>
        <w:rPr>
          <w:rFonts w:ascii="宋体" w:hAnsi="宋体" w:cs="宋体" w:eastAsia="宋体" w:hint="default"/>
          <w:sz w:val="18"/>
          <w:szCs w:val="18"/>
        </w:rPr>
        <w:t>其他金融工具划分为金融负债的依据说明 其他说明</w:t>
      </w:r>
    </w:p>
    <w:p>
      <w:pPr>
        <w:spacing w:line="240" w:lineRule="auto" w:before="11"/>
        <w:rPr>
          <w:rFonts w:ascii="宋体" w:hAnsi="宋体" w:cs="宋体" w:eastAsia="宋体" w:hint="default"/>
          <w:sz w:val="19"/>
          <w:szCs w:val="19"/>
        </w:rPr>
      </w:pPr>
    </w:p>
    <w:p>
      <w:pPr>
        <w:pStyle w:val="Heading4"/>
        <w:spacing w:line="240" w:lineRule="auto"/>
        <w:ind w:left="154" w:right="0"/>
        <w:jc w:val="left"/>
        <w:rPr>
          <w:b w:val="0"/>
          <w:bCs w:val="0"/>
        </w:rPr>
      </w:pPr>
      <w:bookmarkStart w:name="47、长期应付款" w:id="345"/>
      <w:bookmarkEnd w:id="345"/>
      <w:r>
        <w:rPr>
          <w:b w:val="0"/>
          <w:bCs w:val="0"/>
        </w:rPr>
      </w:r>
      <w:r>
        <w:rPr>
          <w:rFonts w:ascii="Times New Roman" w:hAnsi="Times New Roman" w:cs="Times New Roman" w:eastAsia="Times New Roman" w:hint="default"/>
        </w:rPr>
        <w:t>47</w:t>
      </w:r>
      <w:r>
        <w:rPr/>
        <w:t>、长期应付款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0"/>
        <w:jc w:val="left"/>
        <w:rPr>
          <w:b w:val="0"/>
          <w:bCs w:val="0"/>
        </w:rPr>
      </w:pPr>
      <w:bookmarkStart w:name="（1）按款项性质列示长期应付款" w:id="346"/>
      <w:bookmarkEnd w:id="346"/>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48、长期应付职工薪酬" w:id="347"/>
      <w:bookmarkEnd w:id="347"/>
      <w:r>
        <w:rPr>
          <w:b w:val="0"/>
          <w:bCs w:val="0"/>
        </w:rPr>
      </w:r>
      <w:r>
        <w:rPr>
          <w:rFonts w:ascii="Times New Roman" w:hAnsi="Times New Roman" w:cs="Times New Roman" w:eastAsia="Times New Roman" w:hint="default"/>
        </w:rPr>
        <w:t>48</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长期应付职工薪酬表" w:id="348"/>
      <w:bookmarkEnd w:id="348"/>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4"/>
        <w:spacing w:line="240" w:lineRule="auto" w:before="35"/>
        <w:ind w:left="154" w:right="0"/>
        <w:jc w:val="left"/>
        <w:rPr>
          <w:b w:val="0"/>
          <w:bCs w:val="0"/>
        </w:rPr>
      </w:pPr>
      <w:bookmarkStart w:name="（2）设定受益计划变动情况" w:id="349"/>
      <w:bookmarkEnd w:id="349"/>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设定受益计划义务现值：</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计划资产：</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设定受益计划净负债（净资产）</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357" w:lineRule="auto" w:before="52"/>
        <w:ind w:left="153" w:right="3553" w:firstLine="0"/>
        <w:jc w:val="left"/>
        <w:rPr>
          <w:rFonts w:ascii="宋体" w:hAnsi="宋体" w:cs="宋体" w:eastAsia="宋体" w:hint="default"/>
          <w:sz w:val="18"/>
          <w:szCs w:val="18"/>
        </w:rPr>
      </w:pPr>
      <w:r>
        <w:rPr>
          <w:rFonts w:ascii="宋体" w:hAnsi="宋体" w:cs="宋体" w:eastAsia="宋体" w:hint="default"/>
          <w:sz w:val="18"/>
          <w:szCs w:val="18"/>
        </w:rPr>
        <w:t>设定受益计划的内容及与之相关风险、对公司未来现金流量、时间和不确定性的影响说明： 设定受益计划重大精算假设及敏感性分析结果说明：</w:t>
      </w:r>
    </w:p>
    <w:p>
      <w:pPr>
        <w:spacing w:before="29"/>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left="154" w:right="0"/>
        <w:jc w:val="left"/>
        <w:rPr>
          <w:b w:val="0"/>
          <w:bCs w:val="0"/>
        </w:rPr>
      </w:pPr>
      <w:bookmarkStart w:name="49、专项应付款" w:id="350"/>
      <w:bookmarkEnd w:id="350"/>
      <w:r>
        <w:rPr>
          <w:b w:val="0"/>
          <w:bCs w:val="0"/>
        </w:rPr>
      </w:r>
      <w:r>
        <w:rPr>
          <w:rFonts w:ascii="Times New Roman" w:hAnsi="Times New Roman" w:cs="Times New Roman" w:eastAsia="Times New Roman" w:hint="default"/>
        </w:rPr>
        <w:t>49</w:t>
      </w:r>
      <w:r>
        <w:rPr/>
        <w:t>、专项应付款</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0、预计负债" w:id="351"/>
      <w:bookmarkEnd w:id="351"/>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6"/>
        <w:gridCol w:w="2408"/>
        <w:gridCol w:w="2392"/>
        <w:gridCol w:w="2392"/>
      </w:tblGrid>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产品质量保证</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131,787.70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61,186.61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部分产品有五年保修期</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131,787.70</w:t>
            </w:r>
          </w:p>
        </w:tc>
        <w:tc>
          <w:tcPr>
            <w:tcW w:w="23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61,186.61</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其他说明，包括重要预计负债的相关重要假设、估计说明：</w:t>
      </w:r>
    </w:p>
    <w:p>
      <w:pPr>
        <w:pStyle w:val="Heading3"/>
        <w:spacing w:line="240" w:lineRule="auto" w:before="66"/>
        <w:ind w:left="634" w:right="0"/>
        <w:jc w:val="left"/>
      </w:pPr>
      <w:r>
        <w:rPr/>
        <w:t>公司按附有质保期的产品销售额的</w:t>
      </w:r>
      <w:r>
        <w:rPr>
          <w:rFonts w:ascii="Times New Roman" w:hAnsi="Times New Roman" w:cs="Times New Roman" w:eastAsia="Times New Roman" w:hint="default"/>
        </w:rPr>
        <w:t>0.5%</w:t>
      </w:r>
      <w:r>
        <w:rPr/>
        <w:t>计提质量保证金。</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51、递延收益" w:id="352"/>
      <w:bookmarkEnd w:id="352"/>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3,894,691.41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15,351,200.00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1,190,368.39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18,055,523.02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3,894,691.41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15,351,200.00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1,190,368.39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18,055,523.02</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07" w:right="23"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39"/>
              <w:jc w:val="left"/>
              <w:rPr>
                <w:rFonts w:ascii="宋体" w:hAnsi="宋体" w:cs="宋体" w:eastAsia="宋体" w:hint="default"/>
                <w:sz w:val="18"/>
                <w:szCs w:val="18"/>
              </w:rPr>
            </w:pPr>
            <w:r>
              <w:rPr>
                <w:rFonts w:ascii="宋体" w:hAnsi="宋体" w:cs="宋体" w:eastAsia="宋体" w:hint="default"/>
                <w:sz w:val="18"/>
                <w:szCs w:val="18"/>
              </w:rPr>
              <w:t>①大功率智能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电源驱动生 产项目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3,894,691.41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3,191,200.00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489,259.73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6,596,631.68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36"/>
              <w:jc w:val="both"/>
              <w:rPr>
                <w:rFonts w:ascii="宋体" w:hAnsi="宋体" w:cs="宋体" w:eastAsia="宋体" w:hint="default"/>
                <w:sz w:val="18"/>
                <w:szCs w:val="18"/>
              </w:rPr>
            </w:pPr>
            <w:r>
              <w:rPr>
                <w:rFonts w:ascii="宋体" w:hAnsi="宋体" w:cs="宋体" w:eastAsia="宋体" w:hint="default"/>
                <w:sz w:val="18"/>
                <w:szCs w:val="18"/>
              </w:rPr>
              <w:t>②茂硕电源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 </w:t>
            </w:r>
            <w:r>
              <w:rPr>
                <w:rFonts w:ascii="宋体" w:hAnsi="宋体" w:cs="宋体" w:eastAsia="宋体" w:hint="default"/>
                <w:sz w:val="18"/>
                <w:szCs w:val="18"/>
              </w:rPr>
              <w:t>照明驱动电源重 点实验室</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③深圳集中供电 智能驱动工程实 验室项目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4,890,000.00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4,890,000.00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④太阳能</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智 能驱动产业化</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37"/>
              <w:jc w:val="both"/>
              <w:rPr>
                <w:rFonts w:ascii="宋体" w:hAnsi="宋体" w:cs="宋体" w:eastAsia="宋体" w:hint="default"/>
                <w:sz w:val="18"/>
                <w:szCs w:val="18"/>
              </w:rPr>
            </w:pPr>
            <w:r>
              <w:rPr>
                <w:rFonts w:ascii="宋体" w:hAnsi="宋体" w:cs="宋体" w:eastAsia="宋体" w:hint="default"/>
                <w:sz w:val="18"/>
                <w:szCs w:val="18"/>
              </w:rPr>
              <w:t>⑤</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驱动电源 生产线智能化升 级改造</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71,250.00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498,750.00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⑥智能光伏功率 优化器的研发</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329,858.66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1,170,141.34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⑦</w:t>
            </w:r>
            <w:r>
              <w:rPr>
                <w:rFonts w:ascii="Times New Roman" w:hAnsi="Times New Roman" w:cs="Times New Roman" w:eastAsia="Times New Roman" w:hint="default"/>
                <w:sz w:val="18"/>
                <w:szCs w:val="18"/>
              </w:rPr>
              <w:t>BC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栋标准化 厂房建设补助款</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⑧租房补贴</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3,894,691.41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15,351,200.00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1,190,368.39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18,055,523.02</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73" w:lineRule="auto" w:before="90"/>
        <w:ind w:right="0"/>
        <w:jc w:val="left"/>
      </w:pPr>
      <w:r>
        <w:rPr>
          <w:spacing w:val="-1"/>
        </w:rPr>
        <w:t>①根据粤发改产业【</w:t>
      </w:r>
      <w:r>
        <w:rPr>
          <w:rFonts w:ascii="宋体" w:hAnsi="宋体" w:cs="宋体" w:eastAsia="宋体" w:hint="default"/>
          <w:spacing w:val="-1"/>
        </w:rPr>
        <w:t>2013</w:t>
      </w:r>
      <w:r>
        <w:rPr>
          <w:spacing w:val="-1"/>
        </w:rPr>
        <w:t>】</w:t>
      </w:r>
      <w:r>
        <w:rPr>
          <w:rFonts w:ascii="宋体" w:hAnsi="宋体" w:cs="宋体" w:eastAsia="宋体" w:hint="default"/>
          <w:spacing w:val="-1"/>
        </w:rPr>
        <w:t>419</w:t>
      </w:r>
      <w:r>
        <w:rPr>
          <w:spacing w:val="-1"/>
        </w:rPr>
        <w:t>号、发改投资【</w:t>
      </w:r>
      <w:r>
        <w:rPr>
          <w:rFonts w:ascii="宋体" w:hAnsi="宋体" w:cs="宋体" w:eastAsia="宋体" w:hint="default"/>
          <w:spacing w:val="-1"/>
        </w:rPr>
        <w:t>2013</w:t>
      </w:r>
      <w:r>
        <w:rPr>
          <w:spacing w:val="-1"/>
        </w:rPr>
        <w:t>】</w:t>
      </w:r>
      <w:r>
        <w:rPr>
          <w:rFonts w:ascii="宋体" w:hAnsi="宋体" w:cs="宋体" w:eastAsia="宋体" w:hint="default"/>
          <w:spacing w:val="-1"/>
        </w:rPr>
        <w:t>1120</w:t>
      </w:r>
      <w:r>
        <w:rPr>
          <w:spacing w:val="-1"/>
        </w:rPr>
        <w:t>号文件，国家计划投资</w:t>
      </w:r>
      <w:r>
        <w:rPr>
          <w:rFonts w:ascii="宋体" w:hAnsi="宋体" w:cs="宋体" w:eastAsia="宋体" w:hint="default"/>
          <w:spacing w:val="-1"/>
        </w:rPr>
        <w:t>1,062</w:t>
      </w:r>
      <w:r>
        <w:rPr>
          <w:spacing w:val="-1"/>
        </w:rPr>
        <w:t>万元用于惠州茂硕</w:t>
      </w:r>
      <w:r>
        <w:rPr>
          <w:spacing w:val="-77"/>
        </w:rPr>
        <w:t> </w:t>
      </w:r>
      <w:r>
        <w:rPr>
          <w:spacing w:val="-77"/>
        </w:rPr>
      </w:r>
      <w:r>
        <w:rPr/>
        <w:t>能源科技有限公司大功率智能</w:t>
      </w:r>
      <w:r>
        <w:rPr>
          <w:rFonts w:ascii="宋体" w:hAnsi="宋体" w:cs="宋体" w:eastAsia="宋体" w:hint="default"/>
        </w:rPr>
        <w:t>LED</w:t>
      </w:r>
      <w:r>
        <w:rPr/>
        <w:t>电源驱动生产项目，本年因该项目共计向政府申请投资补贴 </w:t>
      </w:r>
      <w:r>
        <w:rPr>
          <w:rFonts w:ascii="宋体" w:hAnsi="宋体" w:cs="宋体" w:eastAsia="宋体" w:hint="default"/>
          <w:spacing w:val="-1"/>
        </w:rPr>
        <w:t>3,191,200.00</w:t>
      </w:r>
      <w:r>
        <w:rPr>
          <w:spacing w:val="-1"/>
        </w:rPr>
        <w:t>，确定为递延收益。购进资产对应的进项税</w:t>
      </w:r>
      <w:r>
        <w:rPr>
          <w:rFonts w:ascii="宋体" w:hAnsi="宋体" w:cs="宋体" w:eastAsia="宋体" w:hint="default"/>
          <w:spacing w:val="-1"/>
        </w:rPr>
        <w:t>337,093.97</w:t>
      </w:r>
      <w:r>
        <w:rPr>
          <w:spacing w:val="-1"/>
        </w:rPr>
        <w:t>在当期确认为营业外收入，资产在本</w:t>
      </w:r>
      <w:r>
        <w:rPr>
          <w:spacing w:val="-75"/>
        </w:rPr>
        <w:t> </w:t>
      </w:r>
      <w:r>
        <w:rPr>
          <w:spacing w:val="-75"/>
        </w:rPr>
      </w:r>
      <w:r>
        <w:rPr/>
        <w:t>年折旧额</w:t>
      </w:r>
      <w:r>
        <w:rPr>
          <w:rFonts w:ascii="宋体" w:hAnsi="宋体" w:cs="宋体" w:eastAsia="宋体" w:hint="default"/>
        </w:rPr>
        <w:t>152,165.76</w:t>
      </w:r>
      <w:r>
        <w:rPr/>
        <w:t>元计入当期营业外收入。</w:t>
      </w:r>
    </w:p>
    <w:p>
      <w:pPr>
        <w:pStyle w:val="BodyText"/>
        <w:spacing w:line="273" w:lineRule="auto"/>
        <w:ind w:right="1118"/>
        <w:jc w:val="left"/>
      </w:pPr>
      <w:r>
        <w:rPr/>
        <w:t>②根据深南科【</w:t>
      </w:r>
      <w:r>
        <w:rPr>
          <w:rFonts w:ascii="宋体" w:hAnsi="宋体" w:cs="宋体" w:eastAsia="宋体" w:hint="default"/>
        </w:rPr>
        <w:t>2015</w:t>
      </w:r>
      <w:r>
        <w:rPr/>
        <w:t>】</w:t>
      </w:r>
      <w:r>
        <w:rPr>
          <w:rFonts w:ascii="宋体" w:hAnsi="宋体" w:cs="宋体" w:eastAsia="宋体" w:hint="default"/>
        </w:rPr>
        <w:t>15</w:t>
      </w:r>
      <w:r>
        <w:rPr/>
        <w:t>号文件，深圳市南山区科技创新局计划资助</w:t>
      </w:r>
      <w:r>
        <w:rPr>
          <w:rFonts w:ascii="宋体" w:hAnsi="宋体" w:cs="宋体" w:eastAsia="宋体" w:hint="default"/>
        </w:rPr>
        <w:t>100</w:t>
      </w:r>
      <w:r>
        <w:rPr/>
        <w:t>万元用于茂硕电源科技股份有限 </w:t>
      </w:r>
      <w:r>
        <w:rPr>
          <w:spacing w:val="-1"/>
        </w:rPr>
        <w:t>公司</w:t>
      </w:r>
      <w:r>
        <w:rPr>
          <w:rFonts w:ascii="宋体" w:hAnsi="宋体" w:cs="宋体" w:eastAsia="宋体" w:hint="default"/>
          <w:spacing w:val="-1"/>
        </w:rPr>
        <w:t>LED</w:t>
      </w:r>
      <w:r>
        <w:rPr>
          <w:spacing w:val="-1"/>
        </w:rPr>
        <w:t>照明驱动电源重点实验室相关资产的购置，本期收到</w:t>
      </w:r>
      <w:r>
        <w:rPr>
          <w:rFonts w:ascii="宋体" w:hAnsi="宋体" w:cs="宋体" w:eastAsia="宋体" w:hint="default"/>
          <w:spacing w:val="-1"/>
        </w:rPr>
        <w:t>100</w:t>
      </w:r>
      <w:r>
        <w:rPr>
          <w:spacing w:val="-1"/>
        </w:rPr>
        <w:t>万元补贴，计入递延收益，相关资产尚未</w:t>
      </w:r>
      <w:r>
        <w:rPr>
          <w:spacing w:val="-83"/>
        </w:rPr>
        <w:t> </w:t>
      </w:r>
      <w:r>
        <w:rPr>
          <w:spacing w:val="-83"/>
        </w:rPr>
      </w:r>
      <w:r>
        <w:rPr/>
        <w:t>购入。</w:t>
      </w:r>
    </w:p>
    <w:p>
      <w:pPr>
        <w:pStyle w:val="BodyText"/>
        <w:spacing w:line="273" w:lineRule="auto"/>
        <w:ind w:right="0"/>
        <w:jc w:val="left"/>
      </w:pPr>
      <w:r>
        <w:rPr>
          <w:spacing w:val="-1"/>
        </w:rPr>
        <w:t>③根据深发改【</w:t>
      </w:r>
      <w:r>
        <w:rPr>
          <w:rFonts w:ascii="宋体" w:hAnsi="宋体" w:cs="宋体" w:eastAsia="宋体" w:hint="default"/>
          <w:spacing w:val="-1"/>
        </w:rPr>
        <w:t>2016</w:t>
      </w:r>
      <w:r>
        <w:rPr>
          <w:spacing w:val="-1"/>
        </w:rPr>
        <w:t>】</w:t>
      </w:r>
      <w:r>
        <w:rPr>
          <w:rFonts w:ascii="宋体" w:hAnsi="宋体" w:cs="宋体" w:eastAsia="宋体" w:hint="default"/>
          <w:spacing w:val="-1"/>
        </w:rPr>
        <w:t>199</w:t>
      </w:r>
      <w:r>
        <w:rPr>
          <w:spacing w:val="-1"/>
        </w:rPr>
        <w:t>号文件，深圳市发展和改革委员会计划资助</w:t>
      </w:r>
      <w:r>
        <w:rPr>
          <w:rFonts w:ascii="宋体" w:hAnsi="宋体" w:cs="宋体" w:eastAsia="宋体" w:hint="default"/>
          <w:spacing w:val="-1"/>
        </w:rPr>
        <w:t>489</w:t>
      </w:r>
      <w:r>
        <w:rPr>
          <w:spacing w:val="-1"/>
        </w:rPr>
        <w:t>万元用于茂硕电源科技股份有限</w:t>
      </w:r>
      <w:r>
        <w:rPr>
          <w:spacing w:val="-81"/>
        </w:rPr>
        <w:t> </w:t>
      </w:r>
      <w:r>
        <w:rPr>
          <w:spacing w:val="-81"/>
        </w:rPr>
      </w:r>
      <w:r>
        <w:rPr/>
        <w:t>公司深圳集中供电智能驱动工程实验室项目相关资产的购置，本期收到</w:t>
      </w:r>
      <w:r>
        <w:rPr>
          <w:rFonts w:ascii="宋体" w:hAnsi="宋体" w:cs="宋体" w:eastAsia="宋体" w:hint="default"/>
        </w:rPr>
        <w:t>489</w:t>
      </w:r>
      <w:r>
        <w:rPr/>
        <w:t>万元补贴，计入递延收益，相</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right="0"/>
        <w:jc w:val="left"/>
      </w:pPr>
      <w:r>
        <w:rPr/>
        <w:t>关资产尚未购入。</w:t>
      </w:r>
    </w:p>
    <w:p>
      <w:pPr>
        <w:pStyle w:val="BodyText"/>
        <w:spacing w:line="273" w:lineRule="auto" w:before="37"/>
        <w:ind w:right="1132"/>
        <w:jc w:val="both"/>
      </w:pPr>
      <w:r>
        <w:rPr>
          <w:spacing w:val="-1"/>
        </w:rPr>
        <w:t>④根据深发改【</w:t>
      </w:r>
      <w:r>
        <w:rPr>
          <w:rFonts w:ascii="宋体" w:hAnsi="宋体" w:cs="宋体" w:eastAsia="宋体" w:hint="default"/>
          <w:spacing w:val="-1"/>
        </w:rPr>
        <w:t>2015</w:t>
      </w:r>
      <w:r>
        <w:rPr>
          <w:spacing w:val="-1"/>
        </w:rPr>
        <w:t>】</w:t>
      </w:r>
      <w:r>
        <w:rPr>
          <w:rFonts w:ascii="宋体" w:hAnsi="宋体" w:cs="宋体" w:eastAsia="宋体" w:hint="default"/>
          <w:spacing w:val="-1"/>
        </w:rPr>
        <w:t>278</w:t>
      </w:r>
      <w:r>
        <w:rPr>
          <w:spacing w:val="-1"/>
        </w:rPr>
        <w:t>号文件，深圳市发展和改革委员会计划资助</w:t>
      </w:r>
      <w:r>
        <w:rPr>
          <w:rFonts w:ascii="宋体" w:hAnsi="宋体" w:cs="宋体" w:eastAsia="宋体" w:hint="default"/>
          <w:spacing w:val="-1"/>
        </w:rPr>
        <w:t>180</w:t>
      </w:r>
      <w:r>
        <w:rPr>
          <w:spacing w:val="-1"/>
        </w:rPr>
        <w:t>万元用于茂硕电源科技股份有限</w:t>
      </w:r>
      <w:r>
        <w:rPr>
          <w:spacing w:val="-81"/>
        </w:rPr>
        <w:t> </w:t>
      </w:r>
      <w:r>
        <w:rPr>
          <w:spacing w:val="-81"/>
        </w:rPr>
      </w:r>
      <w:r>
        <w:rPr>
          <w:spacing w:val="-1"/>
        </w:rPr>
        <w:t>公司太阳能</w:t>
      </w:r>
      <w:r>
        <w:rPr>
          <w:rFonts w:ascii="宋体" w:hAnsi="宋体" w:cs="宋体" w:eastAsia="宋体" w:hint="default"/>
          <w:spacing w:val="-1"/>
        </w:rPr>
        <w:t>LED</w:t>
      </w:r>
      <w:r>
        <w:rPr>
          <w:spacing w:val="-1"/>
        </w:rPr>
        <w:t>智能驱动产业化项目相关资产的购置，本期收到</w:t>
      </w:r>
      <w:r>
        <w:rPr>
          <w:rFonts w:ascii="宋体" w:hAnsi="宋体" w:cs="宋体" w:eastAsia="宋体" w:hint="default"/>
          <w:spacing w:val="-1"/>
        </w:rPr>
        <w:t>180</w:t>
      </w:r>
      <w:r>
        <w:rPr>
          <w:spacing w:val="-1"/>
        </w:rPr>
        <w:t>万元补贴，计入递延收益，相关资产尚</w:t>
      </w:r>
      <w:r>
        <w:rPr>
          <w:spacing w:val="-84"/>
        </w:rPr>
        <w:t> </w:t>
      </w:r>
      <w:r>
        <w:rPr>
          <w:spacing w:val="-84"/>
        </w:rPr>
      </w:r>
      <w:r>
        <w:rPr/>
        <w:t>未购入。</w:t>
      </w:r>
    </w:p>
    <w:p>
      <w:pPr>
        <w:pStyle w:val="BodyText"/>
        <w:spacing w:line="273" w:lineRule="auto" w:before="8"/>
        <w:ind w:right="0"/>
        <w:jc w:val="left"/>
      </w:pPr>
      <w:r>
        <w:rPr>
          <w:spacing w:val="-1"/>
        </w:rPr>
        <w:t>⑤根据</w:t>
      </w:r>
      <w:r>
        <w:rPr>
          <w:rFonts w:ascii="宋体" w:hAnsi="宋体" w:cs="宋体" w:eastAsia="宋体" w:hint="default"/>
          <w:spacing w:val="-1"/>
        </w:rPr>
        <w:t>2015</w:t>
      </w:r>
      <w:r>
        <w:rPr>
          <w:spacing w:val="-1"/>
        </w:rPr>
        <w:t>年度市产业转型升级专项资金企业技术装备及管理提升项目资助计划公示表，茂硕电子获得项</w:t>
      </w:r>
      <w:r>
        <w:rPr>
          <w:spacing w:val="-79"/>
        </w:rPr>
        <w:t> </w:t>
      </w:r>
      <w:r>
        <w:rPr>
          <w:spacing w:val="-79"/>
        </w:rPr>
      </w:r>
      <w:r>
        <w:rPr/>
        <w:t>目资助资金</w:t>
      </w:r>
      <w:r>
        <w:rPr>
          <w:rFonts w:ascii="宋体" w:hAnsi="宋体" w:cs="宋体" w:eastAsia="宋体" w:hint="default"/>
        </w:rPr>
        <w:t>57</w:t>
      </w:r>
      <w:r>
        <w:rPr/>
        <w:t>万元。</w:t>
      </w:r>
    </w:p>
    <w:p>
      <w:pPr>
        <w:pStyle w:val="BodyText"/>
        <w:spacing w:line="273" w:lineRule="auto"/>
        <w:ind w:left="154" w:right="0"/>
        <w:jc w:val="left"/>
      </w:pPr>
      <w:r>
        <w:rPr>
          <w:spacing w:val="-1"/>
        </w:rPr>
        <w:t>⑥根据深发改【</w:t>
      </w:r>
      <w:r>
        <w:rPr>
          <w:rFonts w:ascii="宋体" w:hAnsi="宋体" w:cs="宋体" w:eastAsia="宋体" w:hint="default"/>
          <w:spacing w:val="-1"/>
        </w:rPr>
        <w:t>2015</w:t>
      </w:r>
      <w:r>
        <w:rPr>
          <w:spacing w:val="-1"/>
        </w:rPr>
        <w:t>】</w:t>
      </w:r>
      <w:r>
        <w:rPr>
          <w:rFonts w:ascii="宋体" w:hAnsi="宋体" w:cs="宋体" w:eastAsia="宋体" w:hint="default"/>
          <w:spacing w:val="-1"/>
        </w:rPr>
        <w:t>863</w:t>
      </w:r>
      <w:r>
        <w:rPr>
          <w:spacing w:val="-1"/>
        </w:rPr>
        <w:t>号文件，深圳市科技创新委员会计划投资</w:t>
      </w:r>
      <w:r>
        <w:rPr>
          <w:rFonts w:ascii="宋体" w:hAnsi="宋体" w:cs="宋体" w:eastAsia="宋体" w:hint="default"/>
          <w:spacing w:val="-1"/>
        </w:rPr>
        <w:t>150</w:t>
      </w:r>
      <w:r>
        <w:rPr>
          <w:spacing w:val="-1"/>
        </w:rPr>
        <w:t>万元用于深圳茂硕电气有限公司智</w:t>
      </w:r>
      <w:r>
        <w:rPr>
          <w:spacing w:val="-80"/>
        </w:rPr>
        <w:t> </w:t>
      </w:r>
      <w:r>
        <w:rPr/>
        <w:t>能光伏功率优化器研发项目，其中</w:t>
      </w:r>
      <w:r>
        <w:rPr>
          <w:rFonts w:ascii="宋体" w:hAnsi="宋体" w:cs="宋体" w:eastAsia="宋体" w:hint="default"/>
        </w:rPr>
        <w:t>100</w:t>
      </w:r>
      <w:r>
        <w:rPr/>
        <w:t>万用于购置设备，</w:t>
      </w:r>
      <w:r>
        <w:rPr>
          <w:rFonts w:ascii="宋体" w:hAnsi="宋体" w:cs="宋体" w:eastAsia="宋体" w:hint="default"/>
        </w:rPr>
        <w:t>50</w:t>
      </w:r>
      <w:r>
        <w:rPr/>
        <w:t>万元用于采购材料。本期实际采购材料金额及 相关设备折旧额计入营业外收入。</w:t>
      </w:r>
    </w:p>
    <w:p>
      <w:pPr>
        <w:pStyle w:val="BodyText"/>
        <w:spacing w:line="273" w:lineRule="auto"/>
        <w:ind w:left="154" w:right="0"/>
        <w:jc w:val="left"/>
      </w:pPr>
      <w:r>
        <w:rPr/>
        <w:t>⑦根据《关于方正达二期加快投产的协议》，湖南平江工业园区管理委员会计划资助</w:t>
      </w:r>
      <w:r>
        <w:rPr>
          <w:rFonts w:ascii="宋体" w:hAnsi="宋体" w:cs="宋体" w:eastAsia="宋体" w:hint="default"/>
        </w:rPr>
        <w:t>150</w:t>
      </w:r>
      <w:r>
        <w:rPr/>
        <w:t>万元用于湖南省 </w:t>
      </w:r>
      <w:r>
        <w:rPr>
          <w:spacing w:val="-1"/>
        </w:rPr>
        <w:t>方正达电子科技有限公司标准化厂房的建设，本期收到</w:t>
      </w:r>
      <w:r>
        <w:rPr>
          <w:rFonts w:ascii="宋体" w:hAnsi="宋体" w:cs="宋体" w:eastAsia="宋体" w:hint="default"/>
          <w:spacing w:val="-1"/>
        </w:rPr>
        <w:t>150</w:t>
      </w:r>
      <w:r>
        <w:rPr>
          <w:spacing w:val="-1"/>
        </w:rPr>
        <w:t>万元补贴，计入递延收益，厂房尚未验收转固。</w:t>
      </w:r>
    </w:p>
    <w:p>
      <w:pPr>
        <w:pStyle w:val="BodyText"/>
        <w:spacing w:line="273" w:lineRule="auto"/>
        <w:ind w:right="0"/>
        <w:jc w:val="left"/>
      </w:pPr>
      <w:r>
        <w:rPr>
          <w:spacing w:val="-1"/>
        </w:rPr>
        <w:t>⑧根据《南山区</w:t>
      </w:r>
      <w:r>
        <w:rPr>
          <w:rFonts w:ascii="宋体" w:hAnsi="宋体" w:cs="宋体" w:eastAsia="宋体" w:hint="default"/>
          <w:spacing w:val="-1"/>
        </w:rPr>
        <w:t>2015</w:t>
      </w:r>
      <w:r>
        <w:rPr>
          <w:spacing w:val="-1"/>
        </w:rPr>
        <w:t>年度重点企事业单位住房补租协议》，南山区住房和建设局计划分别资助</w:t>
      </w:r>
      <w:r>
        <w:rPr>
          <w:rFonts w:ascii="宋体" w:hAnsi="宋体" w:cs="宋体" w:eastAsia="宋体" w:hint="default"/>
          <w:spacing w:val="-1"/>
        </w:rPr>
        <w:t>20</w:t>
      </w:r>
      <w:r>
        <w:rPr>
          <w:spacing w:val="-1"/>
        </w:rPr>
        <w:t>万元，共</w:t>
      </w:r>
      <w:r>
        <w:rPr>
          <w:spacing w:val="-84"/>
        </w:rPr>
        <w:t> </w:t>
      </w:r>
      <w:r>
        <w:rPr>
          <w:spacing w:val="-84"/>
        </w:rPr>
      </w:r>
      <w:r>
        <w:rPr>
          <w:rFonts w:ascii="宋体" w:hAnsi="宋体" w:cs="宋体" w:eastAsia="宋体" w:hint="default"/>
        </w:rPr>
        <w:t>40</w:t>
      </w:r>
      <w:r>
        <w:rPr/>
        <w:t>万元用于茂硕电源科技股份有限公司以及深圳茂硕电子科技有限公司</w:t>
      </w:r>
      <w:r>
        <w:rPr>
          <w:spacing w:val="-2"/>
        </w:rPr>
        <w:t> </w:t>
      </w:r>
      <w:r>
        <w:rPr>
          <w:rFonts w:ascii="宋体" w:hAnsi="宋体" w:cs="宋体" w:eastAsia="宋体" w:hint="default"/>
        </w:rPr>
        <w:t>2015</w:t>
      </w:r>
      <w:r>
        <w:rPr/>
        <w:t>年</w:t>
      </w:r>
      <w:r>
        <w:rPr>
          <w:rFonts w:ascii="宋体" w:hAnsi="宋体" w:cs="宋体" w:eastAsia="宋体" w:hint="default"/>
        </w:rPr>
        <w:t>4</w:t>
      </w:r>
      <w:r>
        <w:rPr/>
        <w:t>月</w:t>
      </w:r>
      <w:r>
        <w:rPr>
          <w:rFonts w:ascii="宋体" w:hAnsi="宋体" w:cs="宋体" w:eastAsia="宋体" w:hint="default"/>
        </w:rPr>
        <w:t>1</w:t>
      </w:r>
      <w:r>
        <w:rPr/>
        <w:t>日至</w:t>
      </w:r>
      <w:r>
        <w:rPr>
          <w:rFonts w:ascii="宋体" w:hAnsi="宋体" w:cs="宋体" w:eastAsia="宋体" w:hint="default"/>
        </w:rPr>
        <w:t>2016</w:t>
      </w:r>
      <w:r>
        <w:rPr/>
        <w:t>年</w:t>
      </w:r>
      <w:r>
        <w:rPr>
          <w:rFonts w:ascii="宋体" w:hAnsi="宋体" w:cs="宋体" w:eastAsia="宋体" w:hint="default"/>
        </w:rPr>
        <w:t>3</w:t>
      </w:r>
      <w:r>
        <w:rPr/>
        <w:t>月</w:t>
      </w:r>
      <w:r>
        <w:rPr>
          <w:rFonts w:ascii="宋体" w:hAnsi="宋体" w:cs="宋体" w:eastAsia="宋体" w:hint="default"/>
        </w:rPr>
        <w:t>31</w:t>
      </w:r>
      <w:r>
        <w:rPr/>
        <w:t>日 的租房补贴，本期摊销</w:t>
      </w:r>
      <w:r>
        <w:rPr>
          <w:rFonts w:ascii="宋体" w:hAnsi="宋体" w:cs="宋体" w:eastAsia="宋体" w:hint="default"/>
        </w:rPr>
        <w:t>30</w:t>
      </w:r>
      <w:r>
        <w:rPr/>
        <w:t>万元计入营业外收入。</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ind w:right="0"/>
        <w:jc w:val="left"/>
        <w:rPr>
          <w:b w:val="0"/>
          <w:bCs w:val="0"/>
        </w:rPr>
      </w:pPr>
      <w:bookmarkStart w:name="52、其他非流动负债" w:id="353"/>
      <w:bookmarkEnd w:id="353"/>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12"/>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全数字高效智能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驱动电源及系统 的研究开发及应用</w:t>
            </w:r>
            <w:r>
              <w:rPr>
                <w:rFonts w:ascii="Times New Roman" w:hAnsi="Times New Roman" w:cs="Times New Roman" w:eastAsia="Times New Roman" w:hint="default"/>
                <w:sz w:val="18"/>
                <w:szCs w:val="18"/>
              </w:rPr>
              <w:t>”</w:t>
            </w:r>
            <w:r>
              <w:rPr>
                <w:rFonts w:ascii="宋体" w:hAnsi="宋体" w:cs="宋体" w:eastAsia="宋体" w:hint="default"/>
                <w:sz w:val="18"/>
                <w:szCs w:val="18"/>
              </w:rPr>
              <w:t>专项资金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茂硕电源技术中心</w:t>
            </w:r>
            <w:r>
              <w:rPr>
                <w:rFonts w:ascii="Times New Roman" w:hAnsi="Times New Roman" w:cs="Times New Roman" w:eastAsia="Times New Roman" w:hint="default"/>
                <w:sz w:val="18"/>
                <w:szCs w:val="18"/>
              </w:rPr>
              <w:t>”</w:t>
            </w:r>
            <w:r>
              <w:rPr>
                <w:rFonts w:ascii="宋体" w:hAnsi="宋体" w:cs="宋体" w:eastAsia="宋体" w:hint="default"/>
                <w:sz w:val="18"/>
                <w:szCs w:val="18"/>
              </w:rPr>
              <w:t>建设资助款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3,500,000.00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53、股本" w:id="354"/>
      <w:bookmarkEnd w:id="354"/>
      <w:r>
        <w:rPr>
          <w:b w:val="0"/>
          <w:bCs w:val="0"/>
        </w:rPr>
      </w:r>
      <w:r>
        <w:rPr>
          <w:rFonts w:ascii="Times New Roman" w:hAnsi="Times New Roman" w:cs="Times New Roman" w:eastAsia="Times New Roman" w:hint="default"/>
        </w:rPr>
        <w:t>53</w:t>
      </w:r>
      <w:r>
        <w:rPr/>
        <w:t>、股本</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252,408,000.00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7" w:right="0"/>
              <w:jc w:val="left"/>
              <w:rPr>
                <w:rFonts w:ascii="Times New Roman" w:hAnsi="Times New Roman" w:cs="Times New Roman" w:eastAsia="Times New Roman" w:hint="default"/>
                <w:sz w:val="18"/>
                <w:szCs w:val="18"/>
              </w:rPr>
            </w:pPr>
            <w:r>
              <w:rPr>
                <w:rFonts w:ascii="Times New Roman"/>
                <w:sz w:val="18"/>
              </w:rPr>
              <w:t>24,933,300.00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8" w:right="0"/>
              <w:jc w:val="left"/>
              <w:rPr>
                <w:rFonts w:ascii="Times New Roman" w:hAnsi="Times New Roman" w:cs="Times New Roman" w:eastAsia="Times New Roman" w:hint="default"/>
                <w:sz w:val="18"/>
                <w:szCs w:val="18"/>
              </w:rPr>
            </w:pPr>
            <w:r>
              <w:rPr>
                <w:rFonts w:ascii="Times New Roman"/>
                <w:sz w:val="18"/>
              </w:rPr>
              <w:t>24,933,300.00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left"/>
              <w:rPr>
                <w:rFonts w:ascii="Times New Roman" w:hAnsi="Times New Roman" w:cs="Times New Roman" w:eastAsia="Times New Roman" w:hint="default"/>
                <w:sz w:val="18"/>
                <w:szCs w:val="18"/>
              </w:rPr>
            </w:pPr>
            <w:r>
              <w:rPr>
                <w:rFonts w:ascii="Times New Roman"/>
                <w:sz w:val="18"/>
              </w:rPr>
              <w:t>277,341,300.00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54、其他权益工具" w:id="355"/>
      <w:bookmarkEnd w:id="355"/>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0"/>
        <w:jc w:val="left"/>
        <w:rPr>
          <w:b w:val="0"/>
          <w:bCs w:val="0"/>
        </w:rPr>
      </w:pPr>
      <w:bookmarkStart w:name="（1）期末发行在外的优先股、永续债等其他金融工具基本情况" w:id="356"/>
      <w:bookmarkEnd w:id="356"/>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4" w:right="0"/>
        <w:jc w:val="left"/>
        <w:rPr>
          <w:b w:val="0"/>
          <w:bCs w:val="0"/>
        </w:rPr>
      </w:pPr>
      <w:bookmarkStart w:name="（2）期末发行在外的优先股、永续债等金融工具变动情况表" w:id="357"/>
      <w:bookmarkEnd w:id="357"/>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60" w:lineRule="auto" w:before="51"/>
        <w:ind w:left="153" w:right="4633" w:firstLine="0"/>
        <w:jc w:val="left"/>
        <w:rPr>
          <w:rFonts w:ascii="宋体" w:hAnsi="宋体" w:cs="宋体" w:eastAsia="宋体" w:hint="default"/>
          <w:sz w:val="18"/>
          <w:szCs w:val="18"/>
        </w:rPr>
      </w:pPr>
      <w:r>
        <w:rPr>
          <w:rFonts w:ascii="宋体" w:hAnsi="宋体" w:cs="宋体" w:eastAsia="宋体" w:hint="default"/>
          <w:sz w:val="18"/>
          <w:szCs w:val="18"/>
        </w:rPr>
        <w:t>其他权益工具本期增减变动情况、变动原因说明，以及相关会计处理的依据： 其他说明：</w:t>
      </w:r>
    </w:p>
    <w:p>
      <w:pPr>
        <w:spacing w:line="240" w:lineRule="auto" w:before="11"/>
        <w:rPr>
          <w:rFonts w:ascii="宋体" w:hAnsi="宋体" w:cs="宋体" w:eastAsia="宋体" w:hint="default"/>
          <w:sz w:val="19"/>
          <w:szCs w:val="19"/>
        </w:rPr>
      </w:pPr>
    </w:p>
    <w:p>
      <w:pPr>
        <w:pStyle w:val="Heading4"/>
        <w:spacing w:line="240" w:lineRule="auto"/>
        <w:ind w:right="0"/>
        <w:jc w:val="left"/>
        <w:rPr>
          <w:b w:val="0"/>
          <w:bCs w:val="0"/>
        </w:rPr>
      </w:pPr>
      <w:bookmarkStart w:name="55、资本公积" w:id="358"/>
      <w:bookmarkEnd w:id="358"/>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258,795,178.28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186,110,412.00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444,905,590.28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34,794,416.74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778,844.03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8,607,476.67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26,965,784.10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293,589,595.02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186,889,256.03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8,607,476.67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471,871,374.38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pStyle w:val="BodyText"/>
        <w:spacing w:line="273" w:lineRule="auto" w:before="89"/>
        <w:ind w:right="0"/>
        <w:jc w:val="left"/>
      </w:pPr>
      <w:r>
        <w:rPr>
          <w:spacing w:val="-1"/>
        </w:rPr>
        <w:t>（（</w:t>
      </w:r>
      <w:r>
        <w:rPr>
          <w:rFonts w:ascii="宋体" w:hAnsi="宋体" w:cs="宋体" w:eastAsia="宋体" w:hint="default"/>
          <w:spacing w:val="-1"/>
        </w:rPr>
        <w:t>1</w:t>
      </w:r>
      <w:r>
        <w:rPr>
          <w:spacing w:val="-1"/>
        </w:rPr>
        <w:t>）资本溢价本年增加系发行新股产生，本年发行</w:t>
      </w:r>
      <w:r>
        <w:rPr>
          <w:rFonts w:ascii="宋体" w:hAnsi="宋体" w:cs="宋体" w:eastAsia="宋体" w:hint="default"/>
          <w:spacing w:val="-1"/>
        </w:rPr>
        <w:t>24,933,300</w:t>
      </w:r>
      <w:r>
        <w:rPr>
          <w:spacing w:val="-1"/>
        </w:rPr>
        <w:t>股，发行价人民币</w:t>
      </w:r>
      <w:r>
        <w:rPr>
          <w:rFonts w:ascii="宋体" w:hAnsi="宋体" w:cs="宋体" w:eastAsia="宋体" w:hint="default"/>
          <w:spacing w:val="-1"/>
        </w:rPr>
        <w:t>8.64</w:t>
      </w:r>
      <w:r>
        <w:rPr>
          <w:spacing w:val="-1"/>
        </w:rPr>
        <w:t>元</w:t>
      </w:r>
      <w:r>
        <w:rPr>
          <w:rFonts w:ascii="宋体" w:hAnsi="宋体" w:cs="宋体" w:eastAsia="宋体" w:hint="default"/>
          <w:spacing w:val="-1"/>
        </w:rPr>
        <w:t>/</w:t>
      </w:r>
      <w:r>
        <w:rPr>
          <w:spacing w:val="-1"/>
        </w:rPr>
        <w:t>股，扣除发行</w:t>
      </w:r>
      <w:r>
        <w:rPr>
          <w:spacing w:val="-76"/>
        </w:rPr>
        <w:t> </w:t>
      </w:r>
      <w:r>
        <w:rPr>
          <w:spacing w:val="-76"/>
        </w:rPr>
      </w:r>
      <w:r>
        <w:rPr/>
        <w:t>费</w:t>
      </w:r>
      <w:r>
        <w:rPr>
          <w:rFonts w:ascii="宋体" w:hAnsi="宋体" w:cs="宋体" w:eastAsia="宋体" w:hint="default"/>
        </w:rPr>
        <w:t>4,380,000.00</w:t>
      </w:r>
      <w:r>
        <w:rPr/>
        <w:t>元，增加资本公积</w:t>
      </w:r>
      <w:r>
        <w:rPr>
          <w:rFonts w:ascii="宋体" w:hAnsi="宋体" w:cs="宋体" w:eastAsia="宋体" w:hint="default"/>
        </w:rPr>
        <w:t>186,110,412.00</w:t>
      </w:r>
      <w:r>
        <w:rPr/>
        <w:t>元；</w:t>
      </w:r>
    </w:p>
    <w:p>
      <w:pPr>
        <w:pStyle w:val="BodyText"/>
        <w:spacing w:line="240" w:lineRule="auto"/>
        <w:ind w:left="154" w:right="0"/>
        <w:jc w:val="left"/>
      </w:pPr>
      <w:r>
        <w:rPr/>
        <w:t>（</w:t>
      </w:r>
      <w:r>
        <w:rPr>
          <w:rFonts w:ascii="宋体" w:hAnsi="宋体" w:cs="宋体" w:eastAsia="宋体" w:hint="default"/>
        </w:rPr>
        <w:t>2</w:t>
      </w:r>
      <w:r>
        <w:rPr/>
        <w:t>）其他资本公积增加详见本报告第十节、七、</w:t>
      </w:r>
      <w:r>
        <w:rPr>
          <w:rFonts w:ascii="宋体" w:hAnsi="宋体" w:cs="宋体" w:eastAsia="宋体" w:hint="default"/>
        </w:rPr>
        <w:t>30</w:t>
      </w:r>
      <w:r>
        <w:rPr/>
        <w:t>。</w:t>
      </w:r>
    </w:p>
    <w:p>
      <w:pPr>
        <w:pStyle w:val="BodyText"/>
        <w:spacing w:line="273" w:lineRule="auto" w:before="37"/>
        <w:ind w:left="154" w:right="1024"/>
        <w:jc w:val="left"/>
      </w:pPr>
      <w:r>
        <w:rPr>
          <w:spacing w:val="-1"/>
        </w:rPr>
        <w:t>（</w:t>
      </w:r>
      <w:r>
        <w:rPr>
          <w:rFonts w:ascii="宋体" w:hAnsi="宋体" w:cs="宋体" w:eastAsia="宋体" w:hint="default"/>
          <w:spacing w:val="-1"/>
        </w:rPr>
        <w:t>3</w:t>
      </w:r>
      <w:r>
        <w:rPr>
          <w:spacing w:val="-1"/>
        </w:rPr>
        <w:t>）其他资本公积减少系对控股子公司茂硕电气及茂硕新能源的持股比例变化产生，详见本报告第十节、</w:t>
      </w:r>
      <w:r>
        <w:rPr>
          <w:spacing w:val="-82"/>
        </w:rPr>
        <w:t> </w:t>
      </w:r>
      <w:r>
        <w:rPr>
          <w:spacing w:val="-82"/>
        </w:rPr>
      </w:r>
      <w:r>
        <w:rPr/>
        <w:t>九、</w:t>
      </w:r>
      <w:r>
        <w:rPr>
          <w:rFonts w:ascii="宋体" w:hAnsi="宋体" w:cs="宋体" w:eastAsia="宋体" w:hint="default"/>
        </w:rPr>
        <w:t>2</w:t>
      </w:r>
      <w:r>
        <w:rPr/>
        <w:t>。</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ind w:right="0"/>
        <w:jc w:val="left"/>
        <w:rPr>
          <w:b w:val="0"/>
          <w:bCs w:val="0"/>
        </w:rPr>
      </w:pPr>
      <w:bookmarkStart w:name="56、库存股" w:id="359"/>
      <w:bookmarkEnd w:id="359"/>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11"/>
        <w:rPr>
          <w:rFonts w:ascii="宋体" w:hAnsi="宋体" w:cs="宋体" w:eastAsia="宋体" w:hint="default"/>
          <w:sz w:val="26"/>
          <w:szCs w:val="26"/>
        </w:rPr>
      </w:pPr>
    </w:p>
    <w:p>
      <w:pPr>
        <w:pStyle w:val="Heading4"/>
        <w:spacing w:line="240" w:lineRule="auto"/>
        <w:ind w:left="154" w:right="0"/>
        <w:jc w:val="left"/>
        <w:rPr>
          <w:b w:val="0"/>
          <w:bCs w:val="0"/>
        </w:rPr>
      </w:pPr>
      <w:bookmarkStart w:name="57、其他综合收益" w:id="360"/>
      <w:bookmarkEnd w:id="360"/>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811"/>
        <w:gridCol w:w="1070"/>
        <w:gridCol w:w="935"/>
        <w:gridCol w:w="1152"/>
        <w:gridCol w:w="935"/>
        <w:gridCol w:w="936"/>
        <w:gridCol w:w="935"/>
        <w:gridCol w:w="798"/>
      </w:tblGrid>
      <w:tr>
        <w:trPr>
          <w:trHeight w:val="402" w:hRule="exact"/>
        </w:trPr>
        <w:tc>
          <w:tcPr>
            <w:tcW w:w="28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2811"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9"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1"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8" w:type="dxa"/>
            <w:vMerge/>
            <w:tcBorders>
              <w:left w:val="single" w:sz="4" w:space="0" w:color="000000"/>
              <w:bottom w:val="single" w:sz="4" w:space="0" w:color="000000"/>
              <w:right w:val="single" w:sz="4" w:space="0" w:color="000000"/>
            </w:tcBorders>
            <w:shd w:val="clear" w:color="auto" w:fill="D2D2D2"/>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其他说明，包括对现金流量套期损益的有效部分转为被套期项目初始确认金额调整：</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8、专项储备" w:id="361"/>
      <w:bookmarkEnd w:id="361"/>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59、盈余公积" w:id="362"/>
      <w:bookmarkEnd w:id="362"/>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19,006,430.91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2,026,721.00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21,033,151.91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19,006,430.91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2,026,721.00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21,033,151.91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pStyle w:val="BodyText"/>
        <w:spacing w:line="273" w:lineRule="auto" w:before="89"/>
        <w:ind w:right="1198"/>
        <w:jc w:val="left"/>
      </w:pPr>
      <w:r>
        <w:rPr/>
        <w:t>根据公司法、章程的规定，本公司按弥补以前年度亏损后的净利润的</w:t>
      </w:r>
      <w:r>
        <w:rPr>
          <w:rFonts w:ascii="宋体" w:hAnsi="宋体" w:cs="宋体" w:eastAsia="宋体" w:hint="default"/>
        </w:rPr>
        <w:t>10%</w:t>
      </w:r>
      <w:r>
        <w:rPr/>
        <w:t>提取法定盈余公积金。法定盈余 公积累计额为本公司注册资本</w:t>
      </w:r>
      <w:r>
        <w:rPr>
          <w:rFonts w:ascii="宋体" w:hAnsi="宋体" w:cs="宋体" w:eastAsia="宋体" w:hint="default"/>
        </w:rPr>
        <w:t>50%</w:t>
      </w:r>
      <w:r>
        <w:rPr/>
        <w:t>以上的，可不再提取。</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48"/>
        <w:ind w:right="0"/>
        <w:jc w:val="left"/>
        <w:rPr>
          <w:b w:val="0"/>
          <w:bCs w:val="0"/>
        </w:rPr>
      </w:pPr>
      <w:bookmarkStart w:name="60、未分配利润" w:id="363"/>
      <w:bookmarkEnd w:id="363"/>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88,394,993.54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142,079,218.72</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88,394,993.54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142,079,218.72</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16,053,060.51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-47,859,425.18</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2,026,721.00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5,824,800.00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102,421,333.05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88,394,993.54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、由于《企业会计准则》及其相关新规定进行追溯调整，影响期初未分配利润元。</w:t>
      </w:r>
    </w:p>
    <w:p>
      <w:pPr>
        <w:spacing w:before="10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、由于会计政策变更，影响期初未分配利润元。</w:t>
      </w:r>
    </w:p>
    <w:p>
      <w:pPr>
        <w:spacing w:before="10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、由于重大会计差错更正，影响期初未分配利润元。</w:t>
      </w:r>
    </w:p>
    <w:p>
      <w:pPr>
        <w:spacing w:before="10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、由于同一控制导致的合并范围变更，影响期初未分配利润元。</w:t>
      </w:r>
    </w:p>
    <w:p>
      <w:pPr>
        <w:spacing w:before="10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、其他调整合计影响期初未分配利润元。</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61、营业收入和营业成本" w:id="364"/>
      <w:bookmarkEnd w:id="364"/>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5"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911,967,973.81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723,558,835.84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627,041,968.49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533,261,123.58</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10,217,582.70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2,802,669.11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1,182,599.45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2,586,444.73</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922,185,556.51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726,361,504.95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628,224,567.94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535,847,568.31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62、营业税金及附加" w:id="365"/>
      <w:bookmarkEnd w:id="365"/>
      <w:r>
        <w:rPr>
          <w:b w:val="0"/>
          <w:bCs w:val="0"/>
        </w:rPr>
      </w:r>
      <w:r>
        <w:rPr>
          <w:rFonts w:ascii="Times New Roman" w:hAnsi="Times New Roman" w:cs="Times New Roman" w:eastAsia="Times New Roman" w:hint="default"/>
        </w:rPr>
        <w:t>62</w:t>
      </w:r>
      <w:r>
        <w:rPr/>
        <w:t>、营业税金及附加</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383,682.66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162,404.02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2,398,031.85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2,154,390.92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1,218,414.30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924,006.81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710,813.52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616,004.55</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4,710,942.33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3,856,806.30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63、销售费用" w:id="366"/>
      <w:bookmarkEnd w:id="366"/>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工资、福利费及五险一金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20,037,428.97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21,094,355.23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7,446,979.53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6,017,359.38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售后品质费用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4,280,384.82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8,482,573.32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4,180,184.81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3,724,284.62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广告宣传费及展览费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2,476,896.84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2,611,839.49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2,297,778.93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2,306,333.68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低值易耗品与材料费用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1,432,170.54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2,535,362.33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740,947.08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1,700,561.61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办公及会议费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553,757.65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2,137,261.65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2,421,303.75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3,603,465.30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45,867,832.92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54,213,396.61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64、管理费用" w:id="367"/>
      <w:bookmarkEnd w:id="367"/>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43,890,598.04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43,728,999.22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工资、福利费及五险一金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33,241,033.19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19,234,083.76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固定资产折旧及无形资产摊销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8,538,861.37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2,950,549.79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中介服务及咨询费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8,479,538.96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5,896,613.15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3,803,370.42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4,175,955.39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3,310,798.64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1,995,778.49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2,856,416.39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1,037,453.96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2,377,502.07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960,026.11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1,818,525.63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1,844,849.25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1,764,508.13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1,314,857.88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10,789,676.16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9,781,428.04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120,870,829.00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92,920,595.04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65、财务费用" w:id="368"/>
      <w:bookmarkEnd w:id="368"/>
      <w:r>
        <w:rPr>
          <w:b w:val="0"/>
          <w:bCs w:val="0"/>
        </w:rPr>
      </w:r>
      <w:r>
        <w:rPr>
          <w:rFonts w:ascii="Times New Roman" w:hAnsi="Times New Roman" w:cs="Times New Roman" w:eastAsia="Times New Roman" w:hint="default"/>
        </w:rPr>
        <w:t>65</w:t>
      </w:r>
      <w:r>
        <w:rPr/>
        <w:t>、财务费用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14,315,112.78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4,761,706.34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-3,584,890.49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-2,891,940.92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-11,059,206.20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-498,056.90</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376,217.06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338,747.23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-114,849.73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-327,489.05</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-67,616.58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1,382,966.70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66、资产减值损失" w:id="369"/>
      <w:bookmarkEnd w:id="369"/>
      <w:r>
        <w:rPr>
          <w:b w:val="0"/>
          <w:bCs w:val="0"/>
        </w:rPr>
      </w:r>
      <w:r>
        <w:rPr>
          <w:rFonts w:ascii="Times New Roman" w:hAnsi="Times New Roman" w:cs="Times New Roman" w:eastAsia="Times New Roman" w:hint="default"/>
        </w:rPr>
        <w:t>66</w:t>
      </w:r>
      <w:r>
        <w:rPr/>
        <w:t>、资产减值损失</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15,052,475.18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8,537,126.84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17,401,100.17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8,859,111.54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615,230.00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33,068,805.35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17,396,238.38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67、公允价值变动收益" w:id="370"/>
      <w:bookmarkEnd w:id="370"/>
      <w:r>
        <w:rPr>
          <w:b w:val="0"/>
          <w:bCs w:val="0"/>
        </w:rPr>
      </w:r>
      <w:r>
        <w:rPr>
          <w:rFonts w:ascii="Times New Roman" w:hAnsi="Times New Roman" w:cs="Times New Roman" w:eastAsia="Times New Roman" w:hint="default"/>
        </w:rPr>
        <w:t>67</w:t>
      </w:r>
      <w:r>
        <w:rPr/>
        <w:t>、公允价值变动收益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06"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81"/>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 益的金融资产</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-5,341,503.43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2,170,373.83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-5,341,503.43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2,170,373.83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68、投资收益" w:id="371"/>
      <w:bookmarkEnd w:id="371"/>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-7,668.91</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-229,146.64</w:t>
            </w:r>
            <w:r>
              <w:rPr>
                <w:rFonts w:ascii="Times New Roman"/>
                <w:sz w:val="18"/>
              </w:rPr>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-499,999.00</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4,157,900.00</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外汇套期保值投资收益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2,701,100.00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3,084,550.00</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理财产品持有期间取得的投资收益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355,069.97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5,113,935.19</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2,548,502.06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12,127,238.55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69、营业外收入" w:id="372"/>
      <w:bookmarkEnd w:id="372"/>
      <w:r>
        <w:rPr>
          <w:b w:val="0"/>
          <w:bCs w:val="0"/>
        </w:rPr>
      </w:r>
      <w:r>
        <w:rPr>
          <w:rFonts w:ascii="Times New Roman" w:hAnsi="Times New Roman" w:cs="Times New Roman" w:eastAsia="Times New Roman" w:hint="default"/>
        </w:rPr>
        <w:t>69</w:t>
      </w:r>
      <w:r>
        <w:rPr/>
        <w:t>、营业外收入</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229,934.69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172,779.71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229,934.69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接受捐赠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456,021.00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473,528.00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456,021.00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7,832,256.39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3,631,398.44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7,832,256.39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重组补偿款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35,000,000.00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269,421.97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314,057.28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269,421.97</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43,787,634.05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4,591,763.43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43,787,634.05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64"/>
              <w:jc w:val="righ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1"/>
              <w:jc w:val="both"/>
              <w:rPr>
                <w:rFonts w:ascii="宋体" w:hAnsi="宋体" w:cs="宋体" w:eastAsia="宋体" w:hint="default"/>
                <w:sz w:val="18"/>
                <w:szCs w:val="18"/>
              </w:rPr>
            </w:pPr>
            <w:r>
              <w:rPr>
                <w:rFonts w:ascii="宋体" w:hAnsi="宋体" w:cs="宋体" w:eastAsia="宋体" w:hint="default"/>
                <w:sz w:val="18"/>
                <w:szCs w:val="18"/>
              </w:rPr>
              <w:t>战略性新兴 产业发展专 项资金</w:t>
            </w:r>
          </w:p>
          <w:p>
            <w:pPr>
              <w:pStyle w:val="TableParagraph"/>
              <w:spacing w:line="240" w:lineRule="auto" w:before="19"/>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产业</w:t>
            </w:r>
          </w:p>
          <w:p>
            <w:pPr>
              <w:pStyle w:val="TableParagraph"/>
              <w:spacing w:line="240" w:lineRule="auto" w:before="64"/>
              <w:ind w:left="22" w:right="0"/>
              <w:jc w:val="both"/>
              <w:rPr>
                <w:rFonts w:ascii="宋体" w:hAnsi="宋体" w:cs="宋体" w:eastAsia="宋体" w:hint="default"/>
                <w:sz w:val="18"/>
                <w:szCs w:val="18"/>
              </w:rPr>
            </w:pPr>
            <w:r>
              <w:rPr>
                <w:rFonts w:ascii="宋体" w:hAnsi="宋体" w:cs="宋体" w:eastAsia="宋体" w:hint="default"/>
                <w:sz w:val="18"/>
                <w:szCs w:val="18"/>
              </w:rPr>
              <w:t>项目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深圳市财政 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1"/>
              <w:jc w:val="left"/>
              <w:rPr>
                <w:rFonts w:ascii="宋体" w:hAnsi="宋体" w:cs="宋体" w:eastAsia="宋体" w:hint="default"/>
                <w:sz w:val="20"/>
                <w:szCs w:val="20"/>
              </w:rPr>
            </w:pPr>
            <w:r>
              <w:rPr>
                <w:rFonts w:ascii="宋体" w:hAnsi="宋体" w:cs="宋体" w:eastAsia="宋体" w:hint="default"/>
                <w:position w:val="-11"/>
                <w:sz w:val="20"/>
                <w:szCs w:val="20"/>
              </w:rPr>
              <w:pict>
                <v:group style="width:52.7pt;height:31.2pt;mso-position-horizontal-relative:char;mso-position-vertical-relative:line" coordorigin="0,0" coordsize="1054,624">
                  <v:group style="position:absolute;left:0;top:0;width:1054;height:624" coordorigin="0,0" coordsize="1054,624">
                    <v:shape style="position:absolute;left:0;top:0;width:1054;height:624" coordorigin="0,0" coordsize="1054,624" path="m0,624l1054,624,1054,0,0,0,0,624xe" filled="true" fillcolor="#ffffff" stroked="false">
                      <v:path arrowok="t"/>
                      <v:fill type="solid"/>
                    </v:shape>
                  </v:group>
                </v:group>
              </w:pict>
            </w:r>
            <w:r>
              <w:rPr>
                <w:rFonts w:ascii="宋体" w:hAnsi="宋体" w:cs="宋体" w:eastAsia="宋体" w:hint="default"/>
                <w:position w:val="-11"/>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31"/>
              <w:jc w:val="both"/>
              <w:rPr>
                <w:rFonts w:ascii="宋体" w:hAnsi="宋体" w:cs="宋体" w:eastAsia="宋体" w:hint="default"/>
                <w:sz w:val="18"/>
                <w:szCs w:val="18"/>
              </w:rPr>
            </w:pPr>
            <w:r>
              <w:rPr>
                <w:rFonts w:ascii="宋体" w:hAnsi="宋体" w:cs="宋体" w:eastAsia="宋体" w:hint="default"/>
                <w:sz w:val="18"/>
                <w:szCs w:val="18"/>
              </w:rPr>
              <w:t>南山区财政 局人才安居 补贴款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27"/>
              <w:jc w:val="both"/>
              <w:rPr>
                <w:rFonts w:ascii="宋体" w:hAnsi="宋体" w:cs="宋体" w:eastAsia="宋体" w:hint="default"/>
                <w:sz w:val="18"/>
                <w:szCs w:val="18"/>
              </w:rPr>
            </w:pPr>
            <w:r>
              <w:rPr>
                <w:rFonts w:ascii="宋体" w:hAnsi="宋体" w:cs="宋体" w:eastAsia="宋体" w:hint="default"/>
                <w:sz w:val="18"/>
                <w:szCs w:val="18"/>
              </w:rPr>
              <w:t>深圳市南山 区住房和建 设局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31"/>
              <w:jc w:val="right"/>
              <w:rPr>
                <w:rFonts w:ascii="宋体" w:hAnsi="宋体" w:cs="宋体" w:eastAsia="宋体" w:hint="default"/>
                <w:sz w:val="18"/>
                <w:szCs w:val="18"/>
              </w:rPr>
            </w:pPr>
            <w:r>
              <w:rPr>
                <w:rFonts w:ascii="宋体" w:hAnsi="宋体" w:cs="宋体" w:eastAsia="宋体" w:hint="default"/>
                <w:sz w:val="18"/>
                <w:szCs w:val="18"/>
              </w:rPr>
              <w:t>大功率智能</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27"/>
              <w:jc w:val="right"/>
              <w:rPr>
                <w:rFonts w:ascii="宋体" w:hAnsi="宋体" w:cs="宋体" w:eastAsia="宋体" w:hint="default"/>
                <w:sz w:val="18"/>
                <w:szCs w:val="18"/>
              </w:rPr>
            </w:pPr>
            <w:r>
              <w:rPr>
                <w:rFonts w:ascii="宋体" w:hAnsi="宋体" w:cs="宋体" w:eastAsia="宋体" w:hint="default"/>
                <w:sz w:val="18"/>
                <w:szCs w:val="18"/>
              </w:rPr>
              <w:t>博罗县财务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71"/>
              <w:ind w:left="22" w:right="-61"/>
              <w:jc w:val="center"/>
              <w:rPr>
                <w:rFonts w:ascii="宋体" w:hAnsi="宋体" w:cs="宋体" w:eastAsia="宋体" w:hint="default"/>
                <w:sz w:val="18"/>
                <w:szCs w:val="18"/>
              </w:rPr>
            </w:pPr>
            <w:r>
              <w:rPr>
                <w:rFonts w:ascii="宋体" w:hAnsi="宋体" w:cs="宋体" w:eastAsia="宋体" w:hint="default"/>
                <w:sz w:val="18"/>
                <w:szCs w:val="18"/>
              </w:rPr>
              <w:t>因研究开发、</w:t>
            </w:r>
          </w:p>
        </w:tc>
        <w:tc>
          <w:tcPr>
            <w:tcW w:w="1063"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489,259.73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892,108.59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69.679993pt;margin-top:726.359985pt;width:52.7pt;height:7.8pt;mso-position-horizontal-relative:page;mso-position-vertical-relative:page;z-index:-1124680" coordorigin="5394,14527" coordsize="1054,156">
            <v:shape style="position:absolute;left:5394;top:14527;width:1054;height:156" coordorigin="5394,14527" coordsize="1054,156" path="m5394,14683l6447,14683,6447,14527,5394,14527,5394,14683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9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96"/>
              <w:jc w:val="both"/>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电源驱</w:t>
            </w:r>
            <w:r>
              <w:rPr>
                <w:rFonts w:ascii="宋体" w:hAnsi="宋体" w:cs="宋体" w:eastAsia="宋体" w:hint="default"/>
                <w:w w:val="99"/>
                <w:sz w:val="18"/>
                <w:szCs w:val="18"/>
              </w:rPr>
              <w:t> </w:t>
            </w:r>
            <w:r>
              <w:rPr>
                <w:rFonts w:ascii="宋体" w:hAnsi="宋体" w:cs="宋体" w:eastAsia="宋体" w:hint="default"/>
                <w:sz w:val="18"/>
                <w:szCs w:val="18"/>
              </w:rPr>
              <w:t>动生产项目</w:t>
            </w:r>
            <w:r>
              <w:rPr>
                <w:rFonts w:ascii="宋体" w:hAnsi="宋体" w:cs="宋体" w:eastAsia="宋体" w:hint="default"/>
                <w:w w:val="99"/>
                <w:sz w:val="18"/>
                <w:szCs w:val="18"/>
              </w:rPr>
              <w:t> </w:t>
            </w:r>
            <w:r>
              <w:rPr>
                <w:rFonts w:ascii="宋体" w:hAnsi="宋体" w:cs="宋体" w:eastAsia="宋体" w:hint="default"/>
                <w:sz w:val="18"/>
                <w:szCs w:val="18"/>
              </w:rPr>
              <w:t>政府补助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局</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9"/>
              <w:jc w:val="both"/>
              <w:rPr>
                <w:rFonts w:ascii="宋体" w:hAnsi="宋体" w:cs="宋体" w:eastAsia="宋体" w:hint="default"/>
                <w:sz w:val="18"/>
                <w:szCs w:val="18"/>
              </w:rPr>
            </w:pPr>
            <w:r>
              <w:rPr>
                <w:rFonts w:ascii="宋体" w:hAnsi="宋体" w:cs="宋体" w:eastAsia="宋体" w:hint="default"/>
                <w:sz w:val="18"/>
                <w:szCs w:val="18"/>
              </w:rPr>
              <w:t>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会展会补贴 费</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221,959.83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英飞特国家 支撑计划</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403,200.00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市场开拓资 助款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深圳市南山 区经济促进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44,200.00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164,130.00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社保局补贴 款</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86"/>
              <w:jc w:val="both"/>
              <w:rPr>
                <w:rFonts w:ascii="宋体" w:hAnsi="宋体" w:cs="宋体" w:eastAsia="宋体" w:hint="default"/>
                <w:sz w:val="18"/>
                <w:szCs w:val="18"/>
              </w:rPr>
            </w:pPr>
            <w:r>
              <w:rPr>
                <w:rFonts w:ascii="宋体" w:hAnsi="宋体" w:cs="宋体" w:eastAsia="宋体" w:hint="default"/>
                <w:sz w:val="18"/>
                <w:szCs w:val="18"/>
              </w:rPr>
              <w:t>财政局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年科技专项 奖金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智能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驱 动电源设计 成果转化应 用项目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深圳财政委 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税收返还款</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1,059,600.00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5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全数字高效 智能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驱 动电源及系 统的研究开 发及应用</w:t>
            </w:r>
            <w:r>
              <w:rPr>
                <w:rFonts w:ascii="Times New Roman" w:hAnsi="Times New Roman" w:cs="Times New Roman" w:eastAsia="Times New Roman" w:hint="default"/>
                <w:sz w:val="18"/>
                <w:szCs w:val="18"/>
              </w:rPr>
              <w:t>"</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52.7pt;height:31.25pt;mso-position-horizontal-relative:char;mso-position-vertical-relative:line" coordorigin="0,0" coordsize="1054,625">
                  <v:group style="position:absolute;left:0;top:0;width:1054;height:625" coordorigin="0,0" coordsize="1054,625">
                    <v:shape style="position:absolute;left:0;top:0;width:1054;height:625" coordorigin="0,0" coordsize="1054,625" path="m0,624l1054,624,1054,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智能光伏功 率优化器的 研发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深圳科创委</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329,858.66</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民营企业重 点帮扶资金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提升国际化 经营能力资 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深圳市经济 贸易和信息 化委员会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233,410.00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创客空间孵 化基地立项 资助款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深圳市南山 区科学技术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科创中心住 房补贴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111,500.00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71"/>
              <w:ind w:left="22" w:right="96"/>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驱动电</w:t>
            </w:r>
            <w:r>
              <w:rPr>
                <w:rFonts w:ascii="宋体" w:hAnsi="宋体" w:cs="宋体" w:eastAsia="宋体" w:hint="default"/>
                <w:w w:val="99"/>
                <w:sz w:val="18"/>
                <w:szCs w:val="18"/>
              </w:rPr>
              <w:t> </w:t>
            </w:r>
            <w:r>
              <w:rPr>
                <w:rFonts w:ascii="宋体" w:hAnsi="宋体" w:cs="宋体" w:eastAsia="宋体" w:hint="default"/>
                <w:sz w:val="18"/>
                <w:szCs w:val="18"/>
              </w:rPr>
              <w:t>源生产线智</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7"/>
              <w:jc w:val="left"/>
              <w:rPr>
                <w:rFonts w:ascii="宋体" w:hAnsi="宋体" w:cs="宋体" w:eastAsia="宋体" w:hint="default"/>
                <w:sz w:val="18"/>
                <w:szCs w:val="18"/>
              </w:rPr>
            </w:pPr>
            <w:r>
              <w:rPr>
                <w:rFonts w:ascii="宋体" w:hAnsi="宋体" w:cs="宋体" w:eastAsia="宋体" w:hint="default"/>
                <w:sz w:val="18"/>
                <w:szCs w:val="18"/>
              </w:rPr>
              <w:t>深圳市财政 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71"/>
              <w:ind w:left="22" w:right="-61"/>
              <w:jc w:val="left"/>
              <w:rPr>
                <w:rFonts w:ascii="宋体" w:hAnsi="宋体" w:cs="宋体" w:eastAsia="宋体" w:hint="default"/>
                <w:sz w:val="18"/>
                <w:szCs w:val="18"/>
              </w:rPr>
            </w:pPr>
            <w:r>
              <w:rPr>
                <w:rFonts w:ascii="宋体" w:hAnsi="宋体" w:cs="宋体" w:eastAsia="宋体" w:hint="default"/>
                <w:sz w:val="18"/>
                <w:szCs w:val="18"/>
              </w:rPr>
              <w:t>因研究开发、 技术更新及</w:t>
            </w:r>
          </w:p>
        </w:tc>
        <w:tc>
          <w:tcPr>
            <w:tcW w:w="1063"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71,250.00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31"/>
              <w:jc w:val="left"/>
              <w:rPr>
                <w:rFonts w:ascii="宋体" w:hAnsi="宋体" w:cs="宋体" w:eastAsia="宋体" w:hint="default"/>
                <w:sz w:val="18"/>
                <w:szCs w:val="18"/>
              </w:rPr>
            </w:pPr>
            <w:r>
              <w:rPr>
                <w:rFonts w:ascii="宋体" w:hAnsi="宋体" w:cs="宋体" w:eastAsia="宋体" w:hint="default"/>
                <w:sz w:val="18"/>
                <w:szCs w:val="18"/>
              </w:rPr>
              <w:t>能化升级改 造项目</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9"/>
              <w:jc w:val="left"/>
              <w:rPr>
                <w:rFonts w:ascii="宋体" w:hAnsi="宋体" w:cs="宋体" w:eastAsia="宋体" w:hint="default"/>
                <w:sz w:val="18"/>
                <w:szCs w:val="18"/>
              </w:rPr>
            </w:pPr>
            <w:r>
              <w:rPr>
                <w:rFonts w:ascii="宋体" w:hAnsi="宋体" w:cs="宋体" w:eastAsia="宋体" w:hint="default"/>
                <w:sz w:val="18"/>
                <w:szCs w:val="18"/>
              </w:rPr>
              <w:t>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年经济 发展专项资 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深圳市南山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企业纳税奖</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7"/>
              <w:jc w:val="left"/>
              <w:rPr>
                <w:rFonts w:ascii="宋体" w:hAnsi="宋体" w:cs="宋体" w:eastAsia="宋体" w:hint="default"/>
                <w:sz w:val="18"/>
                <w:szCs w:val="18"/>
              </w:rPr>
            </w:pPr>
            <w:r>
              <w:rPr>
                <w:rFonts w:ascii="宋体" w:hAnsi="宋体" w:cs="宋体" w:eastAsia="宋体" w:hint="default"/>
                <w:sz w:val="18"/>
                <w:szCs w:val="18"/>
              </w:rPr>
              <w:t>平江县国库 集中支付局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优化外贸</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7"/>
              <w:jc w:val="left"/>
              <w:rPr>
                <w:rFonts w:ascii="宋体" w:hAnsi="宋体" w:cs="宋体" w:eastAsia="宋体" w:hint="default"/>
                <w:sz w:val="18"/>
                <w:szCs w:val="18"/>
              </w:rPr>
            </w:pPr>
            <w:r>
              <w:rPr>
                <w:rFonts w:ascii="宋体" w:hAnsi="宋体" w:cs="宋体" w:eastAsia="宋体" w:hint="default"/>
                <w:sz w:val="18"/>
                <w:szCs w:val="18"/>
              </w:rPr>
              <w:t>深圳市财政 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36,470.00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年深圳 市第二批境 外注册申请 资助款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深圳市市场 监督管理局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28,000.00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残疾人就业 奖励金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深圳市南山 区残疾人联 合会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优化外贸出 口结构资助 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深圳市财政 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3,908.00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财政奖励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深圳市南山 区工商业联 合会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7,832,256.39</w:t>
            </w:r>
          </w:p>
        </w:tc>
        <w:tc>
          <w:tcPr>
            <w:tcW w:w="10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3,631,398.44</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70、营业外支出" w:id="373"/>
      <w:bookmarkEnd w:id="373"/>
      <w:r>
        <w:rPr>
          <w:b w:val="0"/>
          <w:bCs w:val="0"/>
        </w:rPr>
      </w:r>
      <w:r>
        <w:rPr>
          <w:rFonts w:ascii="Times New Roman" w:hAnsi="Times New Roman" w:cs="Times New Roman" w:eastAsia="Times New Roman" w:hint="default"/>
        </w:rPr>
        <w:t>70</w:t>
      </w:r>
      <w:r>
        <w:rPr/>
        <w:t>、营业外支出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544,155.74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136,855.82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544,155.74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136,855.82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流动资产处置损失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122,149.42</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37,872.27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1,140.00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13,926.54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26,881.00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718,103.97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172,876.82</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71、所得税费用" w:id="374"/>
      <w:bookmarkEnd w:id="374"/>
      <w:r>
        <w:rPr>
          <w:b w:val="0"/>
          <w:bCs w:val="0"/>
        </w:rPr>
      </w:r>
      <w:r>
        <w:rPr>
          <w:rFonts w:ascii="Times New Roman" w:hAnsi="Times New Roman" w:cs="Times New Roman" w:eastAsia="Times New Roman" w:hint="default"/>
        </w:rPr>
        <w:t>71</w:t>
      </w:r>
      <w:r>
        <w:rPr/>
        <w:t>、所得税费用</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0"/>
        <w:jc w:val="left"/>
        <w:rPr>
          <w:b w:val="0"/>
          <w:bCs w:val="0"/>
        </w:rPr>
      </w:pPr>
      <w:bookmarkStart w:name="（1）所得税费用表" w:id="375"/>
      <w:bookmarkEnd w:id="375"/>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11,329,042.20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245,177.51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-10,448,897.40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-9,410,363.64</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880,144.80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-9,165,186.13</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会计利润与所得税费用调整过程" w:id="376"/>
      <w:bookmarkEnd w:id="376"/>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31,649,787.25</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4,747,468.09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-3,436,717.16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-25,435.44</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-9,428.44</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356,395.56</w:t>
            </w:r>
          </w:p>
        </w:tc>
      </w:tr>
      <w:tr>
        <w:trPr>
          <w:trHeight w:val="71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1,477,890.67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前期已确认递延所得税资产的可弥补亏损到期的影响</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85,771.58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税率调整导致期初递延所得税资产</w:t>
            </w:r>
            <w:r>
              <w:rPr>
                <w:rFonts w:ascii="Times New Roman" w:hAnsi="Times New Roman" w:cs="Times New Roman" w:eastAsia="Times New Roman" w:hint="default"/>
                <w:sz w:val="18"/>
                <w:szCs w:val="18"/>
              </w:rPr>
              <w:t>/</w:t>
            </w:r>
            <w:r>
              <w:rPr>
                <w:rFonts w:ascii="宋体" w:hAnsi="宋体" w:cs="宋体" w:eastAsia="宋体" w:hint="default"/>
                <w:sz w:val="18"/>
                <w:szCs w:val="18"/>
              </w:rPr>
              <w:t>负债余额的变化</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-786,276.90</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研发加计扣除的影响</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-1,529,523.15</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880,144.80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72、其他综合收益" w:id="377"/>
      <w:bookmarkEnd w:id="377"/>
      <w:r>
        <w:rPr>
          <w:b w:val="0"/>
          <w:bCs w:val="0"/>
        </w:rPr>
      </w:r>
      <w:r>
        <w:rPr>
          <w:rFonts w:ascii="Times New Roman" w:hAnsi="Times New Roman" w:cs="Times New Roman" w:eastAsia="Times New Roman" w:hint="default"/>
        </w:rPr>
        <w:t>72</w:t>
      </w:r>
      <w:r>
        <w:rPr/>
        <w:t>、其他综合收益</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详见附注。</w:t>
      </w:r>
    </w:p>
    <w:p>
      <w:pPr>
        <w:spacing w:line="240" w:lineRule="auto" w:before="10"/>
        <w:rPr>
          <w:rFonts w:ascii="宋体" w:hAnsi="宋体" w:cs="宋体" w:eastAsia="宋体" w:hint="default"/>
          <w:sz w:val="26"/>
          <w:szCs w:val="26"/>
        </w:rPr>
      </w:pPr>
    </w:p>
    <w:p>
      <w:pPr>
        <w:pStyle w:val="Heading4"/>
        <w:spacing w:line="240" w:lineRule="auto"/>
        <w:ind w:left="154" w:right="0"/>
        <w:jc w:val="left"/>
        <w:rPr>
          <w:b w:val="0"/>
          <w:bCs w:val="0"/>
        </w:rPr>
      </w:pPr>
      <w:bookmarkStart w:name="73、现金流量表项目" w:id="378"/>
      <w:bookmarkEnd w:id="378"/>
      <w:r>
        <w:rPr>
          <w:b w:val="0"/>
          <w:bCs w:val="0"/>
        </w:rPr>
      </w:r>
      <w:r>
        <w:rPr>
          <w:rFonts w:ascii="Times New Roman" w:hAnsi="Times New Roman" w:cs="Times New Roman" w:eastAsia="Times New Roman" w:hint="default"/>
        </w:rPr>
        <w:t>73</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收到的其他与经营活动有关的现金" w:id="379"/>
      <w:bookmarkEnd w:id="379"/>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4,017,088.46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6,214,592.86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补贴收入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16,753,510.00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1,714,330.00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20,153,553.68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16,415,547.02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40,924,152.14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24,344,469.88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line="240" w:lineRule="auto" w:before="11"/>
        <w:rPr>
          <w:rFonts w:ascii="宋体" w:hAnsi="宋体" w:cs="宋体" w:eastAsia="宋体" w:hint="default"/>
          <w:sz w:val="26"/>
          <w:szCs w:val="26"/>
        </w:rPr>
      </w:pPr>
    </w:p>
    <w:p>
      <w:pPr>
        <w:pStyle w:val="Heading4"/>
        <w:spacing w:line="240" w:lineRule="auto"/>
        <w:ind w:left="154" w:right="0"/>
        <w:jc w:val="left"/>
        <w:rPr>
          <w:b w:val="0"/>
          <w:bCs w:val="0"/>
        </w:rPr>
      </w:pPr>
      <w:bookmarkStart w:name="（2）支付的其他与经营活动有关的现金" w:id="380"/>
      <w:bookmarkEnd w:id="380"/>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24,398,233.41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22,101,105.73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33,531,530.36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28,535,495.76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376,217.06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334,708.83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51,798.81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32,881.00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9,227,665.52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3,186,785.09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67,585,445.16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54,190,976.41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240" w:lineRule="auto" w:before="11"/>
        <w:rPr>
          <w:rFonts w:ascii="宋体" w:hAnsi="宋体" w:cs="宋体" w:eastAsia="宋体" w:hint="default"/>
          <w:sz w:val="26"/>
          <w:szCs w:val="26"/>
        </w:rPr>
      </w:pPr>
    </w:p>
    <w:p>
      <w:pPr>
        <w:pStyle w:val="Heading4"/>
        <w:spacing w:line="240" w:lineRule="auto"/>
        <w:ind w:left="154" w:right="0"/>
        <w:jc w:val="left"/>
        <w:rPr>
          <w:b w:val="0"/>
          <w:bCs w:val="0"/>
        </w:rPr>
      </w:pPr>
      <w:bookmarkStart w:name="（3）收到的其他与投资活动有关的现金" w:id="381"/>
      <w:bookmarkEnd w:id="381"/>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重大资产重组补偿金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定期存款到期</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72,083,450.00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锁汇保证金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107,723,450.00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line="240" w:lineRule="auto" w:before="11"/>
        <w:rPr>
          <w:rFonts w:ascii="宋体" w:hAnsi="宋体" w:cs="宋体" w:eastAsia="宋体" w:hint="default"/>
          <w:sz w:val="26"/>
          <w:szCs w:val="26"/>
        </w:rPr>
      </w:pPr>
    </w:p>
    <w:p>
      <w:pPr>
        <w:pStyle w:val="Heading4"/>
        <w:spacing w:line="240" w:lineRule="auto"/>
        <w:ind w:left="154" w:right="0"/>
        <w:jc w:val="left"/>
        <w:rPr>
          <w:b w:val="0"/>
          <w:bCs w:val="0"/>
        </w:rPr>
      </w:pPr>
      <w:bookmarkStart w:name="（4）支付的其他与投资活动有关的现金" w:id="382"/>
      <w:bookmarkEnd w:id="382"/>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71,395,550.00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投资相关费用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1,575,340.53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5,190,257.22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锁汇保证金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640,000.00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2,215,340.53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76,585,807.22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r>
        <w:rPr/>
        <w:pict>
          <v:group style="position:absolute;margin-left:223.339996pt;margin-top:626.229980pt;width:151.25pt;height:20.8pt;mso-position-horizontal-relative:page;mso-position-vertical-relative:page;z-index:-1124656" coordorigin="4467,12525" coordsize="3025,416">
            <v:group style="position:absolute;left:4478;top:12536;width:2;height:393" coordorigin="4478,12536" coordsize="2,393">
              <v:shape style="position:absolute;left:4478;top:12536;width:2;height:393" coordorigin="4478,12536" coordsize="0,393" path="m4478,12536l4478,12928e" filled="false" stroked="true" strokeweight="1.140pt" strokecolor="#ffffff">
                <v:path arrowok="t"/>
              </v:shape>
            </v:group>
            <v:group style="position:absolute;left:4490;top:12536;width:3002;height:393" coordorigin="4490,12536" coordsize="3002,393">
              <v:shape style="position:absolute;left:4490;top:12536;width:3002;height:393" coordorigin="4490,12536" coordsize="3002,393" path="m4490,12928l7491,12928,7491,12536,4490,12536,4490,12928xe" filled="true" fillcolor="#ffffff" stroked="false">
                <v:path arrowok="t"/>
                <v:fill type="solid"/>
              </v:shape>
            </v:group>
            <w10:wrap type="none"/>
          </v:group>
        </w:pict>
      </w:r>
    </w:p>
    <w:p>
      <w:pPr>
        <w:pStyle w:val="Heading4"/>
        <w:spacing w:line="240" w:lineRule="auto" w:before="35"/>
        <w:ind w:right="0"/>
        <w:jc w:val="left"/>
        <w:rPr>
          <w:b w:val="0"/>
          <w:bCs w:val="0"/>
        </w:rPr>
      </w:pPr>
      <w:bookmarkStart w:name="（5）收到的其他与筹资活动有关的现金" w:id="383"/>
      <w:bookmarkEnd w:id="383"/>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39,434,987.07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25,731,388.82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39,434,987.07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25,731,388.82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w:t>
      </w:r>
    </w:p>
    <w:p>
      <w:pPr>
        <w:spacing w:line="240" w:lineRule="auto" w:before="10"/>
        <w:rPr>
          <w:rFonts w:ascii="宋体" w:hAnsi="宋体" w:cs="宋体" w:eastAsia="宋体" w:hint="default"/>
          <w:sz w:val="26"/>
          <w:szCs w:val="26"/>
        </w:rPr>
      </w:pPr>
    </w:p>
    <w:p>
      <w:pPr>
        <w:pStyle w:val="Heading4"/>
        <w:spacing w:line="240" w:lineRule="auto"/>
        <w:ind w:left="154" w:right="0"/>
        <w:jc w:val="left"/>
        <w:rPr>
          <w:b w:val="0"/>
          <w:bCs w:val="0"/>
        </w:rPr>
      </w:pPr>
      <w:bookmarkStart w:name="（6）支付的其他与筹资活动有关的现金" w:id="384"/>
      <w:bookmarkEnd w:id="384"/>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72,432,627.62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24,568,459.00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72,432,627.62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24,568,459.00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line="240" w:lineRule="auto" w:before="10"/>
        <w:rPr>
          <w:rFonts w:ascii="宋体" w:hAnsi="宋体" w:cs="宋体" w:eastAsia="宋体" w:hint="default"/>
          <w:sz w:val="26"/>
          <w:szCs w:val="26"/>
        </w:rPr>
      </w:pPr>
    </w:p>
    <w:p>
      <w:pPr>
        <w:pStyle w:val="Heading4"/>
        <w:spacing w:line="240" w:lineRule="auto"/>
        <w:ind w:left="154" w:right="0"/>
        <w:jc w:val="left"/>
        <w:rPr>
          <w:b w:val="0"/>
          <w:bCs w:val="0"/>
        </w:rPr>
      </w:pPr>
      <w:bookmarkStart w:name="74、现金流量表补充资料" w:id="385"/>
      <w:bookmarkEnd w:id="385"/>
      <w:r>
        <w:rPr>
          <w:b w:val="0"/>
          <w:bCs w:val="0"/>
        </w:rPr>
      </w:r>
      <w:r>
        <w:rPr>
          <w:rFonts w:ascii="Times New Roman" w:hAnsi="Times New Roman" w:cs="Times New Roman" w:eastAsia="Times New Roman" w:hint="default"/>
        </w:rPr>
        <w:t>74</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现金流量表补充资料" w:id="386"/>
      <w:bookmarkEnd w:id="386"/>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30,769,642.45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-49,511,318.28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33,068,805.35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17,396,238.38</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27,234,458.75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9,393,460.64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2,419,913.83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2,032,496.54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7,837,675.44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2,496,667.70</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314,221.05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-35,923.89</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4"/>
                <w:sz w:val="18"/>
                <w:szCs w:val="18"/>
              </w:rPr>
              <w:t>公允价值变动损失（收益以“－”号填列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tabs>
                <w:tab w:pos="2079" w:val="left" w:leader="none"/>
              </w:tabs>
              <w:spacing w:line="240" w:lineRule="auto" w:before="51"/>
              <w:ind w:left="-125"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5,341,503.43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-2,170,373.83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5,728,311.56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4,761,706.34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-2,548,502.06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-12,127,238.55</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 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-9,838,356.49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-9,735,919.72</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 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743,953.60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325,556.08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-37,119,373.98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9,437,630.20</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 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-148,586,896.68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-12,124,816.00</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 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149,384,396.96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16,951,048.83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-26,851,344.11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37,898,409.10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-22,910,785.56</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244,702,050.89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156,616,281.13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156,616,281.13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192,879,371.15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88,085,769.76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-36,263,090.02</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本期支付的取得子公司的现金净额" w:id="387"/>
      <w:bookmarkEnd w:id="387"/>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本期收到的处置子公司的现金净额" w:id="388"/>
      <w:bookmarkEnd w:id="388"/>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现金和现金等价物的构成" w:id="389"/>
      <w:bookmarkEnd w:id="389"/>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244,702,050.89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156,616,281.13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154,179.26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82,516.69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244,547,871.63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156,533,764.44</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244,702,050.89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156,616,281.13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75、所有者权益变动表项目注释" w:id="390"/>
      <w:bookmarkEnd w:id="390"/>
      <w:r>
        <w:rPr>
          <w:b w:val="0"/>
          <w:bCs w:val="0"/>
        </w:rPr>
      </w:r>
      <w:r>
        <w:rPr>
          <w:rFonts w:ascii="Times New Roman" w:hAnsi="Times New Roman" w:cs="Times New Roman" w:eastAsia="Times New Roman" w:hint="default"/>
        </w:rPr>
        <w:t>75</w:t>
      </w:r>
      <w:r>
        <w:rPr/>
        <w:t>、所有者权益变动表项目注释</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说明对上年期末余额进行调整的“其他”项目名称及调整金额等事项：</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76、所有权或使用权受到限制的资产" w:id="391"/>
      <w:bookmarkEnd w:id="391"/>
      <w:r>
        <w:rPr>
          <w:b w:val="0"/>
          <w:bCs w:val="0"/>
        </w:rPr>
      </w:r>
      <w:r>
        <w:rPr>
          <w:rFonts w:ascii="Times New Roman" w:hAnsi="Times New Roman" w:cs="Times New Roman" w:eastAsia="Times New Roman" w:hint="default"/>
        </w:rPr>
        <w:t>76</w:t>
      </w:r>
      <w:r>
        <w:rPr/>
        <w:t>、所有权或使用权受到限制的资产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惠州茂硕能源科技有限公司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22.5%</w:t>
            </w:r>
            <w:r>
              <w:rPr>
                <w:rFonts w:ascii="宋体" w:hAnsi="宋体" w:cs="宋体" w:eastAsia="宋体" w:hint="default"/>
                <w:sz w:val="18"/>
                <w:szCs w:val="18"/>
              </w:rPr>
              <w:t>股权</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75,898,043.21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惠州茂硕增资合同项下质押</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湖南方正达</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房屋建筑物</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41,075,246.14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湖南方正达抵押贷款</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湖南方正达</w:t>
            </w:r>
            <w:r>
              <w:rPr>
                <w:rFonts w:ascii="Times New Roman" w:hAnsi="Times New Roman" w:cs="Times New Roman" w:eastAsia="Times New Roman" w:hint="default"/>
                <w:sz w:val="18"/>
                <w:szCs w:val="18"/>
              </w:rPr>
              <w:t>-</w:t>
            </w:r>
            <w:r>
              <w:rPr>
                <w:rFonts w:ascii="宋体" w:hAnsi="宋体" w:cs="宋体" w:eastAsia="宋体" w:hint="default"/>
                <w:sz w:val="18"/>
                <w:szCs w:val="18"/>
              </w:rPr>
              <w:t>无形资产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3,922,051.84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湖南方正达抵押贷款</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51,501,871.57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172,397,212.76</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77、外币货币性项目" w:id="392"/>
      <w:bookmarkEnd w:id="392"/>
      <w:r>
        <w:rPr>
          <w:b w:val="0"/>
          <w:bCs w:val="0"/>
        </w:rPr>
      </w:r>
      <w:r>
        <w:rPr>
          <w:rFonts w:ascii="Times New Roman" w:hAnsi="Times New Roman" w:cs="Times New Roman" w:eastAsia="Times New Roman" w:hint="default"/>
        </w:rPr>
        <w:t>77</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外币货币性项目" w:id="393"/>
      <w:bookmarkEnd w:id="393"/>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7,338,294.74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47,651,950.72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795,931.57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0.83778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666,815.55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72"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49.81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9.6159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478.97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20,318,575.56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131,940,702.26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791.00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7.0952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5,612.30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3,133,238.27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0.83778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2,624,964.36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72"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9.6159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11,539.08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1,002,501.94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6,509,846.60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11,686.39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75,886.74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预收账项</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545,620.75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3,543,042.90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2,727.90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7.0952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19,355.00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17,556.04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0.83778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14,708.10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2,487.34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16,151.79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59" w:lineRule="auto"/>
        <w:ind w:right="0"/>
        <w:jc w:val="left"/>
        <w:rPr>
          <w:b w:val="0"/>
          <w:bCs w:val="0"/>
        </w:rPr>
      </w:pPr>
      <w:bookmarkStart w:name="（2）境外经营实体说明，包括对于重要的境外经营实体，应披露其境外主要经营地、记账" w:id="394"/>
      <w:bookmarkEnd w:id="394"/>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pStyle w:val="Heading4"/>
        <w:spacing w:line="240" w:lineRule="auto"/>
        <w:ind w:left="154" w:right="0"/>
        <w:jc w:val="left"/>
        <w:rPr>
          <w:b w:val="0"/>
          <w:bCs w:val="0"/>
        </w:rPr>
      </w:pPr>
      <w:bookmarkStart w:name="78、套期" w:id="395"/>
      <w:bookmarkEnd w:id="395"/>
      <w:r>
        <w:rPr>
          <w:b w:val="0"/>
          <w:bCs w:val="0"/>
        </w:rPr>
      </w:r>
      <w:r>
        <w:rPr>
          <w:rFonts w:ascii="Times New Roman" w:hAnsi="Times New Roman" w:cs="Times New Roman" w:eastAsia="Times New Roman" w:hint="default"/>
        </w:rPr>
        <w:t>78</w:t>
      </w:r>
      <w:r>
        <w:rPr/>
        <w:t>、套期</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按照套期类别披露套期项目及相关套期工具、被套期风险的定性和定量信息：</w:t>
      </w:r>
    </w:p>
    <w:p>
      <w:pPr>
        <w:spacing w:line="240" w:lineRule="auto" w:before="10"/>
        <w:rPr>
          <w:rFonts w:ascii="宋体" w:hAnsi="宋体" w:cs="宋体" w:eastAsia="宋体" w:hint="default"/>
          <w:sz w:val="26"/>
          <w:szCs w:val="26"/>
        </w:rPr>
      </w:pPr>
    </w:p>
    <w:p>
      <w:pPr>
        <w:spacing w:line="487" w:lineRule="auto" w:before="0"/>
        <w:ind w:left="153" w:right="8329" w:firstLine="0"/>
        <w:jc w:val="left"/>
        <w:rPr>
          <w:rFonts w:ascii="宋体" w:hAnsi="宋体" w:cs="宋体" w:eastAsia="宋体" w:hint="default"/>
          <w:sz w:val="21"/>
          <w:szCs w:val="21"/>
        </w:rPr>
      </w:pPr>
      <w:bookmarkStart w:name="79、其他" w:id="396"/>
      <w:bookmarkEnd w:id="396"/>
      <w:r>
        <w:rPr/>
      </w:r>
      <w:r>
        <w:rPr>
          <w:rFonts w:ascii="Times New Roman" w:hAnsi="Times New Roman" w:cs="Times New Roman" w:eastAsia="Times New Roman" w:hint="default"/>
          <w:b/>
          <w:bCs/>
          <w:sz w:val="21"/>
          <w:szCs w:val="21"/>
        </w:rPr>
        <w:t>79</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397"/>
      <w:bookmarkEnd w:id="397"/>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398"/>
      <w:bookmarkEnd w:id="398"/>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4"/>
        <w:spacing w:line="240" w:lineRule="auto" w:before="83"/>
        <w:ind w:right="0"/>
        <w:jc w:val="left"/>
        <w:rPr>
          <w:b w:val="0"/>
          <w:bCs w:val="0"/>
        </w:rPr>
      </w:pPr>
      <w:bookmarkStart w:name="（1）本期发生的非同一控制下企业合并" w:id="399"/>
      <w:bookmarkEnd w:id="399"/>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台州与与新 能源有限公 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协议转让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工商变更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台州南瑞新 能源有限公 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协议转让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工商变更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8" w:right="0"/>
              <w:jc w:val="left"/>
              <w:rPr>
                <w:rFonts w:ascii="Times New Roman" w:hAnsi="Times New Roman" w:cs="Times New Roman" w:eastAsia="Times New Roman" w:hint="default"/>
                <w:sz w:val="18"/>
                <w:szCs w:val="18"/>
              </w:rPr>
            </w:pPr>
            <w:r>
              <w:rPr>
                <w:rFonts w:ascii="Times New Roman"/>
                <w:sz w:val="18"/>
              </w:rPr>
              <w:t>-12,160.95</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湖南方正达</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201,559,504.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56.24%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工商变更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257,988,452.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40,817,530.9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江苏茂硕新 能源科技发 展有限公司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协议转让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工商变更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73" w:lineRule="auto" w:before="90"/>
        <w:ind w:right="1121"/>
        <w:jc w:val="left"/>
      </w:pPr>
      <w:r>
        <w:rPr/>
        <w:t>台州与与新能源有限公司（以下简称“台州与与”）成立于</w:t>
      </w:r>
      <w:r>
        <w:rPr>
          <w:rFonts w:ascii="宋体" w:hAnsi="宋体" w:cs="宋体" w:eastAsia="宋体" w:hint="default"/>
        </w:rPr>
        <w:t>2014</w:t>
      </w:r>
      <w:r>
        <w:rPr/>
        <w:t>年</w:t>
      </w:r>
      <w:r>
        <w:rPr>
          <w:rFonts w:ascii="宋体" w:hAnsi="宋体" w:cs="宋体" w:eastAsia="宋体" w:hint="default"/>
        </w:rPr>
        <w:t>7</w:t>
      </w:r>
      <w:r>
        <w:rPr/>
        <w:t>月</w:t>
      </w:r>
      <w:r>
        <w:rPr>
          <w:rFonts w:ascii="宋体" w:hAnsi="宋体" w:cs="宋体" w:eastAsia="宋体" w:hint="default"/>
        </w:rPr>
        <w:t>25</w:t>
      </w:r>
      <w:r>
        <w:rPr/>
        <w:t>日，原实际控制人未投入资本及 实际运营，</w:t>
      </w:r>
      <w:r>
        <w:rPr>
          <w:spacing w:val="-28"/>
        </w:rPr>
        <w:t> </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8</w:t>
      </w:r>
      <w:r>
        <w:rPr/>
        <w:t>日，茂硕新能源与原实际控制人签订股权转让协议，台州与与于</w:t>
      </w:r>
      <w:r>
        <w:rPr>
          <w:rFonts w:ascii="宋体" w:hAnsi="宋体" w:cs="宋体" w:eastAsia="宋体" w:hint="default"/>
        </w:rPr>
        <w:t>2015</w:t>
      </w:r>
      <w:r>
        <w:rPr/>
        <w:t>年</w:t>
      </w:r>
      <w:r>
        <w:rPr>
          <w:rFonts w:ascii="宋体" w:hAnsi="宋体" w:cs="宋体" w:eastAsia="宋体" w:hint="default"/>
        </w:rPr>
        <w:t>1</w:t>
      </w:r>
      <w:r>
        <w:rPr/>
        <w:t>月</w:t>
      </w:r>
      <w:r>
        <w:rPr>
          <w:rFonts w:ascii="宋体" w:hAnsi="宋体" w:cs="宋体" w:eastAsia="宋体" w:hint="default"/>
        </w:rPr>
        <w:t>5</w:t>
      </w:r>
      <w:r>
        <w:rPr/>
        <w:t>月完</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024"/>
        <w:jc w:val="left"/>
      </w:pPr>
      <w:r>
        <w:rPr/>
        <w:t>成工商变更登记。 台州南瑞新能源有限公司（以下简称“台州南瑞”）成立于</w:t>
      </w:r>
      <w:r>
        <w:rPr>
          <w:rFonts w:ascii="宋体" w:hAnsi="宋体" w:cs="宋体" w:eastAsia="宋体" w:hint="default"/>
        </w:rPr>
        <w:t>2014</w:t>
      </w:r>
      <w:r>
        <w:rPr/>
        <w:t>年</w:t>
      </w:r>
      <w:r>
        <w:rPr>
          <w:rFonts w:ascii="宋体" w:hAnsi="宋体" w:cs="宋体" w:eastAsia="宋体" w:hint="default"/>
        </w:rPr>
        <w:t>4</w:t>
      </w:r>
      <w:r>
        <w:rPr/>
        <w:t>月</w:t>
      </w:r>
      <w:r>
        <w:rPr>
          <w:rFonts w:ascii="宋体" w:hAnsi="宋体" w:cs="宋体" w:eastAsia="宋体" w:hint="default"/>
        </w:rPr>
        <w:t>29</w:t>
      </w:r>
      <w:r>
        <w:rPr/>
        <w:t>日，原实际控制人未投入资本及 实际运营，</w:t>
      </w:r>
      <w:r>
        <w:rPr>
          <w:spacing w:val="-18"/>
        </w:rPr>
        <w:t> </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8</w:t>
      </w:r>
      <w:r>
        <w:rPr/>
        <w:t>日，茂硕新能源与原实际控制人签订股权转让协议，台州南瑞</w:t>
      </w:r>
      <w:r>
        <w:rPr>
          <w:rFonts w:ascii="宋体" w:hAnsi="宋体" w:cs="宋体" w:eastAsia="宋体" w:hint="default"/>
        </w:rPr>
        <w:t>2015</w:t>
      </w:r>
      <w:r>
        <w:rPr/>
        <w:t>年</w:t>
      </w:r>
      <w:r>
        <w:rPr>
          <w:rFonts w:ascii="宋体" w:hAnsi="宋体" w:cs="宋体" w:eastAsia="宋体" w:hint="default"/>
        </w:rPr>
        <w:t>01</w:t>
      </w:r>
      <w:r>
        <w:rPr/>
        <w:t>月</w:t>
      </w:r>
      <w:r>
        <w:rPr>
          <w:rFonts w:ascii="宋体" w:hAnsi="宋体" w:cs="宋体" w:eastAsia="宋体" w:hint="default"/>
        </w:rPr>
        <w:t>05</w:t>
      </w:r>
      <w:r>
        <w:rPr/>
        <w:t>日完</w:t>
      </w:r>
      <w:r>
        <w:rPr>
          <w:spacing w:val="1"/>
        </w:rPr>
        <w:t> </w:t>
      </w:r>
      <w:r>
        <w:rPr/>
        <w:t>成工商变更手续。</w:t>
      </w:r>
      <w:r>
        <w:rPr/>
        <w:t> </w:t>
      </w:r>
      <w:r>
        <w:rPr>
          <w:spacing w:val="-3"/>
        </w:rPr>
        <w:t>深圳市正明达电子有限公司（以下简称“深圳正明达”）为湖南方正达的全资子公司，一并纳入合并范围。</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ind w:left="154" w:right="0"/>
        <w:jc w:val="left"/>
        <w:rPr>
          <w:b w:val="0"/>
          <w:bCs w:val="0"/>
        </w:rPr>
      </w:pPr>
      <w:bookmarkStart w:name="（2）合并成本及商誉" w:id="400"/>
      <w:bookmarkEnd w:id="400"/>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239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台州与与</w:t>
            </w:r>
          </w:p>
        </w:tc>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台州南瑞</w:t>
            </w:r>
          </w:p>
        </w:tc>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湖南方正达</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39,991,504.00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发行的权益性证券的公允价</w:t>
            </w:r>
            <w:r>
              <w:rPr>
                <w:rFonts w:ascii="宋体" w:hAnsi="宋体" w:cs="宋体" w:eastAsia="宋体" w:hint="default"/>
                <w:w w:val="99"/>
                <w:sz w:val="18"/>
                <w:szCs w:val="18"/>
              </w:rPr>
              <w:t> </w:t>
            </w:r>
            <w:r>
              <w:rPr>
                <w:rFonts w:ascii="宋体" w:hAnsi="宋体" w:cs="宋体" w:eastAsia="宋体" w:hint="default"/>
                <w:sz w:val="18"/>
                <w:szCs w:val="18"/>
              </w:rPr>
              <w:t>值</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161,568,000.00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201,559,504.00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减：取得的可辨认净资产公允 价值份额</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70,520,794.29</w:t>
            </w:r>
          </w:p>
        </w:tc>
      </w:tr>
      <w:tr>
        <w:trPr>
          <w:trHeight w:val="1027"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22" w:right="147"/>
              <w:jc w:val="both"/>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 辨认净资产公允价值份额的 金额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131,038,709.71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合并成本公允价值的确定方法、或有对价及其变动的说明：</w:t>
      </w:r>
    </w:p>
    <w:p>
      <w:pPr>
        <w:pStyle w:val="BodyText"/>
        <w:spacing w:line="240" w:lineRule="auto" w:before="89"/>
        <w:ind w:left="154" w:right="0"/>
        <w:jc w:val="left"/>
      </w:pPr>
      <w:r>
        <w:rPr/>
        <w:t>湖南方正达合并成本的相关说明：</w:t>
      </w:r>
    </w:p>
    <w:p>
      <w:pPr>
        <w:pStyle w:val="BodyText"/>
        <w:spacing w:line="273" w:lineRule="auto" w:before="37"/>
        <w:ind w:right="0"/>
        <w:jc w:val="left"/>
      </w:pPr>
      <w:r>
        <w:rPr/>
        <w:t>①合并成本公允价值的确定 本公司以发行权益性证券及支付现金作为该项企业合并的对价，合并成本由以下三项组成： </w:t>
      </w:r>
      <w:r>
        <w:rPr>
          <w:rFonts w:ascii="宋体" w:hAnsi="宋体" w:cs="宋体" w:eastAsia="宋体" w:hint="default"/>
          <w:spacing w:val="-1"/>
        </w:rPr>
        <w:t>A</w:t>
      </w:r>
      <w:r>
        <w:rPr>
          <w:spacing w:val="-1"/>
        </w:rPr>
        <w:t>、向湖南方正达股东方笑求、蓝正明共计发行人民币普通股</w:t>
      </w:r>
      <w:r>
        <w:rPr>
          <w:rFonts w:ascii="宋体" w:hAnsi="宋体" w:cs="宋体" w:eastAsia="宋体" w:hint="default"/>
          <w:spacing w:val="-1"/>
        </w:rPr>
        <w:t>(A</w:t>
      </w:r>
      <w:r>
        <w:rPr>
          <w:spacing w:val="-1"/>
        </w:rPr>
        <w:t>股</w:t>
      </w:r>
      <w:r>
        <w:rPr>
          <w:rFonts w:ascii="宋体" w:hAnsi="宋体" w:cs="宋体" w:eastAsia="宋体" w:hint="default"/>
          <w:spacing w:val="-1"/>
        </w:rPr>
        <w:t>)1870</w:t>
      </w:r>
      <w:r>
        <w:rPr>
          <w:spacing w:val="-1"/>
        </w:rPr>
        <w:t>万股，发行价根据定价基准日前</w:t>
      </w:r>
      <w:r>
        <w:rPr>
          <w:rFonts w:ascii="宋体" w:hAnsi="宋体" w:cs="宋体" w:eastAsia="宋体" w:hint="default"/>
          <w:spacing w:val="-1"/>
        </w:rPr>
        <w:t>20</w:t>
      </w:r>
      <w:r>
        <w:rPr>
          <w:rFonts w:ascii="宋体" w:hAnsi="宋体" w:cs="宋体" w:eastAsia="宋体" w:hint="default"/>
          <w:spacing w:val="-83"/>
        </w:rPr>
        <w:t> </w:t>
      </w:r>
      <w:r>
        <w:rPr/>
        <w:t>个交易日茂硕电源股票的交易均价的</w:t>
      </w:r>
      <w:r>
        <w:rPr>
          <w:rFonts w:ascii="宋体" w:hAnsi="宋体" w:cs="宋体" w:eastAsia="宋体" w:hint="default"/>
        </w:rPr>
        <w:t>90%</w:t>
      </w:r>
      <w:r>
        <w:rPr/>
        <w:t>确定为</w:t>
      </w:r>
      <w:r>
        <w:rPr>
          <w:rFonts w:ascii="宋体" w:hAnsi="宋体" w:cs="宋体" w:eastAsia="宋体" w:hint="default"/>
        </w:rPr>
        <w:t>8.64</w:t>
      </w:r>
      <w:r>
        <w:rPr/>
        <w:t>元</w:t>
      </w:r>
      <w:r>
        <w:rPr>
          <w:rFonts w:ascii="宋体" w:hAnsi="宋体" w:cs="宋体" w:eastAsia="宋体" w:hint="default"/>
        </w:rPr>
        <w:t>/</w:t>
      </w:r>
      <w:r>
        <w:rPr/>
        <w:t>股，每股面值为</w:t>
      </w:r>
      <w:r>
        <w:rPr>
          <w:rFonts w:ascii="宋体" w:hAnsi="宋体" w:cs="宋体" w:eastAsia="宋体" w:hint="default"/>
        </w:rPr>
        <w:t>1</w:t>
      </w:r>
      <w:r>
        <w:rPr/>
        <w:t>元，共计</w:t>
      </w:r>
      <w:r>
        <w:rPr>
          <w:rFonts w:ascii="宋体" w:hAnsi="宋体" w:cs="宋体" w:eastAsia="宋体" w:hint="default"/>
        </w:rPr>
        <w:t>16,156.80</w:t>
      </w:r>
      <w:r>
        <w:rPr/>
        <w:t>万元； </w:t>
      </w:r>
      <w:r>
        <w:rPr>
          <w:rFonts w:ascii="宋体" w:hAnsi="宋体" w:cs="宋体" w:eastAsia="宋体" w:hint="default"/>
        </w:rPr>
        <w:t>B</w:t>
      </w:r>
      <w:r>
        <w:rPr/>
        <w:t>、向湖南方正达股东方笑求、蓝正明支付现金对价</w:t>
      </w:r>
      <w:r>
        <w:rPr>
          <w:rFonts w:ascii="宋体" w:hAnsi="宋体" w:cs="宋体" w:eastAsia="宋体" w:hint="default"/>
        </w:rPr>
        <w:t>3,009.60</w:t>
      </w:r>
      <w:r>
        <w:rPr/>
        <w:t>万元，资金来源为：通过向宗佩民、曹国熊 </w:t>
      </w:r>
      <w:r>
        <w:rPr>
          <w:spacing w:val="-1"/>
        </w:rPr>
        <w:t>非公开发行人民币普通股</w:t>
      </w:r>
      <w:r>
        <w:rPr>
          <w:rFonts w:ascii="宋体" w:hAnsi="宋体" w:cs="宋体" w:eastAsia="宋体" w:hint="default"/>
          <w:spacing w:val="-1"/>
        </w:rPr>
        <w:t>(A</w:t>
      </w:r>
      <w:r>
        <w:rPr>
          <w:spacing w:val="-1"/>
        </w:rPr>
        <w:t>股</w:t>
      </w:r>
      <w:r>
        <w:rPr>
          <w:rFonts w:ascii="宋体" w:hAnsi="宋体" w:cs="宋体" w:eastAsia="宋体" w:hint="default"/>
          <w:spacing w:val="-1"/>
        </w:rPr>
        <w:t>)</w:t>
      </w:r>
      <w:r>
        <w:rPr>
          <w:spacing w:val="-1"/>
        </w:rPr>
        <w:t>共计</w:t>
      </w:r>
      <w:r>
        <w:rPr>
          <w:rFonts w:ascii="宋体" w:hAnsi="宋体" w:cs="宋体" w:eastAsia="宋体" w:hint="default"/>
          <w:spacing w:val="-1"/>
        </w:rPr>
        <w:t>6,233,300</w:t>
      </w:r>
      <w:r>
        <w:rPr>
          <w:spacing w:val="-1"/>
        </w:rPr>
        <w:t>股，发行价根据定价基准日前</w:t>
      </w:r>
      <w:r>
        <w:rPr>
          <w:rFonts w:ascii="宋体" w:hAnsi="宋体" w:cs="宋体" w:eastAsia="宋体" w:hint="default"/>
          <w:spacing w:val="-1"/>
        </w:rPr>
        <w:t>20</w:t>
      </w:r>
      <w:r>
        <w:rPr>
          <w:spacing w:val="-1"/>
        </w:rPr>
        <w:t>个交易日茂硕电源股票的交</w:t>
      </w:r>
      <w:r>
        <w:rPr>
          <w:spacing w:val="-80"/>
        </w:rPr>
        <w:t> </w:t>
      </w:r>
      <w:r>
        <w:rPr>
          <w:spacing w:val="-80"/>
        </w:rPr>
      </w:r>
      <w:r>
        <w:rPr/>
        <w:t>易均价的</w:t>
      </w:r>
      <w:r>
        <w:rPr>
          <w:rFonts w:ascii="宋体" w:hAnsi="宋体" w:cs="宋体" w:eastAsia="宋体" w:hint="default"/>
        </w:rPr>
        <w:t>90%</w:t>
      </w:r>
      <w:r>
        <w:rPr/>
        <w:t>确定为</w:t>
      </w:r>
      <w:r>
        <w:rPr>
          <w:rFonts w:ascii="宋体" w:hAnsi="宋体" w:cs="宋体" w:eastAsia="宋体" w:hint="default"/>
        </w:rPr>
        <w:t>8.64</w:t>
      </w:r>
      <w:r>
        <w:rPr/>
        <w:t>元</w:t>
      </w:r>
      <w:r>
        <w:rPr>
          <w:rFonts w:ascii="宋体" w:hAnsi="宋体" w:cs="宋体" w:eastAsia="宋体" w:hint="default"/>
        </w:rPr>
        <w:t>/</w:t>
      </w:r>
      <w:r>
        <w:rPr/>
        <w:t>股，每股面值</w:t>
      </w:r>
      <w:r>
        <w:rPr>
          <w:rFonts w:ascii="宋体" w:hAnsi="宋体" w:cs="宋体" w:eastAsia="宋体" w:hint="default"/>
        </w:rPr>
        <w:t>1</w:t>
      </w:r>
      <w:r>
        <w:rPr/>
        <w:t>元； </w:t>
      </w:r>
      <w:r>
        <w:rPr>
          <w:rFonts w:ascii="宋体" w:hAnsi="宋体" w:cs="宋体" w:eastAsia="宋体" w:hint="default"/>
        </w:rPr>
        <w:t>C</w:t>
      </w:r>
      <w:r>
        <w:rPr/>
        <w:t>、支付增资款</w:t>
      </w:r>
      <w:r>
        <w:rPr>
          <w:rFonts w:ascii="宋体" w:hAnsi="宋体" w:cs="宋体" w:eastAsia="宋体" w:hint="default"/>
        </w:rPr>
        <w:t>9,895,504.00</w:t>
      </w:r>
      <w:r>
        <w:rPr/>
        <w:t>元，根据公司于</w:t>
      </w:r>
      <w:r>
        <w:rPr>
          <w:rFonts w:ascii="宋体" w:hAnsi="宋体" w:cs="宋体" w:eastAsia="宋体" w:hint="default"/>
        </w:rPr>
        <w:t>2014</w:t>
      </w:r>
      <w:r>
        <w:rPr/>
        <w:t>年</w:t>
      </w:r>
      <w:r>
        <w:rPr>
          <w:rFonts w:ascii="宋体" w:hAnsi="宋体" w:cs="宋体" w:eastAsia="宋体" w:hint="default"/>
        </w:rPr>
        <w:t>11</w:t>
      </w:r>
      <w:r>
        <w:rPr/>
        <w:t>月</w:t>
      </w:r>
      <w:r>
        <w:rPr>
          <w:rFonts w:ascii="宋体" w:hAnsi="宋体" w:cs="宋体" w:eastAsia="宋体" w:hint="default"/>
        </w:rPr>
        <w:t>17</w:t>
      </w:r>
      <w:r>
        <w:rPr/>
        <w:t>日与自然人方笑求、蓝顺明签署的《发行股份 </w:t>
      </w:r>
      <w:r>
        <w:rPr>
          <w:spacing w:val="-1"/>
        </w:rPr>
        <w:t>及支付现金购买资产协议》，公司向宗佩民、曹国熊非公开发行人民币普通股</w:t>
      </w:r>
      <w:r>
        <w:rPr>
          <w:rFonts w:ascii="宋体" w:hAnsi="宋体" w:cs="宋体" w:eastAsia="宋体" w:hint="default"/>
          <w:spacing w:val="-1"/>
        </w:rPr>
        <w:t>(A</w:t>
      </w:r>
      <w:r>
        <w:rPr>
          <w:spacing w:val="-1"/>
        </w:rPr>
        <w:t>股</w:t>
      </w:r>
      <w:r>
        <w:rPr>
          <w:rFonts w:ascii="宋体" w:hAnsi="宋体" w:cs="宋体" w:eastAsia="宋体" w:hint="default"/>
          <w:spacing w:val="-1"/>
        </w:rPr>
        <w:t>)</w:t>
      </w:r>
      <w:r>
        <w:rPr>
          <w:spacing w:val="-1"/>
        </w:rPr>
        <w:t>共计</w:t>
      </w:r>
      <w:r>
        <w:rPr>
          <w:rFonts w:ascii="宋体" w:hAnsi="宋体" w:cs="宋体" w:eastAsia="宋体" w:hint="default"/>
          <w:spacing w:val="-1"/>
        </w:rPr>
        <w:t>6,233,300</w:t>
      </w:r>
      <w:r>
        <w:rPr>
          <w:spacing w:val="-1"/>
        </w:rPr>
        <w:t>股募集</w:t>
      </w:r>
      <w:r>
        <w:rPr>
          <w:spacing w:val="-79"/>
        </w:rPr>
        <w:t> </w:t>
      </w:r>
      <w:r>
        <w:rPr>
          <w:spacing w:val="-1"/>
        </w:rPr>
        <w:t>资金扣除承销费用、现金对价价款、相关的中介机构费用、交易税费等并购费用后，剩余的</w:t>
      </w:r>
      <w:r>
        <w:rPr>
          <w:rFonts w:ascii="宋体" w:hAnsi="宋体" w:cs="宋体" w:eastAsia="宋体" w:hint="default"/>
          <w:spacing w:val="-1"/>
        </w:rPr>
        <w:t>9,895,504.00</w:t>
      </w:r>
      <w:r>
        <w:rPr>
          <w:rFonts w:ascii="宋体" w:hAnsi="宋体" w:cs="宋体" w:eastAsia="宋体" w:hint="default"/>
          <w:spacing w:val="-79"/>
        </w:rPr>
        <w:t> </w:t>
      </w:r>
      <w:r>
        <w:rPr>
          <w:rFonts w:ascii="宋体" w:hAnsi="宋体" w:cs="宋体" w:eastAsia="宋体" w:hint="default"/>
          <w:spacing w:val="-79"/>
        </w:rPr>
      </w:r>
      <w:r>
        <w:rPr/>
        <w:t>元用于向湖南方正达增资。</w:t>
      </w:r>
    </w:p>
    <w:p>
      <w:pPr>
        <w:pStyle w:val="BodyText"/>
        <w:spacing w:line="273" w:lineRule="auto"/>
        <w:ind w:right="8233"/>
        <w:jc w:val="left"/>
      </w:pPr>
      <w:r>
        <w:rPr/>
        <w:t>②或有对价及其变动的说明 无</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大额商誉形成的主要原因：</w:t>
      </w:r>
    </w:p>
    <w:p>
      <w:pPr>
        <w:pStyle w:val="BodyText"/>
        <w:spacing w:line="256" w:lineRule="auto" w:before="90"/>
        <w:ind w:right="1144"/>
        <w:jc w:val="both"/>
      </w:pPr>
      <w:r>
        <w:rPr/>
        <w:t>茂硕电源按湖南方正达的评估价值作为收购湖南方正达</w:t>
      </w:r>
      <w:r>
        <w:rPr>
          <w:rFonts w:ascii="Times New Roman" w:hAnsi="Times New Roman" w:cs="Times New Roman" w:eastAsia="Times New Roman" w:hint="default"/>
        </w:rPr>
        <w:t>55%</w:t>
      </w:r>
      <w:r>
        <w:rPr/>
        <w:t>股权合并对价的确定基础，根据北京中企华资 产评估有限责任公司于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20</w:t>
      </w:r>
      <w:r>
        <w:rPr/>
        <w:t>日出具的中企华评报字</w:t>
      </w:r>
      <w:r>
        <w:rPr>
          <w:rFonts w:ascii="Times New Roman" w:hAnsi="Times New Roman" w:cs="Times New Roman" w:eastAsia="Times New Roman" w:hint="default"/>
        </w:rPr>
        <w:t>(2014)</w:t>
      </w:r>
      <w:r>
        <w:rPr/>
        <w:t>第</w:t>
      </w:r>
      <w:r>
        <w:rPr>
          <w:rFonts w:ascii="Times New Roman" w:hAnsi="Times New Roman" w:cs="Times New Roman" w:eastAsia="Times New Roman" w:hint="default"/>
        </w:rPr>
        <w:t>3646</w:t>
      </w:r>
      <w:r>
        <w:rPr/>
        <w:t>号评估报告，湖南方正达在基础 </w:t>
      </w:r>
      <w:r>
        <w:rPr>
          <w:spacing w:val="-1"/>
        </w:rPr>
        <w:t>日</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31</w:t>
      </w:r>
      <w:r>
        <w:rPr>
          <w:spacing w:val="-1"/>
        </w:rPr>
        <w:t>日以收益法评估价值为</w:t>
      </w:r>
      <w:r>
        <w:rPr>
          <w:rFonts w:ascii="Times New Roman" w:hAnsi="Times New Roman" w:cs="Times New Roman" w:eastAsia="Times New Roman" w:hint="default"/>
          <w:spacing w:val="-1"/>
        </w:rPr>
        <w:t>34,919.41</w:t>
      </w:r>
      <w:r>
        <w:rPr>
          <w:spacing w:val="-1"/>
        </w:rPr>
        <w:t>万元，评估增值额为</w:t>
      </w:r>
      <w:r>
        <w:rPr>
          <w:rFonts w:ascii="Times New Roman" w:hAnsi="Times New Roman" w:cs="Times New Roman" w:eastAsia="Times New Roman" w:hint="default"/>
          <w:spacing w:val="-1"/>
        </w:rPr>
        <w:t>25,775.49</w:t>
      </w:r>
      <w:r>
        <w:rPr>
          <w:spacing w:val="-1"/>
        </w:rPr>
        <w:t>万元，增值率为</w:t>
      </w:r>
      <w:r>
        <w:rPr>
          <w:rFonts w:ascii="Times New Roman" w:hAnsi="Times New Roman" w:cs="Times New Roman" w:eastAsia="Times New Roman" w:hint="default"/>
          <w:spacing w:val="-1"/>
        </w:rPr>
        <w:t>281.89%</w:t>
      </w:r>
      <w:r>
        <w:rPr>
          <w:spacing w:val="-1"/>
        </w:rPr>
        <w:t>，茂</w:t>
      </w:r>
      <w:r>
        <w:rPr/>
      </w:r>
    </w:p>
    <w:p>
      <w:pPr>
        <w:spacing w:after="0" w:line="256"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56" w:lineRule="auto" w:before="35"/>
        <w:ind w:left="154" w:right="1130"/>
        <w:jc w:val="both"/>
      </w:pPr>
      <w:r>
        <w:rPr>
          <w:spacing w:val="-2"/>
        </w:rPr>
        <w:t>硕电源收购</w:t>
      </w:r>
      <w:r>
        <w:rPr>
          <w:rFonts w:ascii="Times New Roman" w:hAnsi="Times New Roman" w:cs="Times New Roman" w:eastAsia="Times New Roman" w:hint="default"/>
          <w:spacing w:val="-2"/>
        </w:rPr>
        <w:t>55%</w:t>
      </w:r>
      <w:r>
        <w:rPr>
          <w:spacing w:val="-2"/>
        </w:rPr>
        <w:t>股权于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31</w:t>
      </w:r>
      <w:r>
        <w:rPr>
          <w:spacing w:val="-2"/>
        </w:rPr>
        <w:t>日对应的评估价值为</w:t>
      </w:r>
      <w:r>
        <w:rPr>
          <w:rFonts w:ascii="Times New Roman" w:hAnsi="Times New Roman" w:cs="Times New Roman" w:eastAsia="Times New Roman" w:hint="default"/>
          <w:spacing w:val="-2"/>
        </w:rPr>
        <w:t>19,205.68</w:t>
      </w:r>
      <w:r>
        <w:rPr>
          <w:spacing w:val="-2"/>
        </w:rPr>
        <w:t>万元，</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17</w:t>
      </w:r>
      <w:r>
        <w:rPr>
          <w:spacing w:val="-2"/>
        </w:rPr>
        <w:t>日，协议约定</w:t>
      </w:r>
      <w:r>
        <w:rPr>
          <w:rFonts w:ascii="Times New Roman" w:hAnsi="Times New Roman" w:cs="Times New Roman" w:eastAsia="Times New Roman" w:hint="default"/>
          <w:spacing w:val="-2"/>
        </w:rPr>
        <w:t>55%</w:t>
      </w:r>
      <w:r>
        <w:rPr>
          <w:spacing w:val="-2"/>
        </w:rPr>
        <w:t>股</w:t>
      </w:r>
      <w:r>
        <w:rPr>
          <w:spacing w:val="-48"/>
        </w:rPr>
        <w:t> </w:t>
      </w:r>
      <w:r>
        <w:rPr>
          <w:spacing w:val="-1"/>
        </w:rPr>
        <w:t>权的价款为</w:t>
      </w:r>
      <w:r>
        <w:rPr>
          <w:rFonts w:ascii="Times New Roman" w:hAnsi="Times New Roman" w:cs="Times New Roman" w:eastAsia="Times New Roman" w:hint="default"/>
          <w:spacing w:val="-1"/>
        </w:rPr>
        <w:t>19,166.40</w:t>
      </w:r>
      <w:r>
        <w:rPr>
          <w:spacing w:val="-1"/>
        </w:rPr>
        <w:t>万元。公司以资产法评估的结果调整确认购买日湖南方正达的公允价值，由于收益法</w:t>
      </w:r>
      <w:r>
        <w:rPr>
          <w:spacing w:val="-78"/>
        </w:rPr>
        <w:t> </w:t>
      </w:r>
      <w:r>
        <w:rPr>
          <w:spacing w:val="-78"/>
        </w:rPr>
      </w:r>
      <w:r>
        <w:rPr/>
        <w:t>与资产法的评估结果存在较大的差异，故形成了大额商誉。</w:t>
      </w:r>
    </w:p>
    <w:p>
      <w:pPr>
        <w:spacing w:before="88"/>
        <w:ind w:left="153" w:right="0" w:firstLine="0"/>
        <w:jc w:val="both"/>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both"/>
        <w:rPr>
          <w:b w:val="0"/>
          <w:bCs w:val="0"/>
        </w:rPr>
      </w:pPr>
      <w:bookmarkStart w:name="（3）被购买方于购买日可辨认资产、负债" w:id="401"/>
      <w:bookmarkEnd w:id="401"/>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397"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747" w:type="dxa"/>
            <w:gridSpan w:val="2"/>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台州与与</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台州南瑞</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湖南方正达</w:t>
            </w:r>
          </w:p>
        </w:tc>
      </w:tr>
      <w:tr>
        <w:trPr>
          <w:trHeight w:val="407"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9"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9"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7"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7"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47"/>
              <w:jc w:val="right"/>
              <w:rPr>
                <w:rFonts w:ascii="宋体" w:hAnsi="宋体" w:cs="宋体" w:eastAsia="宋体" w:hint="default"/>
                <w:sz w:val="18"/>
                <w:szCs w:val="18"/>
              </w:rPr>
            </w:pPr>
            <w:r>
              <w:rPr>
                <w:rFonts w:ascii="宋体" w:hAnsi="宋体" w:cs="宋体" w:eastAsia="宋体" w:hint="default"/>
                <w:sz w:val="18"/>
                <w:szCs w:val="18"/>
              </w:rPr>
              <w:t>购买日公允价值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47"/>
              <w:jc w:val="righ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265,742,359.75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256,712,396.38</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36,496,756.66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36,496,756.66</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95,764,831.58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95,764,831.58</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47,009,301.41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47,009,301.41</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71,589,153.58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63,710,436.58</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5,150,403.87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3,999,157.50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6,551,716.80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6,551,716.80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1,931,333.38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1,931,333.38</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递延资产</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1,248,862.47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1,248,862.47</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140,349,766.78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138,995,272.27</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107,495,272.27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107,495,272.27</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1,354,494.51</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125,392,592.97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117,717,124.11</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减：少数股东权 益</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54,871,798.68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51,513,013.51</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70,520,794.29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66,204,110.60</w:t>
            </w:r>
          </w:p>
        </w:tc>
      </w:tr>
    </w:tbl>
    <w:p>
      <w:pPr>
        <w:spacing w:line="360" w:lineRule="auto" w:before="51"/>
        <w:ind w:left="153" w:right="7530" w:firstLine="0"/>
        <w:jc w:val="both"/>
        <w:rPr>
          <w:rFonts w:ascii="宋体" w:hAnsi="宋体" w:cs="宋体" w:eastAsia="宋体" w:hint="default"/>
          <w:sz w:val="18"/>
          <w:szCs w:val="18"/>
        </w:rPr>
      </w:pPr>
      <w:r>
        <w:rPr>
          <w:rFonts w:ascii="宋体" w:hAnsi="宋体" w:cs="宋体" w:eastAsia="宋体" w:hint="default"/>
          <w:sz w:val="18"/>
          <w:szCs w:val="18"/>
        </w:rPr>
        <w:t>可辨认资产、负债公允价值的确定方法： 企业合并中承担的被购买方的或有负债： 其他说明：</w:t>
      </w:r>
    </w:p>
    <w:p>
      <w:pPr>
        <w:spacing w:line="240" w:lineRule="auto" w:before="11"/>
        <w:rPr>
          <w:rFonts w:ascii="宋体" w:hAnsi="宋体" w:cs="宋体" w:eastAsia="宋体" w:hint="default"/>
          <w:sz w:val="19"/>
          <w:szCs w:val="19"/>
        </w:rPr>
      </w:pPr>
    </w:p>
    <w:p>
      <w:pPr>
        <w:pStyle w:val="Heading4"/>
        <w:spacing w:line="240" w:lineRule="auto"/>
        <w:ind w:right="0"/>
        <w:jc w:val="both"/>
        <w:rPr>
          <w:b w:val="0"/>
          <w:bCs w:val="0"/>
        </w:rPr>
      </w:pPr>
      <w:bookmarkStart w:name="（4）购买日之前持有的股权按照公允价值重新计量产生的利得或损失" w:id="402"/>
      <w:bookmarkEnd w:id="402"/>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是否存在通过多次交易分步实现企业合并且在报告期内取得控制权的交易</w:t>
      </w:r>
    </w:p>
    <w:p>
      <w:pPr>
        <w:spacing w:before="116"/>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5）购买日或合并当期期末无法合理确定合并对价或被购买方可辨认资产、负债公允价值" w:id="403"/>
      <w:bookmarkEnd w:id="403"/>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6）其他说明" w:id="404"/>
      <w:bookmarkEnd w:id="404"/>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2、同一控制下企业合并" w:id="405"/>
      <w:bookmarkEnd w:id="405"/>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本期发生的同一控制下企业合并" w:id="406"/>
      <w:bookmarkEnd w:id="406"/>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35" w:right="75"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spacing w:line="357" w:lineRule="auto" w:before="51"/>
        <w:ind w:left="153" w:right="9853" w:firstLine="0"/>
        <w:jc w:val="left"/>
        <w:rPr>
          <w:rFonts w:ascii="宋体" w:hAnsi="宋体" w:cs="宋体" w:eastAsia="宋体" w:hint="default"/>
          <w:sz w:val="18"/>
          <w:szCs w:val="18"/>
        </w:rPr>
      </w:pPr>
      <w:r>
        <w:rPr>
          <w:rFonts w:ascii="宋体" w:hAnsi="宋体" w:cs="宋体" w:eastAsia="宋体" w:hint="default"/>
          <w:sz w:val="18"/>
          <w:szCs w:val="18"/>
        </w:rPr>
        <w:t>其他说明： 不适用</w:t>
      </w:r>
    </w:p>
    <w:p>
      <w:pPr>
        <w:spacing w:line="240" w:lineRule="auto" w:before="2"/>
        <w:rPr>
          <w:rFonts w:ascii="宋体" w:hAnsi="宋体" w:cs="宋体" w:eastAsia="宋体" w:hint="default"/>
          <w:sz w:val="20"/>
          <w:szCs w:val="20"/>
        </w:rPr>
      </w:pPr>
    </w:p>
    <w:p>
      <w:pPr>
        <w:pStyle w:val="Heading4"/>
        <w:spacing w:line="240" w:lineRule="auto"/>
        <w:ind w:left="154" w:right="0"/>
        <w:jc w:val="left"/>
        <w:rPr>
          <w:b w:val="0"/>
          <w:bCs w:val="0"/>
        </w:rPr>
      </w:pPr>
      <w:bookmarkStart w:name="（2）合并成本" w:id="407"/>
      <w:bookmarkEnd w:id="407"/>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7"/>
          <w:szCs w:val="7"/>
        </w:rPr>
      </w:pPr>
    </w:p>
    <w:p>
      <w:pPr>
        <w:spacing w:line="42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pt" strokecolor="#000000">
                <v:path arrowok="t"/>
              </v:shape>
              <v:shape style="position:absolute;left:5;top:10;width:4785;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line="360" w:lineRule="auto" w:before="46"/>
        <w:ind w:left="154" w:right="8592" w:firstLine="0"/>
        <w:jc w:val="left"/>
        <w:rPr>
          <w:rFonts w:ascii="宋体" w:hAnsi="宋体" w:cs="宋体" w:eastAsia="宋体" w:hint="default"/>
          <w:sz w:val="18"/>
          <w:szCs w:val="18"/>
        </w:rPr>
      </w:pPr>
      <w:r>
        <w:rPr>
          <w:rFonts w:ascii="宋体" w:hAnsi="宋体" w:cs="宋体" w:eastAsia="宋体" w:hint="default"/>
          <w:sz w:val="18"/>
          <w:szCs w:val="18"/>
        </w:rPr>
        <w:t>或有对价及其变动的说明： 其他说明：</w:t>
      </w:r>
    </w:p>
    <w:p>
      <w:pPr>
        <w:spacing w:before="25"/>
        <w:ind w:left="153"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12"/>
        <w:rPr>
          <w:rFonts w:ascii="宋体" w:hAnsi="宋体" w:cs="宋体" w:eastAsia="宋体" w:hint="default"/>
          <w:sz w:val="26"/>
          <w:szCs w:val="26"/>
        </w:rPr>
      </w:pPr>
    </w:p>
    <w:p>
      <w:pPr>
        <w:pStyle w:val="Heading4"/>
        <w:spacing w:line="240" w:lineRule="auto"/>
        <w:ind w:left="154" w:right="0"/>
        <w:jc w:val="left"/>
        <w:rPr>
          <w:b w:val="0"/>
          <w:bCs w:val="0"/>
        </w:rPr>
      </w:pPr>
      <w:bookmarkStart w:name="（3）合并日被合并方资产、负债的账面价值" w:id="408"/>
      <w:bookmarkEnd w:id="408"/>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9"/>
        <w:rPr>
          <w:rFonts w:ascii="宋体" w:hAnsi="宋体" w:cs="宋体" w:eastAsia="宋体" w:hint="default"/>
          <w:sz w:val="7"/>
          <w:szCs w:val="7"/>
        </w:rPr>
      </w:pPr>
    </w:p>
    <w:p>
      <w:pPr>
        <w:spacing w:line="823" w:lineRule="exact"/>
        <w:ind w:left="149"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05pt;height:41.2pt;mso-position-horizontal-relative:char;mso-position-vertical-relative:line" coordorigin="0,0" coordsize="9581,824">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3179;top:14;width:2;height:393" coordorigin="3179,14" coordsize="2,393">
              <v:shape style="position:absolute;left:3179;top:14;width:2;height:393" coordorigin="3179,14" coordsize="0,393" path="m3179,14l3179,407e" filled="false" stroked="true" strokeweight="1.140pt" strokecolor="#d2d2d2">
                <v:path arrowok="t"/>
              </v:shape>
            </v:group>
            <v:group style="position:absolute;left:32;top:14;width:3135;height:393" coordorigin="32,14" coordsize="3135,393">
              <v:shape style="position:absolute;left:32;top:14;width:3135;height:393" coordorigin="32,14" coordsize="3135,393" path="m32,407l3167,407,3167,14,32,14,32,407xe" filled="true" fillcolor="#d2d2d2" stroked="false">
                <v:path arrowok="t"/>
                <v:fill type="solid"/>
              </v:shape>
            </v:group>
            <v:group style="position:absolute;left:3212;top:14;width:2;height:393" coordorigin="3212,14" coordsize="2,393">
              <v:shape style="position:absolute;left:3212;top:14;width:2;height:393" coordorigin="3212,14" coordsize="0,393" path="m3212,14l3212,407e" filled="false" stroked="true" strokeweight="1.2pt" strokecolor="#e0ffff">
                <v:path arrowok="t"/>
              </v:shape>
            </v:group>
            <v:group style="position:absolute;left:9560;top:14;width:2;height:393" coordorigin="9560,14" coordsize="2,393">
              <v:shape style="position:absolute;left:9560;top:14;width:2;height:393" coordorigin="9560,14" coordsize="0,393" path="m9560,14l9560,407e" filled="false" stroked="true" strokeweight="1.140pt" strokecolor="#e0ffff">
                <v:path arrowok="t"/>
              </v:shape>
            </v:group>
            <v:group style="position:absolute;left:3224;top:14;width:6325;height:393" coordorigin="3224,14" coordsize="6325,393">
              <v:shape style="position:absolute;left:3224;top:14;width:6325;height:393" coordorigin="3224,14" coordsize="6325,393" path="m3224,407l9548,407,9548,14,3224,14,3224,407xe" filled="true" fillcolor="#e0ffff" stroked="false">
                <v:path arrowok="t"/>
                <v:fill type="solid"/>
              </v:shape>
            </v:group>
            <v:group style="position:absolute;left:10;top:10;width:3181;height:2" coordorigin="10,10" coordsize="3181,2">
              <v:shape style="position:absolute;left:10;top:10;width:3181;height:2" coordorigin="10,10" coordsize="3181,0" path="m10,10l3190,10e" filled="false" stroked="true" strokeweight=".48pt" strokecolor="#000000">
                <v:path arrowok="t"/>
              </v:shape>
            </v:group>
            <v:group style="position:absolute;left:3200;top:10;width:6372;height:2" coordorigin="3200,10" coordsize="6372,2">
              <v:shape style="position:absolute;left:3200;top:10;width:6372;height:2" coordorigin="3200,10" coordsize="6372,0" path="m3200,10l9571,10e" filled="false" stroked="true" strokeweight=".48pt" strokecolor="#000000">
                <v:path arrowok="t"/>
              </v:shape>
            </v:group>
            <v:group style="position:absolute;left:21;top:416;width:2;height:393" coordorigin="21,416" coordsize="2,393">
              <v:shape style="position:absolute;left:21;top:416;width:2;height:393" coordorigin="21,416" coordsize="0,393" path="m21,416l21,809e" filled="false" stroked="true" strokeweight="1.140pt" strokecolor="#d2d2d2">
                <v:path arrowok="t"/>
              </v:shape>
            </v:group>
            <v:group style="position:absolute;left:3179;top:416;width:2;height:393" coordorigin="3179,416" coordsize="2,393">
              <v:shape style="position:absolute;left:3179;top:416;width:2;height:393" coordorigin="3179,416" coordsize="0,393" path="m3179,416l3179,809e" filled="false" stroked="true" strokeweight="1.140pt" strokecolor="#d2d2d2">
                <v:path arrowok="t"/>
              </v:shape>
            </v:group>
            <v:group style="position:absolute;left:32;top:416;width:3135;height:393" coordorigin="32,416" coordsize="3135,393">
              <v:shape style="position:absolute;left:32;top:416;width:3135;height:393" coordorigin="32,416" coordsize="3135,393" path="m32,809l3167,809,3167,416,32,416,32,809xe" filled="true" fillcolor="#d2d2d2" stroked="false">
                <v:path arrowok="t"/>
                <v:fill type="solid"/>
              </v:shape>
            </v:group>
            <v:group style="position:absolute;left:3212;top:416;width:2;height:393" coordorigin="3212,416" coordsize="2,393">
              <v:shape style="position:absolute;left:3212;top:416;width:2;height:393" coordorigin="3212,416" coordsize="0,393" path="m3212,416l3212,809e" filled="false" stroked="true" strokeweight="1.2pt" strokecolor="#d2d2d2">
                <v:path arrowok="t"/>
              </v:shape>
            </v:group>
            <v:group style="position:absolute;left:6369;top:416;width:2;height:393" coordorigin="6369,416" coordsize="2,393">
              <v:shape style="position:absolute;left:6369;top:416;width:2;height:393" coordorigin="6369,416" coordsize="0,393" path="m6369,416l6369,809e" filled="false" stroked="true" strokeweight="1.140pt" strokecolor="#d2d2d2">
                <v:path arrowok="t"/>
              </v:shape>
            </v:group>
            <v:group style="position:absolute;left:3224;top:416;width:3134;height:393" coordorigin="3224,416" coordsize="3134,393">
              <v:shape style="position:absolute;left:3224;top:416;width:3134;height:393" coordorigin="3224,416" coordsize="3134,393" path="m3224,809l6357,809,6357,416,3224,416,3224,809xe" filled="true" fillcolor="#d2d2d2" stroked="false">
                <v:path arrowok="t"/>
                <v:fill type="solid"/>
              </v:shape>
            </v:group>
            <v:group style="position:absolute;left:6402;top:416;width:2;height:393" coordorigin="6402,416" coordsize="2,393">
              <v:shape style="position:absolute;left:6402;top:416;width:2;height:393" coordorigin="6402,416" coordsize="0,393" path="m6402,416l6402,809e" filled="false" stroked="true" strokeweight="1.140pt" strokecolor="#d2d2d2">
                <v:path arrowok="t"/>
              </v:shape>
            </v:group>
            <v:group style="position:absolute;left:9560;top:416;width:2;height:393" coordorigin="9560,416" coordsize="2,393">
              <v:shape style="position:absolute;left:9560;top:416;width:2;height:393" coordorigin="9560,416" coordsize="0,393" path="m9560,416l9560,809e" filled="false" stroked="true" strokeweight="1.140pt" strokecolor="#d2d2d2">
                <v:path arrowok="t"/>
              </v:shape>
            </v:group>
            <v:group style="position:absolute;left:6414;top:416;width:3135;height:393" coordorigin="6414,416" coordsize="3135,393">
              <v:shape style="position:absolute;left:6414;top:416;width:3135;height:393" coordorigin="6414,416" coordsize="3135,393" path="m6414,809l9548,809,9548,416,6414,416,6414,809xe" filled="true" fillcolor="#d2d2d2" stroked="false">
                <v:path arrowok="t"/>
                <v:fill type="solid"/>
              </v:shape>
            </v:group>
            <v:group style="position:absolute;left:10;top:412;width:3181;height:2" coordorigin="10,412" coordsize="3181,2">
              <v:shape style="position:absolute;left:10;top:412;width:3181;height:2" coordorigin="10,412" coordsize="3181,0" path="m10,412l3190,412e" filled="false" stroked="true" strokeweight=".48pt" strokecolor="#000000">
                <v:path arrowok="t"/>
              </v:shape>
            </v:group>
            <v:group style="position:absolute;left:3200;top:412;width:3182;height:2" coordorigin="3200,412" coordsize="3182,2">
              <v:shape style="position:absolute;left:3200;top:412;width:3182;height:2" coordorigin="3200,412" coordsize="3182,0" path="m3200,412l6381,412e" filled="false" stroked="true" strokeweight=".48pt" strokecolor="#000000">
                <v:path arrowok="t"/>
              </v:shape>
            </v:group>
            <v:group style="position:absolute;left:6391;top:412;width:3181;height:2" coordorigin="6391,412" coordsize="3181,2">
              <v:shape style="position:absolute;left:6391;top:412;width:3181;height:2" coordorigin="6391,412" coordsize="3181,0" path="m6391,412l9571,412e" filled="false" stroked="true" strokeweight=".48pt" strokecolor="#000000">
                <v:path arrowok="t"/>
              </v:shape>
            </v:group>
            <v:group style="position:absolute;left:5;top:5;width:2;height:814" coordorigin="5,5" coordsize="2,814">
              <v:shape style="position:absolute;left:5;top:5;width:2;height:814" coordorigin="5,5" coordsize="0,814" path="m5,5l5,818e" filled="false" stroked="true" strokeweight=".48pt" strokecolor="#000000">
                <v:path arrowok="t"/>
              </v:shape>
            </v:group>
            <v:group style="position:absolute;left:10;top:814;width:3181;height:2" coordorigin="10,814" coordsize="3181,2">
              <v:shape style="position:absolute;left:10;top:814;width:3181;height:2" coordorigin="10,814" coordsize="3181,0" path="m10,814l3190,814e" filled="false" stroked="true" strokeweight=".48pt" strokecolor="#000000">
                <v:path arrowok="t"/>
              </v:shape>
            </v:group>
            <v:group style="position:absolute;left:3195;top:5;width:2;height:814" coordorigin="3195,5" coordsize="2,814">
              <v:shape style="position:absolute;left:3195;top:5;width:2;height:814" coordorigin="3195,5" coordsize="0,814" path="m3195,5l3195,818e" filled="false" stroked="true" strokeweight=".48pt" strokecolor="#000000">
                <v:path arrowok="t"/>
              </v:shape>
            </v:group>
            <v:group style="position:absolute;left:3200;top:814;width:3182;height:2" coordorigin="3200,814" coordsize="3182,2">
              <v:shape style="position:absolute;left:3200;top:814;width:3182;height:2" coordorigin="3200,814" coordsize="3182,0" path="m3200,814l6381,814e" filled="false" stroked="true" strokeweight=".48pt" strokecolor="#000000">
                <v:path arrowok="t"/>
              </v:shape>
            </v:group>
            <v:group style="position:absolute;left:6386;top:407;width:2;height:412" coordorigin="6386,407" coordsize="2,412">
              <v:shape style="position:absolute;left:6386;top:407;width:2;height:412" coordorigin="6386,407" coordsize="0,412" path="m6386,407l6386,818e" filled="false" stroked="true" strokeweight=".48pt" strokecolor="#000000">
                <v:path arrowok="t"/>
              </v:shape>
            </v:group>
            <v:group style="position:absolute;left:6391;top:814;width:3181;height:2" coordorigin="6391,814" coordsize="3181,2">
              <v:shape style="position:absolute;left:6391;top:814;width:3181;height:2" coordorigin="6391,814" coordsize="3181,0" path="m6391,814l9571,814e" filled="false" stroked="true" strokeweight=".48pt" strokecolor="#000000">
                <v:path arrowok="t"/>
              </v:shape>
            </v:group>
            <v:group style="position:absolute;left:9576;top:5;width:2;height:814" coordorigin="9576,5" coordsize="2,814">
              <v:shape style="position:absolute;left:9576;top:5;width:2;height:814" coordorigin="9576,5" coordsize="0,814" path="m9576,5l9576,818e" filled="false" stroked="true" strokeweight=".48pt" strokecolor="#000000">
                <v:path arrowok="t"/>
              </v:shape>
              <v:shape style="position:absolute;left:3183;top:412;width:3202;height:402" type="#_x0000_t202" filled="false" stroked="false">
                <v:textbox inset="0,0,0,0">
                  <w:txbxContent>
                    <w:p>
                      <w:pPr>
                        <w:spacing w:before="56"/>
                        <w:ind w:left="13"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2;width:3180;height:402" type="#_x0000_t202" filled="false" stroked="false">
                <v:textbox inset="0,0,0,0">
                  <w:txbxContent>
                    <w:p>
                      <w:pPr>
                        <w:spacing w:before="56"/>
                        <w:ind w:left="12"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spacing w:line="360" w:lineRule="auto" w:before="46"/>
        <w:ind w:left="154" w:right="7512" w:firstLine="0"/>
        <w:jc w:val="left"/>
        <w:rPr>
          <w:rFonts w:ascii="宋体" w:hAnsi="宋体" w:cs="宋体" w:eastAsia="宋体" w:hint="default"/>
          <w:sz w:val="18"/>
          <w:szCs w:val="18"/>
        </w:rPr>
      </w:pPr>
      <w:r>
        <w:rPr>
          <w:rFonts w:ascii="宋体" w:hAnsi="宋体" w:cs="宋体" w:eastAsia="宋体" w:hint="default"/>
          <w:sz w:val="18"/>
          <w:szCs w:val="18"/>
        </w:rPr>
        <w:t>企业合并中承担的被合并方的或有负债： 其他说明：</w:t>
      </w:r>
    </w:p>
    <w:p>
      <w:pPr>
        <w:spacing w:before="25"/>
        <w:ind w:left="154"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12"/>
        <w:rPr>
          <w:rFonts w:ascii="宋体" w:hAnsi="宋体" w:cs="宋体" w:eastAsia="宋体" w:hint="default"/>
          <w:sz w:val="26"/>
          <w:szCs w:val="26"/>
        </w:rPr>
      </w:pPr>
    </w:p>
    <w:p>
      <w:pPr>
        <w:pStyle w:val="Heading4"/>
        <w:spacing w:line="240" w:lineRule="auto"/>
        <w:ind w:left="154" w:right="0"/>
        <w:jc w:val="left"/>
        <w:rPr>
          <w:b w:val="0"/>
          <w:bCs w:val="0"/>
        </w:rPr>
      </w:pPr>
      <w:bookmarkStart w:name="3、反向购买" w:id="409"/>
      <w:bookmarkEnd w:id="409"/>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7"/>
        <w:rPr>
          <w:rFonts w:ascii="宋体" w:hAnsi="宋体" w:cs="宋体" w:eastAsia="宋体" w:hint="default"/>
          <w:b/>
          <w:bCs/>
          <w:sz w:val="26"/>
          <w:szCs w:val="26"/>
        </w:rPr>
      </w:pPr>
    </w:p>
    <w:p>
      <w:pPr>
        <w:spacing w:line="319" w:lineRule="auto" w:before="0"/>
        <w:ind w:left="154" w:right="0" w:firstLine="0"/>
        <w:jc w:val="left"/>
        <w:rPr>
          <w:rFonts w:ascii="宋体" w:hAnsi="宋体" w:cs="宋体" w:eastAsia="宋体" w:hint="default"/>
          <w:sz w:val="18"/>
          <w:szCs w:val="18"/>
        </w:rPr>
      </w:pPr>
      <w:r>
        <w:rPr>
          <w:rFonts w:ascii="宋体" w:hAnsi="宋体" w:cs="宋体" w:eastAsia="宋体" w:hint="default"/>
          <w:spacing w:val="-2"/>
          <w:sz w:val="18"/>
          <w:szCs w:val="18"/>
        </w:rPr>
        <w:t>交易基本信息、交易构成反向购买的依据、上市公司保留的资产、负债是否构成业务及其依据、合并成本的确定、按照权益</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性交易处理时调整权益的金额及其计算：</w:t>
      </w:r>
    </w:p>
    <w:p>
      <w:pPr>
        <w:spacing w:line="240" w:lineRule="auto" w:before="4"/>
        <w:rPr>
          <w:rFonts w:ascii="宋体" w:hAnsi="宋体" w:cs="宋体" w:eastAsia="宋体" w:hint="default"/>
          <w:sz w:val="22"/>
          <w:szCs w:val="22"/>
        </w:rPr>
      </w:pPr>
    </w:p>
    <w:p>
      <w:pPr>
        <w:pStyle w:val="Heading4"/>
        <w:spacing w:line="240" w:lineRule="auto"/>
        <w:ind w:right="0"/>
        <w:jc w:val="left"/>
        <w:rPr>
          <w:b w:val="0"/>
          <w:bCs w:val="0"/>
        </w:rPr>
      </w:pPr>
      <w:bookmarkStart w:name="4、处置子公司" w:id="410"/>
      <w:bookmarkEnd w:id="410"/>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before="117"/>
        <w:ind w:left="153" w:right="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是否存在通过多次交易分步处置对子公司投资且在本期丧失控制权的情形</w:t>
      </w:r>
    </w:p>
    <w:p>
      <w:pPr>
        <w:spacing w:before="116"/>
        <w:ind w:left="153" w:right="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其他原因的合并范围变动" w:id="411"/>
      <w:bookmarkEnd w:id="411"/>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pStyle w:val="BodyText"/>
        <w:spacing w:line="240" w:lineRule="auto" w:before="90"/>
        <w:ind w:left="615" w:right="5441"/>
        <w:jc w:val="center"/>
      </w:pPr>
      <w:r>
        <w:rPr>
          <w:rFonts w:ascii="Times New Roman" w:hAnsi="Times New Roman" w:cs="Times New Roman" w:eastAsia="Times New Roman" w:hint="default"/>
        </w:rPr>
        <w:t>2015</w:t>
      </w:r>
      <w:r>
        <w:rPr/>
        <w:t>年度，公司新设以下子公司，均纳入合并范围：</w:t>
      </w:r>
    </w:p>
    <w:p>
      <w:pPr>
        <w:spacing w:line="240" w:lineRule="auto" w:before="10"/>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4112"/>
        <w:gridCol w:w="2268"/>
        <w:gridCol w:w="3263"/>
      </w:tblGrid>
      <w:tr>
        <w:trPr>
          <w:trHeight w:val="355" w:hRule="exact"/>
        </w:trPr>
        <w:tc>
          <w:tcPr>
            <w:tcW w:w="4112"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2268"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705"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3263" w:type="dxa"/>
            <w:tcBorders>
              <w:top w:val="single" w:sz="6" w:space="0" w:color="000000"/>
              <w:left w:val="single" w:sz="6" w:space="0" w:color="000000"/>
              <w:bottom w:val="single" w:sz="12" w:space="0" w:color="000000"/>
              <w:right w:val="nil" w:sz="6" w:space="0" w:color="auto"/>
            </w:tcBorders>
          </w:tcPr>
          <w:p>
            <w:pPr>
              <w:pStyle w:val="TableParagraph"/>
              <w:spacing w:line="271" w:lineRule="exact"/>
              <w:ind w:right="7"/>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352" w:hRule="exact"/>
        </w:trPr>
        <w:tc>
          <w:tcPr>
            <w:tcW w:w="411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萍乡茂硕新能源科技有限公司</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740" w:right="0"/>
              <w:jc w:val="left"/>
              <w:rPr>
                <w:rFonts w:ascii="Times New Roman" w:hAnsi="Times New Roman" w:cs="Times New Roman" w:eastAsia="Times New Roman" w:hint="default"/>
                <w:sz w:val="21"/>
                <w:szCs w:val="21"/>
              </w:rPr>
            </w:pPr>
            <w:r>
              <w:rPr>
                <w:rFonts w:ascii="Times New Roman"/>
                <w:sz w:val="21"/>
              </w:rPr>
              <w:t>2015-2-4</w:t>
            </w:r>
          </w:p>
        </w:tc>
        <w:tc>
          <w:tcPr>
            <w:tcW w:w="3263"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411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海宁茂硕新能源科技有限公司</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688" w:right="0"/>
              <w:jc w:val="left"/>
              <w:rPr>
                <w:rFonts w:ascii="Times New Roman" w:hAnsi="Times New Roman" w:cs="Times New Roman" w:eastAsia="Times New Roman" w:hint="default"/>
                <w:sz w:val="21"/>
                <w:szCs w:val="21"/>
              </w:rPr>
            </w:pPr>
            <w:r>
              <w:rPr>
                <w:rFonts w:ascii="Times New Roman"/>
                <w:sz w:val="21"/>
              </w:rPr>
              <w:t>2015-2-13</w:t>
            </w:r>
          </w:p>
        </w:tc>
        <w:tc>
          <w:tcPr>
            <w:tcW w:w="3263"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7"/>
              <w:jc w:val="center"/>
              <w:rPr>
                <w:rFonts w:ascii="宋体" w:hAnsi="宋体" w:cs="宋体" w:eastAsia="宋体" w:hint="default"/>
                <w:sz w:val="21"/>
                <w:szCs w:val="21"/>
              </w:rPr>
            </w:pPr>
            <w:r>
              <w:rPr>
                <w:rFonts w:ascii="宋体" w:hAnsi="宋体" w:cs="宋体" w:eastAsia="宋体" w:hint="default"/>
                <w:sz w:val="21"/>
                <w:szCs w:val="21"/>
              </w:rPr>
              <w:t>未开展业务</w:t>
            </w:r>
          </w:p>
        </w:tc>
      </w:tr>
      <w:tr>
        <w:trPr>
          <w:trHeight w:val="352" w:hRule="exact"/>
        </w:trPr>
        <w:tc>
          <w:tcPr>
            <w:tcW w:w="411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滕州茂硕新能源科技有限公司</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688" w:right="0"/>
              <w:jc w:val="left"/>
              <w:rPr>
                <w:rFonts w:ascii="Times New Roman" w:hAnsi="Times New Roman" w:cs="Times New Roman" w:eastAsia="Times New Roman" w:hint="default"/>
                <w:sz w:val="21"/>
                <w:szCs w:val="21"/>
              </w:rPr>
            </w:pPr>
            <w:r>
              <w:rPr>
                <w:rFonts w:ascii="Times New Roman"/>
                <w:sz w:val="21"/>
              </w:rPr>
              <w:t>2015-3-27</w:t>
            </w:r>
          </w:p>
        </w:tc>
        <w:tc>
          <w:tcPr>
            <w:tcW w:w="3263"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411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浙江茂硕新能源科技有限公司</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740" w:right="0"/>
              <w:jc w:val="left"/>
              <w:rPr>
                <w:rFonts w:ascii="Times New Roman" w:hAnsi="Times New Roman" w:cs="Times New Roman" w:eastAsia="Times New Roman" w:hint="default"/>
                <w:sz w:val="21"/>
                <w:szCs w:val="21"/>
              </w:rPr>
            </w:pPr>
            <w:r>
              <w:rPr>
                <w:rFonts w:ascii="Times New Roman"/>
                <w:sz w:val="21"/>
              </w:rPr>
              <w:t>2015-5-4</w:t>
            </w:r>
          </w:p>
        </w:tc>
        <w:tc>
          <w:tcPr>
            <w:tcW w:w="3263"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411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同心县茂硕新能源科技有限公司</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688" w:right="0"/>
              <w:jc w:val="left"/>
              <w:rPr>
                <w:rFonts w:ascii="Times New Roman" w:hAnsi="Times New Roman" w:cs="Times New Roman" w:eastAsia="Times New Roman" w:hint="default"/>
                <w:sz w:val="21"/>
                <w:szCs w:val="21"/>
              </w:rPr>
            </w:pPr>
            <w:r>
              <w:rPr>
                <w:rFonts w:ascii="Times New Roman"/>
                <w:sz w:val="21"/>
              </w:rPr>
              <w:t>2015-5-15</w:t>
            </w:r>
          </w:p>
        </w:tc>
        <w:tc>
          <w:tcPr>
            <w:tcW w:w="3263"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7"/>
              <w:jc w:val="center"/>
              <w:rPr>
                <w:rFonts w:ascii="宋体" w:hAnsi="宋体" w:cs="宋体" w:eastAsia="宋体" w:hint="default"/>
                <w:sz w:val="21"/>
                <w:szCs w:val="21"/>
              </w:rPr>
            </w:pPr>
            <w:r>
              <w:rPr>
                <w:rFonts w:ascii="宋体" w:hAnsi="宋体" w:cs="宋体" w:eastAsia="宋体" w:hint="default"/>
                <w:sz w:val="21"/>
                <w:szCs w:val="21"/>
              </w:rPr>
              <w:t>未开展业务</w:t>
            </w:r>
          </w:p>
        </w:tc>
      </w:tr>
      <w:tr>
        <w:trPr>
          <w:trHeight w:val="352" w:hRule="exact"/>
        </w:trPr>
        <w:tc>
          <w:tcPr>
            <w:tcW w:w="411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禹州茂硕新能源有限公司</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635" w:right="0"/>
              <w:jc w:val="left"/>
              <w:rPr>
                <w:rFonts w:ascii="Times New Roman" w:hAnsi="Times New Roman" w:cs="Times New Roman" w:eastAsia="Times New Roman" w:hint="default"/>
                <w:sz w:val="21"/>
                <w:szCs w:val="21"/>
              </w:rPr>
            </w:pPr>
            <w:r>
              <w:rPr>
                <w:rFonts w:ascii="Times New Roman"/>
                <w:sz w:val="21"/>
              </w:rPr>
              <w:t>2015-10-30</w:t>
            </w:r>
          </w:p>
        </w:tc>
        <w:tc>
          <w:tcPr>
            <w:tcW w:w="3263"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7"/>
              <w:jc w:val="center"/>
              <w:rPr>
                <w:rFonts w:ascii="宋体" w:hAnsi="宋体" w:cs="宋体" w:eastAsia="宋体" w:hint="default"/>
                <w:sz w:val="21"/>
                <w:szCs w:val="21"/>
              </w:rPr>
            </w:pPr>
            <w:r>
              <w:rPr>
                <w:rFonts w:ascii="宋体" w:hAnsi="宋体" w:cs="宋体" w:eastAsia="宋体" w:hint="default"/>
                <w:sz w:val="21"/>
                <w:szCs w:val="21"/>
              </w:rPr>
              <w:t>未开展业务</w:t>
            </w:r>
          </w:p>
        </w:tc>
      </w:tr>
      <w:tr>
        <w:trPr>
          <w:trHeight w:val="352" w:hRule="exact"/>
        </w:trPr>
        <w:tc>
          <w:tcPr>
            <w:tcW w:w="411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深圳前海茂硕新能源科技有限公司</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688" w:right="0"/>
              <w:jc w:val="left"/>
              <w:rPr>
                <w:rFonts w:ascii="Times New Roman" w:hAnsi="Times New Roman" w:cs="Times New Roman" w:eastAsia="Times New Roman" w:hint="default"/>
                <w:sz w:val="21"/>
                <w:szCs w:val="21"/>
              </w:rPr>
            </w:pPr>
            <w:r>
              <w:rPr>
                <w:rFonts w:ascii="Times New Roman"/>
                <w:sz w:val="21"/>
              </w:rPr>
              <w:t>2015-11-3</w:t>
            </w:r>
          </w:p>
        </w:tc>
        <w:tc>
          <w:tcPr>
            <w:tcW w:w="3263"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7"/>
              <w:jc w:val="center"/>
              <w:rPr>
                <w:rFonts w:ascii="宋体" w:hAnsi="宋体" w:cs="宋体" w:eastAsia="宋体" w:hint="default"/>
                <w:sz w:val="21"/>
                <w:szCs w:val="21"/>
              </w:rPr>
            </w:pPr>
            <w:r>
              <w:rPr>
                <w:rFonts w:ascii="宋体" w:hAnsi="宋体" w:cs="宋体" w:eastAsia="宋体" w:hint="default"/>
                <w:sz w:val="21"/>
                <w:szCs w:val="21"/>
              </w:rPr>
              <w:t>未开展业务</w:t>
            </w:r>
          </w:p>
        </w:tc>
      </w:tr>
      <w:tr>
        <w:trPr>
          <w:trHeight w:val="353" w:hRule="exact"/>
        </w:trPr>
        <w:tc>
          <w:tcPr>
            <w:tcW w:w="411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湖南茂硕新能源科技有限公司</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688" w:right="0"/>
              <w:jc w:val="left"/>
              <w:rPr>
                <w:rFonts w:ascii="Times New Roman" w:hAnsi="Times New Roman" w:cs="Times New Roman" w:eastAsia="Times New Roman" w:hint="default"/>
                <w:sz w:val="21"/>
                <w:szCs w:val="21"/>
              </w:rPr>
            </w:pPr>
            <w:r>
              <w:rPr>
                <w:rFonts w:ascii="Times New Roman"/>
                <w:sz w:val="21"/>
              </w:rPr>
              <w:t>2015-11-5</w:t>
            </w:r>
          </w:p>
        </w:tc>
        <w:tc>
          <w:tcPr>
            <w:tcW w:w="3263"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7"/>
              <w:jc w:val="center"/>
              <w:rPr>
                <w:rFonts w:ascii="宋体" w:hAnsi="宋体" w:cs="宋体" w:eastAsia="宋体" w:hint="default"/>
                <w:sz w:val="21"/>
                <w:szCs w:val="21"/>
              </w:rPr>
            </w:pPr>
            <w:r>
              <w:rPr>
                <w:rFonts w:ascii="宋体" w:hAnsi="宋体" w:cs="宋体" w:eastAsia="宋体" w:hint="default"/>
                <w:sz w:val="21"/>
                <w:szCs w:val="21"/>
              </w:rPr>
              <w:t>未开展业务</w:t>
            </w:r>
          </w:p>
        </w:tc>
      </w:tr>
      <w:tr>
        <w:trPr>
          <w:trHeight w:val="352" w:hRule="exact"/>
        </w:trPr>
        <w:tc>
          <w:tcPr>
            <w:tcW w:w="411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日照茂硕新能源科技有限公司</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688" w:right="0"/>
              <w:jc w:val="left"/>
              <w:rPr>
                <w:rFonts w:ascii="Times New Roman" w:hAnsi="Times New Roman" w:cs="Times New Roman" w:eastAsia="Times New Roman" w:hint="default"/>
                <w:sz w:val="21"/>
                <w:szCs w:val="21"/>
              </w:rPr>
            </w:pPr>
            <w:r>
              <w:rPr>
                <w:rFonts w:ascii="Times New Roman"/>
                <w:sz w:val="21"/>
              </w:rPr>
              <w:t>2015-12-2</w:t>
            </w:r>
          </w:p>
        </w:tc>
        <w:tc>
          <w:tcPr>
            <w:tcW w:w="3263"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7"/>
              <w:jc w:val="center"/>
              <w:rPr>
                <w:rFonts w:ascii="宋体" w:hAnsi="宋体" w:cs="宋体" w:eastAsia="宋体" w:hint="default"/>
                <w:sz w:val="21"/>
                <w:szCs w:val="21"/>
              </w:rPr>
            </w:pPr>
            <w:r>
              <w:rPr>
                <w:rFonts w:ascii="宋体" w:hAnsi="宋体" w:cs="宋体" w:eastAsia="宋体" w:hint="default"/>
                <w:sz w:val="21"/>
                <w:szCs w:val="21"/>
              </w:rPr>
              <w:t>未开展业务</w:t>
            </w:r>
          </w:p>
        </w:tc>
      </w:tr>
      <w:tr>
        <w:trPr>
          <w:trHeight w:val="352" w:hRule="exact"/>
        </w:trPr>
        <w:tc>
          <w:tcPr>
            <w:tcW w:w="411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灵武市茂硕新能源科技有限公司</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635" w:right="0"/>
              <w:jc w:val="left"/>
              <w:rPr>
                <w:rFonts w:ascii="Times New Roman" w:hAnsi="Times New Roman" w:cs="Times New Roman" w:eastAsia="Times New Roman" w:hint="default"/>
                <w:sz w:val="21"/>
                <w:szCs w:val="21"/>
              </w:rPr>
            </w:pPr>
            <w:r>
              <w:rPr>
                <w:rFonts w:ascii="Times New Roman"/>
                <w:sz w:val="21"/>
              </w:rPr>
              <w:t>2015-12-24</w:t>
            </w:r>
          </w:p>
        </w:tc>
        <w:tc>
          <w:tcPr>
            <w:tcW w:w="3263"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7"/>
              <w:jc w:val="center"/>
              <w:rPr>
                <w:rFonts w:ascii="宋体" w:hAnsi="宋体" w:cs="宋体" w:eastAsia="宋体" w:hint="default"/>
                <w:sz w:val="21"/>
                <w:szCs w:val="21"/>
              </w:rPr>
            </w:pPr>
            <w:r>
              <w:rPr>
                <w:rFonts w:ascii="宋体" w:hAnsi="宋体" w:cs="宋体" w:eastAsia="宋体" w:hint="default"/>
                <w:sz w:val="21"/>
                <w:szCs w:val="21"/>
              </w:rPr>
              <w:t>未开展业务</w:t>
            </w:r>
          </w:p>
        </w:tc>
      </w:tr>
      <w:tr>
        <w:trPr>
          <w:trHeight w:val="353" w:hRule="exact"/>
        </w:trPr>
        <w:tc>
          <w:tcPr>
            <w:tcW w:w="411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江苏茂硕新能源科技发展有限公司</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635" w:right="0"/>
              <w:jc w:val="left"/>
              <w:rPr>
                <w:rFonts w:ascii="Times New Roman" w:hAnsi="Times New Roman" w:cs="Times New Roman" w:eastAsia="Times New Roman" w:hint="default"/>
                <w:sz w:val="21"/>
                <w:szCs w:val="21"/>
              </w:rPr>
            </w:pPr>
            <w:r>
              <w:rPr>
                <w:rFonts w:ascii="Times New Roman"/>
                <w:sz w:val="21"/>
              </w:rPr>
              <w:t>2015-12-25</w:t>
            </w:r>
          </w:p>
        </w:tc>
        <w:tc>
          <w:tcPr>
            <w:tcW w:w="3263"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7"/>
              <w:jc w:val="center"/>
              <w:rPr>
                <w:rFonts w:ascii="宋体" w:hAnsi="宋体" w:cs="宋体" w:eastAsia="宋体" w:hint="default"/>
                <w:sz w:val="21"/>
                <w:szCs w:val="21"/>
              </w:rPr>
            </w:pPr>
            <w:r>
              <w:rPr>
                <w:rFonts w:ascii="宋体" w:hAnsi="宋体" w:cs="宋体" w:eastAsia="宋体" w:hint="default"/>
                <w:sz w:val="21"/>
                <w:szCs w:val="21"/>
              </w:rPr>
              <w:t>未开展业务</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spacing w:line="487" w:lineRule="auto" w:before="35"/>
        <w:ind w:left="153" w:right="7693" w:firstLine="0"/>
        <w:jc w:val="left"/>
        <w:rPr>
          <w:rFonts w:ascii="宋体" w:hAnsi="宋体" w:cs="宋体" w:eastAsia="宋体" w:hint="default"/>
          <w:sz w:val="21"/>
          <w:szCs w:val="21"/>
        </w:rPr>
      </w:pPr>
      <w:bookmarkStart w:name="6、其他" w:id="412"/>
      <w:bookmarkEnd w:id="412"/>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413"/>
      <w:bookmarkEnd w:id="413"/>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414"/>
      <w:bookmarkEnd w:id="414"/>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4"/>
        <w:spacing w:line="240" w:lineRule="auto" w:before="83"/>
        <w:ind w:right="0"/>
        <w:jc w:val="left"/>
        <w:rPr>
          <w:b w:val="0"/>
          <w:bCs w:val="0"/>
        </w:rPr>
      </w:pPr>
      <w:bookmarkStart w:name="（1）企业集团的构成" w:id="415"/>
      <w:bookmarkEnd w:id="415"/>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
              <w:jc w:val="both"/>
              <w:rPr>
                <w:rFonts w:ascii="宋体" w:hAnsi="宋体" w:cs="宋体" w:eastAsia="宋体" w:hint="default"/>
                <w:sz w:val="18"/>
                <w:szCs w:val="18"/>
              </w:rPr>
            </w:pPr>
            <w:r>
              <w:rPr>
                <w:rFonts w:ascii="宋体" w:hAnsi="宋体" w:cs="宋体" w:eastAsia="宋体" w:hint="default"/>
                <w:sz w:val="18"/>
                <w:szCs w:val="18"/>
              </w:rPr>
              <w:t>深圳茂硕新能源 技术研究院有限 公司（以下简称 </w:t>
            </w:r>
            <w:r>
              <w:rPr>
                <w:rFonts w:ascii="宋体" w:hAnsi="宋体" w:cs="宋体" w:eastAsia="宋体" w:hint="default"/>
                <w:spacing w:val="-12"/>
                <w:sz w:val="18"/>
                <w:szCs w:val="18"/>
              </w:rPr>
              <w:t>“茂硕研究院”）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惠州茂硕能源科 技有限公司（以 下简称“惠州茂 </w:t>
            </w:r>
            <w:r>
              <w:rPr>
                <w:rFonts w:ascii="宋体" w:hAnsi="宋体" w:cs="宋体" w:eastAsia="宋体" w:hint="default"/>
                <w:spacing w:val="-30"/>
                <w:sz w:val="18"/>
                <w:szCs w:val="18"/>
              </w:rPr>
              <w:t>硕”）</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广东惠州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广东惠州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89.64%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869" w:right="0"/>
              <w:jc w:val="left"/>
              <w:rPr>
                <w:rFonts w:ascii="Times New Roman" w:hAnsi="Times New Roman" w:cs="Times New Roman" w:eastAsia="Times New Roman" w:hint="default"/>
                <w:sz w:val="18"/>
                <w:szCs w:val="18"/>
              </w:rPr>
            </w:pPr>
            <w:r>
              <w:rPr>
                <w:rFonts w:ascii="Times New Roman"/>
                <w:sz w:val="18"/>
              </w:rPr>
              <w:t>0.36%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深圳茂硕电子科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茂硕能源科技</w:t>
            </w:r>
          </w:p>
          <w:p>
            <w:pPr>
              <w:pStyle w:val="TableParagraph"/>
              <w:spacing w:line="319" w:lineRule="auto" w:before="76"/>
              <w:ind w:left="22" w:right="77"/>
              <w:jc w:val="left"/>
              <w:rPr>
                <w:rFonts w:ascii="宋体" w:hAnsi="宋体" w:cs="宋体" w:eastAsia="宋体" w:hint="default"/>
                <w:sz w:val="18"/>
                <w:szCs w:val="18"/>
              </w:rPr>
            </w:pPr>
            <w:r>
              <w:rPr>
                <w:rFonts w:ascii="宋体" w:hAnsi="宋体" w:cs="宋体" w:eastAsia="宋体" w:hint="default"/>
                <w:sz w:val="18"/>
                <w:szCs w:val="18"/>
              </w:rPr>
              <w:t>（香港）国际有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贸易型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深圳茂硕新能源 科技有限公司</w:t>
            </w:r>
          </w:p>
          <w:p>
            <w:pPr>
              <w:pStyle w:val="TableParagraph"/>
              <w:spacing w:line="319" w:lineRule="auto" w:before="17"/>
              <w:ind w:left="22" w:right="77"/>
              <w:jc w:val="left"/>
              <w:rPr>
                <w:rFonts w:ascii="宋体" w:hAnsi="宋体" w:cs="宋体" w:eastAsia="宋体" w:hint="default"/>
                <w:sz w:val="18"/>
                <w:szCs w:val="18"/>
              </w:rPr>
            </w:pPr>
            <w:r>
              <w:rPr>
                <w:rFonts w:ascii="宋体" w:hAnsi="宋体" w:cs="宋体" w:eastAsia="宋体" w:hint="default"/>
                <w:sz w:val="18"/>
                <w:szCs w:val="18"/>
              </w:rPr>
              <w:t>（以下简称“茂 </w:t>
            </w:r>
            <w:r>
              <w:rPr>
                <w:rFonts w:ascii="宋体" w:hAnsi="宋体" w:cs="宋体" w:eastAsia="宋体" w:hint="default"/>
                <w:spacing w:val="-15"/>
                <w:sz w:val="18"/>
                <w:szCs w:val="18"/>
              </w:rPr>
              <w:t>硕新能源”）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91.24%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海宁茂硕诺华能 源有限公司（以 下简称“海宁茂 </w:t>
            </w:r>
            <w:r>
              <w:rPr>
                <w:rFonts w:ascii="宋体" w:hAnsi="宋体" w:cs="宋体" w:eastAsia="宋体" w:hint="default"/>
                <w:spacing w:val="-30"/>
                <w:sz w:val="18"/>
                <w:szCs w:val="18"/>
              </w:rPr>
              <w:t>硕”）</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浙江海宁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浙江海宁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70.60%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
              <w:jc w:val="both"/>
              <w:rPr>
                <w:rFonts w:ascii="宋体" w:hAnsi="宋体" w:cs="宋体" w:eastAsia="宋体" w:hint="default"/>
                <w:sz w:val="18"/>
                <w:szCs w:val="18"/>
              </w:rPr>
            </w:pPr>
            <w:r>
              <w:rPr>
                <w:rFonts w:ascii="宋体" w:hAnsi="宋体" w:cs="宋体" w:eastAsia="宋体" w:hint="default"/>
                <w:sz w:val="18"/>
                <w:szCs w:val="18"/>
              </w:rPr>
              <w:t>深圳茂硕电气有 限公司（以下简 </w:t>
            </w:r>
            <w:r>
              <w:rPr>
                <w:rFonts w:ascii="宋体" w:hAnsi="宋体" w:cs="宋体" w:eastAsia="宋体" w:hint="default"/>
                <w:spacing w:val="-12"/>
                <w:sz w:val="18"/>
                <w:szCs w:val="18"/>
              </w:rPr>
              <w:t>称“茂硕电气”）</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深圳茂硕钜泽科 技有限公司（以 下简称“茂硕钜 </w:t>
            </w:r>
            <w:r>
              <w:rPr>
                <w:rFonts w:ascii="宋体" w:hAnsi="宋体" w:cs="宋体" w:eastAsia="宋体" w:hint="default"/>
                <w:spacing w:val="-30"/>
                <w:sz w:val="18"/>
                <w:szCs w:val="18"/>
              </w:rPr>
              <w:t>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贸易型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
              <w:jc w:val="both"/>
              <w:rPr>
                <w:rFonts w:ascii="宋体" w:hAnsi="宋体" w:cs="宋体" w:eastAsia="宋体" w:hint="default"/>
                <w:sz w:val="18"/>
                <w:szCs w:val="18"/>
              </w:rPr>
            </w:pPr>
            <w:r>
              <w:rPr>
                <w:rFonts w:ascii="宋体" w:hAnsi="宋体" w:cs="宋体" w:eastAsia="宋体" w:hint="default"/>
                <w:sz w:val="18"/>
                <w:szCs w:val="18"/>
              </w:rPr>
              <w:t>深圳曦港科技有 限公司（以下简 </w:t>
            </w:r>
            <w:r>
              <w:rPr>
                <w:rFonts w:ascii="宋体" w:hAnsi="宋体" w:cs="宋体" w:eastAsia="宋体" w:hint="default"/>
                <w:spacing w:val="-12"/>
                <w:sz w:val="18"/>
                <w:szCs w:val="18"/>
              </w:rPr>
              <w:t>称“曦港科技”）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贸易型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新余茂硕新能源 科技有限公司</w:t>
            </w:r>
          </w:p>
          <w:p>
            <w:pPr>
              <w:pStyle w:val="TableParagraph"/>
              <w:spacing w:line="319" w:lineRule="auto" w:before="19"/>
              <w:ind w:left="22" w:right="77"/>
              <w:jc w:val="left"/>
              <w:rPr>
                <w:rFonts w:ascii="宋体" w:hAnsi="宋体" w:cs="宋体" w:eastAsia="宋体" w:hint="default"/>
                <w:sz w:val="18"/>
                <w:szCs w:val="18"/>
              </w:rPr>
            </w:pPr>
            <w:r>
              <w:rPr>
                <w:rFonts w:ascii="宋体" w:hAnsi="宋体" w:cs="宋体" w:eastAsia="宋体" w:hint="default"/>
                <w:sz w:val="18"/>
                <w:szCs w:val="18"/>
              </w:rPr>
              <w:t>（以下简称“新 </w:t>
            </w:r>
            <w:r>
              <w:rPr>
                <w:rFonts w:ascii="宋体" w:hAnsi="宋体" w:cs="宋体" w:eastAsia="宋体" w:hint="default"/>
                <w:spacing w:val="-18"/>
                <w:sz w:val="18"/>
                <w:szCs w:val="18"/>
              </w:rPr>
              <w:t>余茂硕”）</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江西新余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江西新余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93.24%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台州与与新能源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浙江台州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浙江台州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台州南瑞新能源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浙江台州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浙江台州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湖南省方正达电 子科技有限公司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湖南平江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湖南平江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56.24%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深圳市正明达电 子有限公司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萍乡茂硕新能源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江西萍乡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江西萍乡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海宁茂硕新能源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浙江海宁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浙江海宁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滕州茂硕新能源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山东滕州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山东滕州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浙江茂硕新能源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同心县茂硕新能 源科技有限公司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宁夏同心县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宁夏同心县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技术咨询</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禹州茂硕新能源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河南许昌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河南许昌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深圳前海茂硕新 能源科技有限公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湖南茂硕新能源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湖南长沙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湖南长沙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日照茂硕新能源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山东日照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山东日照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灵武市茂硕新能 源科技有限公司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宁夏灵武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宁夏灵武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江苏茂硕新能源 科技发展有限公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江苏连云港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江苏连云港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bl>
    <w:p>
      <w:pPr>
        <w:spacing w:line="360" w:lineRule="auto" w:before="51"/>
        <w:ind w:left="153" w:right="2833"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spacing w:line="360" w:lineRule="auto" w:before="26"/>
        <w:ind w:left="154" w:right="7692" w:firstLine="0"/>
        <w:jc w:val="left"/>
        <w:rPr>
          <w:rFonts w:ascii="宋体" w:hAnsi="宋体" w:cs="宋体" w:eastAsia="宋体" w:hint="default"/>
          <w:sz w:val="18"/>
          <w:szCs w:val="18"/>
        </w:rPr>
      </w:pPr>
      <w:r>
        <w:rPr>
          <w:rFonts w:ascii="宋体" w:hAnsi="宋体" w:cs="宋体" w:eastAsia="宋体" w:hint="default"/>
          <w:sz w:val="18"/>
          <w:szCs w:val="18"/>
        </w:rPr>
        <w:t>确定公司是代理人还是委托人的依据： 其他说明：</w:t>
      </w:r>
    </w:p>
    <w:p>
      <w:pPr>
        <w:spacing w:line="240" w:lineRule="auto" w:before="11"/>
        <w:rPr>
          <w:rFonts w:ascii="宋体" w:hAnsi="宋体" w:cs="宋体" w:eastAsia="宋体" w:hint="default"/>
          <w:sz w:val="19"/>
          <w:szCs w:val="19"/>
        </w:rPr>
      </w:pPr>
    </w:p>
    <w:p>
      <w:pPr>
        <w:pStyle w:val="Heading4"/>
        <w:spacing w:line="240" w:lineRule="auto"/>
        <w:ind w:left="154" w:right="0"/>
        <w:jc w:val="left"/>
        <w:rPr>
          <w:b w:val="0"/>
          <w:bCs w:val="0"/>
        </w:rPr>
      </w:pPr>
      <w:bookmarkStart w:name="（2）重要的非全资子公司" w:id="416"/>
      <w:bookmarkEnd w:id="416"/>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惠州茂硕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-889,551.50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33,732,463.65</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茂硕新能源</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169,677.17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2,943,989.07</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海宁茂硕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489,801.91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15,111,666.49</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茂硕电气</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-2,240,239.87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720,250.32</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湖南方正达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17,707,210.70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72,579,009.38</w:t>
            </w:r>
          </w:p>
        </w:tc>
      </w:tr>
    </w:tbl>
    <w:p>
      <w:pPr>
        <w:spacing w:line="360" w:lineRule="auto" w:before="51"/>
        <w:ind w:left="154" w:right="6432"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 其他说明：</w:t>
      </w:r>
    </w:p>
    <w:p>
      <w:pPr>
        <w:spacing w:line="240" w:lineRule="auto" w:before="12"/>
        <w:rPr>
          <w:rFonts w:ascii="宋体" w:hAnsi="宋体" w:cs="宋体" w:eastAsia="宋体" w:hint="default"/>
          <w:sz w:val="19"/>
          <w:szCs w:val="19"/>
        </w:rPr>
      </w:pPr>
    </w:p>
    <w:p>
      <w:pPr>
        <w:pStyle w:val="Heading4"/>
        <w:spacing w:line="240" w:lineRule="auto"/>
        <w:ind w:left="154" w:right="0"/>
        <w:jc w:val="left"/>
        <w:rPr>
          <w:b w:val="0"/>
          <w:bCs w:val="0"/>
        </w:rPr>
      </w:pPr>
      <w:bookmarkStart w:name="（3）重要非全资子公司的主要财务信息" w:id="417"/>
      <w:bookmarkEnd w:id="417"/>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惠州茂 硕</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362,120,</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098.26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258,579,</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263.93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620,699,</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362.19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276,778,</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094.03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6,596,63</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1.68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283,374,</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725.71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145,378,</w:t>
            </w:r>
          </w:p>
          <w:p>
            <w:pPr>
              <w:pStyle w:val="TableParagraph"/>
              <w:spacing w:line="240" w:lineRule="auto" w:before="106"/>
              <w:ind w:left="185" w:right="0"/>
              <w:jc w:val="center"/>
              <w:rPr>
                <w:rFonts w:ascii="Times New Roman" w:hAnsi="Times New Roman" w:cs="Times New Roman" w:eastAsia="Times New Roman" w:hint="default"/>
                <w:sz w:val="18"/>
                <w:szCs w:val="18"/>
              </w:rPr>
            </w:pPr>
            <w:r>
              <w:rPr>
                <w:rFonts w:ascii="Times New Roman"/>
                <w:sz w:val="18"/>
              </w:rPr>
              <w:t>219.60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243,944,</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791.57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389,323,</w:t>
            </w:r>
          </w:p>
          <w:p>
            <w:pPr>
              <w:pStyle w:val="TableParagraph"/>
              <w:spacing w:line="240" w:lineRule="auto" w:before="106"/>
              <w:ind w:left="190" w:right="0"/>
              <w:jc w:val="center"/>
              <w:rPr>
                <w:rFonts w:ascii="Times New Roman" w:hAnsi="Times New Roman" w:cs="Times New Roman" w:eastAsia="Times New Roman" w:hint="default"/>
                <w:sz w:val="18"/>
                <w:szCs w:val="18"/>
              </w:rPr>
            </w:pPr>
            <w:r>
              <w:rPr>
                <w:rFonts w:ascii="Times New Roman"/>
                <w:sz w:val="18"/>
              </w:rPr>
              <w:t>011.17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39,208,1</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68.28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3,894,69</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1.41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43,102,8</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59.69</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茂硕新 能源</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61,621,5</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95.08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71,765,3</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55.72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133,386,</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950.80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104,219,</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037.50</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104,219,</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037.50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33,211,4</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23.21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8,437,66</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8.99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41,649,0</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92.20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15,579,3</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17.09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15,579,3</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17.09</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海宁茂 硕</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19,714,1</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05.09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100,536,</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863.84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120,250,</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968.93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68,850,7</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42.79</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68,850,7</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42.79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20,730,7</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58.26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105,689,</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568.99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126,420,</w:t>
            </w:r>
          </w:p>
          <w:p>
            <w:pPr>
              <w:pStyle w:val="TableParagraph"/>
              <w:spacing w:line="240" w:lineRule="auto" w:before="106"/>
              <w:ind w:left="185" w:right="0"/>
              <w:jc w:val="center"/>
              <w:rPr>
                <w:rFonts w:ascii="Times New Roman" w:hAnsi="Times New Roman" w:cs="Times New Roman" w:eastAsia="Times New Roman" w:hint="default"/>
                <w:sz w:val="18"/>
                <w:szCs w:val="18"/>
              </w:rPr>
            </w:pPr>
            <w:r>
              <w:rPr>
                <w:rFonts w:ascii="Times New Roman"/>
                <w:sz w:val="18"/>
              </w:rPr>
              <w:t>327.25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76,686,0</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93.97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76,686,0</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93.97</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茂硕电 气</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37,684,3</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33.96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7,771,48</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1.43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45,455,8</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15.39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41,272,8</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85.09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1,301,92</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9.04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42,574,8</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14.13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19,421,7</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43.01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6,700,41</w:t>
            </w:r>
          </w:p>
          <w:p>
            <w:pPr>
              <w:pStyle w:val="TableParagraph"/>
              <w:spacing w:line="240" w:lineRule="auto" w:before="106"/>
              <w:ind w:left="393" w:right="0"/>
              <w:jc w:val="left"/>
              <w:rPr>
                <w:rFonts w:ascii="Times New Roman" w:hAnsi="Times New Roman" w:cs="Times New Roman" w:eastAsia="Times New Roman" w:hint="default"/>
                <w:sz w:val="18"/>
                <w:szCs w:val="18"/>
              </w:rPr>
            </w:pPr>
            <w:r>
              <w:rPr>
                <w:rFonts w:ascii="Times New Roman"/>
                <w:sz w:val="18"/>
              </w:rPr>
              <w:t>2.11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26,122,1</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55.12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16,251,4</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42.40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61,186.6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16,312,6</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29.01</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湖南方 正达</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214,526,</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407.18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93,150,7</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41.44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307,677,</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148.62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147,142,</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493.61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149,142,</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493.61</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spacing w:before="5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惠州茂硕</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387,162,901.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-8,895,515.00</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53,301,966.2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6,168,373.73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-1,166,516.25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114,694,731.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77</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茂硕新能源</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27,535,584.9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2,608,138.19</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76,761,916.4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25,136,453.1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-3,103,324.39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-4,986,556.71</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海宁茂硕</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16,241,383.9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1,665,992.86</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10,899,368.4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5" w:right="0"/>
              <w:jc w:val="center"/>
              <w:rPr>
                <w:rFonts w:ascii="Times New Roman" w:hAnsi="Times New Roman" w:cs="Times New Roman" w:eastAsia="Times New Roman" w:hint="default"/>
                <w:sz w:val="18"/>
                <w:szCs w:val="18"/>
              </w:rPr>
            </w:pPr>
            <w:r>
              <w:rPr>
                <w:rFonts w:ascii="Times New Roman"/>
                <w:sz w:val="18"/>
              </w:rPr>
              <w:t>-265,766.72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-389,134.02</w:t>
            </w:r>
            <w:r>
              <w:rPr>
                <w:rFonts w:ascii="Times New Roman"/>
                <w:sz w:val="18"/>
              </w:rPr>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茂硕电气</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26,582,357.9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-6,928,524.85</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-10,748,163.0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12,237,321.6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5" w:right="0"/>
              <w:jc w:val="center"/>
              <w:rPr>
                <w:rFonts w:ascii="Times New Roman" w:hAnsi="Times New Roman" w:cs="Times New Roman" w:eastAsia="Times New Roman" w:hint="default"/>
                <w:sz w:val="18"/>
                <w:szCs w:val="18"/>
              </w:rPr>
            </w:pPr>
            <w:r>
              <w:rPr>
                <w:rFonts w:ascii="Times New Roman"/>
                <w:sz w:val="18"/>
              </w:rPr>
              <w:t>-190,473.89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-4,866,472.26</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湖南方正达</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257,988,452.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40,817,530.9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14,943,173.2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使用企业集团资产和清偿企业集团债务的重大限制" w:id="418"/>
      <w:bookmarkEnd w:id="418"/>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5）向纳入合并财务报表范围的结构化主体提供的财务支持或其他支持" w:id="419"/>
      <w:bookmarkEnd w:id="419"/>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在子公司的所有者权益份额发生变化且仍控制子公司的交易" w:id="420"/>
      <w:bookmarkEnd w:id="420"/>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spacing w:line="506" w:lineRule="auto" w:before="0"/>
        <w:ind w:left="154" w:right="0" w:firstLine="0"/>
        <w:jc w:val="left"/>
        <w:rPr>
          <w:rFonts w:ascii="宋体" w:hAnsi="宋体" w:cs="宋体" w:eastAsia="宋体" w:hint="default"/>
          <w:sz w:val="21"/>
          <w:szCs w:val="21"/>
        </w:rPr>
      </w:pPr>
      <w:bookmarkStart w:name="（1）在子公司所有者权益份额发生变化的情况说明" w:id="421"/>
      <w:bookmarkEnd w:id="42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）在子公司所有者权益份额发生变化的情况说明</w:t>
      </w:r>
      <w:r>
        <w:rPr>
          <w:rFonts w:ascii="宋体" w:hAnsi="宋体" w:cs="宋体" w:eastAsia="宋体" w:hint="default"/>
          <w:b/>
          <w:bCs/>
          <w:w w:val="99"/>
          <w:sz w:val="21"/>
          <w:szCs w:val="21"/>
        </w:rPr>
        <w:t> </w:t>
      </w:r>
      <w:r>
        <w:rPr>
          <w:rFonts w:ascii="宋体" w:hAnsi="宋体" w:cs="宋体" w:eastAsia="宋体" w:hint="default"/>
          <w:spacing w:val="-1"/>
          <w:sz w:val="21"/>
          <w:szCs w:val="21"/>
        </w:rPr>
        <w:t>2015</w:t>
      </w:r>
      <w:r>
        <w:rPr>
          <w:rFonts w:ascii="宋体" w:hAnsi="宋体" w:cs="宋体" w:eastAsia="宋体" w:hint="default"/>
          <w:spacing w:val="-1"/>
          <w:sz w:val="21"/>
          <w:szCs w:val="21"/>
        </w:rPr>
        <w:t>年度，茂硕电源收购茂硕投资持有茂硕电气的股份，导致本公司在子公司的所有者权益减少，在合并</w:t>
      </w:r>
    </w:p>
    <w:p>
      <w:pPr>
        <w:spacing w:after="0" w:line="506" w:lineRule="auto"/>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0"/>
        <w:jc w:val="left"/>
      </w:pPr>
      <w:r>
        <w:rPr/>
        <w:t>报表时调减资本公积</w:t>
      </w:r>
      <w:r>
        <w:rPr>
          <w:rFonts w:ascii="宋体" w:hAnsi="宋体" w:cs="宋体" w:eastAsia="宋体" w:hint="default"/>
        </w:rPr>
        <w:t>4,017,632.36</w:t>
      </w:r>
      <w:r>
        <w:rPr/>
        <w:t>元；</w:t>
      </w:r>
      <w:r>
        <w:rPr>
          <w:spacing w:val="-2"/>
        </w:rPr>
        <w:t> </w:t>
      </w:r>
      <w:r>
        <w:rPr>
          <w:rFonts w:ascii="宋体" w:hAnsi="宋体" w:cs="宋体" w:eastAsia="宋体" w:hint="default"/>
          <w:spacing w:val="-1"/>
        </w:rPr>
        <w:t>2015</w:t>
      </w:r>
      <w:r>
        <w:rPr>
          <w:spacing w:val="-1"/>
        </w:rPr>
        <w:t>年度，茂硕电源收购茂硕新能源少数股东股份，导致本公司在子公司所有者权益减少，在合并报表时</w:t>
      </w:r>
      <w:r>
        <w:rPr>
          <w:spacing w:val="-81"/>
        </w:rPr>
        <w:t> </w:t>
      </w:r>
      <w:r>
        <w:rPr>
          <w:spacing w:val="-81"/>
        </w:rPr>
      </w:r>
      <w:r>
        <w:rPr/>
        <w:t>调减资本公积</w:t>
      </w:r>
      <w:r>
        <w:rPr>
          <w:rFonts w:ascii="宋体" w:hAnsi="宋体" w:cs="宋体" w:eastAsia="宋体" w:hint="default"/>
        </w:rPr>
        <w:t>4,589,844.31</w:t>
      </w:r>
      <w:r>
        <w:rPr/>
        <w:t>元。</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ind w:right="0"/>
        <w:jc w:val="left"/>
        <w:rPr>
          <w:b w:val="0"/>
          <w:bCs w:val="0"/>
        </w:rPr>
      </w:pPr>
      <w:bookmarkStart w:name="（2）交易对于少数股东权益及归属于母公司所有者权益的影响" w:id="422"/>
      <w:bookmarkEnd w:id="422"/>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7"/>
          <w:szCs w:val="7"/>
        </w:rPr>
      </w:pPr>
    </w:p>
    <w:p>
      <w:pPr>
        <w:spacing w:line="422"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5pt;mso-position-horizontal-relative:char;mso-position-vertical-relative:line" coordorigin="0,0" coordsize="9579,423">
            <v:group style="position:absolute;left:21;top:16;width:2;height:392" coordorigin="21,16" coordsize="2,392">
              <v:shape style="position:absolute;left:21;top:16;width:2;height:392" coordorigin="21,16" coordsize="0,392" path="m21,16l21,407e" filled="false" stroked="true" strokeweight="1.140pt" strokecolor="#d2d2d2">
                <v:path arrowok="t"/>
              </v:shape>
            </v:group>
            <v:group style="position:absolute;left:4773;top:16;width:2;height:392" coordorigin="4773,16" coordsize="2,392">
              <v:shape style="position:absolute;left:4773;top:16;width:2;height:392" coordorigin="4773,16" coordsize="0,392" path="m4773,16l4773,407e" filled="false" stroked="true" strokeweight="1.140pt" strokecolor="#d2d2d2">
                <v:path arrowok="t"/>
              </v:shape>
            </v:group>
            <v:group style="position:absolute;left:32;top:16;width:4729;height:392" coordorigin="32,16" coordsize="4729,392">
              <v:shape style="position:absolute;left:32;top:16;width:4729;height:392" coordorigin="32,16" coordsize="4729,392" path="m32,407l4761,407,4761,16,32,16,32,407xe" filled="true" fillcolor="#d2d2d2" stroked="false">
                <v:path arrowok="t"/>
                <v:fill type="solid"/>
              </v:shape>
            </v:group>
            <v:group style="position:absolute;left:4806;top:16;width:2;height:392" coordorigin="4806,16" coordsize="2,392">
              <v:shape style="position:absolute;left:4806;top:16;width:2;height:392" coordorigin="4806,16" coordsize="0,392" path="m4806,16l4806,407e" filled="false" stroked="true" strokeweight="1.140pt" strokecolor="#e0ffff">
                <v:path arrowok="t"/>
              </v:shape>
            </v:group>
            <v:group style="position:absolute;left:9557;top:16;width:2;height:392" coordorigin="9557,16" coordsize="2,392">
              <v:shape style="position:absolute;left:9557;top:16;width:2;height:392" coordorigin="9557,16" coordsize="0,392" path="m9557,16l9557,407e" filled="false" stroked="true" strokeweight="1.140pt" strokecolor="#e0ffff">
                <v:path arrowok="t"/>
              </v:shape>
            </v:group>
            <v:group style="position:absolute;left:4818;top:16;width:4729;height:392" coordorigin="4818,16" coordsize="4729,392">
              <v:shape style="position:absolute;left:4818;top:16;width:4729;height:392" coordorigin="4818,16" coordsize="4729,392" path="m4818,407l9546,407,9546,16,4818,16,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6;height:2" coordorigin="10,413" coordsize="4776,2">
              <v:shape style="position:absolute;left:10;top:413;width:4776;height:2" coordorigin="10,413" coordsize="4776,0" path="m10,413l4785,413e" filled="false" stroked="true" strokeweight=".48pt" strokecolor="#000000">
                <v:path arrowok="t"/>
              </v:shape>
            </v:group>
            <v:group style="position:absolute;left:4790;top:5;width:2;height:413" coordorigin="4790,5" coordsize="2,413">
              <v:shape style="position:absolute;left:4790;top:5;width:2;height:413" coordorigin="4790,5" coordsize="0,413" path="m4790,5l4790,418e" filled="false" stroked="true" strokeweight=".48pt" strokecolor="#000000">
                <v:path arrowok="t"/>
              </v:shape>
            </v:group>
            <v:group style="position:absolute;left:4795;top:413;width:4774;height:2" coordorigin="4795,413" coordsize="4774,2">
              <v:shape style="position:absolute;left:4795;top:413;width:4774;height:2" coordorigin="4795,413" coordsize="4774,0" path="m4795,413l9569,413e" filled="false" stroked="true" strokeweight=".48pt" strokecolor="#000000">
                <v:path arrowok="t"/>
              </v:shape>
            </v:group>
            <v:group style="position:absolute;left:9574;top:5;width:2;height:413" coordorigin="9574,5" coordsize="2,413">
              <v:shape style="position:absolute;left:9574;top:5;width:2;height:413" coordorigin="9574,5" coordsize="0,413" path="m9574,5l9574,418e" filled="false" stroked="true" strokeweight=".48pt" strokecolor="#000000">
                <v:path arrowok="t"/>
              </v:shape>
            </v:group>
          </v:group>
        </w:pict>
      </w:r>
      <w:r>
        <w:rPr>
          <w:rFonts w:ascii="宋体" w:hAnsi="宋体" w:cs="宋体" w:eastAsia="宋体" w:hint="default"/>
          <w:position w:val="-7"/>
          <w:sz w:val="20"/>
          <w:szCs w:val="20"/>
        </w:rPr>
      </w:r>
    </w:p>
    <w:p>
      <w:pPr>
        <w:spacing w:before="47"/>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在合营安排或联营企业中的权益" w:id="423"/>
      <w:bookmarkEnd w:id="423"/>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重要的合营企业或联营企业" w:id="424"/>
      <w:bookmarkEnd w:id="424"/>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3"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深圳华智测控技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深圳茂硕投资发 展有限公司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浙江国利英核能 源有限公司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深圳鑫四方检测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检测服务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both"/>
              <w:rPr>
                <w:rFonts w:ascii="宋体" w:hAnsi="宋体" w:cs="宋体" w:eastAsia="宋体" w:hint="default"/>
                <w:sz w:val="18"/>
                <w:szCs w:val="18"/>
              </w:rPr>
            </w:pPr>
            <w:r>
              <w:rPr>
                <w:rFonts w:ascii="宋体" w:hAnsi="宋体" w:cs="宋体" w:eastAsia="宋体" w:hint="default"/>
                <w:sz w:val="18"/>
                <w:szCs w:val="18"/>
              </w:rPr>
              <w:t>瑞盈茂硕融资租 赁（深圳）有限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7"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both"/>
              <w:rPr>
                <w:rFonts w:ascii="宋体" w:hAnsi="宋体" w:cs="宋体" w:eastAsia="宋体" w:hint="default"/>
                <w:sz w:val="18"/>
                <w:szCs w:val="18"/>
              </w:rPr>
            </w:pPr>
            <w:r>
              <w:rPr>
                <w:rFonts w:ascii="宋体" w:hAnsi="宋体" w:cs="宋体" w:eastAsia="宋体" w:hint="default"/>
                <w:sz w:val="18"/>
                <w:szCs w:val="18"/>
              </w:rPr>
              <w:t>新余市茂硕海量 投资企业（有限 合伙）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江西新余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江西新余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在合营企业或联营企业的持股比例不同于表决权比例的说明：</w:t>
      </w:r>
    </w:p>
    <w:p>
      <w:pPr>
        <w:spacing w:before="116"/>
        <w:ind w:left="154" w:right="0" w:firstLine="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以下表决权但具有重大影响，或者持有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或以上表决权但不具有重大影响的依据：</w:t>
      </w:r>
    </w:p>
    <w:p>
      <w:pPr>
        <w:spacing w:line="240" w:lineRule="auto" w:before="10"/>
        <w:rPr>
          <w:rFonts w:ascii="宋体" w:hAnsi="宋体" w:cs="宋体" w:eastAsia="宋体" w:hint="default"/>
          <w:sz w:val="25"/>
          <w:szCs w:val="25"/>
        </w:rPr>
      </w:pPr>
    </w:p>
    <w:p>
      <w:pPr>
        <w:pStyle w:val="Heading4"/>
        <w:spacing w:line="240" w:lineRule="auto"/>
        <w:ind w:left="154" w:right="0"/>
        <w:jc w:val="left"/>
        <w:rPr>
          <w:b w:val="0"/>
          <w:bCs w:val="0"/>
        </w:rPr>
      </w:pPr>
      <w:bookmarkStart w:name="（2）重要合营企业的主要财务信息" w:id="425"/>
      <w:bookmarkEnd w:id="425"/>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7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3）重要联营企业的主要财务信息" w:id="426"/>
      <w:bookmarkEnd w:id="426"/>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846"/>
        <w:gridCol w:w="880"/>
        <w:gridCol w:w="870"/>
        <w:gridCol w:w="869"/>
        <w:gridCol w:w="869"/>
        <w:gridCol w:w="869"/>
        <w:gridCol w:w="869"/>
        <w:gridCol w:w="869"/>
        <w:gridCol w:w="870"/>
        <w:gridCol w:w="869"/>
        <w:gridCol w:w="869"/>
      </w:tblGrid>
      <w:tr>
        <w:trPr>
          <w:trHeight w:val="403" w:hRule="exact"/>
        </w:trPr>
        <w:tc>
          <w:tcPr>
            <w:tcW w:w="8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22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47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97"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846" w:type="dxa"/>
            <w:tcBorders>
              <w:top w:val="single" w:sz="4" w:space="0" w:color="000000"/>
              <w:left w:val="single" w:sz="4" w:space="0" w:color="000000"/>
              <w:bottom w:val="single" w:sz="4" w:space="0" w:color="000000"/>
              <w:right w:val="single" w:sz="13" w:space="0" w:color="E0FFFF"/>
            </w:tcBorders>
            <w:shd w:val="clear" w:color="auto" w:fill="D2D2D2"/>
          </w:tcPr>
          <w:p>
            <w:pPr/>
          </w:p>
        </w:tc>
        <w:tc>
          <w:tcPr>
            <w:tcW w:w="880" w:type="dxa"/>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华智测控</w:t>
            </w:r>
          </w:p>
        </w:tc>
        <w:tc>
          <w:tcPr>
            <w:tcW w:w="87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69" w:right="0"/>
              <w:jc w:val="left"/>
              <w:rPr>
                <w:rFonts w:ascii="宋体" w:hAnsi="宋体" w:cs="宋体" w:eastAsia="宋体" w:hint="default"/>
                <w:sz w:val="18"/>
                <w:szCs w:val="18"/>
              </w:rPr>
            </w:pPr>
            <w:r>
              <w:rPr>
                <w:rFonts w:ascii="宋体" w:hAnsi="宋体" w:cs="宋体" w:eastAsia="宋体" w:hint="default"/>
                <w:sz w:val="18"/>
                <w:szCs w:val="18"/>
              </w:rPr>
              <w:t>茂硕投资</w:t>
            </w:r>
          </w:p>
        </w:tc>
        <w:tc>
          <w:tcPr>
            <w:tcW w:w="8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sz w:val="18"/>
                <w:szCs w:val="18"/>
              </w:rPr>
              <w:t>国利英核</w:t>
            </w:r>
          </w:p>
        </w:tc>
        <w:tc>
          <w:tcPr>
            <w:tcW w:w="8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鑫四方</w:t>
            </w:r>
          </w:p>
        </w:tc>
        <w:tc>
          <w:tcPr>
            <w:tcW w:w="8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sz w:val="18"/>
                <w:szCs w:val="18"/>
              </w:rPr>
              <w:t>瑞盈茂硕</w:t>
            </w:r>
          </w:p>
        </w:tc>
        <w:tc>
          <w:tcPr>
            <w:tcW w:w="8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sz w:val="18"/>
                <w:szCs w:val="18"/>
              </w:rPr>
              <w:t>新余海量</w:t>
            </w:r>
          </w:p>
        </w:tc>
        <w:tc>
          <w:tcPr>
            <w:tcW w:w="8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华智测控</w:t>
            </w:r>
          </w:p>
        </w:tc>
        <w:tc>
          <w:tcPr>
            <w:tcW w:w="87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60" w:right="0"/>
              <w:jc w:val="left"/>
              <w:rPr>
                <w:rFonts w:ascii="宋体" w:hAnsi="宋体" w:cs="宋体" w:eastAsia="宋体" w:hint="default"/>
                <w:sz w:val="18"/>
                <w:szCs w:val="18"/>
              </w:rPr>
            </w:pPr>
            <w:r>
              <w:rPr>
                <w:rFonts w:ascii="宋体" w:hAnsi="宋体" w:cs="宋体" w:eastAsia="宋体" w:hint="default"/>
                <w:sz w:val="18"/>
                <w:szCs w:val="18"/>
              </w:rPr>
              <w:t>通新源</w:t>
            </w:r>
          </w:p>
        </w:tc>
        <w:tc>
          <w:tcPr>
            <w:tcW w:w="8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茂硕投资</w:t>
            </w:r>
          </w:p>
        </w:tc>
        <w:tc>
          <w:tcPr>
            <w:tcW w:w="8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sz w:val="18"/>
                <w:szCs w:val="18"/>
              </w:rPr>
              <w:t>国利英核</w:t>
            </w:r>
          </w:p>
        </w:tc>
      </w:tr>
      <w:tr>
        <w:trPr>
          <w:trHeight w:val="162" w:hRule="exact"/>
        </w:trPr>
        <w:tc>
          <w:tcPr>
            <w:tcW w:w="84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0"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5,049,718.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18</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10,428,932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.86</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19,782,826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.48</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1,492,894.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29</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20,007,202</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3"/>
                <w:sz w:val="18"/>
              </w:rPr>
              <w:t>.11</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14,313,627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.38</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6,647,047.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01</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6,439,018.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68</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3,909,325.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09</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8,114,592.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30</w:t>
            </w:r>
          </w:p>
        </w:tc>
      </w:tr>
      <w:tr>
        <w:trPr>
          <w:trHeight w:val="391" w:hRule="exact"/>
        </w:trPr>
        <w:tc>
          <w:tcPr>
            <w:tcW w:w="8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880" w:type="dxa"/>
            <w:vMerge/>
            <w:tcBorders>
              <w:left w:val="single" w:sz="9" w:space="0" w:color="D2D2D2"/>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161" w:hRule="exact"/>
        </w:trPr>
        <w:tc>
          <w:tcPr>
            <w:tcW w:w="84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0" w:type="dxa"/>
            <w:vMerge/>
            <w:tcBorders>
              <w:left w:val="single" w:sz="9" w:space="0" w:color="D2D2D2"/>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r>
      <w:tr>
        <w:trPr>
          <w:trHeight w:val="714" w:hRule="exact"/>
        </w:trPr>
        <w:tc>
          <w:tcPr>
            <w:tcW w:w="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3"/>
              <w:jc w:val="left"/>
              <w:rPr>
                <w:rFonts w:ascii="宋体" w:hAnsi="宋体" w:cs="宋体" w:eastAsia="宋体" w:hint="default"/>
                <w:sz w:val="18"/>
                <w:szCs w:val="18"/>
              </w:rPr>
            </w:pPr>
            <w:r>
              <w:rPr>
                <w:rFonts w:ascii="宋体" w:hAnsi="宋体" w:cs="宋体" w:eastAsia="宋体" w:hint="default"/>
                <w:sz w:val="18"/>
                <w:szCs w:val="18"/>
              </w:rPr>
              <w:t>非流动资 产</w:t>
            </w:r>
          </w:p>
        </w:tc>
        <w:tc>
          <w:tcPr>
            <w:tcW w:w="8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1,220,844.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3,975,846.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5,391,247.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1,151,297.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10,321,593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1,472,529.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70,170,478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6,536,007.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966,164.82</w:t>
            </w:r>
          </w:p>
        </w:tc>
      </w:tr>
      <w:tr>
        <w:trPr>
          <w:trHeight w:val="162" w:hRule="exact"/>
        </w:trPr>
        <w:tc>
          <w:tcPr>
            <w:tcW w:w="84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0"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6,270,563.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17</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14,404,779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.23</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25,174,074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.15</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2,644,191.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79</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20,007,202</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3"/>
                <w:sz w:val="18"/>
              </w:rPr>
              <w:t>.11</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24,635,220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.54</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8,119,577.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76,609,496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.92</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10,445,332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.38</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9,080,757.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12</w:t>
            </w:r>
          </w:p>
        </w:tc>
      </w:tr>
      <w:tr>
        <w:trPr>
          <w:trHeight w:val="391" w:hRule="exact"/>
        </w:trPr>
        <w:tc>
          <w:tcPr>
            <w:tcW w:w="8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880" w:type="dxa"/>
            <w:vMerge/>
            <w:tcBorders>
              <w:left w:val="single" w:sz="9" w:space="0" w:color="D2D2D2"/>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161" w:hRule="exact"/>
        </w:trPr>
        <w:tc>
          <w:tcPr>
            <w:tcW w:w="84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0" w:type="dxa"/>
            <w:vMerge/>
            <w:tcBorders>
              <w:left w:val="single" w:sz="9" w:space="0" w:color="D2D2D2"/>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r>
      <w:tr>
        <w:trPr>
          <w:trHeight w:val="162" w:hRule="exact"/>
        </w:trPr>
        <w:tc>
          <w:tcPr>
            <w:tcW w:w="84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0"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2,393,900.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33</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3,397,365.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41</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15,864,424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.89</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313,348.35</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1,800.53</w:t>
            </w:r>
          </w:p>
        </w:tc>
        <w:tc>
          <w:tcPr>
            <w:tcW w:w="869"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3,728,451.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63</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313,277.25</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347,739.29</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0" w:right="0"/>
              <w:jc w:val="lef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8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880" w:type="dxa"/>
            <w:vMerge/>
            <w:tcBorders>
              <w:left w:val="single" w:sz="9" w:space="0" w:color="D2D2D2"/>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161" w:hRule="exact"/>
        </w:trPr>
        <w:tc>
          <w:tcPr>
            <w:tcW w:w="84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0" w:type="dxa"/>
            <w:vMerge/>
            <w:tcBorders>
              <w:left w:val="single" w:sz="9" w:space="0" w:color="D2D2D2"/>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r>
      <w:tr>
        <w:trPr>
          <w:trHeight w:val="714" w:hRule="exact"/>
        </w:trPr>
        <w:tc>
          <w:tcPr>
            <w:tcW w:w="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3"/>
              <w:jc w:val="left"/>
              <w:rPr>
                <w:rFonts w:ascii="宋体" w:hAnsi="宋体" w:cs="宋体" w:eastAsia="宋体" w:hint="default"/>
                <w:sz w:val="18"/>
                <w:szCs w:val="18"/>
              </w:rPr>
            </w:pPr>
            <w:r>
              <w:rPr>
                <w:rFonts w:ascii="宋体" w:hAnsi="宋体" w:cs="宋体" w:eastAsia="宋体" w:hint="default"/>
                <w:sz w:val="18"/>
                <w:szCs w:val="18"/>
              </w:rPr>
              <w:t>非流动负 债</w:t>
            </w:r>
          </w:p>
        </w:tc>
        <w:tc>
          <w:tcPr>
            <w:tcW w:w="8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681,818.13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3,397,365.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15,864,424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313,348.35</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84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0"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3,075,718.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46</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3,397,365.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41</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15,864,424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.89</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313,348.35</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1,800.53</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0" w:right="0"/>
              <w:jc w:val="left"/>
              <w:rPr>
                <w:rFonts w:ascii="Times New Roman" w:hAnsi="Times New Roman" w:cs="Times New Roman" w:eastAsia="Times New Roman" w:hint="default"/>
                <w:sz w:val="18"/>
                <w:szCs w:val="18"/>
              </w:rPr>
            </w:pPr>
            <w:r>
              <w:rPr>
                <w:rFonts w:ascii="Times New Roman"/>
                <w:sz w:val="18"/>
              </w:rPr>
              <w:t>0.00</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3,728,451.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63</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313,277.25</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347,739.29</w:t>
            </w:r>
          </w:p>
        </w:tc>
        <w:tc>
          <w:tcPr>
            <w:tcW w:w="869" w:type="dxa"/>
            <w:vMerge w:val="restart"/>
            <w:tcBorders>
              <w:top w:val="single" w:sz="4" w:space="0" w:color="000000"/>
              <w:left w:val="single" w:sz="4" w:space="0" w:color="000000"/>
              <w:right w:val="single" w:sz="4" w:space="0" w:color="000000"/>
            </w:tcBorders>
          </w:tcPr>
          <w:p>
            <w:pPr/>
          </w:p>
        </w:tc>
      </w:tr>
      <w:tr>
        <w:trPr>
          <w:trHeight w:val="391" w:hRule="exact"/>
        </w:trPr>
        <w:tc>
          <w:tcPr>
            <w:tcW w:w="8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880" w:type="dxa"/>
            <w:vMerge/>
            <w:tcBorders>
              <w:left w:val="single" w:sz="9" w:space="0" w:color="D2D2D2"/>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161" w:hRule="exact"/>
        </w:trPr>
        <w:tc>
          <w:tcPr>
            <w:tcW w:w="84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0" w:type="dxa"/>
            <w:vMerge/>
            <w:tcBorders>
              <w:left w:val="single" w:sz="9" w:space="0" w:color="D2D2D2"/>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r>
      <w:tr>
        <w:trPr>
          <w:trHeight w:val="1026" w:hRule="exact"/>
        </w:trPr>
        <w:tc>
          <w:tcPr>
            <w:tcW w:w="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3"/>
              <w:jc w:val="both"/>
              <w:rPr>
                <w:rFonts w:ascii="宋体" w:hAnsi="宋体" w:cs="宋体" w:eastAsia="宋体" w:hint="default"/>
                <w:sz w:val="18"/>
                <w:szCs w:val="18"/>
              </w:rPr>
            </w:pPr>
            <w:r>
              <w:rPr>
                <w:rFonts w:ascii="宋体" w:hAnsi="宋体" w:cs="宋体" w:eastAsia="宋体" w:hint="default"/>
                <w:sz w:val="18"/>
                <w:szCs w:val="18"/>
              </w:rPr>
              <w:t>归属于母 公司股东 权益</w:t>
            </w:r>
          </w:p>
        </w:tc>
        <w:tc>
          <w:tcPr>
            <w:tcW w:w="8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3,194,844.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11,007,413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9,309,649.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2,330,843.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20,005,401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24,635,220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4,391,125.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76,296,219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10,097,593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9,080,757.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12</w:t>
            </w:r>
          </w:p>
        </w:tc>
      </w:tr>
      <w:tr>
        <w:trPr>
          <w:trHeight w:val="1338" w:hRule="exact"/>
        </w:trPr>
        <w:tc>
          <w:tcPr>
            <w:tcW w:w="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3"/>
              <w:jc w:val="both"/>
              <w:rPr>
                <w:rFonts w:ascii="宋体" w:hAnsi="宋体" w:cs="宋体" w:eastAsia="宋体" w:hint="default"/>
                <w:sz w:val="18"/>
                <w:szCs w:val="18"/>
              </w:rPr>
            </w:pPr>
            <w:r>
              <w:rPr>
                <w:rFonts w:ascii="宋体" w:hAnsi="宋体" w:cs="宋体" w:eastAsia="宋体" w:hint="default"/>
                <w:sz w:val="18"/>
                <w:szCs w:val="18"/>
              </w:rPr>
              <w:t>按持股比 例计算的 净资产份 额</w:t>
            </w:r>
          </w:p>
        </w:tc>
        <w:tc>
          <w:tcPr>
            <w:tcW w:w="8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1,083,371.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4,953,336.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1,861,929.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700,884.62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9,002,430.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4,927,044.</w:t>
            </w:r>
          </w:p>
          <w:p>
            <w:pPr>
              <w:pStyle w:val="TableParagraph"/>
              <w:spacing w:line="240" w:lineRule="auto" w:before="105"/>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1,489,030.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17,609,167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4,543,916.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1,816,151.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42</w:t>
            </w:r>
          </w:p>
        </w:tc>
      </w:tr>
      <w:tr>
        <w:trPr>
          <w:trHeight w:val="402" w:hRule="exact"/>
        </w:trPr>
        <w:tc>
          <w:tcPr>
            <w:tcW w:w="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8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195,610.67</w:t>
            </w: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962,432.66</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195,610.67</w:t>
            </w: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8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195,610.67</w:t>
            </w: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962,432.66</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195,610.67</w:t>
            </w: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3"/>
              <w:jc w:val="both"/>
              <w:rPr>
                <w:rFonts w:ascii="宋体" w:hAnsi="宋体" w:cs="宋体" w:eastAsia="宋体" w:hint="default"/>
                <w:sz w:val="18"/>
                <w:szCs w:val="18"/>
              </w:rPr>
            </w:pPr>
            <w:r>
              <w:rPr>
                <w:rFonts w:ascii="宋体" w:hAnsi="宋体" w:cs="宋体" w:eastAsia="宋体" w:hint="default"/>
                <w:sz w:val="18"/>
                <w:szCs w:val="18"/>
              </w:rPr>
              <w:t>对联营企 业权益投 资的账面 价值</w:t>
            </w:r>
          </w:p>
        </w:tc>
        <w:tc>
          <w:tcPr>
            <w:tcW w:w="8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1,278,982.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4,953,336.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1,861,929.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1,663,317.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9,002,430.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4,927,044.</w:t>
            </w:r>
          </w:p>
          <w:p>
            <w:pPr>
              <w:pStyle w:val="TableParagraph"/>
              <w:spacing w:line="240" w:lineRule="auto" w:before="105"/>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1,684,641.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17,609,167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4,543,916.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1,816,151.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42</w:t>
            </w:r>
          </w:p>
        </w:tc>
      </w:tr>
      <w:tr>
        <w:trPr>
          <w:trHeight w:val="162" w:hRule="exact"/>
        </w:trPr>
        <w:tc>
          <w:tcPr>
            <w:tcW w:w="84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0"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5,848,246.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97</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6,214,194.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53</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10,618,459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.95</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3,979,719.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05</w:t>
            </w:r>
          </w:p>
        </w:tc>
        <w:tc>
          <w:tcPr>
            <w:tcW w:w="869"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8,166,806.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52</w:t>
            </w:r>
          </w:p>
        </w:tc>
        <w:tc>
          <w:tcPr>
            <w:tcW w:w="870"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1,648,974.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66</w:t>
            </w:r>
          </w:p>
        </w:tc>
        <w:tc>
          <w:tcPr>
            <w:tcW w:w="869" w:type="dxa"/>
            <w:vMerge w:val="restart"/>
            <w:tcBorders>
              <w:top w:val="single" w:sz="4" w:space="0" w:color="000000"/>
              <w:left w:val="single" w:sz="4" w:space="0" w:color="000000"/>
              <w:right w:val="single" w:sz="4" w:space="0" w:color="000000"/>
            </w:tcBorders>
          </w:tcPr>
          <w:p>
            <w:pPr/>
          </w:p>
        </w:tc>
      </w:tr>
      <w:tr>
        <w:trPr>
          <w:trHeight w:val="391" w:hRule="exact"/>
        </w:trPr>
        <w:tc>
          <w:tcPr>
            <w:tcW w:w="8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880" w:type="dxa"/>
            <w:vMerge/>
            <w:tcBorders>
              <w:left w:val="single" w:sz="9" w:space="0" w:color="D2D2D2"/>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161" w:hRule="exact"/>
        </w:trPr>
        <w:tc>
          <w:tcPr>
            <w:tcW w:w="84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0" w:type="dxa"/>
            <w:vMerge/>
            <w:tcBorders>
              <w:left w:val="single" w:sz="9" w:space="0" w:color="D2D2D2"/>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r>
      <w:tr>
        <w:trPr>
          <w:trHeight w:val="162" w:hRule="exact"/>
        </w:trPr>
        <w:tc>
          <w:tcPr>
            <w:tcW w:w="84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0"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-1,196,280</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.66</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909,820.73</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228,892.14</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-132,538.6</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5,401.58</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-364,779.4</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28,893.81</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-775,618.8</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97,593.09</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-519,242.8</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r>
      <w:tr>
        <w:trPr>
          <w:trHeight w:val="391" w:hRule="exact"/>
        </w:trPr>
        <w:tc>
          <w:tcPr>
            <w:tcW w:w="8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880" w:type="dxa"/>
            <w:vMerge/>
            <w:tcBorders>
              <w:left w:val="single" w:sz="9" w:space="0" w:color="D2D2D2"/>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161" w:hRule="exact"/>
        </w:trPr>
        <w:tc>
          <w:tcPr>
            <w:tcW w:w="84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0" w:type="dxa"/>
            <w:vMerge/>
            <w:tcBorders>
              <w:left w:val="single" w:sz="9" w:space="0" w:color="D2D2D2"/>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r>
      <w:tr>
        <w:trPr>
          <w:trHeight w:val="716" w:hRule="exact"/>
        </w:trPr>
        <w:tc>
          <w:tcPr>
            <w:tcW w:w="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3"/>
              <w:jc w:val="left"/>
              <w:rPr>
                <w:rFonts w:ascii="宋体" w:hAnsi="宋体" w:cs="宋体" w:eastAsia="宋体" w:hint="default"/>
                <w:sz w:val="18"/>
                <w:szCs w:val="18"/>
              </w:rPr>
            </w:pPr>
            <w:r>
              <w:rPr>
                <w:rFonts w:ascii="宋体" w:hAnsi="宋体" w:cs="宋体" w:eastAsia="宋体" w:hint="default"/>
                <w:sz w:val="18"/>
                <w:szCs w:val="18"/>
              </w:rPr>
              <w:t>综合收益 总额</w:t>
            </w:r>
          </w:p>
        </w:tc>
        <w:tc>
          <w:tcPr>
            <w:tcW w:w="8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-1,196,280</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909,820.73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228,892.14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-132,538.6</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5,401.58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-364,779.4</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28,893.81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-775,618.8</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97,593.09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-519,242.8</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4）不重要的合营企业和联营企业的汇总财务信息" w:id="427"/>
      <w:bookmarkEnd w:id="427"/>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5）合营企业或联营企业向本公司转移资金的能力存在重大限制的说明" w:id="428"/>
      <w:bookmarkEnd w:id="428"/>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6）合营企业或联营企业发生的超额亏损" w:id="429"/>
      <w:bookmarkEnd w:id="429"/>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1"/>
        <w:gridCol w:w="2392"/>
        <w:gridCol w:w="2392"/>
        <w:gridCol w:w="2394"/>
      </w:tblGrid>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0" w:right="111"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50" w:right="21" w:hanging="628"/>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7）与合营企业投资相关的未确认承诺" w:id="430"/>
      <w:bookmarkEnd w:id="430"/>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8）与合营企业或联营企业投资相关的或有负债" w:id="431"/>
      <w:bookmarkEnd w:id="431"/>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重要的共同经营" w:id="432"/>
      <w:bookmarkEnd w:id="432"/>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8"/>
        <w:gridCol w:w="1594"/>
        <w:gridCol w:w="1595"/>
        <w:gridCol w:w="1594"/>
        <w:gridCol w:w="1594"/>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spacing w:line="357" w:lineRule="auto" w:before="52"/>
        <w:ind w:left="153" w:right="5533" w:firstLine="0"/>
        <w:jc w:val="left"/>
        <w:rPr>
          <w:rFonts w:ascii="宋体" w:hAnsi="宋体" w:cs="宋体" w:eastAsia="宋体" w:hint="default"/>
          <w:sz w:val="18"/>
          <w:szCs w:val="18"/>
        </w:rPr>
      </w:pPr>
      <w:r>
        <w:rPr>
          <w:rFonts w:ascii="宋体" w:hAnsi="宋体" w:cs="宋体" w:eastAsia="宋体" w:hint="default"/>
          <w:sz w:val="18"/>
          <w:szCs w:val="18"/>
        </w:rPr>
        <w:t>在共同经营中的持股比例或享有的份额不同于表决权比例的说明： 共同经营为单独主体的，分类为共同经营的依据：</w:t>
      </w:r>
    </w:p>
    <w:p>
      <w:pPr>
        <w:spacing w:before="2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5、在未纳入合并财务报表范围的结构化主体中的权益" w:id="433"/>
      <w:bookmarkEnd w:id="433"/>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未纳入合并财务报表范围的结构化主体的相关说明：</w:t>
      </w:r>
    </w:p>
    <w:p>
      <w:pPr>
        <w:spacing w:line="240" w:lineRule="auto" w:before="10"/>
        <w:rPr>
          <w:rFonts w:ascii="宋体" w:hAnsi="宋体" w:cs="宋体" w:eastAsia="宋体" w:hint="default"/>
          <w:sz w:val="26"/>
          <w:szCs w:val="26"/>
        </w:rPr>
      </w:pPr>
    </w:p>
    <w:p>
      <w:pPr>
        <w:pStyle w:val="Heading4"/>
        <w:spacing w:line="240" w:lineRule="auto"/>
        <w:ind w:left="154" w:right="0"/>
        <w:jc w:val="left"/>
        <w:rPr>
          <w:b w:val="0"/>
          <w:bCs w:val="0"/>
        </w:rPr>
      </w:pPr>
      <w:bookmarkStart w:name="6、其他" w:id="434"/>
      <w:bookmarkEnd w:id="434"/>
      <w:r>
        <w:rPr>
          <w:b w:val="0"/>
          <w:bCs w:val="0"/>
        </w:rPr>
      </w:r>
      <w:r>
        <w:rPr>
          <w:rFonts w:ascii="Times New Roman" w:hAnsi="Times New Roman" w:cs="Times New Roman" w:eastAsia="Times New Roman" w:hint="default"/>
        </w:rPr>
        <w:t>6</w:t>
      </w:r>
      <w:r>
        <w:rPr/>
        <w:t>、其他</w:t>
      </w:r>
      <w:r>
        <w:rPr>
          <w:b w:val="0"/>
          <w:bCs w:val="0"/>
        </w:rPr>
      </w:r>
    </w:p>
    <w:p>
      <w:pPr>
        <w:spacing w:line="240" w:lineRule="auto" w:before="0"/>
        <w:rPr>
          <w:rFonts w:ascii="宋体" w:hAnsi="宋体" w:cs="宋体" w:eastAsia="宋体" w:hint="default"/>
          <w:b/>
          <w:bCs/>
          <w:sz w:val="23"/>
          <w:szCs w:val="23"/>
        </w:rPr>
      </w:pPr>
    </w:p>
    <w:p>
      <w:pPr>
        <w:pStyle w:val="Heading2"/>
        <w:spacing w:line="240" w:lineRule="auto"/>
        <w:ind w:left="154" w:right="0"/>
        <w:jc w:val="left"/>
        <w:rPr>
          <w:b w:val="0"/>
          <w:bCs w:val="0"/>
        </w:rPr>
      </w:pPr>
      <w:bookmarkStart w:name="十、与金融工具相关的风险" w:id="435"/>
      <w:bookmarkEnd w:id="435"/>
      <w:r>
        <w:rPr>
          <w:b w:val="0"/>
          <w:bCs w:val="0"/>
        </w:rPr>
      </w:r>
      <w:r>
        <w:rPr/>
        <w:t>十、与金融工具相关的风险</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154" w:right="0"/>
        <w:jc w:val="left"/>
      </w:pPr>
      <w:r>
        <w:rPr>
          <w:spacing w:val="-1"/>
        </w:rPr>
        <w:t>本公司的主要金融工具包括股权投资、借款、应收账款、应付账款、以公允价值计量且变动计入当期损益</w:t>
      </w:r>
      <w:r>
        <w:rPr>
          <w:spacing w:val="-84"/>
        </w:rPr>
        <w:t> </w:t>
      </w:r>
      <w:r>
        <w:rPr>
          <w:spacing w:val="-84"/>
        </w:rPr>
      </w:r>
      <w:r>
        <w:rPr>
          <w:spacing w:val="-1"/>
        </w:rPr>
        <w:t>的金融资产等，各项金融工具的详细情况说明见本第十节、七相关项目。与这些金融工具有关的风险，以</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0"/>
        <w:jc w:val="left"/>
      </w:pPr>
      <w:r>
        <w:rPr>
          <w:spacing w:val="-1"/>
        </w:rPr>
        <w:t>及本公司为降低这些风险所采取的风险管理政策如下所述。本公司管理层对这些风险敞口进行管理和监控</w:t>
      </w:r>
      <w:r>
        <w:rPr>
          <w:spacing w:val="-81"/>
        </w:rPr>
        <w:t> </w:t>
      </w:r>
      <w:r>
        <w:rPr>
          <w:spacing w:val="-81"/>
        </w:rPr>
      </w:r>
      <w:r>
        <w:rPr/>
        <w:t>以确保将上述风险控制在限定的范围之内。 </w:t>
      </w:r>
      <w:r>
        <w:rPr>
          <w:spacing w:val="-1"/>
        </w:rPr>
        <w:t>本公司采用敏感性分析技术分析风险变量的合理、可能变化对当期损益或股东权益可能产生的影响。由于</w:t>
      </w:r>
      <w:r>
        <w:rPr>
          <w:spacing w:val="-81"/>
        </w:rPr>
        <w:t> </w:t>
      </w:r>
      <w:r>
        <w:rPr>
          <w:spacing w:val="-81"/>
        </w:rPr>
      </w:r>
      <w:r>
        <w:rPr>
          <w:spacing w:val="-1"/>
        </w:rPr>
        <w:t>任何风险变量很少孤立地发生变化，而变量之间存在的相关性对某一风险变量的变化的最终影响金额将产</w:t>
      </w:r>
      <w:r>
        <w:rPr>
          <w:spacing w:val="-81"/>
        </w:rPr>
        <w:t> </w:t>
      </w:r>
      <w:r>
        <w:rPr>
          <w:spacing w:val="-81"/>
        </w:rPr>
      </w:r>
      <w:r>
        <w:rPr/>
        <w:t>生重大作用，因此下述内容是在假设每一变量的变化是在独立的情况下进行的。</w:t>
      </w:r>
    </w:p>
    <w:p>
      <w:pPr>
        <w:pStyle w:val="BodyText"/>
        <w:spacing w:line="273" w:lineRule="auto"/>
        <w:ind w:left="154" w:right="0"/>
        <w:jc w:val="left"/>
      </w:pPr>
      <w:r>
        <w:rPr/>
        <w:t>（一）风险管理目标和政策 </w:t>
      </w:r>
      <w:r>
        <w:rPr>
          <w:spacing w:val="-1"/>
        </w:rPr>
        <w:t>本公司从事风险管理的目标是在风险和收益之间取得适当的平衡，将风险对本公司经营业绩的负面影响降</w:t>
      </w:r>
      <w:r>
        <w:rPr>
          <w:spacing w:val="-81"/>
        </w:rPr>
        <w:t> </w:t>
      </w:r>
      <w:r>
        <w:rPr>
          <w:spacing w:val="-81"/>
        </w:rPr>
      </w:r>
      <w:r>
        <w:rPr>
          <w:spacing w:val="-1"/>
        </w:rPr>
        <w:t>低到最低水平，使股东及其其他权益投资者的利益最大化。基于该风险管理目标，本公司风险管理的基本</w:t>
      </w:r>
      <w:r>
        <w:rPr>
          <w:spacing w:val="-83"/>
        </w:rPr>
        <w:t> </w:t>
      </w:r>
      <w:r>
        <w:rPr>
          <w:spacing w:val="-83"/>
        </w:rPr>
      </w:r>
      <w:r>
        <w:rPr>
          <w:spacing w:val="-1"/>
        </w:rPr>
        <w:t>策略是确定和分析本公司所面临的各种风险，建立适当的风险承受底线和进行风险管理，并及时可靠地对</w:t>
      </w:r>
      <w:r>
        <w:rPr>
          <w:spacing w:val="-81"/>
        </w:rPr>
        <w:t> </w:t>
      </w:r>
      <w:r>
        <w:rPr>
          <w:spacing w:val="-81"/>
        </w:rPr>
      </w:r>
      <w:r>
        <w:rPr/>
        <w:t>各种风险进行监督，将风险控制在限定的范围之内。</w:t>
      </w:r>
    </w:p>
    <w:p>
      <w:pPr>
        <w:pStyle w:val="BodyText"/>
        <w:spacing w:line="240" w:lineRule="auto"/>
        <w:ind w:left="154" w:right="0"/>
        <w:jc w:val="left"/>
      </w:pPr>
      <w:r>
        <w:rPr>
          <w:rFonts w:ascii="宋体" w:hAnsi="宋体" w:cs="宋体" w:eastAsia="宋体" w:hint="default"/>
        </w:rPr>
        <w:t>1</w:t>
      </w:r>
      <w:r>
        <w:rPr/>
        <w:t>、市场风险</w:t>
      </w:r>
    </w:p>
    <w:p>
      <w:pPr>
        <w:pStyle w:val="BodyText"/>
        <w:spacing w:line="273" w:lineRule="auto" w:before="37"/>
        <w:ind w:right="1110"/>
        <w:jc w:val="left"/>
      </w:pPr>
      <w:r>
        <w:rPr/>
        <w:t>（</w:t>
      </w:r>
      <w:r>
        <w:rPr>
          <w:rFonts w:ascii="宋体" w:hAnsi="宋体" w:cs="宋体" w:eastAsia="宋体" w:hint="default"/>
        </w:rPr>
        <w:t>1</w:t>
      </w:r>
      <w:r>
        <w:rPr/>
        <w:t>）外汇风险 </w:t>
      </w:r>
      <w:r>
        <w:rPr>
          <w:spacing w:val="-1"/>
        </w:rPr>
        <w:t>外汇风险指因汇率变动产生损失的风险。本公司承受外汇风险主要与美元、港币有关，本公司、茂硕新能</w:t>
      </w:r>
      <w:r>
        <w:rPr>
          <w:spacing w:val="-86"/>
        </w:rPr>
        <w:t> </w:t>
      </w:r>
      <w:r>
        <w:rPr>
          <w:spacing w:val="-86"/>
        </w:rPr>
      </w:r>
      <w:r>
        <w:rPr>
          <w:spacing w:val="-1"/>
        </w:rPr>
        <w:t>源、茂硕电子以美元进行部分采购和销售，香港茂硕以港币或美元进行采购和销售，本公司的其他主要业</w:t>
      </w:r>
      <w:r>
        <w:rPr>
          <w:spacing w:val="-83"/>
        </w:rPr>
        <w:t> </w:t>
      </w:r>
      <w:r>
        <w:rPr>
          <w:spacing w:val="-83"/>
        </w:rPr>
      </w:r>
      <w:r>
        <w:rPr>
          <w:spacing w:val="-1"/>
        </w:rPr>
        <w:t>务活动以人民币计价结算。于</w:t>
      </w:r>
      <w:r>
        <w:rPr>
          <w:rFonts w:ascii="宋体" w:hAnsi="宋体" w:cs="宋体" w:eastAsia="宋体" w:hint="default"/>
          <w:spacing w:val="-1"/>
        </w:rPr>
        <w:t>2015</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日，除本报告第十节、七、</w:t>
      </w:r>
      <w:r>
        <w:rPr>
          <w:rFonts w:ascii="宋体" w:hAnsi="宋体" w:cs="宋体" w:eastAsia="宋体" w:hint="default"/>
          <w:spacing w:val="-1"/>
        </w:rPr>
        <w:t>77</w:t>
      </w:r>
      <w:r>
        <w:rPr>
          <w:spacing w:val="-1"/>
        </w:rPr>
        <w:t>所列项目为外币外，本公司及子</w:t>
      </w:r>
      <w:r>
        <w:rPr>
          <w:spacing w:val="-84"/>
        </w:rPr>
        <w:t> </w:t>
      </w:r>
      <w:r>
        <w:rPr>
          <w:spacing w:val="-84"/>
        </w:rPr>
      </w:r>
      <w:r>
        <w:rPr>
          <w:spacing w:val="-1"/>
        </w:rPr>
        <w:t>公司的资产及负债均为人民币余额。该等外币余额的资产和负债产生的外汇风险可能对本公司的经营业绩</w:t>
      </w:r>
      <w:r>
        <w:rPr>
          <w:spacing w:val="-81"/>
        </w:rPr>
        <w:t> </w:t>
      </w:r>
      <w:r>
        <w:rPr>
          <w:spacing w:val="-81"/>
        </w:rPr>
      </w:r>
      <w:r>
        <w:rPr/>
        <w:t>产生影响。 </w:t>
      </w:r>
      <w:r>
        <w:rPr>
          <w:spacing w:val="-1"/>
        </w:rPr>
        <w:t>本公司与银行已签订若干远期结汇合同，确认为以公允价值计量且其变动计入当期损益的金融资产的远期</w:t>
      </w:r>
      <w:r>
        <w:rPr>
          <w:spacing w:val="-81"/>
        </w:rPr>
        <w:t> </w:t>
      </w:r>
      <w:r>
        <w:rPr>
          <w:spacing w:val="-81"/>
        </w:rPr>
      </w:r>
      <w:r>
        <w:rPr/>
        <w:t>外汇合同于</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日的公允价值为人民币</w:t>
      </w:r>
      <w:r>
        <w:rPr>
          <w:rFonts w:ascii="宋体" w:hAnsi="宋体" w:cs="宋体" w:eastAsia="宋体" w:hint="default"/>
        </w:rPr>
        <w:t>-1,686,707.72</w:t>
      </w:r>
      <w:r>
        <w:rPr/>
        <w:t>元，见本报告第十节、七、</w:t>
      </w:r>
      <w:r>
        <w:rPr>
          <w:rFonts w:ascii="宋体" w:hAnsi="宋体" w:cs="宋体" w:eastAsia="宋体" w:hint="default"/>
        </w:rPr>
        <w:t>32</w:t>
      </w:r>
      <w:r>
        <w:rPr/>
        <w:t>。 外汇风险敏感性分析： 外汇风险敏感性分析假设：所有境外经营净投资套期及现金流量套期均高度有效。在上述假设的基础上， 在其他变量不变的情况下，汇率可能发生的合理变动对当期损益和股东权益的税前影响如下：</w:t>
      </w:r>
    </w:p>
    <w:tbl>
      <w:tblPr>
        <w:tblW w:w="0" w:type="auto"/>
        <w:jc w:val="left"/>
        <w:tblInd w:w="146" w:type="dxa"/>
        <w:tblLayout w:type="fixed"/>
        <w:tblCellMar>
          <w:top w:w="0" w:type="dxa"/>
          <w:left w:w="0" w:type="dxa"/>
          <w:bottom w:w="0" w:type="dxa"/>
          <w:right w:w="0" w:type="dxa"/>
        </w:tblCellMar>
        <w:tblLook w:val="01E0"/>
      </w:tblPr>
      <w:tblGrid>
        <w:gridCol w:w="1085"/>
        <w:gridCol w:w="1847"/>
        <w:gridCol w:w="1540"/>
        <w:gridCol w:w="1922"/>
        <w:gridCol w:w="1539"/>
        <w:gridCol w:w="1922"/>
      </w:tblGrid>
      <w:tr>
        <w:trPr>
          <w:trHeight w:val="355" w:hRule="exact"/>
        </w:trPr>
        <w:tc>
          <w:tcPr>
            <w:tcW w:w="1085" w:type="dxa"/>
            <w:vMerge w:val="restart"/>
            <w:tcBorders>
              <w:top w:val="single" w:sz="6" w:space="0" w:color="000000"/>
              <w:left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847" w:type="dxa"/>
            <w:vMerge w:val="restart"/>
            <w:tcBorders>
              <w:top w:val="single" w:sz="6" w:space="0" w:color="000000"/>
              <w:left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汇率变动</w:t>
            </w:r>
          </w:p>
        </w:tc>
        <w:tc>
          <w:tcPr>
            <w:tcW w:w="3462" w:type="dxa"/>
            <w:gridSpan w:val="2"/>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本年度</w:t>
            </w:r>
          </w:p>
        </w:tc>
        <w:tc>
          <w:tcPr>
            <w:tcW w:w="3461" w:type="dxa"/>
            <w:gridSpan w:val="2"/>
            <w:tcBorders>
              <w:top w:val="single" w:sz="6" w:space="0" w:color="000000"/>
              <w:left w:val="single" w:sz="6" w:space="0" w:color="000000"/>
              <w:bottom w:val="single" w:sz="12" w:space="0" w:color="000000"/>
              <w:right w:val="nil" w:sz="6" w:space="0" w:color="auto"/>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上年度</w:t>
            </w:r>
          </w:p>
        </w:tc>
      </w:tr>
      <w:tr>
        <w:trPr>
          <w:trHeight w:val="352" w:hRule="exact"/>
        </w:trPr>
        <w:tc>
          <w:tcPr>
            <w:tcW w:w="1085" w:type="dxa"/>
            <w:vMerge/>
            <w:tcBorders>
              <w:left w:val="single" w:sz="6" w:space="0" w:color="000000"/>
              <w:bottom w:val="single" w:sz="12" w:space="0" w:color="000000"/>
              <w:right w:val="single" w:sz="6" w:space="0" w:color="000000"/>
            </w:tcBorders>
          </w:tcPr>
          <w:p>
            <w:pPr/>
          </w:p>
        </w:tc>
        <w:tc>
          <w:tcPr>
            <w:tcW w:w="1847" w:type="dxa"/>
            <w:vMerge/>
            <w:tcBorders>
              <w:left w:val="single" w:sz="6" w:space="0" w:color="000000"/>
              <w:bottom w:val="single" w:sz="12" w:space="0" w:color="000000"/>
              <w:right w:val="single" w:sz="6" w:space="0" w:color="000000"/>
            </w:tcBorders>
          </w:tcPr>
          <w:p>
            <w:pPr/>
          </w:p>
        </w:tc>
        <w:tc>
          <w:tcPr>
            <w:tcW w:w="154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对利润的影响</w:t>
            </w:r>
          </w:p>
        </w:tc>
        <w:tc>
          <w:tcPr>
            <w:tcW w:w="192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对股东权益的影响</w:t>
            </w:r>
          </w:p>
        </w:tc>
        <w:tc>
          <w:tcPr>
            <w:tcW w:w="1539"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对利润的影响</w:t>
            </w:r>
          </w:p>
        </w:tc>
        <w:tc>
          <w:tcPr>
            <w:tcW w:w="1922"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对股东权益的影响</w:t>
            </w:r>
          </w:p>
        </w:tc>
      </w:tr>
      <w:tr>
        <w:trPr>
          <w:trHeight w:val="353" w:hRule="exact"/>
        </w:trPr>
        <w:tc>
          <w:tcPr>
            <w:tcW w:w="1085"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所有外币</w:t>
            </w:r>
          </w:p>
        </w:tc>
        <w:tc>
          <w:tcPr>
            <w:tcW w:w="1847"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对人民币升值</w:t>
            </w:r>
            <w:r>
              <w:rPr>
                <w:rFonts w:ascii="宋体" w:hAnsi="宋体" w:cs="宋体" w:eastAsia="宋体" w:hint="default"/>
                <w:sz w:val="21"/>
                <w:szCs w:val="21"/>
              </w:rPr>
              <w:t>5%</w:t>
            </w:r>
          </w:p>
        </w:tc>
        <w:tc>
          <w:tcPr>
            <w:tcW w:w="154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sz w:val="21"/>
              </w:rPr>
              <w:t>9,287,961.43</w:t>
            </w:r>
          </w:p>
        </w:tc>
        <w:tc>
          <w:tcPr>
            <w:tcW w:w="192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sz w:val="21"/>
              </w:rPr>
              <w:t>9,287,961.43</w:t>
            </w:r>
          </w:p>
        </w:tc>
        <w:tc>
          <w:tcPr>
            <w:tcW w:w="1539"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sz w:val="21"/>
              </w:rPr>
              <w:t>5,549,833.78</w:t>
            </w:r>
          </w:p>
        </w:tc>
        <w:tc>
          <w:tcPr>
            <w:tcW w:w="1922"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left="2" w:right="0"/>
              <w:jc w:val="left"/>
              <w:rPr>
                <w:rFonts w:ascii="宋体" w:hAnsi="宋体" w:cs="宋体" w:eastAsia="宋体" w:hint="default"/>
                <w:sz w:val="21"/>
                <w:szCs w:val="21"/>
              </w:rPr>
            </w:pPr>
            <w:r>
              <w:rPr>
                <w:rFonts w:ascii="宋体"/>
                <w:sz w:val="21"/>
              </w:rPr>
              <w:t>5,549,833.78</w:t>
            </w:r>
          </w:p>
        </w:tc>
      </w:tr>
      <w:tr>
        <w:trPr>
          <w:trHeight w:val="352" w:hRule="exact"/>
        </w:trPr>
        <w:tc>
          <w:tcPr>
            <w:tcW w:w="1085"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所有外币</w:t>
            </w:r>
          </w:p>
        </w:tc>
        <w:tc>
          <w:tcPr>
            <w:tcW w:w="1847"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对人民币贬值</w:t>
            </w:r>
            <w:r>
              <w:rPr>
                <w:rFonts w:ascii="宋体" w:hAnsi="宋体" w:cs="宋体" w:eastAsia="宋体" w:hint="default"/>
                <w:sz w:val="21"/>
                <w:szCs w:val="21"/>
              </w:rPr>
              <w:t>5%</w:t>
            </w:r>
          </w:p>
        </w:tc>
        <w:tc>
          <w:tcPr>
            <w:tcW w:w="154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sz w:val="21"/>
              </w:rPr>
              <w:t>-9,287,961.43</w:t>
            </w:r>
          </w:p>
        </w:tc>
        <w:tc>
          <w:tcPr>
            <w:tcW w:w="192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sz w:val="21"/>
              </w:rPr>
              <w:t>-9,287,961.43</w:t>
            </w:r>
          </w:p>
        </w:tc>
        <w:tc>
          <w:tcPr>
            <w:tcW w:w="1539"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sz w:val="21"/>
              </w:rPr>
              <w:t>-5,549,833.78</w:t>
            </w:r>
          </w:p>
        </w:tc>
        <w:tc>
          <w:tcPr>
            <w:tcW w:w="1922"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left="2" w:right="0"/>
              <w:jc w:val="left"/>
              <w:rPr>
                <w:rFonts w:ascii="宋体" w:hAnsi="宋体" w:cs="宋体" w:eastAsia="宋体" w:hint="default"/>
                <w:sz w:val="21"/>
                <w:szCs w:val="21"/>
              </w:rPr>
            </w:pPr>
            <w:r>
              <w:rPr>
                <w:rFonts w:ascii="宋体"/>
                <w:sz w:val="21"/>
              </w:rPr>
              <w:t>-5,549,833.78</w:t>
            </w:r>
          </w:p>
        </w:tc>
      </w:tr>
    </w:tbl>
    <w:p>
      <w:pPr>
        <w:pStyle w:val="BodyText"/>
        <w:spacing w:line="273" w:lineRule="auto"/>
        <w:ind w:right="0"/>
        <w:jc w:val="left"/>
      </w:pPr>
      <w:r>
        <w:rPr/>
        <w:t>（</w:t>
      </w:r>
      <w:r>
        <w:rPr>
          <w:rFonts w:ascii="宋体" w:hAnsi="宋体" w:cs="宋体" w:eastAsia="宋体" w:hint="default"/>
        </w:rPr>
        <w:t>2</w:t>
      </w:r>
      <w:r>
        <w:rPr/>
        <w:t>）利率风险－现金流量变动风险 </w:t>
      </w:r>
      <w:r>
        <w:rPr>
          <w:spacing w:val="-1"/>
        </w:rPr>
        <w:t>本公司因利率变动引起金融工具现金流量变动的风险主要与浮动利率银行借款有关。本公司的政策是保持</w:t>
      </w:r>
      <w:r>
        <w:rPr>
          <w:spacing w:val="-81"/>
        </w:rPr>
        <w:t> </w:t>
      </w:r>
      <w:r>
        <w:rPr>
          <w:spacing w:val="-81"/>
        </w:rPr>
      </w:r>
      <w:r>
        <w:rPr/>
        <w:t>这些借款的浮动利率。</w:t>
      </w:r>
    </w:p>
    <w:p>
      <w:pPr>
        <w:pStyle w:val="BodyText"/>
        <w:spacing w:line="273" w:lineRule="auto"/>
        <w:ind w:right="7393"/>
        <w:jc w:val="left"/>
      </w:pPr>
      <w:r>
        <w:rPr/>
        <w:t>利率风险敏感性分析： 利率风险敏感性分析基于下述假设：</w:t>
      </w:r>
    </w:p>
    <w:p>
      <w:pPr>
        <w:pStyle w:val="BodyText"/>
        <w:spacing w:line="240" w:lineRule="auto"/>
        <w:ind w:right="0"/>
        <w:jc w:val="left"/>
      </w:pPr>
      <w:r>
        <w:rPr/>
        <w:t>①市场利率变化影响可变利率金融工具的利息收入或费用；</w:t>
      </w:r>
    </w:p>
    <w:p>
      <w:pPr>
        <w:pStyle w:val="BodyText"/>
        <w:spacing w:line="240" w:lineRule="auto" w:before="37"/>
        <w:ind w:right="0"/>
        <w:jc w:val="left"/>
      </w:pPr>
      <w:r>
        <w:rPr/>
        <w:t>②对于以公允价值计量的固定利率金融工具，市场利率变化仅仅影响其利息收入或费用；</w:t>
      </w:r>
    </w:p>
    <w:p>
      <w:pPr>
        <w:pStyle w:val="BodyText"/>
        <w:spacing w:line="273" w:lineRule="auto" w:before="37"/>
        <w:ind w:right="1118"/>
        <w:jc w:val="left"/>
      </w:pPr>
      <w:r>
        <w:rPr>
          <w:spacing w:val="-1"/>
        </w:rPr>
        <w:t>③对于指定为套期工具的衍生金融工具，市场利率变化影响其公允价值，并且所有利率套期预计都是高度</w:t>
      </w:r>
      <w:r>
        <w:rPr>
          <w:spacing w:val="-81"/>
        </w:rPr>
        <w:t> </w:t>
      </w:r>
      <w:r>
        <w:rPr>
          <w:spacing w:val="-81"/>
        </w:rPr>
      </w:r>
      <w:r>
        <w:rPr/>
        <w:t>有效的；</w:t>
      </w:r>
    </w:p>
    <w:p>
      <w:pPr>
        <w:pStyle w:val="BodyText"/>
        <w:spacing w:line="273" w:lineRule="auto"/>
        <w:ind w:right="1118"/>
        <w:jc w:val="left"/>
      </w:pPr>
      <w:r>
        <w:rPr/>
        <w:t>④以资产负债表日市场利率采用现金流量折现法计算衍生金融工具及其他金融资产和负债的公允价值变 化。 </w:t>
      </w:r>
      <w:r>
        <w:rPr>
          <w:spacing w:val="-1"/>
        </w:rPr>
        <w:t>在上述假设的基础上，在其他变量不变的情况下，利率可能发生的合理变动对当期损益和股东权益的税前</w:t>
      </w:r>
      <w:r>
        <w:rPr>
          <w:spacing w:val="-81"/>
        </w:rPr>
        <w:t> </w:t>
      </w:r>
      <w:r>
        <w:rPr>
          <w:spacing w:val="-81"/>
        </w:rPr>
      </w:r>
      <w:r>
        <w:rPr/>
        <w:t>影响如下：</w:t>
      </w:r>
    </w:p>
    <w:tbl>
      <w:tblPr>
        <w:tblW w:w="0" w:type="auto"/>
        <w:jc w:val="left"/>
        <w:tblInd w:w="146" w:type="dxa"/>
        <w:tblLayout w:type="fixed"/>
        <w:tblCellMar>
          <w:top w:w="0" w:type="dxa"/>
          <w:left w:w="0" w:type="dxa"/>
          <w:bottom w:w="0" w:type="dxa"/>
          <w:right w:w="0" w:type="dxa"/>
        </w:tblCellMar>
        <w:tblLook w:val="01E0"/>
      </w:tblPr>
      <w:tblGrid>
        <w:gridCol w:w="1206"/>
        <w:gridCol w:w="1098"/>
        <w:gridCol w:w="1690"/>
        <w:gridCol w:w="2152"/>
        <w:gridCol w:w="1559"/>
        <w:gridCol w:w="2150"/>
      </w:tblGrid>
      <w:tr>
        <w:trPr>
          <w:trHeight w:val="355" w:hRule="exact"/>
        </w:trPr>
        <w:tc>
          <w:tcPr>
            <w:tcW w:w="1206" w:type="dxa"/>
            <w:vMerge w:val="restart"/>
            <w:tcBorders>
              <w:top w:val="single" w:sz="6" w:space="0" w:color="000000"/>
              <w:left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098" w:type="dxa"/>
            <w:vMerge w:val="restart"/>
            <w:tcBorders>
              <w:top w:val="single" w:sz="6" w:space="0" w:color="000000"/>
              <w:left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利率变动</w:t>
            </w:r>
          </w:p>
        </w:tc>
        <w:tc>
          <w:tcPr>
            <w:tcW w:w="3842" w:type="dxa"/>
            <w:gridSpan w:val="2"/>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本年度</w:t>
            </w:r>
          </w:p>
        </w:tc>
        <w:tc>
          <w:tcPr>
            <w:tcW w:w="3710" w:type="dxa"/>
            <w:gridSpan w:val="2"/>
            <w:tcBorders>
              <w:top w:val="single" w:sz="6" w:space="0" w:color="000000"/>
              <w:left w:val="single" w:sz="6" w:space="0" w:color="000000"/>
              <w:bottom w:val="single" w:sz="12" w:space="0" w:color="000000"/>
              <w:right w:val="nil" w:sz="6" w:space="0" w:color="auto"/>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上年度</w:t>
            </w:r>
          </w:p>
        </w:tc>
      </w:tr>
      <w:tr>
        <w:trPr>
          <w:trHeight w:val="353" w:hRule="exact"/>
        </w:trPr>
        <w:tc>
          <w:tcPr>
            <w:tcW w:w="1206" w:type="dxa"/>
            <w:vMerge/>
            <w:tcBorders>
              <w:left w:val="single" w:sz="6" w:space="0" w:color="000000"/>
              <w:bottom w:val="single" w:sz="12" w:space="0" w:color="000000"/>
              <w:right w:val="single" w:sz="6" w:space="0" w:color="000000"/>
            </w:tcBorders>
          </w:tcPr>
          <w:p>
            <w:pPr/>
          </w:p>
        </w:tc>
        <w:tc>
          <w:tcPr>
            <w:tcW w:w="1098" w:type="dxa"/>
            <w:vMerge/>
            <w:tcBorders>
              <w:left w:val="single" w:sz="6" w:space="0" w:color="000000"/>
              <w:bottom w:val="single" w:sz="12" w:space="0" w:color="000000"/>
              <w:right w:val="single" w:sz="6" w:space="0" w:color="000000"/>
            </w:tcBorders>
          </w:tcPr>
          <w:p>
            <w:pPr/>
          </w:p>
        </w:tc>
        <w:tc>
          <w:tcPr>
            <w:tcW w:w="169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对利润的影响</w:t>
            </w:r>
          </w:p>
        </w:tc>
        <w:tc>
          <w:tcPr>
            <w:tcW w:w="215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对股东权益的影响</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对利润的影响</w:t>
            </w:r>
          </w:p>
        </w:tc>
        <w:tc>
          <w:tcPr>
            <w:tcW w:w="2150"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对股东权益的影响</w:t>
            </w:r>
          </w:p>
        </w:tc>
      </w:tr>
      <w:tr>
        <w:trPr>
          <w:trHeight w:val="352" w:hRule="exact"/>
        </w:trPr>
        <w:tc>
          <w:tcPr>
            <w:tcW w:w="1206"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09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z w:val="21"/>
                <w:szCs w:val="21"/>
              </w:rPr>
              <w:t>5%</w:t>
            </w:r>
          </w:p>
        </w:tc>
        <w:tc>
          <w:tcPr>
            <w:tcW w:w="169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sz w:val="21"/>
              </w:rPr>
              <w:t>-715,755.64</w:t>
            </w:r>
          </w:p>
        </w:tc>
        <w:tc>
          <w:tcPr>
            <w:tcW w:w="215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sz w:val="21"/>
              </w:rPr>
              <w:t>-715,755.64</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sz w:val="21"/>
              </w:rPr>
              <w:t>-304,771.67</w:t>
            </w:r>
          </w:p>
        </w:tc>
        <w:tc>
          <w:tcPr>
            <w:tcW w:w="2150"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left="2" w:right="0"/>
              <w:jc w:val="left"/>
              <w:rPr>
                <w:rFonts w:ascii="宋体" w:hAnsi="宋体" w:cs="宋体" w:eastAsia="宋体" w:hint="default"/>
                <w:sz w:val="21"/>
                <w:szCs w:val="21"/>
              </w:rPr>
            </w:pPr>
            <w:r>
              <w:rPr>
                <w:rFonts w:ascii="宋体"/>
                <w:sz w:val="21"/>
              </w:rPr>
              <w:t>-304,771.67</w:t>
            </w:r>
          </w:p>
        </w:tc>
      </w:tr>
      <w:tr>
        <w:trPr>
          <w:trHeight w:val="352" w:hRule="exact"/>
        </w:trPr>
        <w:tc>
          <w:tcPr>
            <w:tcW w:w="1206"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09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z w:val="21"/>
                <w:szCs w:val="21"/>
              </w:rPr>
              <w:t>5%</w:t>
            </w:r>
          </w:p>
        </w:tc>
        <w:tc>
          <w:tcPr>
            <w:tcW w:w="169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sz w:val="21"/>
              </w:rPr>
              <w:t>715,755.64</w:t>
            </w:r>
          </w:p>
        </w:tc>
        <w:tc>
          <w:tcPr>
            <w:tcW w:w="215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sz w:val="21"/>
              </w:rPr>
              <w:t>715,755.64</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sz w:val="21"/>
              </w:rPr>
              <w:t>304,771.67</w:t>
            </w:r>
          </w:p>
        </w:tc>
        <w:tc>
          <w:tcPr>
            <w:tcW w:w="2150"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left="2" w:right="0"/>
              <w:jc w:val="left"/>
              <w:rPr>
                <w:rFonts w:ascii="宋体" w:hAnsi="宋体" w:cs="宋体" w:eastAsia="宋体" w:hint="default"/>
                <w:sz w:val="21"/>
                <w:szCs w:val="21"/>
              </w:rPr>
            </w:pPr>
            <w:r>
              <w:rPr>
                <w:rFonts w:ascii="宋体"/>
                <w:sz w:val="21"/>
              </w:rPr>
              <w:t>304,771.67</w:t>
            </w:r>
          </w:p>
        </w:tc>
      </w:tr>
    </w:tbl>
    <w:p>
      <w:pPr>
        <w:spacing w:after="0" w:line="260" w:lineRule="exact"/>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4453"/>
        <w:jc w:val="left"/>
      </w:pPr>
      <w:r>
        <w:rPr/>
        <w:t>（</w:t>
      </w:r>
      <w:r>
        <w:rPr>
          <w:rFonts w:ascii="宋体" w:hAnsi="宋体" w:cs="宋体" w:eastAsia="宋体" w:hint="default"/>
        </w:rPr>
        <w:t>3</w:t>
      </w:r>
      <w:r>
        <w:rPr/>
        <w:t>）其他价格风险 本公司持有的分类为可供出售金融资产在资产负债表日以成本计量。 </w:t>
      </w:r>
      <w:r>
        <w:rPr>
          <w:rFonts w:ascii="宋体" w:hAnsi="宋体" w:cs="宋体" w:eastAsia="宋体" w:hint="default"/>
        </w:rPr>
        <w:t>2</w:t>
      </w:r>
      <w:r>
        <w:rPr/>
        <w:t>、信用风险</w:t>
      </w:r>
    </w:p>
    <w:p>
      <w:pPr>
        <w:pStyle w:val="BodyText"/>
        <w:spacing w:line="273" w:lineRule="auto"/>
        <w:ind w:right="0"/>
        <w:jc w:val="left"/>
      </w:pPr>
      <w:r>
        <w:rPr>
          <w:rFonts w:ascii="宋体" w:hAnsi="宋体" w:cs="宋体" w:eastAsia="宋体" w:hint="default"/>
          <w:spacing w:val="-1"/>
        </w:rPr>
        <w:t>2015</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日，可能引起本公司财务损失的最大信用风险敞口主要来自于合同另一方未能履行义务而导</w:t>
      </w:r>
      <w:r>
        <w:rPr>
          <w:spacing w:val="-82"/>
        </w:rPr>
        <w:t> </w:t>
      </w:r>
      <w:r>
        <w:rPr>
          <w:spacing w:val="-82"/>
        </w:rPr>
      </w:r>
      <w:r>
        <w:rPr/>
        <w:t>致本公司金融资产产生的损失以及本公司承担的财务担保，具体包括： </w:t>
      </w:r>
      <w:r>
        <w:rPr>
          <w:spacing w:val="-1"/>
        </w:rPr>
        <w:t>合并资产负债表中已确认的金融资产的账面金额；对于以公允价值计量的金融工具而言，账面价值反映了</w:t>
      </w:r>
      <w:r>
        <w:rPr>
          <w:spacing w:val="-81"/>
        </w:rPr>
        <w:t> </w:t>
      </w:r>
      <w:r>
        <w:rPr>
          <w:spacing w:val="-81"/>
        </w:rPr>
      </w:r>
      <w:r>
        <w:rPr/>
        <w:t>其风险敞口，但并非最大风险敞口，其最大风险敞口将随着未来公允价值的变化而改变。 </w:t>
      </w:r>
      <w:r>
        <w:rPr>
          <w:spacing w:val="-1"/>
        </w:rPr>
        <w:t>为降低信用风险，本公司制定了相关的内部控制政策负责确定信用额度、进行信用审批，并执行其他监控</w:t>
      </w:r>
      <w:r>
        <w:rPr>
          <w:spacing w:val="-83"/>
        </w:rPr>
        <w:t> </w:t>
      </w:r>
      <w:r>
        <w:rPr>
          <w:spacing w:val="-83"/>
        </w:rPr>
      </w:r>
      <w:r>
        <w:rPr>
          <w:spacing w:val="-1"/>
        </w:rPr>
        <w:t>程序以确保采取必要的措施回收过期债权。此外，本公司于每个资产负债表日审核每一单项应收款的回收</w:t>
      </w:r>
      <w:r>
        <w:rPr>
          <w:spacing w:val="-81"/>
        </w:rPr>
        <w:t> </w:t>
      </w:r>
      <w:r>
        <w:rPr>
          <w:spacing w:val="-81"/>
        </w:rPr>
      </w:r>
      <w:r>
        <w:rPr>
          <w:spacing w:val="-1"/>
        </w:rPr>
        <w:t>情况，以确保就无法回收的款项计提充分的坏账准备。因此，本公司管理层认为本公司所承担的信用风险</w:t>
      </w:r>
      <w:r>
        <w:rPr>
          <w:spacing w:val="-82"/>
        </w:rPr>
        <w:t> </w:t>
      </w:r>
      <w:r>
        <w:rPr>
          <w:spacing w:val="-82"/>
        </w:rPr>
      </w:r>
      <w:r>
        <w:rPr/>
        <w:t>已经大为降低。</w:t>
      </w:r>
    </w:p>
    <w:p>
      <w:pPr>
        <w:pStyle w:val="BodyText"/>
        <w:spacing w:line="240" w:lineRule="auto"/>
        <w:ind w:right="0"/>
        <w:jc w:val="left"/>
      </w:pPr>
      <w:r>
        <w:rPr/>
        <w:t>本公司的流动资金存放在信用评级较高的银行，故流动资金的信用风险较低。</w:t>
      </w:r>
    </w:p>
    <w:p>
      <w:pPr>
        <w:pStyle w:val="BodyText"/>
        <w:spacing w:line="273" w:lineRule="auto" w:before="37"/>
        <w:ind w:right="6868"/>
        <w:jc w:val="left"/>
      </w:pPr>
      <w:r>
        <w:rPr/>
        <w:t>（</w:t>
      </w:r>
      <w:r>
        <w:rPr>
          <w:rFonts w:ascii="宋体" w:hAnsi="宋体" w:cs="宋体" w:eastAsia="宋体" w:hint="default"/>
        </w:rPr>
        <w:t>1</w:t>
      </w:r>
      <w:r>
        <w:rPr/>
        <w:t>）已逾期未减值的金融资产的账龄分析 本公司无已逾期未计提减值的金融资产。</w:t>
      </w:r>
    </w:p>
    <w:p>
      <w:pPr>
        <w:pStyle w:val="BodyText"/>
        <w:spacing w:line="273" w:lineRule="auto"/>
        <w:ind w:right="2668"/>
        <w:jc w:val="left"/>
      </w:pPr>
      <w:r>
        <w:rPr/>
        <w:t>（</w:t>
      </w:r>
      <w:r>
        <w:rPr>
          <w:rFonts w:ascii="宋体" w:hAnsi="宋体" w:cs="宋体" w:eastAsia="宋体" w:hint="default"/>
        </w:rPr>
        <w:t>2</w:t>
      </w:r>
      <w:r>
        <w:rPr/>
        <w:t>）已发生单项减值的金融资产的分析，包括判断该金融资产发生减值所考虑的因素。 资产负债表日，单项确定已发生减值的应收款项详见本报告第十节、七、</w:t>
      </w:r>
      <w:r>
        <w:rPr>
          <w:rFonts w:ascii="宋体" w:hAnsi="宋体" w:cs="宋体" w:eastAsia="宋体" w:hint="default"/>
        </w:rPr>
        <w:t>5</w:t>
      </w:r>
      <w:r>
        <w:rPr/>
        <w:t>及</w:t>
      </w:r>
      <w:r>
        <w:rPr>
          <w:rFonts w:ascii="宋体" w:hAnsi="宋体" w:cs="宋体" w:eastAsia="宋体" w:hint="default"/>
        </w:rPr>
        <w:t>9</w:t>
      </w:r>
      <w:r>
        <w:rPr/>
        <w:t>。 </w:t>
      </w:r>
      <w:r>
        <w:rPr>
          <w:rFonts w:ascii="宋体" w:hAnsi="宋体" w:cs="宋体" w:eastAsia="宋体" w:hint="default"/>
        </w:rPr>
        <w:t>3</w:t>
      </w:r>
      <w:r>
        <w:rPr/>
        <w:t>、流动风险</w:t>
      </w:r>
    </w:p>
    <w:p>
      <w:pPr>
        <w:pStyle w:val="BodyText"/>
        <w:spacing w:line="273" w:lineRule="auto"/>
        <w:ind w:right="0"/>
        <w:jc w:val="left"/>
      </w:pPr>
      <w:r>
        <w:rPr>
          <w:spacing w:val="-1"/>
        </w:rPr>
        <w:t>管理流动风险时，本公司保持管理层认为充分的现金及现金等价物并对其进行监控，以满足本公司经营需</w:t>
      </w:r>
      <w:r>
        <w:rPr>
          <w:spacing w:val="-81"/>
        </w:rPr>
        <w:t> </w:t>
      </w:r>
      <w:r>
        <w:rPr>
          <w:spacing w:val="-81"/>
        </w:rPr>
      </w:r>
      <w:r>
        <w:rPr/>
        <w:t>要，并降低现金流量波动的影响。本公司管理层对银行借款的使用情况进行监控并确保遵守借款协议。</w:t>
      </w:r>
      <w:r>
        <w:rPr/>
        <w:t> 本公司将银行借款作为主要资金来源。</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日，本公司尚未使用的银行借款额度为人民币 </w:t>
      </w:r>
      <w:r>
        <w:rPr>
          <w:rFonts w:ascii="宋体" w:hAnsi="宋体" w:cs="宋体" w:eastAsia="宋体" w:hint="default"/>
        </w:rPr>
        <w:t>220,455,367.10</w:t>
      </w:r>
      <w:r>
        <w:rPr/>
        <w:t>元。</w:t>
      </w:r>
    </w:p>
    <w:p>
      <w:pPr>
        <w:pStyle w:val="BodyText"/>
        <w:spacing w:line="240" w:lineRule="auto"/>
        <w:ind w:left="154" w:right="0"/>
        <w:jc w:val="left"/>
      </w:pPr>
      <w:r>
        <w:rPr/>
        <w:t>本公司持有的金融资产、金融负债按未折现剩余合同义务的到期期限分析如下：</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3382"/>
        <w:gridCol w:w="3120"/>
        <w:gridCol w:w="1677"/>
        <w:gridCol w:w="1676"/>
      </w:tblGrid>
      <w:tr>
        <w:trPr>
          <w:trHeight w:val="355" w:hRule="exact"/>
        </w:trPr>
        <w:tc>
          <w:tcPr>
            <w:tcW w:w="3382"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120"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个月以内</w:t>
            </w:r>
          </w:p>
        </w:tc>
        <w:tc>
          <w:tcPr>
            <w:tcW w:w="1677"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z w:val="21"/>
                <w:szCs w:val="21"/>
              </w:rPr>
              <w:t>个月</w:t>
            </w:r>
          </w:p>
        </w:tc>
        <w:tc>
          <w:tcPr>
            <w:tcW w:w="1676" w:type="dxa"/>
            <w:tcBorders>
              <w:top w:val="single" w:sz="6" w:space="0" w:color="000000"/>
              <w:left w:val="single" w:sz="6" w:space="0" w:color="000000"/>
              <w:bottom w:val="single" w:sz="12" w:space="0" w:color="000000"/>
              <w:right w:val="nil" w:sz="6" w:space="0" w:color="auto"/>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3-12</w:t>
            </w:r>
            <w:r>
              <w:rPr>
                <w:rFonts w:ascii="宋体" w:hAnsi="宋体" w:cs="宋体" w:eastAsia="宋体" w:hint="default"/>
                <w:sz w:val="21"/>
                <w:szCs w:val="21"/>
              </w:rPr>
              <w:t>个月</w:t>
            </w:r>
          </w:p>
        </w:tc>
      </w:tr>
      <w:tr>
        <w:trPr>
          <w:trHeight w:val="352" w:hRule="exact"/>
        </w:trPr>
        <w:tc>
          <w:tcPr>
            <w:tcW w:w="338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非衍生金融资产及负债：</w:t>
            </w:r>
          </w:p>
        </w:tc>
        <w:tc>
          <w:tcPr>
            <w:tcW w:w="3120" w:type="dxa"/>
            <w:tcBorders>
              <w:top w:val="single" w:sz="12" w:space="0" w:color="000000"/>
              <w:left w:val="single" w:sz="6" w:space="0" w:color="000000"/>
              <w:bottom w:val="single" w:sz="12" w:space="0" w:color="000000"/>
              <w:right w:val="single" w:sz="6" w:space="0" w:color="000000"/>
            </w:tcBorders>
          </w:tcPr>
          <w:p>
            <w:pPr/>
          </w:p>
        </w:tc>
        <w:tc>
          <w:tcPr>
            <w:tcW w:w="1677" w:type="dxa"/>
            <w:tcBorders>
              <w:top w:val="single" w:sz="12" w:space="0" w:color="000000"/>
              <w:left w:val="single" w:sz="6" w:space="0" w:color="000000"/>
              <w:bottom w:val="single" w:sz="12" w:space="0" w:color="000000"/>
              <w:right w:val="single" w:sz="6" w:space="0" w:color="000000"/>
            </w:tcBorders>
          </w:tcPr>
          <w:p>
            <w:pPr/>
          </w:p>
        </w:tc>
        <w:tc>
          <w:tcPr>
            <w:tcW w:w="1676"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38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12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sz w:val="21"/>
              </w:rPr>
              <w:t>189,825,637.84</w:t>
            </w:r>
          </w:p>
        </w:tc>
        <w:tc>
          <w:tcPr>
            <w:tcW w:w="1677"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sz w:val="21"/>
              </w:rPr>
              <w:t>339,254,469.01</w:t>
            </w:r>
          </w:p>
        </w:tc>
        <w:tc>
          <w:tcPr>
            <w:tcW w:w="1676"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left="212" w:right="0"/>
              <w:jc w:val="left"/>
              <w:rPr>
                <w:rFonts w:ascii="宋体" w:hAnsi="宋体" w:cs="宋体" w:eastAsia="宋体" w:hint="default"/>
                <w:sz w:val="21"/>
                <w:szCs w:val="21"/>
              </w:rPr>
            </w:pPr>
            <w:r>
              <w:rPr>
                <w:rFonts w:ascii="宋体"/>
                <w:sz w:val="21"/>
              </w:rPr>
              <w:t>-</w:t>
            </w:r>
          </w:p>
        </w:tc>
      </w:tr>
      <w:tr>
        <w:trPr>
          <w:trHeight w:val="352" w:hRule="exact"/>
        </w:trPr>
        <w:tc>
          <w:tcPr>
            <w:tcW w:w="338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12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sz w:val="21"/>
              </w:rPr>
              <w:t>8,835,544.12</w:t>
            </w:r>
          </w:p>
        </w:tc>
        <w:tc>
          <w:tcPr>
            <w:tcW w:w="1677"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sz w:val="21"/>
              </w:rPr>
              <w:t>17,444,136.11</w:t>
            </w:r>
          </w:p>
        </w:tc>
        <w:tc>
          <w:tcPr>
            <w:tcW w:w="1676"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left="212" w:right="0"/>
              <w:jc w:val="left"/>
              <w:rPr>
                <w:rFonts w:ascii="宋体" w:hAnsi="宋体" w:cs="宋体" w:eastAsia="宋体" w:hint="default"/>
                <w:sz w:val="21"/>
                <w:szCs w:val="21"/>
              </w:rPr>
            </w:pPr>
            <w:r>
              <w:rPr>
                <w:rFonts w:ascii="宋体"/>
                <w:sz w:val="21"/>
              </w:rPr>
              <w:t>-</w:t>
            </w:r>
          </w:p>
        </w:tc>
      </w:tr>
      <w:tr>
        <w:trPr>
          <w:trHeight w:val="352" w:hRule="exact"/>
        </w:trPr>
        <w:tc>
          <w:tcPr>
            <w:tcW w:w="338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312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161"/>
              <w:jc w:val="right"/>
              <w:rPr>
                <w:rFonts w:ascii="宋体" w:hAnsi="宋体" w:cs="宋体" w:eastAsia="宋体" w:hint="default"/>
                <w:sz w:val="21"/>
                <w:szCs w:val="21"/>
              </w:rPr>
            </w:pPr>
            <w:r>
              <w:rPr>
                <w:rFonts w:ascii="宋体"/>
                <w:sz w:val="21"/>
              </w:rPr>
              <w:t>-</w:t>
            </w:r>
          </w:p>
        </w:tc>
        <w:tc>
          <w:tcPr>
            <w:tcW w:w="1677"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sz w:val="21"/>
              </w:rPr>
              <w:t>30,000,000.00</w:t>
            </w:r>
          </w:p>
        </w:tc>
        <w:tc>
          <w:tcPr>
            <w:tcW w:w="1676"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left="2" w:right="0"/>
              <w:jc w:val="left"/>
              <w:rPr>
                <w:rFonts w:ascii="宋体" w:hAnsi="宋体" w:cs="宋体" w:eastAsia="宋体" w:hint="default"/>
                <w:sz w:val="21"/>
                <w:szCs w:val="21"/>
              </w:rPr>
            </w:pPr>
            <w:r>
              <w:rPr>
                <w:rFonts w:ascii="宋体"/>
                <w:sz w:val="21"/>
              </w:rPr>
              <w:t>269,400,000.00</w:t>
            </w:r>
          </w:p>
        </w:tc>
      </w:tr>
      <w:tr>
        <w:trPr>
          <w:trHeight w:val="353" w:hRule="exact"/>
        </w:trPr>
        <w:tc>
          <w:tcPr>
            <w:tcW w:w="338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12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sz w:val="21"/>
              </w:rPr>
              <w:t>350,744,515.88</w:t>
            </w:r>
          </w:p>
        </w:tc>
        <w:tc>
          <w:tcPr>
            <w:tcW w:w="1677"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sz w:val="21"/>
              </w:rPr>
              <w:t>-</w:t>
            </w:r>
          </w:p>
        </w:tc>
        <w:tc>
          <w:tcPr>
            <w:tcW w:w="1676"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left="212" w:right="0"/>
              <w:jc w:val="left"/>
              <w:rPr>
                <w:rFonts w:ascii="宋体" w:hAnsi="宋体" w:cs="宋体" w:eastAsia="宋体" w:hint="default"/>
                <w:sz w:val="21"/>
                <w:szCs w:val="21"/>
              </w:rPr>
            </w:pPr>
            <w:r>
              <w:rPr>
                <w:rFonts w:ascii="宋体"/>
                <w:sz w:val="21"/>
              </w:rPr>
              <w:t>-</w:t>
            </w:r>
          </w:p>
        </w:tc>
      </w:tr>
      <w:tr>
        <w:trPr>
          <w:trHeight w:val="352" w:hRule="exact"/>
        </w:trPr>
        <w:tc>
          <w:tcPr>
            <w:tcW w:w="338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12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sz w:val="21"/>
              </w:rPr>
              <w:t>5,811,376.20</w:t>
            </w:r>
          </w:p>
        </w:tc>
        <w:tc>
          <w:tcPr>
            <w:tcW w:w="1677"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sz w:val="21"/>
              </w:rPr>
              <w:t>-</w:t>
            </w:r>
          </w:p>
        </w:tc>
        <w:tc>
          <w:tcPr>
            <w:tcW w:w="1676"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left="212" w:right="0"/>
              <w:jc w:val="left"/>
              <w:rPr>
                <w:rFonts w:ascii="宋体" w:hAnsi="宋体" w:cs="宋体" w:eastAsia="宋体" w:hint="default"/>
                <w:sz w:val="21"/>
                <w:szCs w:val="21"/>
              </w:rPr>
            </w:pPr>
            <w:r>
              <w:rPr>
                <w:rFonts w:ascii="宋体"/>
                <w:sz w:val="21"/>
              </w:rPr>
              <w:t>-</w:t>
            </w:r>
          </w:p>
        </w:tc>
      </w:tr>
      <w:tr>
        <w:trPr>
          <w:trHeight w:val="352" w:hRule="exact"/>
        </w:trPr>
        <w:tc>
          <w:tcPr>
            <w:tcW w:w="338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3120" w:type="dxa"/>
            <w:tcBorders>
              <w:top w:val="single" w:sz="12" w:space="0" w:color="000000"/>
              <w:left w:val="single" w:sz="6" w:space="0" w:color="000000"/>
              <w:bottom w:val="single" w:sz="12" w:space="0" w:color="000000"/>
              <w:right w:val="single" w:sz="6" w:space="0" w:color="000000"/>
            </w:tcBorders>
          </w:tcPr>
          <w:p>
            <w:pPr/>
          </w:p>
        </w:tc>
        <w:tc>
          <w:tcPr>
            <w:tcW w:w="1677" w:type="dxa"/>
            <w:tcBorders>
              <w:top w:val="single" w:sz="12" w:space="0" w:color="000000"/>
              <w:left w:val="single" w:sz="6" w:space="0" w:color="000000"/>
              <w:bottom w:val="single" w:sz="12" w:space="0" w:color="000000"/>
              <w:right w:val="single" w:sz="6" w:space="0" w:color="000000"/>
            </w:tcBorders>
          </w:tcPr>
          <w:p>
            <w:pPr/>
          </w:p>
        </w:tc>
        <w:tc>
          <w:tcPr>
            <w:tcW w:w="1676"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38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远期外汇合同</w:t>
            </w:r>
          </w:p>
        </w:tc>
        <w:tc>
          <w:tcPr>
            <w:tcW w:w="312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sz w:val="21"/>
              </w:rPr>
              <w:t>420,600.00</w:t>
            </w:r>
          </w:p>
        </w:tc>
        <w:tc>
          <w:tcPr>
            <w:tcW w:w="1677"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sz w:val="21"/>
              </w:rPr>
              <w:t>1,266,107.72</w:t>
            </w:r>
          </w:p>
        </w:tc>
        <w:tc>
          <w:tcPr>
            <w:tcW w:w="1676"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一、公允价值的披露" w:id="436"/>
      <w:bookmarkEnd w:id="436"/>
      <w:r>
        <w:rPr>
          <w:b w:val="0"/>
          <w:bCs w:val="0"/>
        </w:rPr>
      </w: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以公允价值计量的资产和负债的期末公允价值" w:id="437"/>
      <w:bookmarkEnd w:id="437"/>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3"/>
        <w:gridCol w:w="1837"/>
        <w:gridCol w:w="1913"/>
        <w:gridCol w:w="1913"/>
        <w:gridCol w:w="1901"/>
      </w:tblGrid>
      <w:tr>
        <w:trPr>
          <w:trHeight w:val="402"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756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61"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83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823"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7" w:type="dxa"/>
            <w:vMerge/>
            <w:tcBorders>
              <w:left w:val="single" w:sz="4" w:space="0" w:color="000000"/>
              <w:right w:val="single" w:sz="4" w:space="0" w:color="000000"/>
            </w:tcBorders>
            <w:shd w:val="clear" w:color="auto" w:fill="D2D2D2"/>
          </w:tcPr>
          <w:p>
            <w:pP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2"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0" w:hRule="exact"/>
        </w:trPr>
        <w:tc>
          <w:tcPr>
            <w:tcW w:w="1983" w:type="dxa"/>
            <w:vMerge w:val="restart"/>
            <w:tcBorders>
              <w:top w:val="nil" w:sz="6" w:space="0" w:color="auto"/>
              <w:left w:val="single" w:sz="4" w:space="0" w:color="000000"/>
              <w:right w:val="single" w:sz="4" w:space="0" w:color="000000"/>
            </w:tcBorders>
            <w:shd w:val="clear" w:color="auto" w:fill="D2D2D2"/>
          </w:tcPr>
          <w:p>
            <w:pPr/>
          </w:p>
        </w:tc>
        <w:tc>
          <w:tcPr>
            <w:tcW w:w="1837"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01"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83" w:type="dxa"/>
            <w:vMerge/>
            <w:tcBorders>
              <w:left w:val="single" w:sz="4" w:space="0" w:color="000000"/>
              <w:bottom w:val="single" w:sz="4" w:space="0" w:color="000000"/>
              <w:right w:val="single" w:sz="4" w:space="0" w:color="000000"/>
            </w:tcBorders>
            <w:shd w:val="clear" w:color="auto" w:fill="D2D2D2"/>
          </w:tcPr>
          <w:p>
            <w:pPr/>
          </w:p>
        </w:tc>
        <w:tc>
          <w:tcPr>
            <w:tcW w:w="1837"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91"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83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6" w:right="0"/>
              <w:jc w:val="left"/>
              <w:rPr>
                <w:rFonts w:ascii="Times New Roman" w:hAnsi="Times New Roman" w:cs="Times New Roman" w:eastAsia="Times New Roman" w:hint="default"/>
                <w:sz w:val="18"/>
                <w:szCs w:val="18"/>
              </w:rPr>
            </w:pPr>
            <w:r>
              <w:rPr>
                <w:rFonts w:ascii="Times New Roman"/>
                <w:sz w:val="18"/>
              </w:rPr>
              <w:t>1,686,707.72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997"/>
        <w:gridCol w:w="1838"/>
        <w:gridCol w:w="1913"/>
        <w:gridCol w:w="1913"/>
        <w:gridCol w:w="1913"/>
      </w:tblGrid>
      <w:tr>
        <w:trPr>
          <w:trHeight w:val="714"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4"/>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持续和非持续第一层次公允价值计量项目市价的确定依据" w:id="438"/>
      <w:bookmarkEnd w:id="438"/>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衍生金融资产系公司签定的远期结汇协议产生，按协议约定汇率与报表日汇率差额及协议结汇总额计算得出。</w:t>
      </w:r>
    </w:p>
    <w:p>
      <w:pPr>
        <w:spacing w:line="240" w:lineRule="auto" w:before="12"/>
        <w:rPr>
          <w:rFonts w:ascii="宋体" w:hAnsi="宋体" w:cs="宋体" w:eastAsia="宋体" w:hint="default"/>
          <w:sz w:val="26"/>
          <w:szCs w:val="26"/>
        </w:rPr>
      </w:pPr>
    </w:p>
    <w:p>
      <w:pPr>
        <w:pStyle w:val="Heading4"/>
        <w:spacing w:line="240" w:lineRule="auto"/>
        <w:ind w:left="154" w:right="0"/>
        <w:jc w:val="left"/>
        <w:rPr>
          <w:b w:val="0"/>
          <w:bCs w:val="0"/>
        </w:rPr>
      </w:pPr>
      <w:bookmarkStart w:name="3、持续和非持续第二层次公允价值计量项目，采用的估值技术和重要参数的定性及定量信" w:id="439"/>
      <w:bookmarkEnd w:id="439"/>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4、持续和非持续第三层次公允价值计量项目，采用的估值技术和重要参数的定性及定量信" w:id="440"/>
      <w:bookmarkEnd w:id="440"/>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0"/>
        <w:jc w:val="left"/>
        <w:rPr>
          <w:b w:val="0"/>
          <w:bCs w:val="0"/>
        </w:rPr>
      </w:pPr>
      <w:bookmarkStart w:name="5、持续的第三层次公允价值计量项目，期初与期末账面价值间的调节信息及不可观察参数" w:id="441"/>
      <w:bookmarkEnd w:id="441"/>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6、持续的公允价值计量项目，本期内发生各层级之间转换的，转换的原因及确定转换时点" w:id="442"/>
      <w:bookmarkEnd w:id="442"/>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7、本期内发生的估值技术变更及变更原因" w:id="443"/>
      <w:bookmarkEnd w:id="443"/>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8、不以公允价值计量的金融资产和金融负债的公允价值情况" w:id="444"/>
      <w:bookmarkEnd w:id="444"/>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9、其他" w:id="445"/>
      <w:bookmarkEnd w:id="445"/>
      <w:r>
        <w:rPr>
          <w:b w:val="0"/>
          <w:bCs w:val="0"/>
        </w:rPr>
      </w:r>
      <w:r>
        <w:rPr>
          <w:rFonts w:ascii="Times New Roman" w:hAnsi="Times New Roman" w:cs="Times New Roman" w:eastAsia="Times New Roman" w:hint="default"/>
        </w:rPr>
        <w:t>9</w:t>
      </w:r>
      <w:r>
        <w:rPr/>
        <w:t>、其他</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154" w:right="1118"/>
        <w:jc w:val="left"/>
      </w:pPr>
      <w:r>
        <w:rPr>
          <w:spacing w:val="-1"/>
        </w:rPr>
        <w:t>衍生金融负债系公司签定的远期结汇协议产生，按协议约定汇率与报表日汇率差额及协议结汇总额计算得</w:t>
      </w:r>
      <w:r>
        <w:rPr>
          <w:spacing w:val="-81"/>
        </w:rPr>
        <w:t> </w:t>
      </w:r>
      <w:r>
        <w:rPr>
          <w:spacing w:val="-81"/>
        </w:rPr>
      </w:r>
      <w:r>
        <w:rPr/>
        <w:t>出。</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pStyle w:val="Heading2"/>
        <w:spacing w:line="240" w:lineRule="auto"/>
        <w:ind w:left="154" w:right="0"/>
        <w:jc w:val="left"/>
        <w:rPr>
          <w:b w:val="0"/>
          <w:bCs w:val="0"/>
        </w:rPr>
      </w:pPr>
      <w:bookmarkStart w:name="十二、关联方及关联交易" w:id="446"/>
      <w:bookmarkEnd w:id="446"/>
      <w:r>
        <w:rPr>
          <w:b w:val="0"/>
          <w:bCs w:val="0"/>
        </w:rPr>
      </w:r>
      <w:r>
        <w:rPr/>
        <w:t>十二、关联方及关联交易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本企业的母公司情况" w:id="447"/>
      <w:bookmarkEnd w:id="447"/>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7" w:right="0"/>
              <w:jc w:val="left"/>
              <w:rPr>
                <w:rFonts w:ascii="Times New Roman" w:hAnsi="Times New Roman" w:cs="Times New Roman" w:eastAsia="Times New Roman" w:hint="default"/>
                <w:sz w:val="18"/>
                <w:szCs w:val="18"/>
              </w:rPr>
            </w:pPr>
            <w:r>
              <w:rPr>
                <w:rFonts w:ascii="Times New Roman"/>
                <w:sz w:val="18"/>
              </w:rPr>
              <w:t>30.30%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6" w:right="0"/>
              <w:jc w:val="left"/>
              <w:rPr>
                <w:rFonts w:ascii="Times New Roman" w:hAnsi="Times New Roman" w:cs="Times New Roman" w:eastAsia="Times New Roman" w:hint="default"/>
                <w:sz w:val="18"/>
                <w:szCs w:val="18"/>
              </w:rPr>
            </w:pPr>
            <w:r>
              <w:rPr>
                <w:rFonts w:ascii="Times New Roman"/>
                <w:sz w:val="18"/>
              </w:rPr>
              <w:t>34.50%</w:t>
            </w:r>
          </w:p>
        </w:tc>
      </w:tr>
    </w:tbl>
    <w:p>
      <w:pPr>
        <w:spacing w:line="360" w:lineRule="auto" w:before="51"/>
        <w:ind w:left="154" w:right="8412"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 本企业最终控制方是顾永德。 其他说明：</w:t>
      </w:r>
    </w:p>
    <w:p>
      <w:pPr>
        <w:pStyle w:val="Heading3"/>
        <w:spacing w:line="312" w:lineRule="exact" w:before="7"/>
        <w:ind w:right="1233"/>
        <w:jc w:val="left"/>
      </w:pPr>
      <w:r>
        <w:rPr/>
        <w:t>顾永德直接持有本公司</w:t>
      </w:r>
      <w:r>
        <w:rPr>
          <w:rFonts w:ascii="Times New Roman" w:hAnsi="Times New Roman" w:cs="Times New Roman" w:eastAsia="Times New Roman" w:hint="default"/>
        </w:rPr>
        <w:t>30.3%</w:t>
      </w:r>
      <w:r>
        <w:rPr/>
        <w:t>的股份，通过深圳德旺投资发展有限公司持有本公司</w:t>
      </w:r>
      <w:r>
        <w:rPr>
          <w:rFonts w:ascii="Times New Roman" w:hAnsi="Times New Roman" w:cs="Times New Roman" w:eastAsia="Times New Roman" w:hint="default"/>
        </w:rPr>
        <w:t>4.2%</w:t>
      </w:r>
      <w:r>
        <w:rPr/>
        <w:t>的股 份。</w:t>
      </w:r>
    </w:p>
    <w:p>
      <w:pPr>
        <w:spacing w:line="240" w:lineRule="auto" w:before="7"/>
        <w:rPr>
          <w:rFonts w:ascii="宋体" w:hAnsi="宋体" w:cs="宋体" w:eastAsia="宋体" w:hint="default"/>
          <w:sz w:val="22"/>
          <w:szCs w:val="22"/>
        </w:rPr>
      </w:pPr>
    </w:p>
    <w:p>
      <w:pPr>
        <w:pStyle w:val="Heading4"/>
        <w:spacing w:line="240" w:lineRule="auto"/>
        <w:ind w:left="154" w:right="0"/>
        <w:jc w:val="left"/>
        <w:rPr>
          <w:b w:val="0"/>
          <w:bCs w:val="0"/>
        </w:rPr>
      </w:pPr>
      <w:bookmarkStart w:name="2、本企业的子公司情况" w:id="448"/>
      <w:bookmarkEnd w:id="448"/>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本企业子公司的情况详见附注九、</w:t>
      </w:r>
      <w:r>
        <w:rPr>
          <w:rFonts w:ascii="Times New Roman" w:hAnsi="Times New Roman" w:cs="Times New Roman" w:eastAsia="Times New Roman" w:hint="default"/>
          <w:sz w:val="18"/>
          <w:szCs w:val="18"/>
        </w:rPr>
        <w:t>1</w:t>
      </w:r>
      <w:r>
        <w:rPr>
          <w:rFonts w:ascii="宋体" w:hAnsi="宋体" w:cs="宋体" w:eastAsia="宋体" w:hint="default"/>
          <w:sz w:val="18"/>
          <w:szCs w:val="18"/>
        </w:rPr>
        <w:t>、在子公司中的权益。</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3、本企业合营和联营企业情况" w:id="449"/>
      <w:bookmarkEnd w:id="449"/>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2293"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本企业重要的合营或联营企业详见附注九、</w:t>
      </w:r>
      <w:r>
        <w:rPr>
          <w:rFonts w:ascii="Times New Roman" w:hAnsi="Times New Roman" w:cs="Times New Roman" w:eastAsia="Times New Roman" w:hint="default"/>
          <w:sz w:val="18"/>
          <w:szCs w:val="18"/>
        </w:rPr>
        <w:t>3</w:t>
      </w:r>
      <w:r>
        <w:rPr>
          <w:rFonts w:ascii="宋体" w:hAnsi="宋体" w:cs="宋体" w:eastAsia="宋体" w:hint="default"/>
          <w:sz w:val="18"/>
          <w:szCs w:val="18"/>
        </w:rPr>
        <w:t>、在合营安排或联营企业中的权益。 本期与本公司发生关联方交易，或前期与本公司发生关联方交易形成余额的其他合营或联营企业情况如下：</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其他关联方情况" w:id="450"/>
      <w:bookmarkEnd w:id="450"/>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深圳德旺投资发展有限公司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顾永德持有其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的股份</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深圳华智包装制品有限公司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顾永德与周莉夫妇合计持有该公司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48.657%</w:t>
            </w:r>
            <w:r>
              <w:rPr>
                <w:rFonts w:ascii="宋体" w:hAnsi="宋体" w:cs="宋体" w:eastAsia="宋体" w:hint="default"/>
                <w:sz w:val="18"/>
                <w:szCs w:val="18"/>
              </w:rPr>
              <w:t>的股份</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山西光宇半导体照明股份有限公司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本公司独立董事施伟力在该公司任独立董事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深圳茂硕投资发展有限公司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本公司持有其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w:t>
            </w:r>
            <w:r>
              <w:rPr>
                <w:rFonts w:ascii="宋体" w:hAnsi="宋体" w:cs="宋体" w:eastAsia="宋体" w:hint="default"/>
                <w:sz w:val="18"/>
                <w:szCs w:val="18"/>
              </w:rPr>
              <w:t>股份、本公司董秘为该公司董事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Brilliant Info</w:t>
            </w:r>
            <w:r>
              <w:rPr>
                <w:rFonts w:ascii="Times New Roman"/>
                <w:spacing w:val="-3"/>
                <w:sz w:val="18"/>
              </w:rPr>
              <w:t> </w:t>
            </w:r>
            <w:r>
              <w:rPr>
                <w:rFonts w:ascii="Times New Roman"/>
                <w:sz w:val="18"/>
              </w:rPr>
              <w:t>Corporation</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本公司持有其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股份</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海宁市诺耶科华太阳能电力工程有限公司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持有本公司控股子公司海宁茂硕</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29.40%</w:t>
            </w:r>
            <w:r>
              <w:rPr>
                <w:rFonts w:ascii="宋体" w:hAnsi="宋体" w:cs="宋体" w:eastAsia="宋体" w:hint="default"/>
                <w:sz w:val="18"/>
                <w:szCs w:val="18"/>
              </w:rPr>
              <w:t>的股份</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深圳连硕自动化科技有限公司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顾永德任该公司董事，于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2015-10-22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卸任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深圳华智测控技术有限公司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本公司持有其</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33.91%</w:t>
            </w:r>
            <w:r>
              <w:rPr>
                <w:rFonts w:ascii="宋体" w:hAnsi="宋体" w:cs="宋体" w:eastAsia="宋体" w:hint="default"/>
                <w:sz w:val="18"/>
                <w:szCs w:val="18"/>
              </w:rPr>
              <w:t>的股份、顾永德任董事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深圳市聚电网络科技有限公司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本公司持有其</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13.5%</w:t>
            </w:r>
            <w:r>
              <w:rPr>
                <w:rFonts w:ascii="宋体" w:hAnsi="宋体" w:cs="宋体" w:eastAsia="宋体" w:hint="default"/>
                <w:sz w:val="18"/>
                <w:szCs w:val="18"/>
              </w:rPr>
              <w:t>的股份、顾永德任董事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河南弘康茂硕电气有限公司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本公司持有其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的股份、顾永德任董事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深圳茂硕祥泰科技有限公司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本公司持有其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的股份</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瑞盈茂硕融资租赁（深圳）有限公司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香港茂硕持有其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w:t>
            </w:r>
            <w:r>
              <w:rPr>
                <w:rFonts w:ascii="宋体" w:hAnsi="宋体" w:cs="宋体" w:eastAsia="宋体" w:hint="default"/>
                <w:sz w:val="18"/>
                <w:szCs w:val="18"/>
              </w:rPr>
              <w:t>的股份</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东莞市祥泰电子有限公司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0"/>
              <w:jc w:val="left"/>
              <w:rPr>
                <w:rFonts w:ascii="宋体" w:hAnsi="宋体" w:cs="宋体" w:eastAsia="宋体" w:hint="default"/>
                <w:sz w:val="18"/>
                <w:szCs w:val="18"/>
              </w:rPr>
            </w:pPr>
            <w:r>
              <w:rPr>
                <w:rFonts w:ascii="宋体" w:hAnsi="宋体" w:cs="宋体" w:eastAsia="宋体" w:hint="default"/>
                <w:spacing w:val="-2"/>
                <w:sz w:val="18"/>
                <w:szCs w:val="18"/>
              </w:rPr>
              <w:t>茂硕祥泰股东刘小灰（持股</w:t>
            </w:r>
            <w:r>
              <w:rPr>
                <w:rFonts w:ascii="宋体" w:hAnsi="宋体" w:cs="宋体" w:eastAsia="宋体" w:hint="default"/>
                <w:spacing w:val="-40"/>
                <w:sz w:val="18"/>
                <w:szCs w:val="18"/>
              </w:rPr>
              <w:t> </w:t>
            </w:r>
            <w:r>
              <w:rPr>
                <w:rFonts w:ascii="Times New Roman" w:hAnsi="Times New Roman" w:cs="Times New Roman" w:eastAsia="Times New Roman" w:hint="default"/>
                <w:spacing w:val="-8"/>
                <w:sz w:val="18"/>
                <w:szCs w:val="18"/>
              </w:rPr>
              <w:t>10%</w:t>
            </w:r>
            <w:r>
              <w:rPr>
                <w:rFonts w:ascii="宋体" w:hAnsi="宋体" w:cs="宋体" w:eastAsia="宋体" w:hint="default"/>
                <w:spacing w:val="-8"/>
                <w:sz w:val="18"/>
                <w:szCs w:val="18"/>
              </w:rPr>
              <w:t>），为该公司的股东、执行董</w:t>
            </w:r>
            <w:r>
              <w:rPr>
                <w:rFonts w:ascii="宋体" w:hAnsi="宋体" w:cs="宋体" w:eastAsia="宋体" w:hint="default"/>
                <w:sz w:val="18"/>
                <w:szCs w:val="18"/>
              </w:rPr>
              <w:t> 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浙江国利英核能源有限公司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本公司持有其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的股份</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方吉槟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董事、董秘、副总经理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方笑求</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李晓波</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副董事长（</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月离任）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张新明</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施伟力</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谢颖彬</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监事会主席（于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月离任）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肖明</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成水英</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洪丹</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潘晓平</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戴新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月离任）</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刘耀平</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月离任）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罗宏健</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王细亮</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月离任）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周莉</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顾永德的妻子</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周筠</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周莉的姐姐</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刘泽民</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持有茂硕钜泽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w:t>
            </w:r>
            <w:r>
              <w:rPr>
                <w:rFonts w:ascii="宋体" w:hAnsi="宋体" w:cs="宋体" w:eastAsia="宋体" w:hint="default"/>
                <w:sz w:val="18"/>
                <w:szCs w:val="18"/>
              </w:rPr>
              <w:t>股份</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方慧</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持有曦港科技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w:t>
            </w:r>
            <w:r>
              <w:rPr>
                <w:rFonts w:ascii="宋体" w:hAnsi="宋体" w:cs="宋体" w:eastAsia="宋体" w:hint="default"/>
                <w:sz w:val="18"/>
                <w:szCs w:val="18"/>
              </w:rPr>
              <w:t>股份</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关联交易情况" w:id="451"/>
      <w:bookmarkEnd w:id="451"/>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0"/>
        <w:jc w:val="left"/>
        <w:rPr>
          <w:b w:val="0"/>
          <w:bCs w:val="0"/>
        </w:rPr>
      </w:pPr>
      <w:bookmarkStart w:name="（1）购销商品、提供和接受劳务的关联交易" w:id="452"/>
      <w:bookmarkEnd w:id="452"/>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1"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深圳华智测控技术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采购原材料</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134,376.06</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2,528,396.33</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深圳茂硕投资发展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2,055,470.31</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1,739,427.15</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东莞市祥泰电子有 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采购原材料</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5,377,931.90</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深圳茂硕祥泰科技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采购原材料</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6,190,172.37</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浙江国利英核能源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EPC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工程</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12,298,826.92</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both"/>
              <w:rPr>
                <w:rFonts w:ascii="宋体" w:hAnsi="宋体" w:cs="宋体" w:eastAsia="宋体" w:hint="default"/>
                <w:sz w:val="18"/>
                <w:szCs w:val="18"/>
              </w:rPr>
            </w:pPr>
            <w:r>
              <w:rPr>
                <w:rFonts w:ascii="宋体" w:hAnsi="宋体" w:cs="宋体" w:eastAsia="宋体" w:hint="default"/>
                <w:sz w:val="18"/>
                <w:szCs w:val="18"/>
              </w:rPr>
              <w:t>海宁市诺耶科华太 阳能电力工程有限 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EPC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工程</w:t>
            </w:r>
          </w:p>
        </w:tc>
        <w:tc>
          <w:tcPr>
            <w:tcW w:w="145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97,680,940.18</w:t>
            </w:r>
          </w:p>
        </w:tc>
      </w:tr>
      <w:tr>
        <w:trPr>
          <w:trHeight w:val="715"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深圳连硕自动化科 技有限公司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采购固定资产</w:t>
            </w:r>
          </w:p>
        </w:tc>
        <w:tc>
          <w:tcPr>
            <w:tcW w:w="145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1,861,538.44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Brilliant Info</w:t>
            </w:r>
            <w:r>
              <w:rPr>
                <w:rFonts w:ascii="Times New Roman"/>
                <w:spacing w:val="-3"/>
                <w:sz w:val="18"/>
              </w:rPr>
              <w:t> </w:t>
            </w:r>
            <w:r>
              <w:rPr>
                <w:rFonts w:ascii="Times New Roman"/>
                <w:sz w:val="18"/>
              </w:rPr>
              <w:t>Corporation</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75" w:right="0"/>
              <w:jc w:val="left"/>
              <w:rPr>
                <w:rFonts w:ascii="Times New Roman" w:hAnsi="Times New Roman" w:cs="Times New Roman" w:eastAsia="Times New Roman" w:hint="default"/>
                <w:sz w:val="18"/>
                <w:szCs w:val="18"/>
              </w:rPr>
            </w:pPr>
            <w:r>
              <w:rPr>
                <w:rFonts w:ascii="Times New Roman"/>
                <w:sz w:val="18"/>
              </w:rPr>
              <w:t>7,482,200.18</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河南弘康茂硕电气有限公司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951,365.90</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浙江国利英核能源有限公司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1,697,572.98</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山西光宇半导体照明股份有限</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133,789.74</w:t>
            </w:r>
          </w:p>
        </w:tc>
        <w:tc>
          <w:tcPr>
            <w:tcW w:w="265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36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259" w:type="dxa"/>
            <w:tcBorders>
              <w:top w:val="single" w:sz="4" w:space="0" w:color="000000"/>
              <w:left w:val="single" w:sz="4" w:space="0" w:color="000000"/>
              <w:bottom w:val="single" w:sz="4" w:space="0" w:color="000000"/>
              <w:right w:val="single" w:sz="4" w:space="0" w:color="000000"/>
            </w:tcBorders>
          </w:tcPr>
          <w:p>
            <w:pP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购销商品、提供和接受劳务的关联交易说明</w:t>
      </w:r>
    </w:p>
    <w:p>
      <w:pPr>
        <w:spacing w:line="240" w:lineRule="auto" w:before="11"/>
        <w:rPr>
          <w:rFonts w:ascii="宋体" w:hAnsi="宋体" w:cs="宋体" w:eastAsia="宋体" w:hint="default"/>
          <w:sz w:val="26"/>
          <w:szCs w:val="26"/>
        </w:rPr>
      </w:pPr>
    </w:p>
    <w:p>
      <w:pPr>
        <w:pStyle w:val="Heading4"/>
        <w:spacing w:line="240" w:lineRule="auto"/>
        <w:ind w:left="154" w:right="0"/>
        <w:jc w:val="left"/>
        <w:rPr>
          <w:b w:val="0"/>
          <w:bCs w:val="0"/>
        </w:rPr>
      </w:pPr>
      <w:bookmarkStart w:name="（2）关联受托管理/承包及委托管理/出包情况" w:id="453"/>
      <w:bookmarkEnd w:id="453"/>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本公司受托管理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8"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2"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340" w:lineRule="auto"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关联托管</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承包情况说明 本公司委托管理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545" w:space="6284"/>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08"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关联管理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出包情况说明</w:t>
      </w:r>
    </w:p>
    <w:p>
      <w:pPr>
        <w:spacing w:line="240" w:lineRule="auto" w:before="10"/>
        <w:rPr>
          <w:rFonts w:ascii="宋体" w:hAnsi="宋体" w:cs="宋体" w:eastAsia="宋体" w:hint="default"/>
          <w:sz w:val="25"/>
          <w:szCs w:val="25"/>
        </w:rPr>
      </w:pPr>
    </w:p>
    <w:p>
      <w:pPr>
        <w:pStyle w:val="Heading4"/>
        <w:spacing w:line="240" w:lineRule="auto"/>
        <w:ind w:left="154" w:right="0"/>
        <w:jc w:val="left"/>
        <w:rPr>
          <w:b w:val="0"/>
          <w:bCs w:val="0"/>
        </w:rPr>
      </w:pPr>
      <w:bookmarkStart w:name="（3）关联租赁情况" w:id="454"/>
      <w:bookmarkEnd w:id="454"/>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本公司作为出租方：</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本公司作为承租方：</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关联租赁情况说明</w:t>
      </w:r>
    </w:p>
    <w:p>
      <w:pPr>
        <w:spacing w:line="240" w:lineRule="auto" w:before="10"/>
        <w:rPr>
          <w:rFonts w:ascii="宋体" w:hAnsi="宋体" w:cs="宋体" w:eastAsia="宋体" w:hint="default"/>
          <w:sz w:val="26"/>
          <w:szCs w:val="26"/>
        </w:rPr>
      </w:pPr>
    </w:p>
    <w:p>
      <w:pPr>
        <w:pStyle w:val="Heading4"/>
        <w:spacing w:line="240" w:lineRule="auto"/>
        <w:ind w:left="154" w:right="0"/>
        <w:jc w:val="left"/>
        <w:rPr>
          <w:b w:val="0"/>
          <w:bCs w:val="0"/>
        </w:rPr>
      </w:pPr>
      <w:bookmarkStart w:name="（4）关联担保情况" w:id="455"/>
      <w:bookmarkEnd w:id="455"/>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胡炎申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蓝顺明、方笑求</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5）关联方资金拆借" w:id="456"/>
      <w:bookmarkEnd w:id="456"/>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pStyle w:val="Heading4"/>
        <w:spacing w:line="240" w:lineRule="auto" w:before="35"/>
        <w:ind w:left="154" w:right="0"/>
        <w:jc w:val="left"/>
        <w:rPr>
          <w:b w:val="0"/>
          <w:bCs w:val="0"/>
        </w:rPr>
      </w:pPr>
      <w:bookmarkStart w:name="（6）关联方资产转让、债务重组情况" w:id="457"/>
      <w:bookmarkEnd w:id="457"/>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河南弘康茂硕电气有限公司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出售固定资产</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589,094.02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深圳鑫四方检测科技有限公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出售固定资产</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807,168.66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东莞市祥泰电子有限公司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出售固定资产</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207,708.90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公司高管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出售菁英家园房产</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945,958.00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4" w:right="0"/>
              <w:jc w:val="left"/>
              <w:rPr>
                <w:rFonts w:ascii="Times New Roman" w:hAnsi="Times New Roman" w:cs="Times New Roman" w:eastAsia="Times New Roman" w:hint="default"/>
                <w:sz w:val="18"/>
                <w:szCs w:val="18"/>
              </w:rPr>
            </w:pPr>
            <w:r>
              <w:rPr>
                <w:rFonts w:ascii="Times New Roman"/>
                <w:sz w:val="18"/>
              </w:rPr>
              <w:t>6,084,240.43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深圳茂硕投资发展有限公司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转让股权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4,500,000.00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7）关键管理人员报酬" w:id="458"/>
      <w:bookmarkEnd w:id="458"/>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3,154,223.06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4,270,505.04</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8）其他关联交易" w:id="459"/>
      <w:bookmarkEnd w:id="459"/>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6、关联方应收应付款项" w:id="460"/>
      <w:bookmarkEnd w:id="460"/>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1）应收项目" w:id="461"/>
      <w:bookmarkEnd w:id="461"/>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山西光宇半导体照 明股份有限公司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19,161.01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533.60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135,279.01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15,884.21</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615"/>
              <w:jc w:val="left"/>
              <w:rPr>
                <w:rFonts w:ascii="Times New Roman" w:hAnsi="Times New Roman" w:cs="Times New Roman" w:eastAsia="Times New Roman" w:hint="default"/>
                <w:sz w:val="18"/>
                <w:szCs w:val="18"/>
              </w:rPr>
            </w:pPr>
            <w:r>
              <w:rPr>
                <w:rFonts w:ascii="Times New Roman"/>
                <w:sz w:val="18"/>
              </w:rPr>
              <w:t>Brilliant</w:t>
            </w:r>
            <w:r>
              <w:rPr>
                <w:rFonts w:ascii="Times New Roman"/>
                <w:spacing w:val="-1"/>
                <w:sz w:val="18"/>
              </w:rPr>
              <w:t> </w:t>
            </w:r>
            <w:r>
              <w:rPr>
                <w:rFonts w:ascii="Times New Roman"/>
                <w:sz w:val="18"/>
              </w:rPr>
              <w:t>Info</w:t>
            </w:r>
            <w:r>
              <w:rPr>
                <w:rFonts w:ascii="Times New Roman"/>
                <w:w w:val="99"/>
                <w:sz w:val="18"/>
              </w:rPr>
              <w:t> </w:t>
            </w:r>
            <w:r>
              <w:rPr>
                <w:rFonts w:ascii="Times New Roman"/>
                <w:sz w:val="18"/>
              </w:rPr>
              <w:t>Corporation</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8,330,367.55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4,165,183.78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7,839,097.77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396,302.87</w:t>
            </w:r>
          </w:p>
        </w:tc>
      </w:tr>
      <w:tr>
        <w:trPr>
          <w:trHeight w:val="67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海宁市诺耶科华太 阳能电力工程有限</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1,076,920.00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107,692.00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2,048,920.00</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362"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河南弘康茂硕电气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702,338.10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19,807.23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浙江国利英核能源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330,500.00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10,125.00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成水英</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刘耀平</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700.00</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刘泽民</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28,000.00</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应付项目" w:id="462"/>
      <w:bookmarkEnd w:id="462"/>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深圳华智测控技术有限公司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157,517.94</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8"/>
              <w:jc w:val="left"/>
              <w:rPr>
                <w:rFonts w:ascii="宋体" w:hAnsi="宋体" w:cs="宋体" w:eastAsia="宋体" w:hint="default"/>
                <w:sz w:val="18"/>
                <w:szCs w:val="18"/>
              </w:rPr>
            </w:pPr>
            <w:r>
              <w:rPr>
                <w:rFonts w:ascii="宋体" w:hAnsi="宋体" w:cs="宋体" w:eastAsia="宋体" w:hint="default"/>
                <w:sz w:val="18"/>
                <w:szCs w:val="18"/>
              </w:rPr>
              <w:t>海宁市诺耶科华太阳能电力 工程有限公司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5,948,622.20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11,477,635.46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深圳茂硕祥泰科技有限公司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6,413,612.99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东莞市祥泰电子有限公司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1,754,474.27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茂硕投资发展有限公司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301,765.50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90,452.49</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8"/>
              <w:jc w:val="left"/>
              <w:rPr>
                <w:rFonts w:ascii="宋体" w:hAnsi="宋体" w:cs="宋体" w:eastAsia="宋体" w:hint="default"/>
                <w:sz w:val="18"/>
                <w:szCs w:val="18"/>
              </w:rPr>
            </w:pPr>
            <w:r>
              <w:rPr>
                <w:rFonts w:ascii="宋体" w:hAnsi="宋体" w:cs="宋体" w:eastAsia="宋体" w:hint="default"/>
                <w:sz w:val="18"/>
                <w:szCs w:val="18"/>
              </w:rPr>
              <w:t>深圳连硕自动化科技有限公 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217,800.00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1,089,000.00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罗宏健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611.00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7、关联方承诺" w:id="463"/>
      <w:bookmarkEnd w:id="463"/>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8"/>
        <w:rPr>
          <w:rFonts w:ascii="宋体" w:hAnsi="宋体" w:cs="宋体" w:eastAsia="宋体" w:hint="default"/>
          <w:b/>
          <w:bCs/>
          <w:sz w:val="24"/>
          <w:szCs w:val="24"/>
        </w:rPr>
      </w:pPr>
    </w:p>
    <w:p>
      <w:pPr>
        <w:spacing w:line="487" w:lineRule="auto" w:before="0"/>
        <w:ind w:left="153" w:right="8751" w:firstLine="0"/>
        <w:jc w:val="left"/>
        <w:rPr>
          <w:rFonts w:ascii="宋体" w:hAnsi="宋体" w:cs="宋体" w:eastAsia="宋体" w:hint="default"/>
          <w:sz w:val="21"/>
          <w:szCs w:val="21"/>
        </w:rPr>
      </w:pPr>
      <w:bookmarkStart w:name="8、其他" w:id="464"/>
      <w:bookmarkEnd w:id="464"/>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股份支付" w:id="465"/>
      <w:bookmarkEnd w:id="465"/>
      <w:r>
        <w:rPr>
          <w:rFonts w:ascii="宋体" w:hAnsi="宋体" w:cs="宋体" w:eastAsia="宋体" w:hint="default"/>
          <w:b/>
          <w:bCs/>
          <w:spacing w:val="1"/>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66"/>
      <w:bookmarkEnd w:id="466"/>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spacing w:before="108"/>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以权益结算的股份支付情况" w:id="467"/>
      <w:bookmarkEnd w:id="467"/>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以现金结算的股份支付情况" w:id="468"/>
      <w:bookmarkEnd w:id="468"/>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4、股份支付的修改、终止情况" w:id="469"/>
      <w:bookmarkEnd w:id="469"/>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spacing w:line="487" w:lineRule="auto" w:before="0"/>
        <w:ind w:left="153" w:right="8344" w:firstLine="0"/>
        <w:jc w:val="left"/>
        <w:rPr>
          <w:rFonts w:ascii="宋体" w:hAnsi="宋体" w:cs="宋体" w:eastAsia="宋体" w:hint="default"/>
          <w:sz w:val="21"/>
          <w:szCs w:val="21"/>
        </w:rPr>
      </w:pPr>
      <w:bookmarkStart w:name="5、其他" w:id="470"/>
      <w:bookmarkEnd w:id="470"/>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四、承诺及或有事项" w:id="471"/>
      <w:bookmarkEnd w:id="471"/>
      <w:r>
        <w:rPr>
          <w:rFonts w:ascii="宋体" w:hAnsi="宋体" w:cs="宋体" w:eastAsia="宋体" w:hint="default"/>
          <w:b/>
          <w:bCs/>
          <w:spacing w:val="1"/>
          <w:w w:val="99"/>
          <w:sz w:val="21"/>
          <w:szCs w:val="21"/>
        </w:rPr>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bookmarkStart w:name="1、重要承诺事项" w:id="472"/>
      <w:bookmarkEnd w:id="472"/>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spacing w:before="108"/>
        <w:ind w:left="154" w:right="0" w:firstLine="0"/>
        <w:jc w:val="left"/>
        <w:rPr>
          <w:rFonts w:ascii="宋体" w:hAnsi="宋体" w:cs="宋体" w:eastAsia="宋体" w:hint="default"/>
          <w:sz w:val="18"/>
          <w:szCs w:val="18"/>
        </w:rPr>
      </w:pPr>
      <w:r>
        <w:rPr>
          <w:rFonts w:ascii="宋体" w:hAnsi="宋体" w:cs="宋体" w:eastAsia="宋体" w:hint="default"/>
          <w:sz w:val="18"/>
          <w:szCs w:val="18"/>
        </w:rPr>
        <w:t>资产负债表日存在的重要承诺</w:t>
      </w:r>
    </w:p>
    <w:p>
      <w:pPr>
        <w:pStyle w:val="Heading2"/>
        <w:spacing w:line="240" w:lineRule="auto" w:before="66"/>
        <w:ind w:left="636" w:right="0"/>
        <w:jc w:val="left"/>
        <w:rPr>
          <w:b w:val="0"/>
          <w:bCs w:val="0"/>
        </w:rPr>
      </w:pPr>
      <w:r>
        <w:rPr/>
        <w:t>（</w:t>
      </w:r>
      <w:r>
        <w:rPr>
          <w:rFonts w:ascii="Times New Roman" w:hAnsi="Times New Roman" w:cs="Times New Roman" w:eastAsia="Times New Roman" w:hint="default"/>
        </w:rPr>
        <w:t>1</w:t>
      </w:r>
      <w:r>
        <w:rPr/>
        <w:t>）经营租赁承诺</w:t>
      </w:r>
      <w:r>
        <w:rPr>
          <w:b w:val="0"/>
          <w:bCs w:val="0"/>
        </w:rPr>
      </w:r>
    </w:p>
    <w:p>
      <w:pPr>
        <w:spacing w:before="29"/>
        <w:ind w:left="633" w:right="0" w:firstLine="0"/>
        <w:jc w:val="left"/>
        <w:rPr>
          <w:rFonts w:ascii="宋体" w:hAnsi="宋体" w:cs="宋体" w:eastAsia="宋体" w:hint="default"/>
          <w:sz w:val="18"/>
          <w:szCs w:val="18"/>
        </w:rPr>
      </w:pPr>
      <w:r>
        <w:rPr>
          <w:rFonts w:ascii="宋体" w:hAnsi="宋体" w:cs="宋体" w:eastAsia="宋体" w:hint="default"/>
          <w:sz w:val="18"/>
          <w:szCs w:val="18"/>
        </w:rPr>
        <w:t>至资产负债表日止，本公司对外签订的不可撤销的经营租赁合约情况如下：</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5065"/>
        <w:gridCol w:w="2315"/>
        <w:gridCol w:w="2315"/>
      </w:tblGrid>
      <w:tr>
        <w:trPr>
          <w:trHeight w:val="355" w:hRule="exact"/>
        </w:trPr>
        <w:tc>
          <w:tcPr>
            <w:tcW w:w="50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1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31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right="6"/>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2" w:hRule="exact"/>
        </w:trPr>
        <w:tc>
          <w:tcPr>
            <w:tcW w:w="50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不可撤销经营租赁的最低租赁付款额：</w:t>
            </w:r>
          </w:p>
        </w:tc>
        <w:tc>
          <w:tcPr>
            <w:tcW w:w="2315" w:type="dxa"/>
            <w:tcBorders>
              <w:top w:val="single" w:sz="12" w:space="0" w:color="000000"/>
              <w:left w:val="single" w:sz="6" w:space="0" w:color="000000"/>
              <w:bottom w:val="single" w:sz="12" w:space="0" w:color="000000"/>
              <w:right w:val="single" w:sz="6" w:space="0" w:color="000000"/>
            </w:tcBorders>
          </w:tcPr>
          <w:p>
            <w:pPr/>
          </w:p>
        </w:tc>
        <w:tc>
          <w:tcPr>
            <w:tcW w:w="2315"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50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p>
        </w:tc>
        <w:tc>
          <w:tcPr>
            <w:tcW w:w="23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1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7,290,662.55</w:t>
            </w:r>
          </w:p>
        </w:tc>
      </w:tr>
      <w:tr>
        <w:trPr>
          <w:trHeight w:val="353" w:hRule="exact"/>
        </w:trPr>
        <w:tc>
          <w:tcPr>
            <w:tcW w:w="50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p>
        </w:tc>
        <w:tc>
          <w:tcPr>
            <w:tcW w:w="23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6,901,563.90</w:t>
            </w:r>
          </w:p>
        </w:tc>
        <w:tc>
          <w:tcPr>
            <w:tcW w:w="231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6,242,296.20</w:t>
            </w:r>
          </w:p>
        </w:tc>
      </w:tr>
      <w:tr>
        <w:trPr>
          <w:trHeight w:val="352" w:hRule="exact"/>
        </w:trPr>
        <w:tc>
          <w:tcPr>
            <w:tcW w:w="50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p>
        </w:tc>
        <w:tc>
          <w:tcPr>
            <w:tcW w:w="23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6,501,112.00</w:t>
            </w:r>
          </w:p>
        </w:tc>
        <w:tc>
          <w:tcPr>
            <w:tcW w:w="231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6,044,100.05</w:t>
            </w:r>
          </w:p>
        </w:tc>
      </w:tr>
      <w:tr>
        <w:trPr>
          <w:trHeight w:val="352" w:hRule="exact"/>
        </w:trPr>
        <w:tc>
          <w:tcPr>
            <w:tcW w:w="50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tc>
        <w:tc>
          <w:tcPr>
            <w:tcW w:w="23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6,978,208.32</w:t>
            </w:r>
          </w:p>
        </w:tc>
        <w:tc>
          <w:tcPr>
            <w:tcW w:w="231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6,527,628.05</w:t>
            </w:r>
          </w:p>
        </w:tc>
      </w:tr>
      <w:tr>
        <w:trPr>
          <w:trHeight w:val="353" w:hRule="exact"/>
        </w:trPr>
        <w:tc>
          <w:tcPr>
            <w:tcW w:w="50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2024</w:t>
            </w:r>
            <w:r>
              <w:rPr>
                <w:rFonts w:ascii="宋体" w:hAnsi="宋体" w:cs="宋体" w:eastAsia="宋体" w:hint="default"/>
                <w:sz w:val="18"/>
                <w:szCs w:val="18"/>
              </w:rPr>
              <w:t>年</w:t>
            </w:r>
          </w:p>
        </w:tc>
        <w:tc>
          <w:tcPr>
            <w:tcW w:w="23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32,816,783.13</w:t>
            </w:r>
          </w:p>
        </w:tc>
        <w:tc>
          <w:tcPr>
            <w:tcW w:w="231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30,595,211.95</w:t>
            </w:r>
          </w:p>
        </w:tc>
      </w:tr>
      <w:tr>
        <w:trPr>
          <w:trHeight w:val="352" w:hRule="exact"/>
        </w:trPr>
        <w:tc>
          <w:tcPr>
            <w:tcW w:w="50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53,197,667.35</w:t>
            </w:r>
          </w:p>
        </w:tc>
        <w:tc>
          <w:tcPr>
            <w:tcW w:w="231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56,699,898.80</w:t>
            </w:r>
          </w:p>
        </w:tc>
      </w:tr>
    </w:tbl>
    <w:p>
      <w:pPr>
        <w:spacing w:before="11"/>
        <w:ind w:left="636"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）其他承诺事项</w:t>
      </w:r>
    </w:p>
    <w:p>
      <w:pPr>
        <w:spacing w:before="63"/>
        <w:ind w:left="636" w:right="0" w:firstLine="0"/>
        <w:jc w:val="left"/>
        <w:rPr>
          <w:rFonts w:ascii="宋体" w:hAnsi="宋体" w:cs="宋体" w:eastAsia="宋体" w:hint="default"/>
          <w:sz w:val="18"/>
          <w:szCs w:val="18"/>
        </w:rPr>
      </w:pPr>
      <w:r>
        <w:rPr>
          <w:rFonts w:ascii="宋体" w:hAnsi="宋体" w:cs="宋体" w:eastAsia="宋体" w:hint="default"/>
          <w:sz w:val="18"/>
          <w:szCs w:val="18"/>
        </w:rPr>
        <w:t>①茂硕电源与广东省粤科财政股权投资有限公司的承诺事项</w:t>
      </w:r>
    </w:p>
    <w:p>
      <w:pPr>
        <w:spacing w:line="300" w:lineRule="auto" w:before="76"/>
        <w:ind w:left="153" w:right="1037" w:firstLine="48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月，广东省粤科财政股权投资有限公司（以下简称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粤科财政投资</w:t>
      </w:r>
      <w:r>
        <w:rPr>
          <w:rFonts w:ascii="Times New Roman" w:hAnsi="Times New Roman" w:cs="Times New Roman" w:eastAsia="Times New Roman" w:hint="default"/>
          <w:sz w:val="18"/>
          <w:szCs w:val="18"/>
        </w:rPr>
        <w:t>”</w:t>
      </w:r>
      <w:r>
        <w:rPr>
          <w:rFonts w:ascii="宋体" w:hAnsi="宋体" w:cs="宋体" w:eastAsia="宋体" w:hint="default"/>
          <w:sz w:val="18"/>
          <w:szCs w:val="18"/>
        </w:rPr>
        <w:t>）以人民币</w:t>
      </w:r>
      <w:r>
        <w:rPr>
          <w:rFonts w:ascii="Times New Roman" w:hAnsi="Times New Roman" w:cs="Times New Roman" w:eastAsia="Times New Roman" w:hint="default"/>
          <w:sz w:val="18"/>
          <w:szCs w:val="18"/>
        </w:rPr>
        <w:t>6,000</w:t>
      </w:r>
      <w:r>
        <w:rPr>
          <w:rFonts w:ascii="宋体" w:hAnsi="宋体" w:cs="宋体" w:eastAsia="宋体" w:hint="default"/>
          <w:sz w:val="18"/>
          <w:szCs w:val="18"/>
        </w:rPr>
        <w:t>万元对惠州茂硕进行股权 投资，增资后粤科财政投资持有惠州茂硕</w:t>
      </w:r>
      <w:r>
        <w:rPr>
          <w:rFonts w:ascii="Times New Roman" w:hAnsi="Times New Roman" w:cs="Times New Roman" w:eastAsia="Times New Roman" w:hint="default"/>
          <w:sz w:val="18"/>
          <w:szCs w:val="18"/>
        </w:rPr>
        <w:t>10%</w:t>
      </w:r>
      <w:r>
        <w:rPr>
          <w:rFonts w:ascii="宋体" w:hAnsi="宋体" w:cs="宋体" w:eastAsia="宋体" w:hint="default"/>
          <w:sz w:val="18"/>
          <w:szCs w:val="18"/>
        </w:rPr>
        <w:t>的股权。经过本公司与粤科财政投资的一致同意，粤科财政投资持有惠州茂硕 股权满三年后</w:t>
      </w:r>
      <w:r>
        <w:rPr>
          <w:rFonts w:ascii="Times New Roman" w:hAnsi="Times New Roman" w:cs="Times New Roman" w:eastAsia="Times New Roman" w:hint="default"/>
          <w:sz w:val="18"/>
          <w:szCs w:val="18"/>
        </w:rPr>
        <w:t>6</w:t>
      </w:r>
      <w:r>
        <w:rPr>
          <w:rFonts w:ascii="宋体" w:hAnsi="宋体" w:cs="宋体" w:eastAsia="宋体" w:hint="default"/>
          <w:sz w:val="18"/>
          <w:szCs w:val="18"/>
        </w:rPr>
        <w:t>个月内，粤科财政投资有权按照双方签署的《增资协议》约定的价款向本公司或者本公司指定的第三方转让</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其持有惠州茂硕的全部或者部分股权，且本公司或本公司指定的第三方应按照《增资协议》约定的价款受让</w:t>
      </w:r>
      <w:r>
        <w:rPr>
          <w:rFonts w:ascii="Times New Roman" w:hAnsi="Times New Roman" w:cs="Times New Roman" w:eastAsia="Times New Roman" w:hint="default"/>
          <w:sz w:val="18"/>
          <w:szCs w:val="18"/>
        </w:rPr>
        <w:t>/</w:t>
      </w:r>
      <w:r>
        <w:rPr>
          <w:rFonts w:ascii="宋体" w:hAnsi="宋体" w:cs="宋体" w:eastAsia="宋体" w:hint="default"/>
          <w:sz w:val="18"/>
          <w:szCs w:val="18"/>
        </w:rPr>
        <w:t>竞买。协议约</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1"/>
          <w:sz w:val="18"/>
          <w:szCs w:val="18"/>
        </w:rPr>
        <w:t>定价款为：粤科财政投资对惠州茂硕增资款</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1+5%×</w:t>
      </w:r>
      <w:r>
        <w:rPr>
          <w:rFonts w:ascii="宋体" w:hAnsi="宋体" w:cs="宋体" w:eastAsia="宋体" w:hint="default"/>
          <w:spacing w:val="-1"/>
          <w:sz w:val="18"/>
          <w:szCs w:val="18"/>
        </w:rPr>
        <w:t>投资期限</w:t>
      </w:r>
      <w:r>
        <w:rPr>
          <w:rFonts w:ascii="Times New Roman" w:hAnsi="Times New Roman" w:cs="Times New Roman" w:eastAsia="Times New Roman" w:hint="default"/>
          <w:spacing w:val="-1"/>
          <w:sz w:val="18"/>
          <w:szCs w:val="18"/>
        </w:rPr>
        <w:t>/360</w:t>
      </w:r>
      <w:r>
        <w:rPr>
          <w:rFonts w:ascii="宋体" w:hAnsi="宋体" w:cs="宋体" w:eastAsia="宋体" w:hint="default"/>
          <w:spacing w:val="-1"/>
          <w:sz w:val="18"/>
          <w:szCs w:val="18"/>
        </w:rPr>
        <w:t>）减去粤科财政投资持有惠州茂硕股权期间分得的利润；</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为保证茂硕电源依约履行其在《增资协议》项下的回购义务，茂硕电源以其持有惠州茂硕</w:t>
      </w:r>
      <w:r>
        <w:rPr>
          <w:rFonts w:ascii="Times New Roman" w:hAnsi="Times New Roman" w:cs="Times New Roman" w:eastAsia="Times New Roman" w:hint="default"/>
          <w:sz w:val="18"/>
          <w:szCs w:val="18"/>
        </w:rPr>
        <w:t>22.5%</w:t>
      </w:r>
      <w:r>
        <w:rPr>
          <w:rFonts w:ascii="宋体" w:hAnsi="宋体" w:cs="宋体" w:eastAsia="宋体" w:hint="default"/>
          <w:sz w:val="18"/>
          <w:szCs w:val="18"/>
        </w:rPr>
        <w:t>股权（增资后）及其权益包 括但不限于股息、分配的利润等作为担保；同时茂硕电源以其有权处分的惠州茂硕的土地使用权为《增资合同》约定的</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宋体" w:hAnsi="宋体" w:cs="宋体" w:eastAsia="宋体" w:hint="default"/>
          <w:spacing w:val="-73"/>
          <w:sz w:val="18"/>
          <w:szCs w:val="18"/>
        </w:rPr>
        <w:t> </w:t>
      </w:r>
      <w:r>
        <w:rPr>
          <w:rFonts w:ascii="宋体" w:hAnsi="宋体" w:cs="宋体" w:eastAsia="宋体" w:hint="default"/>
          <w:sz w:val="18"/>
          <w:szCs w:val="18"/>
        </w:rPr>
        <w:t>权回购</w:t>
      </w:r>
      <w:r>
        <w:rPr>
          <w:rFonts w:ascii="Times New Roman" w:hAnsi="Times New Roman" w:cs="Times New Roman" w:eastAsia="Times New Roman" w:hint="default"/>
          <w:sz w:val="18"/>
          <w:szCs w:val="18"/>
        </w:rPr>
        <w:t>”</w:t>
      </w:r>
      <w:r>
        <w:rPr>
          <w:rFonts w:ascii="宋体" w:hAnsi="宋体" w:cs="宋体" w:eastAsia="宋体" w:hint="default"/>
          <w:sz w:val="18"/>
          <w:szCs w:val="18"/>
        </w:rPr>
        <w:t>条款提供抵押担保。</w:t>
      </w:r>
    </w:p>
    <w:p>
      <w:pPr>
        <w:spacing w:before="13"/>
        <w:ind w:left="636" w:right="0" w:firstLine="0"/>
        <w:jc w:val="left"/>
        <w:rPr>
          <w:rFonts w:ascii="宋体" w:hAnsi="宋体" w:cs="宋体" w:eastAsia="宋体" w:hint="default"/>
          <w:sz w:val="18"/>
          <w:szCs w:val="18"/>
        </w:rPr>
      </w:pPr>
      <w:r>
        <w:rPr>
          <w:rFonts w:ascii="宋体" w:hAnsi="宋体" w:cs="宋体" w:eastAsia="宋体" w:hint="default"/>
          <w:sz w:val="18"/>
          <w:szCs w:val="18"/>
        </w:rPr>
        <w:t>②茂硕电源与深圳市前海南方睿泰基金管理有限公司的承诺事项</w:t>
      </w:r>
    </w:p>
    <w:p>
      <w:pPr>
        <w:spacing w:line="300" w:lineRule="auto" w:before="76"/>
        <w:ind w:left="153" w:right="1128" w:firstLine="480"/>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月，深圳市前海南方睿泰基金管理有限公司（以下简称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前海南方睿泰</w:t>
      </w:r>
      <w:r>
        <w:rPr>
          <w:rFonts w:ascii="Times New Roman" w:hAnsi="Times New Roman" w:cs="Times New Roman" w:eastAsia="Times New Roman" w:hint="default"/>
          <w:sz w:val="18"/>
          <w:szCs w:val="18"/>
        </w:rPr>
        <w:t>”</w:t>
      </w:r>
      <w:r>
        <w:rPr>
          <w:rFonts w:ascii="宋体" w:hAnsi="宋体" w:cs="宋体" w:eastAsia="宋体" w:hint="default"/>
          <w:sz w:val="18"/>
          <w:szCs w:val="18"/>
        </w:rPr>
        <w:t>）与茂硕电气、茂硕电源、深圳合生 </w:t>
      </w:r>
      <w:r>
        <w:rPr>
          <w:rFonts w:ascii="宋体" w:hAnsi="宋体" w:cs="宋体" w:eastAsia="宋体" w:hint="default"/>
          <w:spacing w:val="-2"/>
          <w:w w:val="100"/>
          <w:sz w:val="18"/>
          <w:szCs w:val="18"/>
        </w:rPr>
        <w:t>力技术有限公司（以下简称</w:t>
      </w:r>
      <w:r>
        <w:rPr>
          <w:rFonts w:ascii="Times New Roman" w:hAnsi="Times New Roman" w:cs="Times New Roman" w:eastAsia="Times New Roman" w:hint="default"/>
          <w:spacing w:val="-2"/>
          <w:w w:val="100"/>
          <w:sz w:val="18"/>
          <w:szCs w:val="18"/>
        </w:rPr>
        <w:t>“</w:t>
      </w:r>
      <w:r>
        <w:rPr>
          <w:rFonts w:ascii="宋体" w:hAnsi="宋体" w:cs="宋体" w:eastAsia="宋体" w:hint="default"/>
          <w:spacing w:val="-2"/>
          <w:w w:val="100"/>
          <w:sz w:val="18"/>
          <w:szCs w:val="18"/>
        </w:rPr>
        <w:t>合生力</w:t>
      </w:r>
      <w:r>
        <w:rPr>
          <w:rFonts w:ascii="Times New Roman" w:hAnsi="Times New Roman" w:cs="Times New Roman" w:eastAsia="Times New Roman" w:hint="default"/>
          <w:spacing w:val="-2"/>
          <w:w w:val="100"/>
          <w:sz w:val="18"/>
          <w:szCs w:val="18"/>
        </w:rPr>
        <w:t>”</w:t>
      </w:r>
      <w:r>
        <w:rPr>
          <w:rFonts w:ascii="宋体" w:hAnsi="宋体" w:cs="宋体" w:eastAsia="宋体" w:hint="default"/>
          <w:spacing w:val="-2"/>
          <w:w w:val="100"/>
          <w:sz w:val="18"/>
          <w:szCs w:val="18"/>
        </w:rPr>
        <w:t>）、茂硕新能源、深圳茂硕投资发展有限公司签订增资协议：前海南方睿泰以</w:t>
      </w:r>
      <w:r>
        <w:rPr>
          <w:rFonts w:ascii="Times New Roman" w:hAnsi="Times New Roman" w:cs="Times New Roman" w:eastAsia="Times New Roman" w:hint="default"/>
          <w:spacing w:val="-2"/>
          <w:w w:val="100"/>
          <w:sz w:val="18"/>
          <w:szCs w:val="18"/>
        </w:rPr>
        <w:t>1500</w:t>
      </w:r>
      <w:r>
        <w:rPr>
          <w:rFonts w:ascii="宋体" w:hAnsi="宋体" w:cs="宋体" w:eastAsia="宋体" w:hint="default"/>
          <w:spacing w:val="-2"/>
          <w:w w:val="100"/>
          <w:sz w:val="18"/>
          <w:szCs w:val="18"/>
        </w:rPr>
        <w:t>万元</w:t>
      </w:r>
      <w:r>
        <w:rPr>
          <w:rFonts w:ascii="宋体" w:hAnsi="宋体" w:cs="宋体" w:eastAsia="宋体" w:hint="default"/>
          <w:spacing w:val="-44"/>
          <w:w w:val="100"/>
          <w:sz w:val="18"/>
          <w:szCs w:val="18"/>
        </w:rPr>
        <w:t> </w:t>
      </w:r>
      <w:r>
        <w:rPr>
          <w:rFonts w:ascii="宋体" w:hAnsi="宋体" w:cs="宋体" w:eastAsia="宋体" w:hint="default"/>
          <w:spacing w:val="2"/>
          <w:sz w:val="18"/>
          <w:szCs w:val="18"/>
        </w:rPr>
        <w:t>向茂硕电气增资，其中：人民币</w:t>
      </w:r>
      <w:r>
        <w:rPr>
          <w:rFonts w:ascii="Times New Roman" w:hAnsi="Times New Roman" w:cs="Times New Roman" w:eastAsia="Times New Roman" w:hint="default"/>
          <w:spacing w:val="2"/>
          <w:sz w:val="18"/>
          <w:szCs w:val="18"/>
        </w:rPr>
        <w:t>333.3333</w:t>
      </w:r>
      <w:r>
        <w:rPr>
          <w:rFonts w:ascii="宋体" w:hAnsi="宋体" w:cs="宋体" w:eastAsia="宋体" w:hint="default"/>
          <w:spacing w:val="2"/>
          <w:sz w:val="18"/>
          <w:szCs w:val="18"/>
        </w:rPr>
        <w:t>万元作为茂硕电气新增注册资本，占茂硕电气增资后股权比例</w:t>
      </w:r>
      <w:r>
        <w:rPr>
          <w:rFonts w:ascii="Times New Roman" w:hAnsi="Times New Roman" w:cs="Times New Roman" w:eastAsia="Times New Roman" w:hint="default"/>
          <w:spacing w:val="2"/>
          <w:sz w:val="18"/>
          <w:szCs w:val="18"/>
        </w:rPr>
        <w:t>25%</w:t>
      </w:r>
      <w:r>
        <w:rPr>
          <w:rFonts w:ascii="宋体" w:hAnsi="宋体" w:cs="宋体" w:eastAsia="宋体" w:hint="default"/>
          <w:spacing w:val="2"/>
          <w:sz w:val="18"/>
          <w:szCs w:val="18"/>
        </w:rPr>
        <w:t>，其余人民币</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1,166.6667</w:t>
      </w:r>
      <w:r>
        <w:rPr>
          <w:rFonts w:ascii="宋体" w:hAnsi="宋体" w:cs="宋体" w:eastAsia="宋体" w:hint="default"/>
          <w:sz w:val="18"/>
          <w:szCs w:val="18"/>
        </w:rPr>
        <w:t>万元计入茂硕电气的资本公积。</w:t>
      </w:r>
    </w:p>
    <w:p>
      <w:pPr>
        <w:spacing w:line="309" w:lineRule="auto" w:before="13"/>
        <w:ind w:left="633" w:right="5013" w:firstLine="0"/>
        <w:jc w:val="left"/>
        <w:rPr>
          <w:rFonts w:ascii="宋体" w:hAnsi="宋体" w:cs="宋体" w:eastAsia="宋体" w:hint="default"/>
          <w:sz w:val="18"/>
          <w:szCs w:val="18"/>
        </w:rPr>
      </w:pPr>
      <w:r>
        <w:rPr>
          <w:rFonts w:ascii="宋体" w:hAnsi="宋体" w:cs="宋体" w:eastAsia="宋体" w:hint="default"/>
          <w:sz w:val="18"/>
          <w:szCs w:val="18"/>
        </w:rPr>
        <w:t>增资协议约定茂硕电气业绩目标如下： </w:t>
      </w:r>
      <w:r>
        <w:rPr>
          <w:rFonts w:ascii="Times New Roman" w:hAnsi="Times New Roman" w:cs="Times New Roman" w:eastAsia="Times New Roman" w:hint="default"/>
          <w:sz w:val="18"/>
          <w:szCs w:val="18"/>
        </w:rPr>
        <w:t>A</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年度经审计的税后主营业务净利润不低于人民币</w:t>
      </w:r>
      <w:r>
        <w:rPr>
          <w:rFonts w:ascii="Times New Roman" w:hAnsi="Times New Roman" w:cs="Times New Roman" w:eastAsia="Times New Roman" w:hint="default"/>
          <w:sz w:val="18"/>
          <w:szCs w:val="18"/>
        </w:rPr>
        <w:t>500</w:t>
      </w:r>
      <w:r>
        <w:rPr>
          <w:rFonts w:ascii="宋体" w:hAnsi="宋体" w:cs="宋体" w:eastAsia="宋体" w:hint="default"/>
          <w:sz w:val="18"/>
          <w:szCs w:val="18"/>
        </w:rPr>
        <w:t>万元； </w:t>
      </w:r>
      <w:r>
        <w:rPr>
          <w:rFonts w:ascii="Times New Roman" w:hAnsi="Times New Roman" w:cs="Times New Roman" w:eastAsia="Times New Roman" w:hint="default"/>
          <w:sz w:val="18"/>
          <w:szCs w:val="18"/>
        </w:rPr>
        <w:t>B</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年度经审计的税后主营业务净利润不低于人民币</w:t>
      </w:r>
      <w:r>
        <w:rPr>
          <w:rFonts w:ascii="Times New Roman" w:hAnsi="Times New Roman" w:cs="Times New Roman" w:eastAsia="Times New Roman" w:hint="default"/>
          <w:sz w:val="18"/>
          <w:szCs w:val="18"/>
        </w:rPr>
        <w:t>800</w:t>
      </w:r>
      <w:r>
        <w:rPr>
          <w:rFonts w:ascii="宋体" w:hAnsi="宋体" w:cs="宋体" w:eastAsia="宋体" w:hint="default"/>
          <w:sz w:val="18"/>
          <w:szCs w:val="18"/>
        </w:rPr>
        <w:t>万元。</w:t>
      </w:r>
    </w:p>
    <w:p>
      <w:pPr>
        <w:spacing w:line="300" w:lineRule="auto" w:before="5"/>
        <w:ind w:left="154" w:right="0" w:firstLine="480"/>
        <w:jc w:val="left"/>
        <w:rPr>
          <w:rFonts w:ascii="宋体" w:hAnsi="宋体" w:cs="宋体" w:eastAsia="宋体" w:hint="default"/>
          <w:sz w:val="18"/>
          <w:szCs w:val="18"/>
        </w:rPr>
      </w:pPr>
      <w:r>
        <w:rPr>
          <w:rFonts w:ascii="宋体" w:hAnsi="宋体" w:cs="宋体" w:eastAsia="宋体" w:hint="default"/>
          <w:sz w:val="18"/>
          <w:szCs w:val="18"/>
        </w:rPr>
        <w:t>茂硕电源及合生力同意，如发生业绩不达标或未在</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日之前完成挂牌新三板的情形并核实的，茂硕电源及 合生力向前海南方睿泰支付股权（或股份）回购对价，回购价格以如下</w:t>
      </w:r>
      <w:r>
        <w:rPr>
          <w:rFonts w:ascii="Times New Roman" w:hAnsi="Times New Roman" w:cs="Times New Roman" w:eastAsia="Times New Roman" w:hint="default"/>
          <w:sz w:val="18"/>
          <w:szCs w:val="18"/>
        </w:rPr>
        <w:t>A</w:t>
      </w:r>
      <w:r>
        <w:rPr>
          <w:rFonts w:ascii="宋体" w:hAnsi="宋体" w:cs="宋体" w:eastAsia="宋体" w:hint="default"/>
          <w:sz w:val="18"/>
          <w:szCs w:val="18"/>
        </w:rPr>
        <w:t>、</w:t>
      </w:r>
      <w:r>
        <w:rPr>
          <w:rFonts w:ascii="Times New Roman" w:hAnsi="Times New Roman" w:cs="Times New Roman" w:eastAsia="Times New Roman" w:hint="default"/>
          <w:sz w:val="18"/>
          <w:szCs w:val="18"/>
        </w:rPr>
        <w:t>B</w:t>
      </w:r>
      <w:r>
        <w:rPr>
          <w:rFonts w:ascii="宋体" w:hAnsi="宋体" w:cs="宋体" w:eastAsia="宋体" w:hint="default"/>
          <w:sz w:val="18"/>
          <w:szCs w:val="18"/>
        </w:rPr>
        <w:t>中金额较高者计算：</w:t>
      </w:r>
    </w:p>
    <w:p>
      <w:pPr>
        <w:spacing w:line="300" w:lineRule="auto" w:before="13"/>
        <w:ind w:left="154" w:right="0" w:firstLine="480"/>
        <w:jc w:val="left"/>
        <w:rPr>
          <w:rFonts w:ascii="宋体" w:hAnsi="宋体" w:cs="宋体" w:eastAsia="宋体" w:hint="default"/>
          <w:sz w:val="18"/>
          <w:szCs w:val="18"/>
        </w:rPr>
      </w:pPr>
      <w:r>
        <w:rPr>
          <w:rFonts w:ascii="Times New Roman" w:hAnsi="Times New Roman" w:cs="Times New Roman" w:eastAsia="Times New Roman" w:hint="default"/>
          <w:spacing w:val="-3"/>
          <w:w w:val="99"/>
          <w:sz w:val="18"/>
          <w:szCs w:val="18"/>
        </w:rPr>
        <w:t>A</w:t>
      </w:r>
      <w:r>
        <w:rPr>
          <w:rFonts w:ascii="宋体" w:hAnsi="宋体" w:cs="宋体" w:eastAsia="宋体" w:hint="default"/>
          <w:spacing w:val="-3"/>
          <w:w w:val="99"/>
          <w:sz w:val="18"/>
          <w:szCs w:val="18"/>
        </w:rPr>
        <w:t>、回购对价</w:t>
      </w:r>
      <w:r>
        <w:rPr>
          <w:rFonts w:ascii="Times New Roman" w:hAnsi="Times New Roman" w:cs="Times New Roman" w:eastAsia="Times New Roman" w:hint="default"/>
          <w:spacing w:val="-3"/>
          <w:w w:val="99"/>
          <w:sz w:val="18"/>
          <w:szCs w:val="18"/>
        </w:rPr>
        <w:t>=</w:t>
      </w:r>
      <w:r>
        <w:rPr>
          <w:rFonts w:ascii="宋体" w:hAnsi="宋体" w:cs="宋体" w:eastAsia="宋体" w:hint="default"/>
          <w:spacing w:val="-3"/>
          <w:w w:val="99"/>
          <w:sz w:val="18"/>
          <w:szCs w:val="18"/>
        </w:rPr>
        <w:t>增资价款（即人民币</w:t>
      </w:r>
      <w:r>
        <w:rPr>
          <w:rFonts w:ascii="Times New Roman" w:hAnsi="Times New Roman" w:cs="Times New Roman" w:eastAsia="Times New Roman" w:hint="default"/>
          <w:spacing w:val="-3"/>
          <w:w w:val="99"/>
          <w:sz w:val="18"/>
          <w:szCs w:val="18"/>
        </w:rPr>
        <w:t>1500</w:t>
      </w:r>
      <w:r>
        <w:rPr>
          <w:rFonts w:ascii="宋体" w:hAnsi="宋体" w:cs="宋体" w:eastAsia="宋体" w:hint="default"/>
          <w:spacing w:val="-3"/>
          <w:w w:val="99"/>
          <w:sz w:val="18"/>
          <w:szCs w:val="18"/>
        </w:rPr>
        <w:t>万元）</w:t>
      </w:r>
      <w:r>
        <w:rPr>
          <w:rFonts w:ascii="Times New Roman" w:hAnsi="Times New Roman" w:cs="Times New Roman" w:eastAsia="Times New Roman" w:hint="default"/>
          <w:spacing w:val="-3"/>
          <w:w w:val="99"/>
          <w:sz w:val="18"/>
          <w:szCs w:val="18"/>
        </w:rPr>
        <w:t>×</w:t>
      </w:r>
      <w:r>
        <w:rPr>
          <w:rFonts w:ascii="宋体" w:hAnsi="宋体" w:cs="宋体" w:eastAsia="宋体" w:hint="default"/>
          <w:spacing w:val="-3"/>
          <w:w w:val="99"/>
          <w:sz w:val="18"/>
          <w:szCs w:val="18"/>
        </w:rPr>
        <w:t>（</w:t>
      </w:r>
      <w:r>
        <w:rPr>
          <w:rFonts w:ascii="Times New Roman" w:hAnsi="Times New Roman" w:cs="Times New Roman" w:eastAsia="Times New Roman" w:hint="default"/>
          <w:spacing w:val="-3"/>
          <w:w w:val="99"/>
          <w:sz w:val="18"/>
          <w:szCs w:val="18"/>
        </w:rPr>
        <w:t>1+8%×n</w:t>
      </w:r>
      <w:r>
        <w:rPr>
          <w:rFonts w:ascii="宋体" w:hAnsi="宋体" w:cs="宋体" w:eastAsia="宋体" w:hint="default"/>
          <w:spacing w:val="-3"/>
          <w:w w:val="99"/>
          <w:sz w:val="18"/>
          <w:szCs w:val="18"/>
        </w:rPr>
        <w:t>），其中：</w:t>
      </w:r>
      <w:r>
        <w:rPr>
          <w:rFonts w:ascii="Times New Roman" w:hAnsi="Times New Roman" w:cs="Times New Roman" w:eastAsia="Times New Roman" w:hint="default"/>
          <w:spacing w:val="-3"/>
          <w:w w:val="99"/>
          <w:sz w:val="18"/>
          <w:szCs w:val="18"/>
        </w:rPr>
        <w:t>n</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36"/>
          <w:sz w:val="18"/>
          <w:szCs w:val="18"/>
        </w:rPr>
        <w:t> </w:t>
      </w:r>
      <w:r>
        <w:rPr>
          <w:rFonts w:ascii="宋体" w:hAnsi="宋体" w:cs="宋体" w:eastAsia="宋体" w:hint="default"/>
          <w:spacing w:val="-1"/>
          <w:sz w:val="18"/>
          <w:szCs w:val="18"/>
        </w:rPr>
        <w:t>投资年数，投资年数按照实际投资天数（投</w:t>
      </w:r>
      <w:r>
        <w:rPr>
          <w:rFonts w:ascii="宋体" w:hAnsi="宋体" w:cs="宋体" w:eastAsia="宋体" w:hint="default"/>
          <w:sz w:val="18"/>
          <w:szCs w:val="18"/>
        </w:rPr>
        <w:t> 资起始日至回购日之间的天数）除以</w:t>
      </w:r>
      <w:r>
        <w:rPr>
          <w:rFonts w:ascii="Times New Roman" w:hAnsi="Times New Roman" w:cs="Times New Roman" w:eastAsia="Times New Roman" w:hint="default"/>
          <w:sz w:val="18"/>
          <w:szCs w:val="18"/>
        </w:rPr>
        <w:t>365</w:t>
      </w:r>
      <w:r>
        <w:rPr>
          <w:rFonts w:ascii="宋体" w:hAnsi="宋体" w:cs="宋体" w:eastAsia="宋体" w:hint="default"/>
          <w:sz w:val="18"/>
          <w:szCs w:val="18"/>
        </w:rPr>
        <w:t>计算。</w:t>
      </w:r>
    </w:p>
    <w:p>
      <w:pPr>
        <w:spacing w:after="0" w:line="30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line="300" w:lineRule="auto" w:before="44"/>
        <w:ind w:left="6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、以茂硕电气届时账面净资产为计算基础，根据投资者所持茂硕电气股权比例计算。 </w:t>
      </w:r>
      <w:r>
        <w:rPr>
          <w:rFonts w:ascii="宋体" w:hAnsi="宋体" w:cs="宋体" w:eastAsia="宋体" w:hint="default"/>
          <w:spacing w:val="-2"/>
          <w:sz w:val="18"/>
          <w:szCs w:val="18"/>
        </w:rPr>
        <w:t>上述股权回购义务由茂硕电源及原合生力按照</w:t>
      </w:r>
      <w:r>
        <w:rPr>
          <w:rFonts w:ascii="Times New Roman" w:hAnsi="Times New Roman" w:cs="Times New Roman" w:eastAsia="Times New Roman" w:hint="default"/>
          <w:spacing w:val="-2"/>
          <w:sz w:val="18"/>
          <w:szCs w:val="18"/>
        </w:rPr>
        <w:t>3:1</w:t>
      </w:r>
      <w:r>
        <w:rPr>
          <w:rFonts w:ascii="宋体" w:hAnsi="宋体" w:cs="宋体" w:eastAsia="宋体" w:hint="default"/>
          <w:spacing w:val="-2"/>
          <w:sz w:val="18"/>
          <w:szCs w:val="18"/>
        </w:rPr>
        <w:t>的比例承担。若合生力届时无法执行股权回购义务，则合生力的股权</w:t>
      </w:r>
    </w:p>
    <w:p>
      <w:pPr>
        <w:spacing w:line="316" w:lineRule="auto" w:before="13"/>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回购义务由茂硕电源承担。茂硕电源执行完毕其自身的股权回购义务及代替合生力执行完毕应由合生力执行的股权回购义务</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后，合生力同意将其所持有的茂硕电气所有股权以人民币</w:t>
      </w:r>
      <w:r>
        <w:rPr>
          <w:rFonts w:ascii="Times New Roman" w:hAnsi="Times New Roman" w:cs="Times New Roman" w:eastAsia="Times New Roman" w:hint="default"/>
          <w:sz w:val="18"/>
          <w:szCs w:val="18"/>
        </w:rPr>
        <w:t>1</w:t>
      </w:r>
      <w:r>
        <w:rPr>
          <w:rFonts w:ascii="宋体" w:hAnsi="宋体" w:cs="宋体" w:eastAsia="宋体" w:hint="default"/>
          <w:sz w:val="18"/>
          <w:szCs w:val="18"/>
        </w:rPr>
        <w:t>元的价格悉数转让给茂硕电源。</w:t>
      </w:r>
    </w:p>
    <w:p>
      <w:pPr>
        <w:spacing w:line="235" w:lineRule="exact" w:before="0"/>
        <w:ind w:left="636" w:right="0" w:firstLine="0"/>
        <w:jc w:val="left"/>
        <w:rPr>
          <w:rFonts w:ascii="宋体" w:hAnsi="宋体" w:cs="宋体" w:eastAsia="宋体" w:hint="default"/>
          <w:sz w:val="18"/>
          <w:szCs w:val="18"/>
        </w:rPr>
      </w:pPr>
      <w:r>
        <w:rPr>
          <w:rFonts w:ascii="宋体" w:hAnsi="宋体" w:cs="宋体" w:eastAsia="宋体" w:hint="default"/>
          <w:sz w:val="18"/>
          <w:szCs w:val="18"/>
        </w:rPr>
        <w:t>③茂硕电源与茂硕投资的承诺事项</w:t>
      </w:r>
    </w:p>
    <w:p>
      <w:pPr>
        <w:spacing w:line="300" w:lineRule="auto" w:before="76"/>
        <w:ind w:left="154" w:right="0" w:firstLine="48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日，茂硕电源与茂硕投资签定合作协议，协议中约定由茂硕投资负责为茂硕电源寻找和挖掘投资项目， 组织项目的投前调研、考察了解和尽职调查等投前业务服务以及接受茂硕电源的委托对投资项目进行投后管理等服务。</w:t>
      </w:r>
    </w:p>
    <w:p>
      <w:pPr>
        <w:spacing w:line="304" w:lineRule="auto" w:before="31"/>
        <w:ind w:left="153" w:right="1034" w:firstLine="480"/>
        <w:jc w:val="left"/>
        <w:rPr>
          <w:rFonts w:ascii="宋体" w:hAnsi="宋体" w:cs="宋体" w:eastAsia="宋体" w:hint="default"/>
          <w:sz w:val="18"/>
          <w:szCs w:val="18"/>
        </w:rPr>
      </w:pPr>
      <w:r>
        <w:rPr>
          <w:rFonts w:ascii="宋体" w:hAnsi="宋体" w:cs="宋体" w:eastAsia="宋体" w:hint="default"/>
          <w:spacing w:val="-1"/>
          <w:sz w:val="18"/>
          <w:szCs w:val="18"/>
        </w:rPr>
        <w:t>投后管理服务费每年按照项目总投资额的</w:t>
      </w:r>
      <w:r>
        <w:rPr>
          <w:rFonts w:ascii="Times New Roman" w:hAnsi="Times New Roman" w:cs="Times New Roman" w:eastAsia="Times New Roman" w:hint="default"/>
          <w:spacing w:val="-1"/>
          <w:sz w:val="18"/>
          <w:szCs w:val="18"/>
        </w:rPr>
        <w:t>1.5%</w:t>
      </w:r>
      <w:r>
        <w:rPr>
          <w:rFonts w:ascii="宋体" w:hAnsi="宋体" w:cs="宋体" w:eastAsia="宋体" w:hint="default"/>
          <w:spacing w:val="-1"/>
          <w:sz w:val="18"/>
          <w:szCs w:val="18"/>
        </w:rPr>
        <w:t>支付；茂硕投资同时享有投资项目收益分成：</w:t>
      </w:r>
      <w:r>
        <w:rPr>
          <w:rFonts w:ascii="Times New Roman" w:hAnsi="Times New Roman" w:cs="Times New Roman" w:eastAsia="Times New Roman" w:hint="default"/>
          <w:spacing w:val="-1"/>
          <w:sz w:val="18"/>
          <w:szCs w:val="18"/>
        </w:rPr>
        <w:t>A</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PE/VC</w:t>
      </w:r>
      <w:r>
        <w:rPr>
          <w:rFonts w:ascii="宋体" w:hAnsi="宋体" w:cs="宋体" w:eastAsia="宋体" w:hint="default"/>
          <w:spacing w:val="-1"/>
          <w:sz w:val="18"/>
          <w:szCs w:val="18"/>
        </w:rPr>
        <w:t>等参股型项目：</w:t>
      </w:r>
      <w:r>
        <w:rPr>
          <w:rFonts w:ascii="宋体" w:hAnsi="宋体" w:cs="宋体" w:eastAsia="宋体" w:hint="default"/>
          <w:sz w:val="18"/>
          <w:szCs w:val="18"/>
        </w:rPr>
        <w:t> 如已投资参股型项目</w:t>
      </w:r>
      <w:r>
        <w:rPr>
          <w:rFonts w:ascii="Times New Roman" w:hAnsi="Times New Roman" w:cs="Times New Roman" w:eastAsia="Times New Roman" w:hint="default"/>
          <w:sz w:val="18"/>
          <w:szCs w:val="18"/>
        </w:rPr>
        <w:t>IPO</w:t>
      </w:r>
      <w:r>
        <w:rPr>
          <w:rFonts w:ascii="宋体" w:hAnsi="宋体" w:cs="宋体" w:eastAsia="宋体" w:hint="default"/>
          <w:sz w:val="18"/>
          <w:szCs w:val="18"/>
        </w:rPr>
        <w:t>或重组等方式退出，项目投资收益率达到</w:t>
      </w:r>
      <w:r>
        <w:rPr>
          <w:rFonts w:ascii="Times New Roman" w:hAnsi="Times New Roman" w:cs="Times New Roman" w:eastAsia="Times New Roman" w:hint="default"/>
          <w:sz w:val="18"/>
          <w:szCs w:val="18"/>
        </w:rPr>
        <w:t>8%</w:t>
      </w:r>
      <w:r>
        <w:rPr>
          <w:rFonts w:ascii="宋体" w:hAnsi="宋体" w:cs="宋体" w:eastAsia="宋体" w:hint="default"/>
          <w:sz w:val="18"/>
          <w:szCs w:val="18"/>
        </w:rPr>
        <w:t>时，茂硕投资享有实现项目净收益的</w:t>
      </w:r>
      <w:r>
        <w:rPr>
          <w:rFonts w:ascii="Times New Roman" w:hAnsi="Times New Roman" w:cs="Times New Roman" w:eastAsia="Times New Roman" w:hint="default"/>
          <w:sz w:val="18"/>
          <w:szCs w:val="18"/>
        </w:rPr>
        <w:t>20%</w:t>
      </w:r>
      <w:r>
        <w:rPr>
          <w:rFonts w:ascii="宋体" w:hAnsi="宋体" w:cs="宋体" w:eastAsia="宋体" w:hint="default"/>
          <w:sz w:val="18"/>
          <w:szCs w:val="18"/>
        </w:rPr>
        <w:t>的分成；</w:t>
      </w:r>
      <w:r>
        <w:rPr>
          <w:rFonts w:ascii="Times New Roman" w:hAnsi="Times New Roman" w:cs="Times New Roman" w:eastAsia="Times New Roman" w:hint="default"/>
          <w:sz w:val="18"/>
          <w:szCs w:val="18"/>
        </w:rPr>
        <w:t>B</w:t>
      </w:r>
      <w:r>
        <w:rPr>
          <w:rFonts w:ascii="宋体" w:hAnsi="宋体" w:cs="宋体" w:eastAsia="宋体" w:hint="default"/>
          <w:sz w:val="18"/>
          <w:szCs w:val="18"/>
        </w:rPr>
        <w:t>、</w:t>
      </w:r>
      <w:r>
        <w:rPr>
          <w:rFonts w:ascii="宋体" w:hAnsi="宋体" w:cs="宋体" w:eastAsia="宋体" w:hint="default"/>
          <w:spacing w:val="-76"/>
          <w:sz w:val="18"/>
          <w:szCs w:val="18"/>
        </w:rPr>
        <w:t> </w:t>
      </w:r>
      <w:r>
        <w:rPr>
          <w:rFonts w:ascii="宋体" w:hAnsi="宋体" w:cs="宋体" w:eastAsia="宋体" w:hint="default"/>
          <w:sz w:val="18"/>
          <w:szCs w:val="18"/>
        </w:rPr>
        <w:t>控股型投资项目：当控股项目年度投资收益率达到</w:t>
      </w:r>
      <w:r>
        <w:rPr>
          <w:rFonts w:ascii="Times New Roman" w:hAnsi="Times New Roman" w:cs="Times New Roman" w:eastAsia="Times New Roman" w:hint="default"/>
          <w:sz w:val="18"/>
          <w:szCs w:val="18"/>
        </w:rPr>
        <w:t>8%</w:t>
      </w:r>
      <w:r>
        <w:rPr>
          <w:rFonts w:ascii="宋体" w:hAnsi="宋体" w:cs="宋体" w:eastAsia="宋体" w:hint="default"/>
          <w:sz w:val="18"/>
          <w:szCs w:val="18"/>
        </w:rPr>
        <w:t>时，茂硕投资按年度分享实现收益（归属上市公司的利润）的</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宋体" w:hAnsi="宋体" w:cs="宋体" w:eastAsia="宋体" w:hint="default"/>
          <w:spacing w:val="-26"/>
          <w:sz w:val="18"/>
          <w:szCs w:val="18"/>
        </w:rPr>
        <w:t> </w:t>
      </w:r>
      <w:r>
        <w:rPr>
          <w:rFonts w:ascii="宋体" w:hAnsi="宋体" w:cs="宋体" w:eastAsia="宋体" w:hint="default"/>
          <w:spacing w:val="-2"/>
          <w:sz w:val="18"/>
          <w:szCs w:val="18"/>
        </w:rPr>
        <w:t>如前期控股项目处于亏损阶段，则按累计归属于茂硕电源的净利润进行计算，只有累计归属茂硕电源的净利润为正值时，方</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可提取；如控股型项目独立</w:t>
      </w:r>
      <w:r>
        <w:rPr>
          <w:rFonts w:ascii="Times New Roman" w:hAnsi="Times New Roman" w:cs="Times New Roman" w:eastAsia="Times New Roman" w:hint="default"/>
          <w:sz w:val="18"/>
          <w:szCs w:val="18"/>
        </w:rPr>
        <w:t>IPO</w:t>
      </w:r>
      <w:r>
        <w:rPr>
          <w:rFonts w:ascii="宋体" w:hAnsi="宋体" w:cs="宋体" w:eastAsia="宋体" w:hint="default"/>
          <w:sz w:val="18"/>
          <w:szCs w:val="18"/>
        </w:rPr>
        <w:t>或转让退出，茂硕投资享有实现项目退出净收益的</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p>
      <w:pPr>
        <w:spacing w:before="9"/>
        <w:ind w:left="636" w:right="0" w:firstLine="0"/>
        <w:jc w:val="left"/>
        <w:rPr>
          <w:rFonts w:ascii="宋体" w:hAnsi="宋体" w:cs="宋体" w:eastAsia="宋体" w:hint="default"/>
          <w:sz w:val="18"/>
          <w:szCs w:val="18"/>
        </w:rPr>
      </w:pPr>
      <w:r>
        <w:rPr>
          <w:rFonts w:ascii="宋体" w:hAnsi="宋体" w:cs="宋体" w:eastAsia="宋体" w:hint="default"/>
          <w:sz w:val="18"/>
          <w:szCs w:val="18"/>
        </w:rPr>
        <w:t>④融资租赁</w:t>
      </w:r>
    </w:p>
    <w:p>
      <w:pPr>
        <w:spacing w:line="300" w:lineRule="auto" w:before="76"/>
        <w:ind w:left="153" w:right="1130" w:firstLine="480"/>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日，茂硕新能源与瑞盈信融（深圳）融资租赁有限公司（以下简称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瑞盈深圳</w:t>
      </w:r>
      <w:r>
        <w:rPr>
          <w:rFonts w:ascii="Times New Roman" w:hAnsi="Times New Roman" w:cs="Times New Roman" w:eastAsia="Times New Roman" w:hint="default"/>
          <w:sz w:val="18"/>
          <w:szCs w:val="18"/>
        </w:rPr>
        <w:t>”</w:t>
      </w:r>
      <w:r>
        <w:rPr>
          <w:rFonts w:ascii="宋体" w:hAnsi="宋体" w:cs="宋体" w:eastAsia="宋体" w:hint="default"/>
          <w:sz w:val="18"/>
          <w:szCs w:val="18"/>
        </w:rPr>
        <w:t>）签订编号为瑞盈</w:t>
      </w:r>
      <w:r>
        <w:rPr>
          <w:rFonts w:ascii="Times New Roman" w:hAnsi="Times New Roman" w:cs="Times New Roman" w:eastAsia="Times New Roman" w:hint="default"/>
          <w:sz w:val="18"/>
          <w:szCs w:val="18"/>
        </w:rPr>
        <w:t>[2015] </w:t>
      </w:r>
      <w:r>
        <w:rPr>
          <w:rFonts w:ascii="宋体" w:hAnsi="宋体" w:cs="宋体" w:eastAsia="宋体" w:hint="default"/>
          <w:spacing w:val="-4"/>
          <w:sz w:val="18"/>
          <w:szCs w:val="18"/>
        </w:rPr>
        <w:t>年租字第</w:t>
      </w:r>
      <w:r>
        <w:rPr>
          <w:rFonts w:ascii="Times New Roman" w:hAnsi="Times New Roman" w:cs="Times New Roman" w:eastAsia="Times New Roman" w:hint="default"/>
          <w:spacing w:val="-4"/>
          <w:sz w:val="18"/>
          <w:szCs w:val="18"/>
        </w:rPr>
        <w:t>[008]</w:t>
      </w:r>
      <w:r>
        <w:rPr>
          <w:rFonts w:ascii="宋体" w:hAnsi="宋体" w:cs="宋体" w:eastAsia="宋体" w:hint="default"/>
          <w:spacing w:val="-4"/>
          <w:sz w:val="18"/>
          <w:szCs w:val="18"/>
        </w:rPr>
        <w:t>号的融资租赁合同，租赁物为光伏发电设备，租赁本金总额为</w:t>
      </w:r>
      <w:r>
        <w:rPr>
          <w:rFonts w:ascii="Times New Roman" w:hAnsi="Times New Roman" w:cs="Times New Roman" w:eastAsia="Times New Roman" w:hint="default"/>
          <w:spacing w:val="-4"/>
          <w:sz w:val="18"/>
          <w:szCs w:val="18"/>
        </w:rPr>
        <w:t>2000</w:t>
      </w:r>
      <w:r>
        <w:rPr>
          <w:rFonts w:ascii="宋体" w:hAnsi="宋体" w:cs="宋体" w:eastAsia="宋体" w:hint="default"/>
          <w:spacing w:val="-4"/>
          <w:sz w:val="18"/>
          <w:szCs w:val="18"/>
        </w:rPr>
        <w:t>万元整，租赁期限为</w:t>
      </w:r>
      <w:r>
        <w:rPr>
          <w:rFonts w:ascii="Times New Roman" w:hAnsi="Times New Roman" w:cs="Times New Roman" w:eastAsia="Times New Roman" w:hint="default"/>
          <w:spacing w:val="-4"/>
          <w:sz w:val="18"/>
          <w:szCs w:val="18"/>
        </w:rPr>
        <w:t>2016</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月</w:t>
      </w:r>
      <w:r>
        <w:rPr>
          <w:rFonts w:ascii="Times New Roman" w:hAnsi="Times New Roman" w:cs="Times New Roman" w:eastAsia="Times New Roman" w:hint="default"/>
          <w:spacing w:val="-4"/>
          <w:sz w:val="18"/>
          <w:szCs w:val="18"/>
        </w:rPr>
        <w:t>15</w:t>
      </w:r>
      <w:r>
        <w:rPr>
          <w:rFonts w:ascii="宋体" w:hAnsi="宋体" w:cs="宋体" w:eastAsia="宋体" w:hint="default"/>
          <w:spacing w:val="-4"/>
          <w:sz w:val="18"/>
          <w:szCs w:val="18"/>
        </w:rPr>
        <w:t>日起至</w:t>
      </w:r>
      <w:r>
        <w:rPr>
          <w:rFonts w:ascii="Times New Roman" w:hAnsi="Times New Roman" w:cs="Times New Roman" w:eastAsia="Times New Roman" w:hint="default"/>
          <w:spacing w:val="-4"/>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20</w:t>
      </w:r>
      <w:r>
        <w:rPr>
          <w:rFonts w:ascii="宋体" w:hAnsi="宋体" w:cs="宋体" w:eastAsia="宋体" w:hint="default"/>
          <w:spacing w:val="-2"/>
          <w:sz w:val="18"/>
          <w:szCs w:val="18"/>
        </w:rPr>
        <w:t>日止，租赁年利率为</w:t>
      </w:r>
      <w:r>
        <w:rPr>
          <w:rFonts w:ascii="Times New Roman" w:hAnsi="Times New Roman" w:cs="Times New Roman" w:eastAsia="Times New Roman" w:hint="default"/>
          <w:spacing w:val="-2"/>
          <w:sz w:val="18"/>
          <w:szCs w:val="18"/>
        </w:rPr>
        <w:t>7.6%</w:t>
      </w:r>
      <w:r>
        <w:rPr>
          <w:rFonts w:ascii="宋体" w:hAnsi="宋体" w:cs="宋体" w:eastAsia="宋体" w:hint="default"/>
          <w:spacing w:val="-2"/>
          <w:sz w:val="18"/>
          <w:szCs w:val="18"/>
        </w:rPr>
        <w:t>，租金按季度支付，前</w:t>
      </w:r>
      <w:r>
        <w:rPr>
          <w:rFonts w:ascii="Times New Roman" w:hAnsi="Times New Roman" w:cs="Times New Roman" w:eastAsia="Times New Roman" w:hint="default"/>
          <w:spacing w:val="-2"/>
          <w:sz w:val="18"/>
          <w:szCs w:val="18"/>
        </w:rPr>
        <w:t>11</w:t>
      </w:r>
      <w:r>
        <w:rPr>
          <w:rFonts w:ascii="宋体" w:hAnsi="宋体" w:cs="宋体" w:eastAsia="宋体" w:hint="default"/>
          <w:spacing w:val="-2"/>
          <w:sz w:val="18"/>
          <w:szCs w:val="18"/>
        </w:rPr>
        <w:t>期每期支付</w:t>
      </w:r>
      <w:r>
        <w:rPr>
          <w:rFonts w:ascii="Times New Roman" w:hAnsi="Times New Roman" w:cs="Times New Roman" w:eastAsia="Times New Roman" w:hint="default"/>
          <w:spacing w:val="-2"/>
          <w:sz w:val="18"/>
          <w:szCs w:val="18"/>
        </w:rPr>
        <w:t>1,125,294.22</w:t>
      </w:r>
      <w:r>
        <w:rPr>
          <w:rFonts w:ascii="宋体" w:hAnsi="宋体" w:cs="宋体" w:eastAsia="宋体" w:hint="default"/>
          <w:spacing w:val="-2"/>
          <w:sz w:val="18"/>
          <w:szCs w:val="18"/>
        </w:rPr>
        <w:t>元，最后一期租金为</w:t>
      </w:r>
      <w:r>
        <w:rPr>
          <w:rFonts w:ascii="Times New Roman" w:hAnsi="Times New Roman" w:cs="Times New Roman" w:eastAsia="Times New Roman" w:hint="default"/>
          <w:spacing w:val="-2"/>
          <w:sz w:val="18"/>
          <w:szCs w:val="18"/>
        </w:rPr>
        <w:t>11,125,294.22</w:t>
      </w:r>
      <w:r>
        <w:rPr>
          <w:rFonts w:ascii="宋体" w:hAnsi="宋体" w:cs="宋体" w:eastAsia="宋体" w:hint="default"/>
          <w:spacing w:val="-2"/>
          <w:sz w:val="18"/>
          <w:szCs w:val="18"/>
        </w:rPr>
        <w:t>元，租</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赁期届满后，租赁物采取留购方式处理，即茂硕新能源在支付全部租金，并支付人民币</w:t>
      </w:r>
      <w:r>
        <w:rPr>
          <w:rFonts w:ascii="Times New Roman" w:hAnsi="Times New Roman" w:cs="Times New Roman" w:eastAsia="Times New Roman" w:hint="default"/>
          <w:sz w:val="18"/>
          <w:szCs w:val="18"/>
        </w:rPr>
        <w:t>1</w:t>
      </w:r>
      <w:r>
        <w:rPr>
          <w:rFonts w:ascii="宋体" w:hAnsi="宋体" w:cs="宋体" w:eastAsia="宋体" w:hint="default"/>
          <w:sz w:val="18"/>
          <w:szCs w:val="18"/>
        </w:rPr>
        <w:t>元的名义货价后，瑞盈深圳将租赁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物以回购当时的状态卖给茂硕新能源。</w:t>
      </w:r>
    </w:p>
    <w:p>
      <w:pPr>
        <w:spacing w:before="31"/>
        <w:ind w:left="636" w:right="0" w:firstLine="0"/>
        <w:jc w:val="left"/>
        <w:rPr>
          <w:rFonts w:ascii="宋体" w:hAnsi="宋体" w:cs="宋体" w:eastAsia="宋体" w:hint="default"/>
          <w:sz w:val="18"/>
          <w:szCs w:val="18"/>
        </w:rPr>
      </w:pPr>
      <w:r>
        <w:rPr>
          <w:rFonts w:ascii="宋体" w:hAnsi="宋体" w:cs="宋体" w:eastAsia="宋体" w:hint="default"/>
          <w:sz w:val="18"/>
          <w:szCs w:val="18"/>
        </w:rPr>
        <w:t>⑤大额发包合同</w:t>
      </w:r>
    </w:p>
    <w:p>
      <w:pPr>
        <w:spacing w:line="300" w:lineRule="auto" w:before="76"/>
        <w:ind w:left="154" w:right="0" w:firstLine="48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月，萍乡茂硕与信息产业电子第十一设计研究院科技工程股份有限公司签订光伏发电项目总承包合同，工程 总价以实际组件装机容量确定，截止报表日该项目为</w:t>
      </w:r>
      <w:r>
        <w:rPr>
          <w:rFonts w:ascii="Times New Roman" w:hAnsi="Times New Roman" w:cs="Times New Roman" w:eastAsia="Times New Roman" w:hint="default"/>
          <w:sz w:val="18"/>
          <w:szCs w:val="18"/>
        </w:rPr>
        <w:t>11.5MWP</w:t>
      </w:r>
      <w:r>
        <w:rPr>
          <w:rFonts w:ascii="宋体" w:hAnsi="宋体" w:cs="宋体" w:eastAsia="宋体" w:hint="default"/>
          <w:sz w:val="18"/>
          <w:szCs w:val="18"/>
        </w:rPr>
        <w:t>。</w:t>
      </w:r>
    </w:p>
    <w:p>
      <w:pPr>
        <w:spacing w:line="300" w:lineRule="auto" w:before="13"/>
        <w:ind w:left="153" w:right="0" w:firstLine="48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11</w:t>
      </w:r>
      <w:r>
        <w:rPr>
          <w:rFonts w:ascii="宋体" w:hAnsi="宋体" w:cs="宋体" w:eastAsia="宋体" w:hint="default"/>
          <w:spacing w:val="-2"/>
          <w:sz w:val="18"/>
          <w:szCs w:val="18"/>
        </w:rPr>
        <w:t>月，新余茂硕与江西通力电业发展有限公司签订江西新余何家边</w:t>
      </w:r>
      <w:r>
        <w:rPr>
          <w:rFonts w:ascii="Times New Roman" w:hAnsi="Times New Roman" w:cs="Times New Roman" w:eastAsia="Times New Roman" w:hint="default"/>
          <w:spacing w:val="-2"/>
          <w:sz w:val="18"/>
          <w:szCs w:val="18"/>
        </w:rPr>
        <w:t>20MWP</w:t>
      </w:r>
      <w:r>
        <w:rPr>
          <w:rFonts w:ascii="宋体" w:hAnsi="宋体" w:cs="宋体" w:eastAsia="宋体" w:hint="default"/>
          <w:spacing w:val="-2"/>
          <w:sz w:val="18"/>
          <w:szCs w:val="18"/>
        </w:rPr>
        <w:t>光伏发电项目</w:t>
      </w:r>
      <w:r>
        <w:rPr>
          <w:rFonts w:ascii="Times New Roman" w:hAnsi="Times New Roman" w:cs="Times New Roman" w:eastAsia="Times New Roman" w:hint="default"/>
          <w:spacing w:val="-2"/>
          <w:sz w:val="18"/>
          <w:szCs w:val="18"/>
        </w:rPr>
        <w:t>EPC</w:t>
      </w:r>
      <w:r>
        <w:rPr>
          <w:rFonts w:ascii="宋体" w:hAnsi="宋体" w:cs="宋体" w:eastAsia="宋体" w:hint="default"/>
          <w:spacing w:val="-2"/>
          <w:sz w:val="18"/>
          <w:szCs w:val="18"/>
        </w:rPr>
        <w:t>总承包合同，工程</w:t>
      </w:r>
      <w:r>
        <w:rPr>
          <w:rFonts w:ascii="宋体" w:hAnsi="宋体" w:cs="宋体" w:eastAsia="宋体" w:hint="default"/>
          <w:sz w:val="18"/>
          <w:szCs w:val="18"/>
        </w:rPr>
        <w:t> 总价工程总价以实际组件装机容量确定。</w:t>
      </w:r>
    </w:p>
    <w:p>
      <w:pPr>
        <w:spacing w:before="31"/>
        <w:ind w:left="633" w:right="0" w:firstLine="0"/>
        <w:jc w:val="left"/>
        <w:rPr>
          <w:rFonts w:ascii="宋体" w:hAnsi="宋体" w:cs="宋体" w:eastAsia="宋体" w:hint="default"/>
          <w:sz w:val="18"/>
          <w:szCs w:val="18"/>
        </w:rPr>
      </w:pPr>
      <w:r>
        <w:rPr>
          <w:rFonts w:ascii="宋体" w:hAnsi="宋体" w:cs="宋体" w:eastAsia="宋体" w:hint="default"/>
          <w:sz w:val="18"/>
          <w:szCs w:val="18"/>
        </w:rPr>
        <w:t>截止资产负债表日，以上发包合同均在履行中。</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4"/>
        <w:spacing w:line="240" w:lineRule="auto"/>
        <w:ind w:left="154" w:right="0"/>
        <w:jc w:val="left"/>
        <w:rPr>
          <w:b w:val="0"/>
          <w:bCs w:val="0"/>
        </w:rPr>
      </w:pPr>
      <w:bookmarkStart w:name="2、或有事项" w:id="473"/>
      <w:bookmarkEnd w:id="473"/>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1）资产负债表日存在的重要或有事项" w:id="474"/>
      <w:bookmarkEnd w:id="474"/>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spacing w:line="300" w:lineRule="auto" w:before="0"/>
        <w:ind w:left="153" w:right="0" w:firstLine="48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）根据茂硕电源与方笑求、蓝顺明于</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月签署的盈利预测补偿协议，协议中约定：湖南方正达</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 </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年度、</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年度，承诺净利润数额分别不低于</w:t>
      </w:r>
      <w:r>
        <w:rPr>
          <w:rFonts w:ascii="Times New Roman" w:hAnsi="Times New Roman" w:cs="Times New Roman" w:eastAsia="Times New Roman" w:hint="default"/>
          <w:spacing w:val="-2"/>
          <w:sz w:val="18"/>
          <w:szCs w:val="18"/>
        </w:rPr>
        <w:t>4,356.0</w:t>
      </w:r>
      <w:r>
        <w:rPr>
          <w:rFonts w:ascii="宋体" w:hAnsi="宋体" w:cs="宋体" w:eastAsia="宋体" w:hint="default"/>
          <w:spacing w:val="-2"/>
          <w:sz w:val="18"/>
          <w:szCs w:val="18"/>
        </w:rPr>
        <w:t>万元、</w:t>
      </w:r>
      <w:r>
        <w:rPr>
          <w:rFonts w:ascii="Times New Roman" w:hAnsi="Times New Roman" w:cs="Times New Roman" w:eastAsia="Times New Roman" w:hint="default"/>
          <w:spacing w:val="-2"/>
          <w:sz w:val="18"/>
          <w:szCs w:val="18"/>
        </w:rPr>
        <w:t>5,227.2</w:t>
      </w:r>
      <w:r>
        <w:rPr>
          <w:rFonts w:ascii="宋体" w:hAnsi="宋体" w:cs="宋体" w:eastAsia="宋体" w:hint="default"/>
          <w:spacing w:val="-2"/>
          <w:sz w:val="18"/>
          <w:szCs w:val="18"/>
        </w:rPr>
        <w:t>万元、</w:t>
      </w:r>
      <w:r>
        <w:rPr>
          <w:rFonts w:ascii="Times New Roman" w:hAnsi="Times New Roman" w:cs="Times New Roman" w:eastAsia="Times New Roman" w:hint="default"/>
          <w:spacing w:val="-2"/>
          <w:sz w:val="18"/>
          <w:szCs w:val="18"/>
        </w:rPr>
        <w:t>5,400.0</w:t>
      </w:r>
      <w:r>
        <w:rPr>
          <w:rFonts w:ascii="宋体" w:hAnsi="宋体" w:cs="宋体" w:eastAsia="宋体" w:hint="default"/>
          <w:spacing w:val="-2"/>
          <w:sz w:val="18"/>
          <w:szCs w:val="18"/>
        </w:rPr>
        <w:t>万元。方正达</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年度实际扣非后净利</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润为</w:t>
      </w:r>
      <w:r>
        <w:rPr>
          <w:rFonts w:ascii="Times New Roman" w:hAnsi="Times New Roman" w:cs="Times New Roman" w:eastAsia="Times New Roman" w:hint="default"/>
          <w:sz w:val="18"/>
          <w:szCs w:val="18"/>
        </w:rPr>
        <w:t>41,461,559.44</w:t>
      </w:r>
      <w:r>
        <w:rPr>
          <w:rFonts w:ascii="宋体" w:hAnsi="宋体" w:cs="宋体" w:eastAsia="宋体" w:hint="default"/>
          <w:sz w:val="18"/>
          <w:szCs w:val="18"/>
        </w:rPr>
        <w:t>元，按照协议约定，方笑求、蓝顺明应补偿茂硕电源</w:t>
      </w:r>
      <w:r>
        <w:rPr>
          <w:rFonts w:ascii="Times New Roman" w:hAnsi="Times New Roman" w:cs="Times New Roman" w:eastAsia="Times New Roman" w:hint="default"/>
          <w:sz w:val="18"/>
          <w:szCs w:val="18"/>
        </w:rPr>
        <w:t>2,684,309.84</w:t>
      </w:r>
      <w:r>
        <w:rPr>
          <w:rFonts w:ascii="宋体" w:hAnsi="宋体" w:cs="宋体" w:eastAsia="宋体" w:hint="default"/>
          <w:sz w:val="18"/>
          <w:szCs w:val="18"/>
        </w:rPr>
        <w:t>元</w:t>
      </w:r>
    </w:p>
    <w:p>
      <w:pPr>
        <w:spacing w:line="300" w:lineRule="auto" w:before="13"/>
        <w:ind w:left="153" w:right="0" w:firstLine="48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Brilliant Info</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Corporation</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“BIC”</w:t>
      </w:r>
      <w:r>
        <w:rPr>
          <w:rFonts w:ascii="宋体" w:hAnsi="宋体" w:cs="宋体" w:eastAsia="宋体" w:hint="default"/>
          <w:sz w:val="18"/>
          <w:szCs w:val="18"/>
        </w:rPr>
        <w:t>）公司因合同纠纷起诉香港茂硕和茂硕电源，公司收到美国联邦地区 法院驳回了</w:t>
      </w:r>
      <w:r>
        <w:rPr>
          <w:rFonts w:ascii="Times New Roman" w:hAnsi="Times New Roman" w:cs="Times New Roman" w:eastAsia="Times New Roman" w:hint="default"/>
          <w:sz w:val="18"/>
          <w:szCs w:val="18"/>
        </w:rPr>
        <w:t>BIC</w:t>
      </w:r>
      <w:r>
        <w:rPr>
          <w:rFonts w:ascii="宋体" w:hAnsi="宋体" w:cs="宋体" w:eastAsia="宋体" w:hint="default"/>
          <w:sz w:val="18"/>
          <w:szCs w:val="18"/>
        </w:rPr>
        <w:t>及其股东在美国起诉茂硕电源及香港茂硕的裁决，表示可按照协议约定在中国提起仲裁申请。</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 </w:t>
      </w:r>
      <w:r>
        <w:rPr>
          <w:rFonts w:ascii="宋体" w:hAnsi="宋体" w:cs="宋体" w:eastAsia="宋体" w:hint="default"/>
          <w:spacing w:val="-1"/>
          <w:sz w:val="18"/>
          <w:szCs w:val="18"/>
        </w:rPr>
        <w:t>茂硕电源向</w:t>
      </w:r>
      <w:r>
        <w:rPr>
          <w:rFonts w:ascii="Times New Roman" w:hAnsi="Times New Roman" w:cs="Times New Roman" w:eastAsia="Times New Roman" w:hint="default"/>
          <w:spacing w:val="-1"/>
          <w:sz w:val="18"/>
          <w:szCs w:val="18"/>
        </w:rPr>
        <w:t>BIC</w:t>
      </w:r>
      <w:r>
        <w:rPr>
          <w:rFonts w:ascii="宋体" w:hAnsi="宋体" w:cs="宋体" w:eastAsia="宋体" w:hint="default"/>
          <w:spacing w:val="-1"/>
          <w:sz w:val="18"/>
          <w:szCs w:val="18"/>
        </w:rPr>
        <w:t>发起诉讼，要求支付欠付货款、终止协议、返还客户资料。目前案件正在审理初期阶段，即仲裁机构刚刚完</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成了对</w:t>
      </w:r>
      <w:r>
        <w:rPr>
          <w:rFonts w:ascii="Times New Roman" w:hAnsi="Times New Roman" w:cs="Times New Roman" w:eastAsia="Times New Roman" w:hint="default"/>
          <w:sz w:val="18"/>
          <w:szCs w:val="18"/>
        </w:rPr>
        <w:t>BIC</w:t>
      </w:r>
      <w:r>
        <w:rPr>
          <w:rFonts w:ascii="宋体" w:hAnsi="宋体" w:cs="宋体" w:eastAsia="宋体" w:hint="default"/>
          <w:sz w:val="18"/>
          <w:szCs w:val="18"/>
        </w:rPr>
        <w:t>的仲裁申请书及相关申请人的文书送达工作，至今仲裁庭尚未组成。</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29"/>
        <w:ind w:right="0"/>
        <w:jc w:val="left"/>
        <w:rPr>
          <w:b w:val="0"/>
          <w:bCs w:val="0"/>
        </w:rPr>
      </w:pPr>
      <w:bookmarkStart w:name="（2）公司没有需要披露的重要或有事项，也应予以说明" w:id="475"/>
      <w:bookmarkEnd w:id="475"/>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line="487" w:lineRule="auto" w:before="35"/>
        <w:ind w:left="153" w:right="7333" w:firstLine="0"/>
        <w:jc w:val="left"/>
        <w:rPr>
          <w:rFonts w:ascii="宋体" w:hAnsi="宋体" w:cs="宋体" w:eastAsia="宋体" w:hint="default"/>
          <w:sz w:val="21"/>
          <w:szCs w:val="21"/>
        </w:rPr>
      </w:pPr>
      <w:bookmarkStart w:name="3、其他" w:id="476"/>
      <w:bookmarkEnd w:id="47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五、资产负债表日后事项" w:id="477"/>
      <w:bookmarkEnd w:id="477"/>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十五、资产负债表日后事项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478"/>
      <w:bookmarkEnd w:id="478"/>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spacing w:before="108"/>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利润分配情况" w:id="479"/>
      <w:bookmarkEnd w:id="479"/>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4,437,460.80</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4,437,460.80</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3、销售退回" w:id="480"/>
      <w:bookmarkEnd w:id="480"/>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4、其他资产负债表日后事项说明" w:id="481"/>
      <w:bookmarkEnd w:id="481"/>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7"/>
        <w:rPr>
          <w:rFonts w:ascii="宋体" w:hAnsi="宋体" w:cs="宋体" w:eastAsia="宋体" w:hint="default"/>
          <w:b/>
          <w:bCs/>
          <w:sz w:val="26"/>
          <w:szCs w:val="26"/>
        </w:rPr>
      </w:pPr>
    </w:p>
    <w:p>
      <w:pPr>
        <w:spacing w:line="300" w:lineRule="auto" w:before="0"/>
        <w:ind w:left="153" w:right="0" w:firstLine="482"/>
        <w:jc w:val="left"/>
        <w:rPr>
          <w:rFonts w:ascii="宋体" w:hAnsi="宋体" w:cs="宋体" w:eastAsia="宋体" w:hint="default"/>
          <w:sz w:val="18"/>
          <w:szCs w:val="18"/>
        </w:rPr>
      </w:pPr>
      <w:r>
        <w:rPr>
          <w:rFonts w:ascii="宋体" w:hAnsi="宋体" w:cs="宋体" w:eastAsia="宋体" w:hint="default"/>
          <w:spacing w:val="-1"/>
          <w:sz w:val="18"/>
          <w:szCs w:val="18"/>
        </w:rPr>
        <w:t>于</w:t>
      </w:r>
      <w:r>
        <w:rPr>
          <w:rFonts w:ascii="Times New Roman" w:hAnsi="Times New Roman" w:cs="Times New Roman" w:eastAsia="Times New Roman" w:hint="default"/>
          <w:spacing w:val="-1"/>
          <w:sz w:val="18"/>
          <w:szCs w:val="18"/>
        </w:rPr>
        <w:t>2016</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22</w:t>
      </w:r>
      <w:r>
        <w:rPr>
          <w:rFonts w:ascii="宋体" w:hAnsi="宋体" w:cs="宋体" w:eastAsia="宋体" w:hint="default"/>
          <w:spacing w:val="-1"/>
          <w:sz w:val="18"/>
          <w:szCs w:val="18"/>
        </w:rPr>
        <w:t>日，本公司第三届董事会召开</w:t>
      </w:r>
      <w:r>
        <w:rPr>
          <w:rFonts w:ascii="Times New Roman" w:hAnsi="Times New Roman" w:cs="Times New Roman" w:eastAsia="Times New Roman" w:hint="default"/>
          <w:spacing w:val="-1"/>
          <w:sz w:val="18"/>
          <w:szCs w:val="18"/>
        </w:rPr>
        <w:t>2016</w:t>
      </w:r>
      <w:r>
        <w:rPr>
          <w:rFonts w:ascii="宋体" w:hAnsi="宋体" w:cs="宋体" w:eastAsia="宋体" w:hint="default"/>
          <w:spacing w:val="-1"/>
          <w:sz w:val="18"/>
          <w:szCs w:val="18"/>
        </w:rPr>
        <w:t>年第</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次会议，批准</w:t>
      </w:r>
      <w:r>
        <w:rPr>
          <w:rFonts w:ascii="Times New Roman" w:hAnsi="Times New Roman" w:cs="Times New Roman" w:eastAsia="Times New Roman" w:hint="default"/>
          <w:spacing w:val="-1"/>
          <w:sz w:val="18"/>
          <w:szCs w:val="18"/>
        </w:rPr>
        <w:t>2015</w:t>
      </w:r>
      <w:r>
        <w:rPr>
          <w:rFonts w:ascii="宋体" w:hAnsi="宋体" w:cs="宋体" w:eastAsia="宋体" w:hint="default"/>
          <w:spacing w:val="-1"/>
          <w:sz w:val="18"/>
          <w:szCs w:val="18"/>
        </w:rPr>
        <w:t>年度利润分配预案：以公司当期总股本为基</w:t>
      </w:r>
      <w:r>
        <w:rPr>
          <w:rFonts w:ascii="宋体" w:hAnsi="宋体" w:cs="宋体" w:eastAsia="宋体" w:hint="default"/>
          <w:sz w:val="18"/>
          <w:szCs w:val="18"/>
        </w:rPr>
        <w:t> </w:t>
      </w:r>
      <w:r>
        <w:rPr>
          <w:rFonts w:ascii="宋体" w:hAnsi="宋体" w:cs="宋体" w:eastAsia="宋体" w:hint="default"/>
          <w:spacing w:val="-3"/>
          <w:sz w:val="18"/>
          <w:szCs w:val="18"/>
        </w:rPr>
        <w:t>数，向全体股东每</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股派发现金股利</w:t>
      </w:r>
      <w:r>
        <w:rPr>
          <w:rFonts w:ascii="Times New Roman" w:hAnsi="Times New Roman" w:cs="Times New Roman" w:eastAsia="Times New Roman" w:hint="default"/>
          <w:spacing w:val="-3"/>
          <w:sz w:val="18"/>
          <w:szCs w:val="18"/>
        </w:rPr>
        <w:t>0.16</w:t>
      </w:r>
      <w:r>
        <w:rPr>
          <w:rFonts w:ascii="宋体" w:hAnsi="宋体" w:cs="宋体" w:eastAsia="宋体" w:hint="default"/>
          <w:spacing w:val="-3"/>
          <w:sz w:val="18"/>
          <w:szCs w:val="18"/>
        </w:rPr>
        <w:t>元人民币（含税）；不涉及资本公积金转增股本。</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6"/>
          <w:szCs w:val="26"/>
        </w:rPr>
      </w:pPr>
    </w:p>
    <w:p>
      <w:pPr>
        <w:pStyle w:val="Heading2"/>
        <w:spacing w:line="240" w:lineRule="auto"/>
        <w:ind w:right="0"/>
        <w:jc w:val="left"/>
        <w:rPr>
          <w:b w:val="0"/>
          <w:bCs w:val="0"/>
        </w:rPr>
      </w:pPr>
      <w:bookmarkStart w:name="十六、其他重要事项" w:id="482"/>
      <w:bookmarkEnd w:id="482"/>
      <w:r>
        <w:rPr>
          <w:b w:val="0"/>
          <w:bCs w:val="0"/>
        </w:rPr>
      </w:r>
      <w:r>
        <w:rPr/>
        <w:t>十六、其他重要事项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前期会计差错更正" w:id="483"/>
      <w:bookmarkEnd w:id="483"/>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追溯重述法" w:id="484"/>
      <w:bookmarkEnd w:id="484"/>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29" w:right="111"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3"/>
        <w:rPr>
          <w:rFonts w:ascii="宋体" w:hAnsi="宋体" w:cs="宋体" w:eastAsia="宋体" w:hint="default"/>
          <w:sz w:val="19"/>
          <w:szCs w:val="19"/>
        </w:rPr>
      </w:pPr>
    </w:p>
    <w:p>
      <w:pPr>
        <w:pStyle w:val="Heading4"/>
        <w:spacing w:line="240" w:lineRule="auto" w:before="35"/>
        <w:ind w:left="154" w:right="0"/>
        <w:jc w:val="left"/>
        <w:rPr>
          <w:b w:val="0"/>
          <w:bCs w:val="0"/>
        </w:rPr>
      </w:pPr>
      <w:bookmarkStart w:name="（2）未来适用法" w:id="485"/>
      <w:bookmarkEnd w:id="485"/>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b/>
          <w:bCs/>
          <w:sz w:val="24"/>
          <w:szCs w:val="24"/>
        </w:rPr>
      </w:pPr>
    </w:p>
    <w:p>
      <w:pPr>
        <w:pStyle w:val="Heading4"/>
        <w:spacing w:line="240" w:lineRule="auto" w:before="35"/>
        <w:ind w:right="0"/>
        <w:jc w:val="left"/>
        <w:rPr>
          <w:b w:val="0"/>
          <w:bCs w:val="0"/>
        </w:rPr>
      </w:pPr>
      <w:bookmarkStart w:name="2、债务重组" w:id="486"/>
      <w:bookmarkEnd w:id="486"/>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3、资产置换" w:id="487"/>
      <w:bookmarkEnd w:id="487"/>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非货币性资产交换" w:id="488"/>
      <w:bookmarkEnd w:id="488"/>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2）其他资产置换" w:id="489"/>
      <w:bookmarkEnd w:id="489"/>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年金计划" w:id="490"/>
      <w:bookmarkEnd w:id="490"/>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5、终止经营" w:id="491"/>
      <w:bookmarkEnd w:id="491"/>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both"/>
        <w:rPr>
          <w:b w:val="0"/>
          <w:bCs w:val="0"/>
        </w:rPr>
      </w:pPr>
      <w:bookmarkStart w:name="6、分部信息" w:id="492"/>
      <w:bookmarkEnd w:id="492"/>
      <w:r>
        <w:rPr>
          <w:b w:val="0"/>
          <w:bCs w:val="0"/>
        </w:rPr>
      </w:r>
      <w:r>
        <w:rPr>
          <w:rFonts w:ascii="Times New Roman" w:hAnsi="Times New Roman" w:cs="Times New Roman" w:eastAsia="Times New Roman" w:hint="default"/>
        </w:rPr>
        <w:t>6</w:t>
      </w:r>
      <w:r>
        <w:rPr/>
        <w:t>、分部信息</w:t>
      </w:r>
      <w:r>
        <w:rPr>
          <w:b w:val="0"/>
          <w:bCs w:val="0"/>
        </w:rPr>
      </w:r>
    </w:p>
    <w:p>
      <w:pPr>
        <w:spacing w:line="610" w:lineRule="atLeast" w:before="4"/>
        <w:ind w:left="634" w:right="0" w:hanging="480"/>
        <w:jc w:val="left"/>
        <w:rPr>
          <w:rFonts w:ascii="宋体" w:hAnsi="宋体" w:cs="宋体" w:eastAsia="宋体" w:hint="default"/>
          <w:sz w:val="21"/>
          <w:szCs w:val="21"/>
        </w:rPr>
      </w:pPr>
      <w:bookmarkStart w:name="（1）报告分部的确定依据与会计政策" w:id="493"/>
      <w:bookmarkEnd w:id="49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）报告分部的确定依据与会计政策</w:t>
      </w:r>
      <w:r>
        <w:rPr>
          <w:rFonts w:ascii="宋体" w:hAnsi="宋体" w:cs="宋体" w:eastAsia="宋体" w:hint="default"/>
          <w:b/>
          <w:bCs/>
          <w:w w:val="99"/>
          <w:sz w:val="21"/>
          <w:szCs w:val="21"/>
        </w:rPr>
        <w:t> </w:t>
      </w:r>
      <w:r>
        <w:rPr>
          <w:rFonts w:ascii="宋体" w:hAnsi="宋体" w:cs="宋体" w:eastAsia="宋体" w:hint="default"/>
          <w:sz w:val="21"/>
          <w:szCs w:val="21"/>
        </w:rPr>
        <w:t>根据本公司的内部组织结构、管理要求及内部报告制度，本公司的经营业务划分为</w:t>
      </w:r>
      <w:r>
        <w:rPr>
          <w:rFonts w:ascii="Times New Roman" w:hAnsi="Times New Roman" w:cs="Times New Roman" w:eastAsia="Times New Roman" w:hint="default"/>
          <w:sz w:val="21"/>
          <w:szCs w:val="21"/>
        </w:rPr>
        <w:t>4</w:t>
      </w:r>
      <w:r>
        <w:rPr>
          <w:rFonts w:ascii="宋体" w:hAnsi="宋体" w:cs="宋体" w:eastAsia="宋体" w:hint="default"/>
          <w:sz w:val="21"/>
          <w:szCs w:val="21"/>
        </w:rPr>
        <w:t>个经营分部，本</w:t>
      </w:r>
    </w:p>
    <w:p>
      <w:pPr>
        <w:pStyle w:val="BodyText"/>
        <w:spacing w:line="266" w:lineRule="auto" w:before="21"/>
        <w:ind w:right="1129"/>
        <w:jc w:val="both"/>
      </w:pPr>
      <w:r>
        <w:rPr>
          <w:spacing w:val="-1"/>
        </w:rPr>
        <w:t>公司的管理层定期评价这些分部的经营成果，以决定向其分配资源及评价其业绩。在经营分部的基础上本</w:t>
      </w:r>
      <w:r>
        <w:rPr>
          <w:spacing w:val="-81"/>
        </w:rPr>
        <w:t> </w:t>
      </w:r>
      <w:r>
        <w:rPr>
          <w:spacing w:val="-81"/>
        </w:rPr>
      </w:r>
      <w:r>
        <w:rPr/>
        <w:t>公司确定了</w:t>
      </w:r>
      <w:r>
        <w:rPr>
          <w:rFonts w:ascii="Times New Roman" w:hAnsi="Times New Roman" w:cs="Times New Roman" w:eastAsia="Times New Roman" w:hint="default"/>
        </w:rPr>
        <w:t>4</w:t>
      </w:r>
      <w:r>
        <w:rPr/>
        <w:t>个报告分部，分别为电源业务部、逆变器业务部、光伏电站业务部、电路板业务部。这些报</w:t>
      </w:r>
      <w:r>
        <w:rPr>
          <w:spacing w:val="-25"/>
        </w:rPr>
        <w:t> </w:t>
      </w:r>
      <w:r>
        <w:rPr>
          <w:spacing w:val="-25"/>
        </w:rPr>
      </w:r>
      <w:r>
        <w:rPr>
          <w:spacing w:val="-1"/>
        </w:rPr>
        <w:t>告分部是以产品类别为基础确定的。电源业务部提供的主要产品及劳务为：消费电子类电源、</w:t>
      </w:r>
      <w:r>
        <w:rPr>
          <w:rFonts w:ascii="Times New Roman" w:hAnsi="Times New Roman" w:cs="Times New Roman" w:eastAsia="Times New Roman" w:hint="default"/>
          <w:spacing w:val="-1"/>
        </w:rPr>
        <w:t>LED</w:t>
      </w:r>
      <w:r>
        <w:rPr>
          <w:spacing w:val="-1"/>
        </w:rPr>
        <w:t>驱动电</w:t>
      </w:r>
      <w:r>
        <w:rPr>
          <w:spacing w:val="-70"/>
        </w:rPr>
        <w:t> </w:t>
      </w:r>
      <w:r>
        <w:rPr>
          <w:spacing w:val="-1"/>
        </w:rPr>
        <w:t>源、变压器的生产与销售；逆变器业务部提供的主要产品及劳务为：太阳能光伏逆变器的生产和销售；光</w:t>
      </w:r>
      <w:r>
        <w:rPr>
          <w:spacing w:val="-85"/>
        </w:rPr>
        <w:t> </w:t>
      </w:r>
      <w:r>
        <w:rPr>
          <w:spacing w:val="-85"/>
        </w:rPr>
      </w:r>
      <w:r>
        <w:rPr>
          <w:spacing w:val="-1"/>
        </w:rPr>
        <w:t>伏电站业务部提供的主要产品及劳务为太阳能光伏发电系统的设计、开发、投资、建设和经营；电路板业</w:t>
      </w:r>
      <w:r>
        <w:rPr>
          <w:spacing w:val="-86"/>
        </w:rPr>
        <w:t> </w:t>
      </w:r>
      <w:r>
        <w:rPr>
          <w:spacing w:val="-86"/>
        </w:rPr>
      </w:r>
      <w:r>
        <w:rPr/>
        <w:t>务部提供的主要产品及劳务为：单面</w:t>
      </w:r>
      <w:r>
        <w:rPr>
          <w:rFonts w:ascii="Times New Roman" w:hAnsi="Times New Roman" w:cs="Times New Roman" w:eastAsia="Times New Roman" w:hint="default"/>
        </w:rPr>
        <w:t>FPC</w:t>
      </w:r>
      <w:r>
        <w:rPr/>
        <w:t>板及双面</w:t>
      </w:r>
      <w:r>
        <w:rPr>
          <w:rFonts w:ascii="Times New Roman" w:hAnsi="Times New Roman" w:cs="Times New Roman" w:eastAsia="Times New Roman" w:hint="default"/>
        </w:rPr>
        <w:t>FPC</w:t>
      </w:r>
      <w:r>
        <w:rPr/>
        <w:t>板的生产和销售。</w:t>
      </w:r>
    </w:p>
    <w:p>
      <w:pPr>
        <w:pStyle w:val="BodyText"/>
        <w:spacing w:line="273" w:lineRule="auto" w:before="0"/>
        <w:ind w:right="1121" w:firstLine="480"/>
        <w:jc w:val="left"/>
      </w:pPr>
      <w:r>
        <w:rPr>
          <w:spacing w:val="-2"/>
        </w:rPr>
        <w:t>分部报告信息根据各分部向管理层报告时采用的会计政策及计量标准披露，这些计量基础与编制财务</w:t>
      </w:r>
      <w:r>
        <w:rPr/>
        <w:t> 报表时的会计与计量基础保持一致。</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ind w:right="0"/>
        <w:jc w:val="both"/>
        <w:rPr>
          <w:b w:val="0"/>
          <w:bCs w:val="0"/>
        </w:rPr>
      </w:pPr>
      <w:bookmarkStart w:name="（2）报告分部的财务信息" w:id="494"/>
      <w:bookmarkEnd w:id="494"/>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7"/>
        <w:gridCol w:w="1367"/>
        <w:gridCol w:w="1367"/>
        <w:gridCol w:w="1367"/>
      </w:tblGrid>
      <w:tr>
        <w:trPr>
          <w:trHeight w:val="402" w:hRule="exact"/>
        </w:trPr>
        <w:tc>
          <w:tcPr>
            <w:tcW w:w="1344"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电源</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07" w:right="0"/>
              <w:jc w:val="left"/>
              <w:rPr>
                <w:rFonts w:ascii="宋体" w:hAnsi="宋体" w:cs="宋体" w:eastAsia="宋体" w:hint="default"/>
                <w:sz w:val="18"/>
                <w:szCs w:val="18"/>
              </w:rPr>
            </w:pPr>
            <w:r>
              <w:rPr>
                <w:rFonts w:ascii="宋体" w:hAnsi="宋体" w:cs="宋体" w:eastAsia="宋体" w:hint="default"/>
                <w:sz w:val="18"/>
                <w:szCs w:val="18"/>
              </w:rPr>
              <w:t>电路板</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07" w:right="0"/>
              <w:jc w:val="left"/>
              <w:rPr>
                <w:rFonts w:ascii="宋体" w:hAnsi="宋体" w:cs="宋体" w:eastAsia="宋体" w:hint="default"/>
                <w:sz w:val="18"/>
                <w:szCs w:val="18"/>
              </w:rPr>
            </w:pPr>
            <w:r>
              <w:rPr>
                <w:rFonts w:ascii="宋体" w:hAnsi="宋体" w:cs="宋体" w:eastAsia="宋体" w:hint="default"/>
                <w:sz w:val="18"/>
                <w:szCs w:val="18"/>
              </w:rPr>
              <w:t>逆变器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8"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614,302,333.59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17,656,478.24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249,632,905.75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33,314,181.17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-2,937,924.94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911,967,973.81</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517,542,617.91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5,778,414.56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178,781,731.20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24,447,012.91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-2,990,940.74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723,558,835.84</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1,596,625,367.08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239,944,516.02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307,677,148.62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188,907,605.07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-473,167,500.28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1,859,987,136.51</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671,257,648.92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152,488,537.32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149,142,493.61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155,953,738.14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-266,829,754.11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862,012,663.88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3）公司无报告分部的，或者不能披露各报告分部的资产总额和负债总额的，应说明原因" w:id="495"/>
      <w:bookmarkEnd w:id="495"/>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其他说明" w:id="496"/>
      <w:bookmarkEnd w:id="496"/>
      <w:r>
        <w:rPr>
          <w:b w:val="0"/>
          <w:bCs w:val="0"/>
        </w:rPr>
      </w:r>
      <w:r>
        <w:rPr/>
        <w:t>（</w:t>
      </w:r>
      <w:r>
        <w:rPr>
          <w:rFonts w:ascii="Times New Roman" w:hAnsi="Times New Roman" w:cs="Times New Roman" w:eastAsia="Times New Roman" w:hint="default"/>
        </w:rPr>
        <w:t>4</w:t>
      </w:r>
      <w:r>
        <w:rPr/>
        <w:t>）其他说明</w:t>
      </w:r>
      <w:r>
        <w:rPr>
          <w:b w:val="0"/>
          <w:bCs w:val="0"/>
        </w:rPr>
      </w:r>
    </w:p>
    <w:p>
      <w:pPr>
        <w:spacing w:line="590" w:lineRule="atLeast" w:before="23"/>
        <w:ind w:left="633" w:right="0" w:hanging="480"/>
        <w:jc w:val="left"/>
        <w:rPr>
          <w:rFonts w:ascii="宋体" w:hAnsi="宋体" w:cs="宋体" w:eastAsia="宋体" w:hint="default"/>
          <w:sz w:val="21"/>
          <w:szCs w:val="21"/>
        </w:rPr>
      </w:pPr>
      <w:bookmarkStart w:name="7、其他对投资者决策有影响的重要交易和事项" w:id="497"/>
      <w:bookmarkEnd w:id="497"/>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、其他对投资者决策有影响的重要交易和事项</w:t>
      </w:r>
      <w:r>
        <w:rPr>
          <w:rFonts w:ascii="宋体" w:hAnsi="宋体" w:cs="宋体" w:eastAsia="宋体" w:hint="default"/>
          <w:b/>
          <w:bCs/>
          <w:w w:val="99"/>
          <w:sz w:val="21"/>
          <w:szCs w:val="21"/>
        </w:rPr>
        <w:t> </w:t>
      </w:r>
      <w:r>
        <w:rPr>
          <w:rFonts w:ascii="宋体" w:hAnsi="宋体" w:cs="宋体" w:eastAsia="宋体" w:hint="default"/>
          <w:sz w:val="21"/>
          <w:szCs w:val="21"/>
        </w:rPr>
        <w:t>茂硕电源正在筹划非公开发行股票，公司于</w:t>
      </w:r>
      <w:r>
        <w:rPr>
          <w:rFonts w:ascii="宋体" w:hAnsi="宋体" w:cs="宋体" w:eastAsia="宋体" w:hint="default"/>
          <w:sz w:val="21"/>
          <w:szCs w:val="21"/>
        </w:rPr>
        <w:t>2016</w:t>
      </w:r>
      <w:r>
        <w:rPr>
          <w:rFonts w:ascii="宋体" w:hAnsi="宋体" w:cs="宋体" w:eastAsia="宋体" w:hint="default"/>
          <w:sz w:val="21"/>
          <w:szCs w:val="21"/>
        </w:rPr>
        <w:t>年</w:t>
      </w:r>
      <w:r>
        <w:rPr>
          <w:rFonts w:ascii="宋体" w:hAnsi="宋体" w:cs="宋体" w:eastAsia="宋体" w:hint="default"/>
          <w:sz w:val="21"/>
          <w:szCs w:val="21"/>
        </w:rPr>
        <w:t>3</w:t>
      </w:r>
      <w:r>
        <w:rPr>
          <w:rFonts w:ascii="宋体" w:hAnsi="宋体" w:cs="宋体" w:eastAsia="宋体" w:hint="default"/>
          <w:sz w:val="21"/>
          <w:szCs w:val="21"/>
        </w:rPr>
        <w:t>月</w:t>
      </w:r>
      <w:r>
        <w:rPr>
          <w:rFonts w:ascii="宋体" w:hAnsi="宋体" w:cs="宋体" w:eastAsia="宋体" w:hint="default"/>
          <w:sz w:val="21"/>
          <w:szCs w:val="21"/>
        </w:rPr>
        <w:t>28</w:t>
      </w:r>
      <w:r>
        <w:rPr>
          <w:rFonts w:ascii="宋体" w:hAnsi="宋体" w:cs="宋体" w:eastAsia="宋体" w:hint="default"/>
          <w:sz w:val="21"/>
          <w:szCs w:val="21"/>
        </w:rPr>
        <w:t>日收到中国证券监督管理委员会（以下简称</w:t>
      </w:r>
    </w:p>
    <w:p>
      <w:pPr>
        <w:pStyle w:val="BodyText"/>
        <w:spacing w:line="273" w:lineRule="auto" w:before="37"/>
        <w:ind w:left="154" w:right="1131"/>
        <w:jc w:val="both"/>
      </w:pPr>
      <w:r>
        <w:rPr>
          <w:spacing w:val="-1"/>
        </w:rPr>
        <w:t>“中国证监会”）出具的《中国证监会行政许可项目审查二次反馈意见通知书》（</w:t>
      </w:r>
      <w:r>
        <w:rPr>
          <w:rFonts w:ascii="宋体" w:hAnsi="宋体" w:cs="宋体" w:eastAsia="宋体" w:hint="default"/>
          <w:spacing w:val="-1"/>
        </w:rPr>
        <w:t>153043</w:t>
      </w:r>
      <w:r>
        <w:rPr>
          <w:spacing w:val="-1"/>
        </w:rPr>
        <w:t>号），公司已于</w:t>
      </w:r>
      <w:r>
        <w:rPr>
          <w:spacing w:val="-83"/>
        </w:rPr>
        <w:t> </w:t>
      </w:r>
      <w:r>
        <w:rPr>
          <w:spacing w:val="-83"/>
        </w:rPr>
      </w:r>
      <w:r>
        <w:rPr>
          <w:rFonts w:ascii="宋体" w:hAnsi="宋体" w:cs="宋体" w:eastAsia="宋体" w:hint="default"/>
          <w:spacing w:val="-1"/>
        </w:rPr>
        <w:t>4</w:t>
      </w:r>
      <w:r>
        <w:rPr>
          <w:spacing w:val="-1"/>
        </w:rPr>
        <w:t>月</w:t>
      </w:r>
      <w:r>
        <w:rPr>
          <w:rFonts w:ascii="宋体" w:hAnsi="宋体" w:cs="宋体" w:eastAsia="宋体" w:hint="default"/>
          <w:spacing w:val="-1"/>
        </w:rPr>
        <w:t>6</w:t>
      </w:r>
      <w:r>
        <w:rPr>
          <w:spacing w:val="-1"/>
        </w:rPr>
        <w:t>日在证监会指定网站上公布关于非公开发行股票申请文件二次反馈意见的回复。截止报告出具日，非</w:t>
      </w:r>
      <w:r>
        <w:rPr>
          <w:spacing w:val="-82"/>
        </w:rPr>
        <w:t> </w:t>
      </w:r>
      <w:r>
        <w:rPr>
          <w:spacing w:val="-82"/>
        </w:rPr>
      </w:r>
      <w:r>
        <w:rPr/>
        <w:t>公开发行股票事项尚在审批中。</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spacing w:line="487" w:lineRule="auto" w:before="0"/>
        <w:ind w:left="153" w:right="6612" w:firstLine="0"/>
        <w:jc w:val="left"/>
        <w:rPr>
          <w:rFonts w:ascii="宋体" w:hAnsi="宋体" w:cs="宋体" w:eastAsia="宋体" w:hint="default"/>
          <w:sz w:val="21"/>
          <w:szCs w:val="21"/>
        </w:rPr>
      </w:pPr>
      <w:bookmarkStart w:name="8、其他" w:id="498"/>
      <w:bookmarkEnd w:id="498"/>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七、母公司财务报表主要项目注释" w:id="499"/>
      <w:bookmarkEnd w:id="499"/>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十七、母公司财务报表主要项目注释</w:t>
      </w:r>
      <w:r>
        <w:rPr>
          <w:rFonts w:ascii="宋体" w:hAnsi="宋体" w:cs="宋体" w:eastAsia="宋体" w:hint="default"/>
          <w:b/>
          <w:bCs/>
          <w:spacing w:val="62"/>
          <w:w w:val="95"/>
          <w:sz w:val="24"/>
          <w:szCs w:val="24"/>
        </w:rPr>
        <w:t> </w:t>
      </w:r>
      <w:r>
        <w:rPr>
          <w:rFonts w:ascii="宋体" w:hAnsi="宋体" w:cs="宋体" w:eastAsia="宋体" w:hint="default"/>
          <w:b/>
          <w:bCs/>
          <w:spacing w:val="62"/>
          <w:w w:val="95"/>
          <w:sz w:val="24"/>
          <w:szCs w:val="24"/>
        </w:rPr>
      </w:r>
      <w:bookmarkStart w:name="1、应收账款" w:id="500"/>
      <w:bookmarkEnd w:id="500"/>
      <w:r>
        <w:rPr>
          <w:rFonts w:ascii="宋体" w:hAnsi="宋体" w:cs="宋体" w:eastAsia="宋体" w:hint="default"/>
          <w:b/>
          <w:bCs/>
          <w:spacing w:val="62"/>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4"/>
        <w:spacing w:line="240" w:lineRule="auto" w:before="83"/>
        <w:ind w:right="0"/>
        <w:jc w:val="left"/>
        <w:rPr>
          <w:b w:val="0"/>
          <w:bCs w:val="0"/>
        </w:rPr>
      </w:pPr>
      <w:bookmarkStart w:name="（1）应收账款分类披露" w:id="501"/>
      <w:bookmarkEnd w:id="501"/>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9,184,53</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0.50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5,019,34</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6.73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54.65%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4,165,183</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.77</w:t>
            </w: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340,783,</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610.80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97.38%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21,536,4</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65.32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319,247,1</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45.48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313,529</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,088.01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18,447,40</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4.94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5.88%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295,081,68</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3.07</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349,968,</w:t>
            </w:r>
          </w:p>
          <w:p>
            <w:pPr>
              <w:pStyle w:val="TableParagraph"/>
              <w:spacing w:line="240" w:lineRule="auto" w:before="106"/>
              <w:ind w:left="217" w:right="0"/>
              <w:jc w:val="center"/>
              <w:rPr>
                <w:rFonts w:ascii="Times New Roman" w:hAnsi="Times New Roman" w:cs="Times New Roman" w:eastAsia="Times New Roman" w:hint="default"/>
                <w:sz w:val="18"/>
                <w:szCs w:val="18"/>
              </w:rPr>
            </w:pPr>
            <w:r>
              <w:rPr>
                <w:rFonts w:ascii="Times New Roman"/>
                <w:sz w:val="18"/>
              </w:rPr>
              <w:t>141.30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26,555,8</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12.05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7.59%</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323,412,3</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29.25</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313,529</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,088.01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18,447,40</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4.94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5.88%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295,081,68</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3.07</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before="117"/>
        <w:ind w:left="154" w:right="-2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5" w:space="453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8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3"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666"/>
              <w:jc w:val="left"/>
              <w:rPr>
                <w:rFonts w:ascii="Times New Roman" w:hAnsi="Times New Roman" w:cs="Times New Roman" w:eastAsia="Times New Roman" w:hint="default"/>
                <w:sz w:val="18"/>
                <w:szCs w:val="18"/>
              </w:rPr>
            </w:pPr>
            <w:r>
              <w:rPr>
                <w:rFonts w:ascii="Times New Roman"/>
                <w:sz w:val="18"/>
              </w:rPr>
              <w:t>Coded</w:t>
            </w:r>
            <w:r>
              <w:rPr>
                <w:rFonts w:ascii="Times New Roman"/>
                <w:spacing w:val="-3"/>
                <w:sz w:val="18"/>
              </w:rPr>
              <w:t> </w:t>
            </w:r>
            <w:r>
              <w:rPr>
                <w:rFonts w:ascii="Times New Roman"/>
                <w:sz w:val="18"/>
              </w:rPr>
              <w:t>Instruction</w:t>
            </w:r>
            <w:r>
              <w:rPr>
                <w:rFonts w:ascii="Times New Roman"/>
                <w:sz w:val="18"/>
              </w:rPr>
              <w:t> Security Corp</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854,162.95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854,162.95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该公司破产</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Brilliant Info</w:t>
            </w:r>
            <w:r>
              <w:rPr>
                <w:rFonts w:ascii="Times New Roman"/>
                <w:spacing w:val="-3"/>
                <w:sz w:val="18"/>
              </w:rPr>
              <w:t> </w:t>
            </w:r>
            <w:r>
              <w:rPr>
                <w:rFonts w:ascii="Times New Roman"/>
                <w:sz w:val="18"/>
              </w:rPr>
              <w:t>Corporation</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8,330,367.55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4,165,183.78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诉讼中</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997"/>
        <w:gridCol w:w="1838"/>
        <w:gridCol w:w="1913"/>
        <w:gridCol w:w="1913"/>
        <w:gridCol w:w="1901"/>
      </w:tblGrid>
      <w:tr>
        <w:trPr>
          <w:trHeight w:val="402"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9" w:right="0"/>
              <w:jc w:val="left"/>
              <w:rPr>
                <w:rFonts w:ascii="Times New Roman" w:hAnsi="Times New Roman" w:cs="Times New Roman" w:eastAsia="Times New Roman" w:hint="default"/>
                <w:sz w:val="18"/>
                <w:szCs w:val="18"/>
              </w:rPr>
            </w:pPr>
            <w:r>
              <w:rPr>
                <w:rFonts w:ascii="Times New Roman"/>
                <w:sz w:val="18"/>
              </w:rPr>
              <w:t>9,184,530.50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5,019,346.73</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组合中，按账龄分析法计提坏账准备的应收账款：</w:t>
      </w:r>
    </w:p>
    <w:p>
      <w:pPr>
        <w:spacing w:before="117"/>
        <w:ind w:left="154" w:right="-2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115" w:space="471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202,689,478.05</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39,960,038.12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1,998,001.91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242,649,516.17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1,998,001.91</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25,695,021.78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2,569,502.18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15,443,400.44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3,088,680.08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6,594,591.06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3,297,295.53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10,582,985.62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10,582,985.62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300,965,515.07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21,536,465.32</w:t>
            </w: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51"/>
        <w:ind w:left="154" w:right="643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57" w:lineRule="auto" w:before="26"/>
        <w:ind w:left="154" w:right="6792" w:firstLine="0"/>
        <w:jc w:val="left"/>
        <w:rPr>
          <w:rFonts w:ascii="宋体" w:hAnsi="宋体" w:cs="宋体" w:eastAsia="宋体" w:hint="default"/>
          <w:sz w:val="18"/>
          <w:szCs w:val="18"/>
        </w:rPr>
      </w:pPr>
      <w:r>
        <w:rPr>
          <w:rFonts w:ascii="宋体" w:hAnsi="宋体" w:cs="宋体" w:eastAsia="宋体" w:hint="default"/>
          <w:sz w:val="18"/>
          <w:szCs w:val="18"/>
        </w:rPr>
        <w:t>□ 适用 √ 不适用 组合中，采用其他方法计提坏账准备的应收账款：</w:t>
      </w:r>
    </w:p>
    <w:p>
      <w:pPr>
        <w:spacing w:line="240" w:lineRule="auto" w:before="1"/>
        <w:rPr>
          <w:rFonts w:ascii="宋体" w:hAnsi="宋体" w:cs="宋体" w:eastAsia="宋体" w:hint="default"/>
          <w:sz w:val="20"/>
          <w:szCs w:val="20"/>
        </w:rPr>
      </w:pPr>
    </w:p>
    <w:p>
      <w:pPr>
        <w:pStyle w:val="Heading4"/>
        <w:spacing w:line="240" w:lineRule="auto"/>
        <w:ind w:left="154" w:right="0"/>
        <w:jc w:val="left"/>
        <w:rPr>
          <w:b w:val="0"/>
          <w:bCs w:val="0"/>
        </w:rPr>
      </w:pPr>
      <w:bookmarkStart w:name="（2）本期计提、收回或转回的坏账准备情况" w:id="502"/>
      <w:bookmarkEnd w:id="502"/>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980" w:right="0"/>
        </w:sectPr>
      </w:pPr>
    </w:p>
    <w:p>
      <w:pPr>
        <w:spacing w:line="340" w:lineRule="auto" w:before="44"/>
        <w:ind w:left="153" w:right="-12"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8,221,160.91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454" w:space="2375"/>
            <w:col w:w="210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4"/>
        <w:spacing w:line="240" w:lineRule="auto" w:before="35"/>
        <w:ind w:left="154" w:right="0"/>
        <w:jc w:val="left"/>
        <w:rPr>
          <w:b w:val="0"/>
          <w:bCs w:val="0"/>
        </w:rPr>
      </w:pPr>
      <w:bookmarkStart w:name="（3）本期实际核销的应收账款情况" w:id="503"/>
      <w:bookmarkEnd w:id="503"/>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本年度核销应收账款</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112,753.80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4）按欠款方归集的期末余额前五名的应收账款情况" w:id="504"/>
      <w:bookmarkEnd w:id="504"/>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8"/>
        <w:rPr>
          <w:rFonts w:ascii="宋体" w:hAnsi="宋体" w:cs="宋体" w:eastAsia="宋体" w:hint="default"/>
          <w:b/>
          <w:bCs/>
          <w:sz w:val="24"/>
          <w:szCs w:val="24"/>
        </w:rPr>
      </w:pPr>
    </w:p>
    <w:p>
      <w:pPr>
        <w:pStyle w:val="BodyText"/>
        <w:spacing w:line="273" w:lineRule="auto" w:before="0"/>
        <w:ind w:right="0" w:firstLine="480"/>
        <w:jc w:val="left"/>
      </w:pPr>
      <w:r>
        <w:rPr>
          <w:spacing w:val="6"/>
        </w:rPr>
        <w:t>本公司年末余额前五名应收账款金额为</w:t>
      </w:r>
      <w:r>
        <w:rPr>
          <w:rFonts w:ascii="宋体" w:hAnsi="宋体" w:cs="宋体" w:eastAsia="宋体" w:hint="default"/>
          <w:spacing w:val="6"/>
        </w:rPr>
        <w:t>106,301,705.67</w:t>
      </w:r>
      <w:r>
        <w:rPr>
          <w:spacing w:val="6"/>
        </w:rPr>
        <w:t>元，占应收账款年末余额合计数的比例为</w:t>
      </w:r>
      <w:r>
        <w:rPr/>
        <w:t> </w:t>
      </w:r>
      <w:r>
        <w:rPr>
          <w:rFonts w:ascii="宋体" w:hAnsi="宋体" w:cs="宋体" w:eastAsia="宋体" w:hint="default"/>
        </w:rPr>
        <w:t>30.37%</w:t>
      </w:r>
      <w:r>
        <w:rPr/>
        <w:t>，相应计提的坏账准备年末余额汇总金额为</w:t>
      </w:r>
      <w:r>
        <w:rPr>
          <w:rFonts w:ascii="宋体" w:hAnsi="宋体" w:cs="宋体" w:eastAsia="宋体" w:hint="default"/>
        </w:rPr>
        <w:t>699,597.82</w:t>
      </w:r>
      <w:r>
        <w:rPr/>
        <w:t>元。</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spacing w:line="506" w:lineRule="auto" w:before="0"/>
        <w:ind w:left="634" w:right="6282" w:hanging="480"/>
        <w:jc w:val="left"/>
        <w:rPr>
          <w:rFonts w:ascii="宋体" w:hAnsi="宋体" w:cs="宋体" w:eastAsia="宋体" w:hint="default"/>
          <w:sz w:val="21"/>
          <w:szCs w:val="21"/>
        </w:rPr>
      </w:pPr>
      <w:bookmarkStart w:name="（5）因金融资产转移而终止确认的应收账款" w:id="505"/>
      <w:bookmarkEnd w:id="50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）因金融资产转移而终止确认的应收账款</w:t>
      </w:r>
      <w:r>
        <w:rPr>
          <w:rFonts w:ascii="宋体" w:hAnsi="宋体" w:cs="宋体" w:eastAsia="宋体" w:hint="default"/>
          <w:b/>
          <w:bCs/>
          <w:w w:val="99"/>
          <w:sz w:val="21"/>
          <w:szCs w:val="21"/>
        </w:rPr>
        <w:t> </w:t>
      </w:r>
      <w:r>
        <w:rPr>
          <w:rFonts w:ascii="宋体" w:hAnsi="宋体" w:cs="宋体" w:eastAsia="宋体" w:hint="default"/>
          <w:sz w:val="21"/>
          <w:szCs w:val="21"/>
        </w:rPr>
        <w:t>无因金融资产转移而终止确认的应收账款；</w:t>
      </w:r>
    </w:p>
    <w:p>
      <w:pPr>
        <w:pStyle w:val="Heading4"/>
        <w:spacing w:line="240" w:lineRule="auto" w:before="105"/>
        <w:ind w:left="154" w:right="0"/>
        <w:jc w:val="left"/>
        <w:rPr>
          <w:b w:val="0"/>
          <w:bCs w:val="0"/>
        </w:rPr>
      </w:pPr>
      <w:bookmarkStart w:name="（6）转移应收账款且继续涉入形成的资产、负债金额" w:id="506"/>
      <w:bookmarkEnd w:id="506"/>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634" w:right="0"/>
        <w:jc w:val="left"/>
      </w:pPr>
      <w:r>
        <w:rPr/>
        <w:t>年末无转移应收账款且继续涉入形成的资产、负债金额。</w:t>
      </w:r>
    </w:p>
    <w:p>
      <w:pPr>
        <w:spacing w:before="10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其他应收款" w:id="507"/>
      <w:bookmarkEnd w:id="507"/>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其他应收款分类披露" w:id="508"/>
      <w:bookmarkEnd w:id="508"/>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174,224,</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194.82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651,302.</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66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0.37%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173,572,8</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92.16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40,905,</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049.65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385,722.8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0.94%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40,519,326.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85</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174,224,</w:t>
            </w:r>
          </w:p>
          <w:p>
            <w:pPr>
              <w:pStyle w:val="TableParagraph"/>
              <w:spacing w:line="240" w:lineRule="auto" w:before="106"/>
              <w:ind w:left="205" w:right="0"/>
              <w:jc w:val="center"/>
              <w:rPr>
                <w:rFonts w:ascii="Times New Roman" w:hAnsi="Times New Roman" w:cs="Times New Roman" w:eastAsia="Times New Roman" w:hint="default"/>
                <w:sz w:val="18"/>
                <w:szCs w:val="18"/>
              </w:rPr>
            </w:pPr>
            <w:r>
              <w:rPr>
                <w:rFonts w:ascii="Times New Roman"/>
                <w:sz w:val="18"/>
              </w:rPr>
              <w:t>194.82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651,302.</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66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0.37%</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173,572,8</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92.16</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40,905,</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049.65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385,722.8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0.94%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40,519,326.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85</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57" w:lineRule="auto" w:before="117"/>
        <w:ind w:left="154" w:right="160" w:firstLine="0"/>
        <w:jc w:val="left"/>
        <w:rPr>
          <w:rFonts w:ascii="宋体" w:hAnsi="宋体" w:cs="宋体" w:eastAsia="宋体" w:hint="default"/>
          <w:sz w:val="18"/>
          <w:szCs w:val="18"/>
        </w:rPr>
      </w:pPr>
      <w:r>
        <w:rPr>
          <w:rFonts w:ascii="宋体" w:hAnsi="宋体" w:cs="宋体" w:eastAsia="宋体" w:hint="default"/>
          <w:sz w:val="18"/>
          <w:szCs w:val="18"/>
        </w:rPr>
        <w:t>□ 适用 √ 不适用 组合中，按账龄分析法计提坏账准备的其他应收款：</w:t>
      </w:r>
    </w:p>
    <w:p>
      <w:pPr>
        <w:spacing w:before="29"/>
        <w:ind w:left="154" w:right="-2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475" w:space="435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16,258,676.53</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125,348.45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6,267.42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16,384,024.98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6,267.42</w:t>
            </w: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82"/>
        <w:gridCol w:w="2307"/>
        <w:gridCol w:w="2391"/>
        <w:gridCol w:w="2389"/>
      </w:tblGrid>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336,666.36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33,666.64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140,182.67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28,036.53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60,800.00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30,400.00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552,932.07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552,932.07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17,474,606.08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651,302.66</w:t>
            </w: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51"/>
        <w:ind w:left="154" w:right="625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60" w:lineRule="auto" w:before="26"/>
        <w:ind w:left="154" w:right="6612" w:firstLine="0"/>
        <w:jc w:val="left"/>
        <w:rPr>
          <w:rFonts w:ascii="宋体" w:hAnsi="宋体" w:cs="宋体" w:eastAsia="宋体" w:hint="default"/>
          <w:sz w:val="18"/>
          <w:szCs w:val="18"/>
        </w:rPr>
      </w:pPr>
      <w:r>
        <w:rPr>
          <w:rFonts w:ascii="宋体" w:hAnsi="宋体" w:cs="宋体" w:eastAsia="宋体" w:hint="default"/>
          <w:sz w:val="18"/>
          <w:szCs w:val="18"/>
        </w:rPr>
        <w:t>□ 适用 √ 不适用 组合中，采用其他方法计提坏账准备的其他应收款：</w:t>
      </w:r>
    </w:p>
    <w:p>
      <w:pPr>
        <w:spacing w:before="26"/>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pStyle w:val="Heading4"/>
        <w:spacing w:line="240" w:lineRule="auto"/>
        <w:ind w:left="154" w:right="0"/>
        <w:jc w:val="left"/>
        <w:rPr>
          <w:b w:val="0"/>
          <w:bCs w:val="0"/>
        </w:rPr>
      </w:pPr>
      <w:bookmarkStart w:name="（2）本期计提、收回或转回的坏账准备情况" w:id="509"/>
      <w:bookmarkEnd w:id="509"/>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line="338" w:lineRule="auto" w:before="44"/>
        <w:ind w:left="153" w:right="-15"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265,579.86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320" w:space="2510"/>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3）本期实际核销的其他应收款情况" w:id="510"/>
      <w:bookmarkEnd w:id="510"/>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pStyle w:val="BodyText"/>
        <w:spacing w:line="240" w:lineRule="auto" w:before="90"/>
        <w:ind w:left="634" w:right="0"/>
        <w:jc w:val="left"/>
      </w:pPr>
      <w:r>
        <w:rPr/>
        <w:t>本年无实际核销的其他应收款；</w:t>
      </w:r>
    </w:p>
    <w:p>
      <w:pPr>
        <w:spacing w:line="240" w:lineRule="auto" w:before="11"/>
        <w:rPr>
          <w:rFonts w:ascii="宋体" w:hAnsi="宋体" w:cs="宋体" w:eastAsia="宋体" w:hint="default"/>
          <w:sz w:val="25"/>
          <w:szCs w:val="25"/>
        </w:rPr>
      </w:pPr>
    </w:p>
    <w:p>
      <w:pPr>
        <w:pStyle w:val="Heading4"/>
        <w:spacing w:line="240" w:lineRule="auto"/>
        <w:ind w:left="154" w:right="0"/>
        <w:jc w:val="left"/>
        <w:rPr>
          <w:b w:val="0"/>
          <w:bCs w:val="0"/>
        </w:rPr>
      </w:pPr>
      <w:bookmarkStart w:name="（4）其他应收款按款项性质分类情况" w:id="511"/>
      <w:bookmarkEnd w:id="511"/>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12,842,121.12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2,503,641.44</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员工借款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887,135.66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1,738,700.68</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3,021,420.15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4,633,331.75</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156,749,588.74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31,365,467.73</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723,929.15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663,908.05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68"/>
        <w:gridCol w:w="3101"/>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43" w:right="0"/>
              <w:jc w:val="left"/>
              <w:rPr>
                <w:rFonts w:ascii="Times New Roman" w:hAnsi="Times New Roman" w:cs="Times New Roman" w:eastAsia="Times New Roman" w:hint="default"/>
                <w:sz w:val="18"/>
                <w:szCs w:val="18"/>
              </w:rPr>
            </w:pPr>
            <w:r>
              <w:rPr>
                <w:rFonts w:ascii="Times New Roman"/>
                <w:sz w:val="18"/>
              </w:rPr>
              <w:t>174,224,194.82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40,905,049.65</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5）按欠款方归集的期末余额前五名的其他应收款情况" w:id="512"/>
      <w:bookmarkEnd w:id="512"/>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深圳茂硕新能源科技 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83,282,488.57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47.80%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深圳茂硕能源技术研 究院有限公司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往来款及股权转让 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49,730,000.00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28.54%</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深圳茂硕电子科技有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17,681,599.03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10.15%</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应收退税</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12,842,121.12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7.37%</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深圳茂硕电气有限公 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5,555,728.31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3.19%</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169,091,937.03</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97.05%</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6）涉及政府补助的应收款项" w:id="513"/>
      <w:bookmarkEnd w:id="513"/>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6" w:right="5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3"/>
        <w:rPr>
          <w:rFonts w:ascii="宋体" w:hAnsi="宋体" w:cs="宋体" w:eastAsia="宋体" w:hint="default"/>
          <w:sz w:val="19"/>
          <w:szCs w:val="19"/>
        </w:rPr>
      </w:pPr>
    </w:p>
    <w:p>
      <w:pPr>
        <w:spacing w:line="506" w:lineRule="auto" w:before="35"/>
        <w:ind w:left="634" w:right="5232" w:hanging="480"/>
        <w:jc w:val="left"/>
        <w:rPr>
          <w:rFonts w:ascii="宋体" w:hAnsi="宋体" w:cs="宋体" w:eastAsia="宋体" w:hint="default"/>
          <w:sz w:val="21"/>
          <w:szCs w:val="21"/>
        </w:rPr>
      </w:pPr>
      <w:bookmarkStart w:name="（7）因金融资产转移而终止确认的其他应收款" w:id="514"/>
      <w:bookmarkEnd w:id="51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）因金融资产转移而终止确认的其他应收款</w:t>
      </w:r>
      <w:r>
        <w:rPr>
          <w:rFonts w:ascii="宋体" w:hAnsi="宋体" w:cs="宋体" w:eastAsia="宋体" w:hint="default"/>
          <w:b/>
          <w:bCs/>
          <w:w w:val="99"/>
          <w:sz w:val="21"/>
          <w:szCs w:val="21"/>
        </w:rPr>
        <w:t> </w:t>
      </w:r>
      <w:r>
        <w:rPr>
          <w:rFonts w:ascii="宋体" w:hAnsi="宋体" w:cs="宋体" w:eastAsia="宋体" w:hint="default"/>
          <w:sz w:val="21"/>
          <w:szCs w:val="21"/>
        </w:rPr>
        <w:t>本报告期无因金融资产转移而终止确认的其他应收款。</w:t>
      </w:r>
    </w:p>
    <w:p>
      <w:pPr>
        <w:pStyle w:val="Heading4"/>
        <w:spacing w:line="240" w:lineRule="auto" w:before="105"/>
        <w:ind w:right="0"/>
        <w:jc w:val="left"/>
        <w:rPr>
          <w:b w:val="0"/>
          <w:bCs w:val="0"/>
        </w:rPr>
      </w:pPr>
      <w:bookmarkStart w:name="（8）转移其他应收款且继续涉入形成的资产、负债金额" w:id="515"/>
      <w:bookmarkEnd w:id="515"/>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633" w:right="0"/>
        <w:jc w:val="left"/>
      </w:pPr>
      <w:r>
        <w:rPr/>
        <w:t>本报告期无转移其他应收款且继续涉入形成的资产、负债的情况。</w:t>
      </w:r>
    </w:p>
    <w:p>
      <w:pPr>
        <w:spacing w:before="10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长期股权投资" w:id="516"/>
      <w:bookmarkEnd w:id="516"/>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1"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610,595,386.65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610,595,386.65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402,517,550.65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402,517,550.65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对联营、合营企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9,757,565.86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9,757,565.86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25,653,877.09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25,653,877.09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36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业投资</w:t>
            </w:r>
          </w:p>
        </w:tc>
        <w:tc>
          <w:tcPr>
            <w:tcW w:w="1379"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0" w:right="0"/>
              <w:jc w:val="left"/>
              <w:rPr>
                <w:rFonts w:ascii="Times New Roman" w:hAnsi="Times New Roman" w:cs="Times New Roman" w:eastAsia="Times New Roman" w:hint="default"/>
                <w:sz w:val="18"/>
                <w:szCs w:val="18"/>
              </w:rPr>
            </w:pPr>
            <w:r>
              <w:rPr>
                <w:rFonts w:ascii="Times New Roman"/>
                <w:sz w:val="18"/>
              </w:rPr>
              <w:t>620,352,952.51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0" w:right="0"/>
              <w:jc w:val="left"/>
              <w:rPr>
                <w:rFonts w:ascii="Times New Roman" w:hAnsi="Times New Roman" w:cs="Times New Roman" w:eastAsia="Times New Roman" w:hint="default"/>
                <w:sz w:val="18"/>
                <w:szCs w:val="18"/>
              </w:rPr>
            </w:pPr>
            <w:r>
              <w:rPr>
                <w:rFonts w:ascii="Times New Roman"/>
                <w:sz w:val="18"/>
              </w:rPr>
              <w:t>620,352,952.51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1" w:right="0"/>
              <w:jc w:val="left"/>
              <w:rPr>
                <w:rFonts w:ascii="Times New Roman" w:hAnsi="Times New Roman" w:cs="Times New Roman" w:eastAsia="Times New Roman" w:hint="default"/>
                <w:sz w:val="18"/>
                <w:szCs w:val="18"/>
              </w:rPr>
            </w:pPr>
            <w:r>
              <w:rPr>
                <w:rFonts w:ascii="Times New Roman"/>
                <w:sz w:val="18"/>
              </w:rPr>
              <w:t>428,171,427.74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0" w:right="0"/>
              <w:jc w:val="left"/>
              <w:rPr>
                <w:rFonts w:ascii="Times New Roman" w:hAnsi="Times New Roman" w:cs="Times New Roman" w:eastAsia="Times New Roman" w:hint="default"/>
                <w:sz w:val="18"/>
                <w:szCs w:val="18"/>
              </w:rPr>
            </w:pPr>
            <w:r>
              <w:rPr>
                <w:rFonts w:ascii="Times New Roman"/>
                <w:sz w:val="18"/>
              </w:rPr>
              <w:t>428,171,427.74</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1）对子公司投资" w:id="517"/>
      <w:bookmarkEnd w:id="517"/>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9" w:right="59"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茂硕研究院</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惠州茂硕</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280,770,000.00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280,770,000.00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香港茂硕</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8,140,550.65</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19,918,332.00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28,058,882.65</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茂硕电子</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30,637,000.00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30,637,000.00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茂硕新能源</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33,650,000.00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7" w:right="0"/>
              <w:jc w:val="left"/>
              <w:rPr>
                <w:rFonts w:ascii="Times New Roman" w:hAnsi="Times New Roman" w:cs="Times New Roman" w:eastAsia="Times New Roman" w:hint="default"/>
                <w:sz w:val="18"/>
                <w:szCs w:val="18"/>
              </w:rPr>
            </w:pPr>
            <w:r>
              <w:rPr>
                <w:rFonts w:ascii="Times New Roman"/>
                <w:sz w:val="18"/>
              </w:rPr>
              <w:t>44,350,000.00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海宁茂硕</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35,300,000.00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35,300,000.00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茂硕钜泽</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510,000.00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曦港科技</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510,000.00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河南茂鑫</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茂硕电气</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20,250,000.00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23,250,000.00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湖南方正达</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201,559,504.00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201,559,504.00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402,517,550.65</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252,427,836.00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7" w:right="0"/>
              <w:jc w:val="left"/>
              <w:rPr>
                <w:rFonts w:ascii="Times New Roman" w:hAnsi="Times New Roman" w:cs="Times New Roman" w:eastAsia="Times New Roman" w:hint="default"/>
                <w:sz w:val="18"/>
                <w:szCs w:val="18"/>
              </w:rPr>
            </w:pPr>
            <w:r>
              <w:rPr>
                <w:rFonts w:ascii="Times New Roman"/>
                <w:sz w:val="18"/>
              </w:rPr>
              <w:t>44,350,000.00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610,595,386.65</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对联营、合营企业投资" w:id="518"/>
      <w:bookmarkEnd w:id="518"/>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深圳市通 新源物业 管理有限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17,609,16</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7.50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-17,609,1</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67.50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深圳华智 测控技术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1,684,641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-405,658.</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1,278,982</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.51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深圳茂硕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5" w:right="0"/>
              <w:jc w:val="left"/>
              <w:rPr>
                <w:rFonts w:ascii="Times New Roman" w:hAnsi="Times New Roman" w:cs="Times New Roman" w:eastAsia="Times New Roman" w:hint="default"/>
                <w:sz w:val="18"/>
                <w:szCs w:val="18"/>
              </w:rPr>
            </w:pPr>
            <w:r>
              <w:rPr>
                <w:rFonts w:ascii="Times New Roman"/>
                <w:sz w:val="18"/>
              </w:rPr>
              <w:t>4,543,916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409,419.3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sz w:val="18"/>
              </w:rPr>
              <w:t>4,953,336</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67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投资发展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.89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.22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国利英核 </w:t>
            </w:r>
            <w:r>
              <w:rPr>
                <w:rFonts w:ascii="Times New Roman" w:hAnsi="Times New Roman" w:cs="Times New Roman" w:eastAsia="Times New Roman" w:hint="default"/>
                <w:sz w:val="18"/>
                <w:szCs w:val="18"/>
              </w:rPr>
              <w:t>(</w:t>
            </w:r>
            <w:r>
              <w:rPr>
                <w:rFonts w:ascii="宋体" w:hAnsi="宋体" w:cs="宋体" w:eastAsia="宋体" w:hint="default"/>
                <w:sz w:val="18"/>
                <w:szCs w:val="18"/>
              </w:rPr>
              <w:t>浙江</w:t>
            </w:r>
            <w:r>
              <w:rPr>
                <w:rFonts w:ascii="Times New Roman" w:hAnsi="Times New Roman" w:cs="Times New Roman" w:eastAsia="Times New Roman" w:hint="default"/>
                <w:sz w:val="18"/>
                <w:szCs w:val="18"/>
              </w:rPr>
              <w:t>)</w:t>
            </w:r>
            <w:r>
              <w:rPr>
                <w:rFonts w:ascii="宋体" w:hAnsi="宋体" w:cs="宋体" w:eastAsia="宋体" w:hint="default"/>
                <w:sz w:val="18"/>
                <w:szCs w:val="18"/>
              </w:rPr>
              <w:t>能 源有限公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1,816,151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45,778.43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1,861,929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深圳鑫四 方检测科 技有限公 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1,650,000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13,317.28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1,663,317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25,653,87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7.09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62,856.27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-17,609,1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67.50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9,757,565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25,653,87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7.09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62,856.27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-17,609,1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67.50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9,757,565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.86</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3）其他说明" w:id="519"/>
      <w:bookmarkEnd w:id="519"/>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4、营业收入和营业成本" w:id="520"/>
      <w:bookmarkEnd w:id="520"/>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71"/>
        <w:gridCol w:w="1850"/>
        <w:gridCol w:w="1913"/>
        <w:gridCol w:w="1913"/>
        <w:gridCol w:w="1913"/>
      </w:tblGrid>
      <w:tr>
        <w:trPr>
          <w:trHeight w:val="206" w:hRule="exact"/>
        </w:trPr>
        <w:tc>
          <w:tcPr>
            <w:tcW w:w="1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37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7" w:hRule="exact"/>
        </w:trPr>
        <w:tc>
          <w:tcPr>
            <w:tcW w:w="19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62"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71" w:type="dxa"/>
            <w:vMerge/>
            <w:tcBorders>
              <w:left w:val="single" w:sz="4" w:space="0" w:color="000000"/>
              <w:bottom w:val="nil" w:sz="6" w:space="0" w:color="auto"/>
              <w:right w:val="single" w:sz="4" w:space="0" w:color="000000"/>
            </w:tcBorders>
            <w:shd w:val="clear" w:color="auto" w:fill="D2D2D2"/>
          </w:tcPr>
          <w:p>
            <w:pPr/>
          </w:p>
        </w:tc>
        <w:tc>
          <w:tcPr>
            <w:tcW w:w="1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50"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585,910,650.67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487,945,371.38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595,077,055.36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503,025,348.03</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844,465.26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1,377,392.20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23,339,360.72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23,272,939.01</w:t>
            </w:r>
          </w:p>
        </w:tc>
      </w:tr>
      <w:tr>
        <w:trPr>
          <w:trHeight w:val="403"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586,755,115.93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489,322,763.58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618,416,416.08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526,298,287.04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5、投资收益" w:id="521"/>
      <w:bookmarkEnd w:id="521"/>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62,856.27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-229,146.64</w:t>
            </w:r>
            <w:r>
              <w:rPr>
                <w:rFonts w:ascii="Times New Roman"/>
                <w:sz w:val="18"/>
              </w:rPr>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59"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4,157,900.00</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锁汇确认的投资收益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2,701,100.00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3,084,550.00</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理财产品持有期间取得的投资收益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2,551,319.37</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2,763,956.27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9,564,622.73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6、其他" w:id="522"/>
      <w:bookmarkEnd w:id="522"/>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right="0"/>
        <w:jc w:val="left"/>
        <w:rPr>
          <w:b w:val="0"/>
          <w:bCs w:val="0"/>
        </w:rPr>
      </w:pPr>
      <w:bookmarkStart w:name="十八、补充资料" w:id="523"/>
      <w:bookmarkEnd w:id="523"/>
      <w:r>
        <w:rPr>
          <w:b w:val="0"/>
          <w:bCs w:val="0"/>
        </w:rPr>
      </w:r>
      <w:r>
        <w:rPr/>
        <w:t>十八、补充资料</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当期非经常性损益明细表" w:id="524"/>
      <w:bookmarkEnd w:id="524"/>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-314,221.05</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7,832,256.39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35,551,494.74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6,562,047.05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773,729.80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35,733,753.23</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3"/>
        <w:ind w:left="15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69"/>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净资产收益率及每股收益" w:id="525"/>
      <w:bookmarkEnd w:id="525"/>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3081"/>
        <w:gridCol w:w="1913"/>
        <w:gridCol w:w="1913"/>
      </w:tblGrid>
      <w:tr>
        <w:trPr>
          <w:trHeight w:val="206" w:hRule="exact"/>
        </w:trPr>
        <w:tc>
          <w:tcPr>
            <w:tcW w:w="2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662"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0.06</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-0.07</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-0.07</w:t>
            </w:r>
            <w:r>
              <w:rPr>
                <w:rFonts w:ascii="Times New Roman"/>
                <w:sz w:val="18"/>
              </w:rPr>
            </w:r>
          </w:p>
        </w:tc>
      </w:tr>
    </w:tbl>
    <w:p>
      <w:pPr>
        <w:spacing w:line="240" w:lineRule="auto" w:before="2"/>
        <w:rPr>
          <w:rFonts w:ascii="宋体" w:hAnsi="宋体" w:cs="宋体" w:eastAsia="宋体" w:hint="default"/>
          <w:b/>
          <w:bCs/>
          <w:sz w:val="19"/>
          <w:szCs w:val="19"/>
        </w:rPr>
      </w:pPr>
    </w:p>
    <w:p>
      <w:pPr>
        <w:pStyle w:val="Heading4"/>
        <w:spacing w:line="240" w:lineRule="auto" w:before="35"/>
        <w:ind w:left="154" w:right="0"/>
        <w:jc w:val="left"/>
        <w:rPr>
          <w:b w:val="0"/>
          <w:bCs w:val="0"/>
        </w:rPr>
      </w:pPr>
      <w:bookmarkStart w:name="3、境内外会计准则下会计数据差异" w:id="526"/>
      <w:bookmarkEnd w:id="526"/>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1）同时按照国际会计准则与按中国会计准则披露的财务报告中净利润和净资产差异情况" w:id="527"/>
      <w:bookmarkEnd w:id="527"/>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同时按照境外会计准则与按中国会计准则披露的财务报告中净利润和净资产差异情况" w:id="528"/>
      <w:bookmarkEnd w:id="528"/>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59" w:lineRule="auto" w:before="35"/>
        <w:ind w:right="0"/>
        <w:jc w:val="left"/>
        <w:rPr>
          <w:b w:val="0"/>
          <w:bCs w:val="0"/>
        </w:rPr>
      </w:pPr>
      <w:bookmarkStart w:name="（3）境内外会计准则下会计数据差异原因说明，对已经境外审计机构审计的数据进行差异" w:id="529"/>
      <w:bookmarkEnd w:id="529"/>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其他" w:id="530"/>
      <w:bookmarkEnd w:id="530"/>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left="3286" w:right="0"/>
        <w:jc w:val="left"/>
        <w:rPr>
          <w:b w:val="0"/>
          <w:bCs w:val="0"/>
        </w:rPr>
      </w:pPr>
      <w:bookmarkStart w:name="第十一节 备查文件目录" w:id="531"/>
      <w:bookmarkEnd w:id="531"/>
      <w:r>
        <w:rPr>
          <w:b w:val="0"/>
          <w:bCs w:val="0"/>
        </w:rPr>
      </w:r>
      <w:bookmarkStart w:name="_bookmark9" w:id="532"/>
      <w:bookmarkEnd w:id="532"/>
      <w:r>
        <w:rPr>
          <w:b w:val="0"/>
          <w:bCs w:val="0"/>
        </w:rPr>
      </w:r>
      <w:r>
        <w:rPr/>
        <w:t>第十一节</w:t>
      </w:r>
      <w:r>
        <w:rPr>
          <w:spacing w:val="-8"/>
        </w:rPr>
        <w:t> </w:t>
      </w:r>
      <w:r>
        <w:rPr/>
        <w:t>备查文件目录</w:t>
      </w:r>
      <w:r>
        <w:rPr>
          <w:b w:val="0"/>
          <w:bCs w:val="0"/>
        </w:rPr>
      </w:r>
    </w:p>
    <w:p>
      <w:pPr>
        <w:spacing w:line="240" w:lineRule="auto" w:before="6"/>
        <w:rPr>
          <w:rFonts w:ascii="宋体" w:hAnsi="宋体" w:cs="宋体" w:eastAsia="宋体" w:hint="default"/>
          <w:b/>
          <w:bCs/>
          <w:sz w:val="42"/>
          <w:szCs w:val="42"/>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、载有公司董事长签署的</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年年度报告正本。</w:t>
      </w:r>
    </w:p>
    <w:p>
      <w:pPr>
        <w:spacing w:before="6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、载有公司负责人、主管会计工作负责人及会计机构负责人签名并盖章的财务报表。</w:t>
      </w:r>
    </w:p>
    <w:p>
      <w:pPr>
        <w:spacing w:before="6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、载有会计师事务所盖章、注册会计师签名并盖章的审计报告原件。</w:t>
      </w:r>
    </w:p>
    <w:p>
      <w:pPr>
        <w:spacing w:before="6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、报告期内在中国证监会指定信息披露载体上公开披露过的所有公司文件的正本及公告的原稿</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spacing w:line="20" w:lineRule="exact"/>
        <w:ind w:left="6955" w:right="0" w:firstLine="0"/>
        <w:rPr>
          <w:rFonts w:ascii="宋体" w:hAnsi="宋体" w:cs="宋体" w:eastAsia="宋体" w:hint="default"/>
          <w:sz w:val="2"/>
          <w:szCs w:val="2"/>
        </w:rPr>
      </w:pPr>
      <w:r>
        <w:rPr>
          <w:rFonts w:ascii="宋体" w:hAnsi="宋体" w:cs="宋体" w:eastAsia="宋体" w:hint="default"/>
          <w:sz w:val="2"/>
          <w:szCs w:val="2"/>
        </w:rPr>
        <w:pict>
          <v:group style="width:142.15pt;height:.45pt;mso-position-horizontal-relative:char;mso-position-vertical-relative:line" coordorigin="0,0" coordsize="2843,9">
            <v:group style="position:absolute;left:4;top:4;width:2834;height:2" coordorigin="4,4" coordsize="2834,2">
              <v:shape style="position:absolute;left:4;top:4;width:2834;height:2" coordorigin="4,4" coordsize="2834,0" path="m4,4l2838,4e" filled="false" stroked="true" strokeweight=".42pt" strokecolor="#000000">
                <v:path arrowok="t"/>
              </v:shape>
            </v:group>
          </v:group>
        </w:pict>
      </w:r>
      <w:r>
        <w:rPr>
          <w:rFonts w:ascii="宋体" w:hAnsi="宋体" w:cs="宋体" w:eastAsia="宋体" w:hint="default"/>
          <w:sz w:val="2"/>
          <w:szCs w:val="2"/>
        </w:rPr>
      </w:r>
    </w:p>
    <w:p>
      <w:pPr>
        <w:pStyle w:val="BodyText"/>
        <w:spacing w:line="273" w:lineRule="auto" w:before="9"/>
        <w:ind w:left="7153" w:right="1114" w:hanging="175"/>
        <w:jc w:val="left"/>
      </w:pPr>
      <w:r>
        <w:rPr/>
        <w:t>法定代表人：</w:t>
      </w:r>
      <w:r>
        <w:rPr>
          <w:spacing w:val="-21"/>
        </w:rPr>
        <w:t> </w:t>
      </w:r>
      <w:r>
        <w:rPr/>
        <w:t>顾永德（签章）</w:t>
      </w:r>
      <w:r>
        <w:rPr/>
        <w:t> 茂硕电源科技股份有限公司</w:t>
      </w:r>
    </w:p>
    <w:p>
      <w:pPr>
        <w:pStyle w:val="BodyText"/>
        <w:spacing w:line="240" w:lineRule="auto"/>
        <w:ind w:left="0" w:right="1130"/>
        <w:jc w:val="right"/>
      </w:pPr>
      <w:r>
        <w:rPr/>
        <w:t>二〇一六年四月二十二日</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125952" type="#_x0000_t75" stroked="false">
          <v:imagedata r:id="rId1" o:title=""/>
        </v:shape>
      </w:pict>
    </w:r>
    <w:r>
      <w:rPr/>
      <w:pict>
        <v:shape style="position:absolute;margin-left:533.179993pt;margin-top:795.517944pt;width:6.5pt;height:11pt;mso-position-horizontal-relative:page;mso-position-vertical-relative:page;z-index:-112592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125904" type="#_x0000_t75" stroked="false">
          <v:imagedata r:id="rId1" o:title=""/>
        </v:shape>
      </w:pict>
    </w:r>
    <w:r>
      <w:rPr/>
      <w:pict>
        <v:shape style="position:absolute;margin-left:527.679993pt;margin-top:781.957947pt;width:13pt;height:11pt;mso-position-horizontal-relative:page;mso-position-vertical-relative:page;z-index:-11258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125856" type="#_x0000_t75" stroked="false">
          <v:imagedata r:id="rId1" o:title=""/>
        </v:shape>
      </w:pict>
    </w:r>
    <w:r>
      <w:rPr/>
      <w:pict>
        <v:shape style="position:absolute;margin-left:524.179993pt;margin-top:781.957947pt;width:15.5pt;height:11pt;mso-position-horizontal-relative:page;mso-position-vertical-relative:page;z-index:-112583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125808" type="#_x0000_t75" stroked="false">
          <v:imagedata r:id="rId1" o:title=""/>
        </v:shape>
      </w:pict>
    </w:r>
    <w:r>
      <w:rPr/>
      <w:pict>
        <v:shape style="position:absolute;margin-left:523.179993pt;margin-top:781.957947pt;width:17.5pt;height:11pt;mso-position-horizontal-relative:page;mso-position-vertical-relative:page;z-index:-11257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220001pt;margin-top:36.325607pt;width:195.5pt;height:11.5pt;mso-position-horizontal-relative:page;mso-position-vertical-relative:page;z-index:-112597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茂硕电源科技股份有限公司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3"/>
    </w:pPr>
    <w:rPr>
      <w:rFonts w:ascii="宋体" w:hAnsi="宋体" w:eastAsia="宋体"/>
      <w:b/>
      <w:bCs/>
      <w:sz w:val="24"/>
      <w:szCs w:val="24"/>
    </w:rPr>
  </w:style>
  <w:style w:styleId="BodyText" w:type="paragraph">
    <w:name w:val="Body Text"/>
    <w:basedOn w:val="Normal"/>
    <w:uiPriority w:val="1"/>
    <w:qFormat/>
    <w:pPr>
      <w:spacing w:before="7"/>
      <w:ind w:left="153"/>
    </w:pPr>
    <w:rPr>
      <w:rFonts w:ascii="宋体" w:hAnsi="宋体" w:eastAsia="宋体"/>
      <w:sz w:val="21"/>
      <w:szCs w:val="21"/>
    </w:rPr>
  </w:style>
  <w:style w:styleId="Heading1" w:type="paragraph">
    <w:name w:val="Heading 1"/>
    <w:basedOn w:val="Normal"/>
    <w:uiPriority w:val="1"/>
    <w:qFormat/>
    <w:pPr>
      <w:spacing w:before="1"/>
      <w:ind w:left="615"/>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3"/>
      <w:outlineLvl w:val="3"/>
    </w:pPr>
    <w:rPr>
      <w:rFonts w:ascii="宋体" w:hAnsi="宋体" w:eastAsia="宋体"/>
      <w:sz w:val="24"/>
      <w:szCs w:val="24"/>
    </w:rPr>
  </w:style>
  <w:style w:styleId="Heading4" w:type="paragraph">
    <w:name w:val="Heading 4"/>
    <w:basedOn w:val="Normal"/>
    <w:uiPriority w:val="1"/>
    <w:qFormat/>
    <w:pPr>
      <w:ind w:left="153"/>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mosopower.com/" TargetMode="External"/><Relationship Id="rId10" Type="http://schemas.openxmlformats.org/officeDocument/2006/relationships/hyperlink" Target="mailto:GYD@mosopower.com" TargetMode="External"/><Relationship Id="rId11" Type="http://schemas.openxmlformats.org/officeDocument/2006/relationships/hyperlink" Target="mailto:jibin.fang@mosopower.com" TargetMode="External"/><Relationship Id="rId12" Type="http://schemas.openxmlformats.org/officeDocument/2006/relationships/hyperlink" Target="mailto:ye.hong@mosopower.com" TargetMode="External"/><Relationship Id="rId13" Type="http://schemas.openxmlformats.org/officeDocument/2006/relationships/hyperlink" Target="http://www.cninfo.com.cn/" TargetMode="External"/><Relationship Id="rId14" Type="http://schemas.openxmlformats.org/officeDocument/2006/relationships/hyperlink" Target="http://www/" TargetMode="External"/><Relationship Id="rId15" Type="http://schemas.openxmlformats.org/officeDocument/2006/relationships/hyperlink" Target="http://gsxt.hnaic.gov.cn/" TargetMode="External"/><Relationship Id="rId16" Type="http://schemas.openxmlformats.org/officeDocument/2006/relationships/image" Target="media/image3.png"/><Relationship Id="rId17" Type="http://schemas.openxmlformats.org/officeDocument/2006/relationships/footer" Target="footer3.xml"/><Relationship Id="rId18"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茂硕电源科技股份有限公司</dc:creator>
  <dc:title>茂硕电源科技股份有限公司2015年年度报告全文</dc:title>
  <dcterms:created xsi:type="dcterms:W3CDTF">2020-05-04T14:24:18Z</dcterms:created>
  <dcterms:modified xsi:type="dcterms:W3CDTF">2020-05-04T14:24:18Z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2016-04-22T00:00:00Z</vt:filetime>
  </property>
  <property fmtid="{D5CDD505-2E9C-101B-9397-08002B2CF9AE}" pid="3" name="Creator">
    <vt:lpwstr>Microsoft® Office Word 2007</vt:lpwstr>
  </property>
  <property fmtid="{D5CDD505-2E9C-101B-9397-08002B2CF9AE}" pid="4" name="LastSaved">
    <vt:filetime>2020-05-04T00:00:00Z</vt:filetime>
  </property>
</Properties>
</file>